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26FDB" w14:textId="77777777" w:rsidR="00CE7293" w:rsidRPr="00D045B3" w:rsidRDefault="00CE7293" w:rsidP="005F32A1">
      <w:pPr>
        <w:spacing w:line="240" w:lineRule="auto"/>
        <w:jc w:val="center"/>
        <w:rPr>
          <w:color w:val="000000"/>
          <w:lang w:val="hu-HU"/>
        </w:rPr>
      </w:pPr>
      <w:bookmarkStart w:id="0" w:name="_GoBack"/>
      <w:bookmarkEnd w:id="0"/>
    </w:p>
    <w:p w14:paraId="1E926FDC" w14:textId="77777777" w:rsidR="00CE7293" w:rsidRPr="00D045B3" w:rsidRDefault="00CE7293" w:rsidP="005F32A1">
      <w:pPr>
        <w:spacing w:line="240" w:lineRule="auto"/>
        <w:jc w:val="center"/>
        <w:rPr>
          <w:color w:val="000000"/>
          <w:lang w:val="hu-HU"/>
        </w:rPr>
      </w:pPr>
    </w:p>
    <w:p w14:paraId="1E926FDD" w14:textId="77777777" w:rsidR="00CE7293" w:rsidRPr="00D045B3" w:rsidRDefault="00CE7293" w:rsidP="005F32A1">
      <w:pPr>
        <w:spacing w:line="240" w:lineRule="auto"/>
        <w:jc w:val="center"/>
        <w:rPr>
          <w:color w:val="000000"/>
          <w:lang w:val="hu-HU"/>
        </w:rPr>
      </w:pPr>
    </w:p>
    <w:p w14:paraId="1E926FDE" w14:textId="77777777" w:rsidR="00CE7293" w:rsidRPr="00D045B3" w:rsidRDefault="00CE7293" w:rsidP="005F32A1">
      <w:pPr>
        <w:spacing w:line="240" w:lineRule="auto"/>
        <w:jc w:val="center"/>
        <w:rPr>
          <w:color w:val="000000"/>
          <w:lang w:val="hu-HU"/>
        </w:rPr>
      </w:pPr>
    </w:p>
    <w:p w14:paraId="1E926FDF" w14:textId="77777777" w:rsidR="00CE7293" w:rsidRPr="00D045B3" w:rsidRDefault="00CE7293" w:rsidP="005F32A1">
      <w:pPr>
        <w:spacing w:line="240" w:lineRule="auto"/>
        <w:jc w:val="center"/>
        <w:rPr>
          <w:color w:val="000000"/>
          <w:lang w:val="hu-HU"/>
        </w:rPr>
      </w:pPr>
    </w:p>
    <w:p w14:paraId="1E926FE0" w14:textId="77777777" w:rsidR="00CE7293" w:rsidRPr="00D045B3" w:rsidRDefault="00CE7293" w:rsidP="005F32A1">
      <w:pPr>
        <w:spacing w:line="240" w:lineRule="auto"/>
        <w:jc w:val="center"/>
        <w:rPr>
          <w:color w:val="000000"/>
          <w:lang w:val="hu-HU"/>
        </w:rPr>
      </w:pPr>
    </w:p>
    <w:p w14:paraId="1E926FE1" w14:textId="77777777" w:rsidR="00CE7293" w:rsidRPr="00D045B3" w:rsidRDefault="00CE7293" w:rsidP="005F32A1">
      <w:pPr>
        <w:spacing w:line="240" w:lineRule="auto"/>
        <w:jc w:val="center"/>
        <w:rPr>
          <w:color w:val="000000"/>
          <w:lang w:val="hu-HU"/>
        </w:rPr>
      </w:pPr>
    </w:p>
    <w:p w14:paraId="1E926FE2" w14:textId="77777777" w:rsidR="00CE7293" w:rsidRPr="00D045B3" w:rsidRDefault="00CE7293" w:rsidP="005F32A1">
      <w:pPr>
        <w:spacing w:line="240" w:lineRule="auto"/>
        <w:jc w:val="center"/>
        <w:rPr>
          <w:color w:val="000000"/>
          <w:lang w:val="hu-HU"/>
        </w:rPr>
      </w:pPr>
    </w:p>
    <w:p w14:paraId="1E926FE3" w14:textId="77777777" w:rsidR="00CE7293" w:rsidRPr="00D045B3" w:rsidRDefault="00CE7293" w:rsidP="005F32A1">
      <w:pPr>
        <w:spacing w:line="240" w:lineRule="auto"/>
        <w:jc w:val="center"/>
        <w:rPr>
          <w:color w:val="000000"/>
          <w:lang w:val="hu-HU"/>
        </w:rPr>
      </w:pPr>
    </w:p>
    <w:p w14:paraId="1E926FE4" w14:textId="77777777" w:rsidR="00CE7293" w:rsidRPr="00D045B3" w:rsidRDefault="00CE7293" w:rsidP="005F32A1">
      <w:pPr>
        <w:spacing w:line="240" w:lineRule="auto"/>
        <w:jc w:val="center"/>
        <w:rPr>
          <w:color w:val="000000"/>
          <w:lang w:val="hu-HU"/>
        </w:rPr>
      </w:pPr>
    </w:p>
    <w:p w14:paraId="1E926FE5" w14:textId="77777777" w:rsidR="00CE7293" w:rsidRPr="00D045B3" w:rsidRDefault="00CE7293" w:rsidP="005F32A1">
      <w:pPr>
        <w:spacing w:line="240" w:lineRule="auto"/>
        <w:jc w:val="center"/>
        <w:rPr>
          <w:color w:val="000000"/>
          <w:lang w:val="hu-HU"/>
        </w:rPr>
      </w:pPr>
    </w:p>
    <w:p w14:paraId="1E926FE6" w14:textId="77777777" w:rsidR="00CE7293" w:rsidRPr="00D045B3" w:rsidRDefault="00CE7293" w:rsidP="005F32A1">
      <w:pPr>
        <w:spacing w:line="240" w:lineRule="auto"/>
        <w:jc w:val="center"/>
        <w:rPr>
          <w:color w:val="000000"/>
          <w:lang w:val="hu-HU"/>
        </w:rPr>
      </w:pPr>
    </w:p>
    <w:p w14:paraId="1E926FE7" w14:textId="77777777" w:rsidR="00CE7293" w:rsidRPr="00D045B3" w:rsidRDefault="00CE7293" w:rsidP="005F32A1">
      <w:pPr>
        <w:spacing w:line="240" w:lineRule="auto"/>
        <w:jc w:val="center"/>
        <w:rPr>
          <w:color w:val="000000"/>
          <w:lang w:val="hu-HU"/>
        </w:rPr>
      </w:pPr>
    </w:p>
    <w:p w14:paraId="1E926FE8" w14:textId="77777777" w:rsidR="00CE7293" w:rsidRPr="00D045B3" w:rsidRDefault="00CE7293" w:rsidP="005F32A1">
      <w:pPr>
        <w:spacing w:line="240" w:lineRule="auto"/>
        <w:jc w:val="center"/>
        <w:rPr>
          <w:color w:val="000000"/>
          <w:lang w:val="hu-HU"/>
        </w:rPr>
      </w:pPr>
    </w:p>
    <w:p w14:paraId="1E926FE9" w14:textId="77777777" w:rsidR="00CE7293" w:rsidRPr="00D045B3" w:rsidRDefault="00CE7293" w:rsidP="005F32A1">
      <w:pPr>
        <w:spacing w:line="240" w:lineRule="auto"/>
        <w:jc w:val="center"/>
        <w:rPr>
          <w:color w:val="000000"/>
          <w:lang w:val="hu-HU"/>
        </w:rPr>
      </w:pPr>
    </w:p>
    <w:p w14:paraId="1E926FEA" w14:textId="77777777" w:rsidR="00CE7293" w:rsidRPr="00D045B3" w:rsidRDefault="00CE7293" w:rsidP="005F32A1">
      <w:pPr>
        <w:spacing w:line="240" w:lineRule="auto"/>
        <w:jc w:val="center"/>
        <w:rPr>
          <w:color w:val="000000"/>
          <w:lang w:val="hu-HU"/>
        </w:rPr>
      </w:pPr>
    </w:p>
    <w:p w14:paraId="1E926FEB" w14:textId="77777777" w:rsidR="00CE7293" w:rsidRPr="00D045B3" w:rsidRDefault="00CE7293" w:rsidP="005F32A1">
      <w:pPr>
        <w:spacing w:line="240" w:lineRule="auto"/>
        <w:jc w:val="center"/>
        <w:rPr>
          <w:color w:val="000000"/>
          <w:lang w:val="hu-HU"/>
        </w:rPr>
      </w:pPr>
    </w:p>
    <w:p w14:paraId="1E926FEC" w14:textId="77777777" w:rsidR="00CE7293" w:rsidRPr="00D045B3" w:rsidRDefault="00CE7293" w:rsidP="005F32A1">
      <w:pPr>
        <w:spacing w:line="240" w:lineRule="auto"/>
        <w:jc w:val="center"/>
        <w:rPr>
          <w:color w:val="000000"/>
          <w:lang w:val="hu-HU"/>
        </w:rPr>
      </w:pPr>
    </w:p>
    <w:p w14:paraId="1E926FED" w14:textId="77777777" w:rsidR="00CE7293" w:rsidRPr="00D045B3" w:rsidRDefault="00CE7293" w:rsidP="005F32A1">
      <w:pPr>
        <w:spacing w:line="240" w:lineRule="auto"/>
        <w:jc w:val="center"/>
        <w:rPr>
          <w:color w:val="000000"/>
          <w:lang w:val="hu-HU"/>
        </w:rPr>
      </w:pPr>
    </w:p>
    <w:p w14:paraId="1E926FEE" w14:textId="77777777" w:rsidR="00CE7293" w:rsidRPr="00D045B3" w:rsidRDefault="00CE7293" w:rsidP="005F32A1">
      <w:pPr>
        <w:spacing w:line="240" w:lineRule="auto"/>
        <w:jc w:val="center"/>
        <w:rPr>
          <w:color w:val="000000"/>
          <w:lang w:val="hu-HU"/>
        </w:rPr>
      </w:pPr>
    </w:p>
    <w:p w14:paraId="1E926FEF" w14:textId="77777777" w:rsidR="00CE7293" w:rsidRPr="00D045B3" w:rsidRDefault="00CE7293" w:rsidP="005F32A1">
      <w:pPr>
        <w:spacing w:line="240" w:lineRule="auto"/>
        <w:jc w:val="center"/>
        <w:rPr>
          <w:color w:val="000000"/>
          <w:lang w:val="hu-HU"/>
        </w:rPr>
      </w:pPr>
    </w:p>
    <w:p w14:paraId="1E926FF0" w14:textId="77777777" w:rsidR="00CE7293" w:rsidRPr="00D045B3" w:rsidRDefault="00CE7293" w:rsidP="005F32A1">
      <w:pPr>
        <w:spacing w:line="240" w:lineRule="auto"/>
        <w:jc w:val="center"/>
        <w:rPr>
          <w:color w:val="000000"/>
          <w:lang w:val="hu-HU"/>
        </w:rPr>
      </w:pPr>
    </w:p>
    <w:p w14:paraId="1E926FF1" w14:textId="77777777" w:rsidR="00CE7293" w:rsidRPr="00D045B3" w:rsidRDefault="00CE7293" w:rsidP="005F32A1">
      <w:pPr>
        <w:spacing w:line="240" w:lineRule="auto"/>
        <w:jc w:val="center"/>
        <w:rPr>
          <w:color w:val="000000"/>
          <w:lang w:val="hu-HU"/>
        </w:rPr>
      </w:pPr>
    </w:p>
    <w:p w14:paraId="1E926FF2" w14:textId="77777777" w:rsidR="00CE7293" w:rsidRPr="00D045B3" w:rsidRDefault="00CE7293" w:rsidP="00CE7293">
      <w:pPr>
        <w:spacing w:line="240" w:lineRule="auto"/>
        <w:jc w:val="center"/>
        <w:rPr>
          <w:b/>
          <w:color w:val="000000"/>
          <w:lang w:val="hu-HU"/>
        </w:rPr>
      </w:pPr>
      <w:r w:rsidRPr="00D045B3">
        <w:rPr>
          <w:b/>
          <w:color w:val="000000"/>
          <w:lang w:val="hu-HU"/>
        </w:rPr>
        <w:t>I. MELLÉKLET</w:t>
      </w:r>
    </w:p>
    <w:p w14:paraId="1E926FF3" w14:textId="77777777" w:rsidR="00CE7293" w:rsidRPr="00D045B3" w:rsidRDefault="00CE7293" w:rsidP="00CE7293">
      <w:pPr>
        <w:spacing w:line="240" w:lineRule="auto"/>
        <w:jc w:val="center"/>
        <w:rPr>
          <w:b/>
          <w:color w:val="000000"/>
          <w:lang w:val="hu-HU"/>
        </w:rPr>
      </w:pPr>
    </w:p>
    <w:p w14:paraId="1E926FF4" w14:textId="77777777" w:rsidR="00CE7293" w:rsidRPr="00D045B3" w:rsidRDefault="00CE7293" w:rsidP="00984DD6">
      <w:pPr>
        <w:pStyle w:val="TitleA"/>
        <w:numPr>
          <w:ilvl w:val="0"/>
          <w:numId w:val="0"/>
        </w:numPr>
      </w:pPr>
      <w:r w:rsidRPr="00D045B3">
        <w:t>ALKALMAZÁSI ELŐÍRÁS</w:t>
      </w:r>
    </w:p>
    <w:p w14:paraId="1E926FF5" w14:textId="77777777" w:rsidR="00CE7293" w:rsidRPr="00D045B3" w:rsidRDefault="00CE7293" w:rsidP="00CE7293">
      <w:pPr>
        <w:spacing w:line="240" w:lineRule="auto"/>
        <w:rPr>
          <w:b/>
          <w:color w:val="000000"/>
          <w:lang w:val="hu-HU"/>
        </w:rPr>
      </w:pPr>
      <w:r w:rsidRPr="00D045B3">
        <w:rPr>
          <w:lang w:val="hu-HU"/>
        </w:rPr>
        <w:br w:type="page"/>
      </w:r>
      <w:r w:rsidR="004B5899" w:rsidRPr="00D045B3">
        <w:rPr>
          <w:b/>
          <w:lang w:val="hu-HU"/>
        </w:rPr>
        <w:lastRenderedPageBreak/>
        <w:t>1.</w:t>
      </w:r>
      <w:r w:rsidR="004B5899" w:rsidRPr="00D045B3">
        <w:rPr>
          <w:b/>
          <w:lang w:val="hu-HU"/>
        </w:rPr>
        <w:tab/>
        <w:t xml:space="preserve">A GYÓGYSZER NEVE </w:t>
      </w:r>
    </w:p>
    <w:p w14:paraId="1E926FF6" w14:textId="77777777" w:rsidR="004B5899" w:rsidRPr="00D045B3" w:rsidRDefault="004B5899" w:rsidP="00CE7293">
      <w:pPr>
        <w:pStyle w:val="KeinLeerraum"/>
        <w:keepNext/>
        <w:rPr>
          <w:rFonts w:ascii="Times New Roman" w:hAnsi="Times New Roman"/>
        </w:rPr>
      </w:pPr>
    </w:p>
    <w:p w14:paraId="1E926FF7" w14:textId="77777777" w:rsidR="00CE7293" w:rsidRPr="00D045B3" w:rsidRDefault="00CE7293" w:rsidP="00CE7293">
      <w:pPr>
        <w:pStyle w:val="KeinLeerraum"/>
        <w:keepNext/>
        <w:rPr>
          <w:rFonts w:ascii="Times New Roman" w:hAnsi="Times New Roman"/>
        </w:rPr>
      </w:pPr>
      <w:r w:rsidRPr="00D045B3">
        <w:rPr>
          <w:rFonts w:ascii="Times New Roman" w:hAnsi="Times New Roman"/>
        </w:rPr>
        <w:t xml:space="preserve">Imatinib Actavis 50 mg kemény kapszula </w:t>
      </w:r>
    </w:p>
    <w:p w14:paraId="1E926FF8" w14:textId="77777777" w:rsidR="004B5899" w:rsidRPr="00D045B3" w:rsidRDefault="003705E4" w:rsidP="004B5899">
      <w:pPr>
        <w:pStyle w:val="KeinLeerraum"/>
        <w:rPr>
          <w:rFonts w:ascii="Times New Roman" w:hAnsi="Times New Roman"/>
        </w:rPr>
      </w:pPr>
      <w:r w:rsidRPr="00D045B3">
        <w:rPr>
          <w:rFonts w:ascii="Times New Roman" w:hAnsi="Times New Roman"/>
        </w:rPr>
        <w:t>Imatinib Actavis 100 mg kemény kapszula</w:t>
      </w:r>
    </w:p>
    <w:p w14:paraId="1E926FF9" w14:textId="77777777" w:rsidR="004B5899" w:rsidRPr="00D045B3" w:rsidRDefault="003705E4" w:rsidP="004B5899">
      <w:pPr>
        <w:pStyle w:val="KeinLeerraum"/>
        <w:rPr>
          <w:rFonts w:ascii="Times New Roman" w:hAnsi="Times New Roman"/>
        </w:rPr>
      </w:pPr>
      <w:r w:rsidRPr="00D045B3">
        <w:rPr>
          <w:rFonts w:ascii="Times New Roman" w:hAnsi="Times New Roman"/>
        </w:rPr>
        <w:t>Imatinib Actavis 400 mg kemény kapszula</w:t>
      </w:r>
    </w:p>
    <w:p w14:paraId="1E926FFA" w14:textId="77777777" w:rsidR="003705E4" w:rsidRPr="00D045B3" w:rsidRDefault="003705E4" w:rsidP="004B5899">
      <w:pPr>
        <w:pStyle w:val="KeinLeerraum"/>
        <w:rPr>
          <w:rFonts w:ascii="Times New Roman" w:hAnsi="Times New Roman"/>
        </w:rPr>
      </w:pPr>
    </w:p>
    <w:p w14:paraId="1E926FFB" w14:textId="77777777" w:rsidR="003705E4" w:rsidRPr="00D045B3" w:rsidRDefault="003705E4" w:rsidP="004B5899">
      <w:pPr>
        <w:pStyle w:val="KeinLeerraum"/>
        <w:rPr>
          <w:rFonts w:ascii="Times New Roman" w:hAnsi="Times New Roman"/>
        </w:rPr>
      </w:pPr>
    </w:p>
    <w:p w14:paraId="1E926FFC" w14:textId="77777777" w:rsidR="004B5899" w:rsidRPr="00D045B3" w:rsidRDefault="004B5899" w:rsidP="00CE7293">
      <w:pPr>
        <w:pStyle w:val="KeinLeerraum"/>
        <w:keepNext/>
        <w:tabs>
          <w:tab w:val="left" w:pos="567"/>
        </w:tabs>
        <w:rPr>
          <w:rFonts w:ascii="Times New Roman" w:hAnsi="Times New Roman"/>
          <w:b/>
        </w:rPr>
      </w:pPr>
      <w:r w:rsidRPr="00D045B3">
        <w:rPr>
          <w:rFonts w:ascii="Times New Roman" w:hAnsi="Times New Roman"/>
          <w:b/>
        </w:rPr>
        <w:t>2.</w:t>
      </w:r>
      <w:r w:rsidRPr="00D045B3">
        <w:rPr>
          <w:rFonts w:ascii="Times New Roman" w:hAnsi="Times New Roman"/>
          <w:b/>
        </w:rPr>
        <w:tab/>
        <w:t xml:space="preserve">MINŐSÉGI ÉS MENNYISÉGI ÖSSZETÉTEL </w:t>
      </w:r>
    </w:p>
    <w:p w14:paraId="1E926FFD" w14:textId="77777777" w:rsidR="004B5899" w:rsidRPr="00D045B3" w:rsidRDefault="004B5899" w:rsidP="00CE7293">
      <w:pPr>
        <w:pStyle w:val="KeinLeerraum"/>
        <w:keepNext/>
        <w:rPr>
          <w:rFonts w:ascii="Times New Roman" w:hAnsi="Times New Roman"/>
        </w:rPr>
      </w:pPr>
    </w:p>
    <w:p w14:paraId="1E926FFE" w14:textId="77777777" w:rsidR="003705E4" w:rsidRPr="00D045B3" w:rsidRDefault="003705E4" w:rsidP="00CA41FD">
      <w:pPr>
        <w:pStyle w:val="KeinLeerraum"/>
        <w:keepNext/>
        <w:rPr>
          <w:rFonts w:ascii="Times New Roman" w:hAnsi="Times New Roman"/>
          <w:u w:val="single"/>
        </w:rPr>
      </w:pPr>
      <w:r w:rsidRPr="00D045B3">
        <w:rPr>
          <w:rFonts w:ascii="Times New Roman" w:hAnsi="Times New Roman"/>
          <w:u w:val="single"/>
        </w:rPr>
        <w:t>Imatinib Actavis 50 mg kemény kapszula</w:t>
      </w:r>
    </w:p>
    <w:p w14:paraId="1E926FFF" w14:textId="77777777" w:rsidR="00CE7293" w:rsidRPr="00D045B3" w:rsidRDefault="00CE7293" w:rsidP="00CE7293">
      <w:pPr>
        <w:pStyle w:val="KeinLeerraum"/>
        <w:rPr>
          <w:rFonts w:ascii="Times New Roman" w:hAnsi="Times New Roman"/>
        </w:rPr>
      </w:pPr>
      <w:r w:rsidRPr="00D045B3">
        <w:rPr>
          <w:rFonts w:ascii="Times New Roman" w:hAnsi="Times New Roman"/>
        </w:rPr>
        <w:t xml:space="preserve">50 mg imatinib (mezilát formájában) kemény kapszulánként. </w:t>
      </w:r>
    </w:p>
    <w:p w14:paraId="1E927000" w14:textId="77777777" w:rsidR="004B5899" w:rsidRPr="00D045B3" w:rsidRDefault="004B5899" w:rsidP="004B5899">
      <w:pPr>
        <w:pStyle w:val="KeinLeerraum"/>
        <w:rPr>
          <w:rFonts w:ascii="Times New Roman" w:hAnsi="Times New Roman"/>
        </w:rPr>
      </w:pPr>
    </w:p>
    <w:p w14:paraId="1E927001" w14:textId="77777777" w:rsidR="003705E4" w:rsidRPr="00D045B3" w:rsidRDefault="003705E4" w:rsidP="00CA41FD">
      <w:pPr>
        <w:pStyle w:val="KeinLeerraum"/>
        <w:keepNext/>
        <w:rPr>
          <w:rFonts w:ascii="Times New Roman" w:hAnsi="Times New Roman"/>
          <w:u w:val="single"/>
        </w:rPr>
      </w:pPr>
      <w:r w:rsidRPr="00D045B3">
        <w:rPr>
          <w:rFonts w:ascii="Times New Roman" w:hAnsi="Times New Roman"/>
          <w:u w:val="single"/>
        </w:rPr>
        <w:t>Imatinib Actavis 100 mg kemény kapszula</w:t>
      </w:r>
    </w:p>
    <w:p w14:paraId="1E927002" w14:textId="77777777" w:rsidR="003705E4" w:rsidRPr="00D045B3" w:rsidRDefault="003705E4" w:rsidP="003705E4">
      <w:pPr>
        <w:pStyle w:val="KeinLeerraum"/>
        <w:rPr>
          <w:rFonts w:ascii="Times New Roman" w:hAnsi="Times New Roman"/>
        </w:rPr>
      </w:pPr>
      <w:r w:rsidRPr="00D045B3">
        <w:rPr>
          <w:rFonts w:ascii="Times New Roman" w:hAnsi="Times New Roman"/>
        </w:rPr>
        <w:t xml:space="preserve">100 mg imatinib (mezilát formájában) kemény kapszulánként. </w:t>
      </w:r>
    </w:p>
    <w:p w14:paraId="1E927003" w14:textId="77777777" w:rsidR="003705E4" w:rsidRPr="00D045B3" w:rsidRDefault="003705E4" w:rsidP="004B5899">
      <w:pPr>
        <w:pStyle w:val="KeinLeerraum"/>
        <w:rPr>
          <w:rFonts w:ascii="Times New Roman" w:hAnsi="Times New Roman"/>
        </w:rPr>
      </w:pPr>
    </w:p>
    <w:p w14:paraId="1E927004" w14:textId="77777777" w:rsidR="003705E4" w:rsidRPr="00D045B3" w:rsidRDefault="003705E4" w:rsidP="00CA41FD">
      <w:pPr>
        <w:pStyle w:val="KeinLeerraum"/>
        <w:keepNext/>
        <w:rPr>
          <w:rFonts w:ascii="Times New Roman" w:hAnsi="Times New Roman"/>
          <w:u w:val="single"/>
        </w:rPr>
      </w:pPr>
      <w:r w:rsidRPr="00D045B3">
        <w:rPr>
          <w:rFonts w:ascii="Times New Roman" w:hAnsi="Times New Roman"/>
          <w:u w:val="single"/>
        </w:rPr>
        <w:t>Imatinib Actavis 400 mg kemény kapszula</w:t>
      </w:r>
    </w:p>
    <w:p w14:paraId="1E927005" w14:textId="77777777" w:rsidR="003705E4" w:rsidRPr="00D045B3" w:rsidRDefault="003705E4" w:rsidP="003705E4">
      <w:pPr>
        <w:pStyle w:val="KeinLeerraum"/>
        <w:rPr>
          <w:rFonts w:ascii="Times New Roman" w:hAnsi="Times New Roman"/>
        </w:rPr>
      </w:pPr>
      <w:r w:rsidRPr="00D045B3">
        <w:rPr>
          <w:rFonts w:ascii="Times New Roman" w:hAnsi="Times New Roman"/>
        </w:rPr>
        <w:t xml:space="preserve">400 mg imatinib (mezilát formájában) kemény kapszulánként. </w:t>
      </w:r>
    </w:p>
    <w:p w14:paraId="1E927006" w14:textId="77777777" w:rsidR="003705E4" w:rsidRPr="00D045B3" w:rsidRDefault="003705E4" w:rsidP="004B5899">
      <w:pPr>
        <w:pStyle w:val="KeinLeerraum"/>
        <w:rPr>
          <w:rFonts w:ascii="Times New Roman" w:hAnsi="Times New Roman"/>
        </w:rPr>
      </w:pPr>
    </w:p>
    <w:p w14:paraId="1E927007" w14:textId="77777777" w:rsidR="004B5899" w:rsidRPr="00D045B3" w:rsidRDefault="004B5899" w:rsidP="004B5899">
      <w:pPr>
        <w:pStyle w:val="KeinLeerraum"/>
        <w:rPr>
          <w:rFonts w:ascii="Times New Roman" w:hAnsi="Times New Roman"/>
        </w:rPr>
      </w:pPr>
      <w:r w:rsidRPr="00D045B3">
        <w:rPr>
          <w:rFonts w:ascii="Times New Roman" w:hAnsi="Times New Roman"/>
        </w:rPr>
        <w:t xml:space="preserve">A segédanyagok teljes listáját lásd a 6.1 pontban. </w:t>
      </w:r>
    </w:p>
    <w:p w14:paraId="1E927008" w14:textId="77777777" w:rsidR="004B5899" w:rsidRPr="00D045B3" w:rsidRDefault="004B5899" w:rsidP="004B5899">
      <w:pPr>
        <w:pStyle w:val="KeinLeerraum"/>
        <w:rPr>
          <w:rFonts w:ascii="Times New Roman" w:hAnsi="Times New Roman"/>
        </w:rPr>
      </w:pPr>
    </w:p>
    <w:p w14:paraId="1E927009" w14:textId="77777777" w:rsidR="004B5899" w:rsidRPr="00D045B3" w:rsidRDefault="004B5899" w:rsidP="004B5899">
      <w:pPr>
        <w:pStyle w:val="KeinLeerraum"/>
        <w:rPr>
          <w:rFonts w:ascii="Times New Roman" w:hAnsi="Times New Roman"/>
        </w:rPr>
      </w:pPr>
    </w:p>
    <w:p w14:paraId="1E92700A" w14:textId="77777777" w:rsidR="004B5899" w:rsidRPr="00D045B3" w:rsidRDefault="004B5899" w:rsidP="00CE7293">
      <w:pPr>
        <w:pStyle w:val="KeinLeerraum"/>
        <w:keepNext/>
        <w:tabs>
          <w:tab w:val="left" w:pos="567"/>
        </w:tabs>
        <w:rPr>
          <w:rFonts w:ascii="Times New Roman" w:hAnsi="Times New Roman"/>
          <w:b/>
        </w:rPr>
      </w:pPr>
      <w:r w:rsidRPr="00D045B3">
        <w:rPr>
          <w:rFonts w:ascii="Times New Roman" w:hAnsi="Times New Roman"/>
          <w:b/>
        </w:rPr>
        <w:t>3.</w:t>
      </w:r>
      <w:r w:rsidRPr="00D045B3">
        <w:rPr>
          <w:rFonts w:ascii="Times New Roman" w:hAnsi="Times New Roman"/>
          <w:b/>
        </w:rPr>
        <w:tab/>
        <w:t xml:space="preserve">GYÓGYSZERFORMA </w:t>
      </w:r>
    </w:p>
    <w:p w14:paraId="1E92700B" w14:textId="77777777" w:rsidR="004B5899" w:rsidRPr="00D045B3" w:rsidRDefault="004B5899" w:rsidP="00CE7293">
      <w:pPr>
        <w:pStyle w:val="KeinLeerraum"/>
        <w:keepNext/>
        <w:rPr>
          <w:rFonts w:ascii="Times New Roman" w:hAnsi="Times New Roman"/>
        </w:rPr>
      </w:pPr>
    </w:p>
    <w:p w14:paraId="1E92700C" w14:textId="77777777" w:rsidR="004B5899" w:rsidRPr="00D045B3" w:rsidRDefault="00CE7293" w:rsidP="00CE7293">
      <w:pPr>
        <w:pStyle w:val="KeinLeerraum"/>
        <w:keepNext/>
        <w:rPr>
          <w:rFonts w:ascii="Times New Roman" w:hAnsi="Times New Roman"/>
        </w:rPr>
      </w:pPr>
      <w:r w:rsidRPr="00D045B3">
        <w:rPr>
          <w:rFonts w:ascii="Times New Roman" w:hAnsi="Times New Roman"/>
        </w:rPr>
        <w:t>Kemény kapszula</w:t>
      </w:r>
      <w:r w:rsidR="004B5899" w:rsidRPr="00D045B3">
        <w:rPr>
          <w:rFonts w:ascii="Times New Roman" w:hAnsi="Times New Roman"/>
        </w:rPr>
        <w:t>.</w:t>
      </w:r>
    </w:p>
    <w:p w14:paraId="1E92700D" w14:textId="77777777" w:rsidR="004B5899" w:rsidRPr="00D045B3" w:rsidRDefault="004B5899" w:rsidP="004B5899">
      <w:pPr>
        <w:pStyle w:val="KeinLeerraum"/>
        <w:rPr>
          <w:rFonts w:ascii="Times New Roman" w:hAnsi="Times New Roman"/>
        </w:rPr>
      </w:pPr>
    </w:p>
    <w:p w14:paraId="1E92700E" w14:textId="77777777" w:rsidR="003705E4" w:rsidRPr="00D045B3" w:rsidRDefault="003705E4" w:rsidP="003705E4">
      <w:pPr>
        <w:pStyle w:val="KeinLeerraum"/>
        <w:keepNext/>
        <w:rPr>
          <w:rFonts w:ascii="Times New Roman" w:hAnsi="Times New Roman"/>
          <w:u w:val="single"/>
        </w:rPr>
      </w:pPr>
      <w:r w:rsidRPr="00D045B3">
        <w:rPr>
          <w:rFonts w:ascii="Times New Roman" w:hAnsi="Times New Roman"/>
          <w:u w:val="single"/>
        </w:rPr>
        <w:t>Imatinib Actavis 50 mg kemény kapszula</w:t>
      </w:r>
    </w:p>
    <w:p w14:paraId="1E92700F" w14:textId="77777777" w:rsidR="004B5899" w:rsidRPr="00D045B3" w:rsidRDefault="00CE7293" w:rsidP="004B5899">
      <w:pPr>
        <w:pStyle w:val="KeinLeerraum"/>
        <w:rPr>
          <w:rFonts w:ascii="Times New Roman" w:eastAsia="Times New Roman" w:hAnsi="Times New Roman"/>
        </w:rPr>
      </w:pPr>
      <w:r w:rsidRPr="00D045B3">
        <w:rPr>
          <w:rFonts w:ascii="Times New Roman" w:eastAsia="Times New Roman" w:hAnsi="Times New Roman"/>
        </w:rPr>
        <w:t>3</w:t>
      </w:r>
      <w:r w:rsidRPr="00D045B3">
        <w:rPr>
          <w:rFonts w:ascii="Times New Roman" w:eastAsia="Times New Roman" w:hAnsi="Times New Roman"/>
        </w:rPr>
        <w:noBreakHyphen/>
        <w:t>as méretű kemény kapszula [kapszula] világossárga kapszulatetővel és ugyancsak világossárga kapszulatesttel, a kapszulatesten fekete „50 mg” felirattal.</w:t>
      </w:r>
    </w:p>
    <w:p w14:paraId="1E927010" w14:textId="77777777" w:rsidR="004B5899" w:rsidRPr="00D045B3" w:rsidRDefault="004B5899" w:rsidP="004B5899">
      <w:pPr>
        <w:pStyle w:val="KeinLeerraum"/>
        <w:rPr>
          <w:rFonts w:ascii="Times New Roman" w:hAnsi="Times New Roman"/>
        </w:rPr>
      </w:pPr>
    </w:p>
    <w:p w14:paraId="1E927011" w14:textId="77777777" w:rsidR="003705E4" w:rsidRPr="00D045B3" w:rsidRDefault="003705E4" w:rsidP="003705E4">
      <w:pPr>
        <w:pStyle w:val="KeinLeerraum"/>
        <w:keepNext/>
        <w:rPr>
          <w:rFonts w:ascii="Times New Roman" w:hAnsi="Times New Roman"/>
          <w:u w:val="single"/>
        </w:rPr>
      </w:pPr>
      <w:r w:rsidRPr="00D045B3">
        <w:rPr>
          <w:rFonts w:ascii="Times New Roman" w:hAnsi="Times New Roman"/>
          <w:u w:val="single"/>
        </w:rPr>
        <w:t>Imatinib Actavis 100 mg kemény kapszula</w:t>
      </w:r>
    </w:p>
    <w:p w14:paraId="1E927012" w14:textId="77777777" w:rsidR="003705E4" w:rsidRPr="00D045B3" w:rsidRDefault="003705E4" w:rsidP="003705E4">
      <w:pPr>
        <w:pStyle w:val="KeinLeerraum"/>
        <w:rPr>
          <w:rFonts w:ascii="Times New Roman" w:eastAsia="Times New Roman" w:hAnsi="Times New Roman"/>
        </w:rPr>
      </w:pPr>
      <w:r w:rsidRPr="00D045B3">
        <w:rPr>
          <w:rFonts w:ascii="Times New Roman" w:eastAsia="Times New Roman" w:hAnsi="Times New Roman"/>
        </w:rPr>
        <w:t>1</w:t>
      </w:r>
      <w:r w:rsidRPr="00D045B3">
        <w:rPr>
          <w:rFonts w:ascii="Times New Roman" w:eastAsia="Times New Roman" w:hAnsi="Times New Roman"/>
        </w:rPr>
        <w:noBreakHyphen/>
        <w:t>es méretű kemény kapszula [kapszula] narancssárga kapszulatetővel és ugyancsak világos narancssárga kapszulatesttel, a kapszulatesten fekete „100 mg” felirattal.</w:t>
      </w:r>
    </w:p>
    <w:p w14:paraId="1E927013" w14:textId="77777777" w:rsidR="003705E4" w:rsidRPr="00D045B3" w:rsidRDefault="003705E4" w:rsidP="004B5899">
      <w:pPr>
        <w:pStyle w:val="KeinLeerraum"/>
        <w:rPr>
          <w:rFonts w:ascii="Times New Roman" w:hAnsi="Times New Roman"/>
        </w:rPr>
      </w:pPr>
    </w:p>
    <w:p w14:paraId="1E927014" w14:textId="77777777" w:rsidR="003705E4" w:rsidRPr="00D045B3" w:rsidRDefault="003705E4" w:rsidP="003705E4">
      <w:pPr>
        <w:pStyle w:val="KeinLeerraum"/>
        <w:keepNext/>
        <w:rPr>
          <w:rFonts w:ascii="Times New Roman" w:hAnsi="Times New Roman"/>
          <w:u w:val="single"/>
        </w:rPr>
      </w:pPr>
      <w:r w:rsidRPr="00D045B3">
        <w:rPr>
          <w:rFonts w:ascii="Times New Roman" w:hAnsi="Times New Roman"/>
          <w:u w:val="single"/>
        </w:rPr>
        <w:t>Imatinib Actavis 400 mg kemény kapszula</w:t>
      </w:r>
    </w:p>
    <w:p w14:paraId="1E927015" w14:textId="77777777" w:rsidR="003705E4" w:rsidRPr="00D045B3" w:rsidRDefault="003705E4" w:rsidP="003705E4">
      <w:pPr>
        <w:pStyle w:val="KeinLeerraum"/>
        <w:rPr>
          <w:rFonts w:ascii="Times New Roman" w:eastAsia="Times New Roman" w:hAnsi="Times New Roman"/>
        </w:rPr>
      </w:pPr>
      <w:r w:rsidRPr="00D045B3">
        <w:rPr>
          <w:rFonts w:ascii="Times New Roman" w:eastAsia="Times New Roman" w:hAnsi="Times New Roman"/>
        </w:rPr>
        <w:t>00</w:t>
      </w:r>
      <w:r w:rsidRPr="00D045B3">
        <w:rPr>
          <w:rFonts w:ascii="Times New Roman" w:eastAsia="Times New Roman" w:hAnsi="Times New Roman"/>
        </w:rPr>
        <w:noBreakHyphen/>
        <w:t>ás méretű kemény kapszula [kapszula] narancssárga kapszulatetővel és narancssárga kapszulatesttel, a kapszulatesten fekete „</w:t>
      </w:r>
      <w:r w:rsidR="00BA6A49" w:rsidRPr="00D045B3">
        <w:rPr>
          <w:rFonts w:ascii="Times New Roman" w:eastAsia="Times New Roman" w:hAnsi="Times New Roman"/>
        </w:rPr>
        <w:t>4</w:t>
      </w:r>
      <w:r w:rsidRPr="00D045B3">
        <w:rPr>
          <w:rFonts w:ascii="Times New Roman" w:eastAsia="Times New Roman" w:hAnsi="Times New Roman"/>
        </w:rPr>
        <w:t>00 mg” felirattal.</w:t>
      </w:r>
    </w:p>
    <w:p w14:paraId="1E927016" w14:textId="77777777" w:rsidR="004B5899" w:rsidRPr="00D045B3" w:rsidRDefault="004B5899" w:rsidP="004B5899">
      <w:pPr>
        <w:pStyle w:val="KeinLeerraum"/>
        <w:rPr>
          <w:rFonts w:ascii="Times New Roman" w:hAnsi="Times New Roman"/>
        </w:rPr>
      </w:pPr>
    </w:p>
    <w:p w14:paraId="1E927017" w14:textId="77777777" w:rsidR="00BA6A49" w:rsidRPr="00D045B3" w:rsidRDefault="00BA6A49" w:rsidP="004B5899">
      <w:pPr>
        <w:pStyle w:val="KeinLeerraum"/>
        <w:rPr>
          <w:rFonts w:ascii="Times New Roman" w:hAnsi="Times New Roman"/>
        </w:rPr>
      </w:pPr>
    </w:p>
    <w:p w14:paraId="1E927018" w14:textId="77777777" w:rsidR="004B5899" w:rsidRPr="00D045B3" w:rsidRDefault="004B5899" w:rsidP="00CE7293">
      <w:pPr>
        <w:pStyle w:val="KeinLeerraum"/>
        <w:keepNext/>
        <w:tabs>
          <w:tab w:val="left" w:pos="567"/>
        </w:tabs>
        <w:rPr>
          <w:rFonts w:ascii="Times New Roman" w:hAnsi="Times New Roman"/>
          <w:b/>
        </w:rPr>
      </w:pPr>
      <w:r w:rsidRPr="00D045B3">
        <w:rPr>
          <w:rFonts w:ascii="Times New Roman" w:hAnsi="Times New Roman"/>
          <w:b/>
        </w:rPr>
        <w:t>4.</w:t>
      </w:r>
      <w:r w:rsidRPr="00D045B3">
        <w:rPr>
          <w:rFonts w:ascii="Times New Roman" w:hAnsi="Times New Roman"/>
          <w:b/>
        </w:rPr>
        <w:tab/>
        <w:t xml:space="preserve">KLINIKAI JELLEMZŐK </w:t>
      </w:r>
    </w:p>
    <w:p w14:paraId="1E927019" w14:textId="77777777" w:rsidR="004B5899" w:rsidRPr="00D045B3" w:rsidRDefault="004B5899" w:rsidP="00CE7293">
      <w:pPr>
        <w:pStyle w:val="KeinLeerraum"/>
        <w:keepNext/>
        <w:rPr>
          <w:rFonts w:ascii="Times New Roman" w:hAnsi="Times New Roman"/>
        </w:rPr>
      </w:pPr>
    </w:p>
    <w:p w14:paraId="1E92701A" w14:textId="77777777" w:rsidR="004B5899" w:rsidRPr="00D045B3" w:rsidRDefault="004B5899" w:rsidP="00CE7293">
      <w:pPr>
        <w:pStyle w:val="KeinLeerraum"/>
        <w:keepNext/>
        <w:tabs>
          <w:tab w:val="left" w:pos="567"/>
        </w:tabs>
        <w:rPr>
          <w:rFonts w:ascii="Times New Roman" w:hAnsi="Times New Roman"/>
          <w:b/>
        </w:rPr>
      </w:pPr>
      <w:r w:rsidRPr="00D045B3">
        <w:rPr>
          <w:rFonts w:ascii="Times New Roman" w:hAnsi="Times New Roman"/>
          <w:b/>
        </w:rPr>
        <w:t>4.1</w:t>
      </w:r>
      <w:r w:rsidRPr="00D045B3">
        <w:rPr>
          <w:rFonts w:ascii="Times New Roman" w:hAnsi="Times New Roman"/>
          <w:b/>
        </w:rPr>
        <w:tab/>
        <w:t xml:space="preserve">Terápiás javallatok </w:t>
      </w:r>
    </w:p>
    <w:p w14:paraId="1E92701B" w14:textId="77777777" w:rsidR="004B5899" w:rsidRPr="00D045B3" w:rsidRDefault="004B5899" w:rsidP="00CE7293">
      <w:pPr>
        <w:pStyle w:val="KeinLeerraum"/>
        <w:keepNext/>
        <w:rPr>
          <w:rFonts w:ascii="Times New Roman" w:hAnsi="Times New Roman"/>
        </w:rPr>
      </w:pPr>
    </w:p>
    <w:p w14:paraId="1E92701C" w14:textId="77777777" w:rsidR="004B5899" w:rsidRPr="00D045B3" w:rsidRDefault="004B5899" w:rsidP="00CE7293">
      <w:pPr>
        <w:pStyle w:val="KeinLeerraum"/>
        <w:keepNext/>
        <w:rPr>
          <w:rFonts w:ascii="Times New Roman" w:hAnsi="Times New Roman"/>
        </w:rPr>
      </w:pPr>
      <w:r w:rsidRPr="00D045B3">
        <w:rPr>
          <w:rFonts w:ascii="Times New Roman" w:hAnsi="Times New Roman"/>
        </w:rPr>
        <w:t xml:space="preserve">Az </w:t>
      </w:r>
      <w:r w:rsidR="00CE7293" w:rsidRPr="00D045B3">
        <w:rPr>
          <w:rFonts w:ascii="Times New Roman" w:hAnsi="Times New Roman"/>
        </w:rPr>
        <w:t>Imatinib Actavis</w:t>
      </w:r>
      <w:r w:rsidRPr="00D045B3">
        <w:rPr>
          <w:rFonts w:ascii="Times New Roman" w:hAnsi="Times New Roman"/>
        </w:rPr>
        <w:t xml:space="preserve"> az alábbiak kezelésére javall</w:t>
      </w:r>
      <w:r w:rsidR="008B0F22" w:rsidRPr="00D045B3">
        <w:rPr>
          <w:rFonts w:ascii="Times New Roman" w:hAnsi="Times New Roman"/>
        </w:rPr>
        <w:t>ot</w:t>
      </w:r>
      <w:r w:rsidRPr="00D045B3">
        <w:rPr>
          <w:rFonts w:ascii="Times New Roman" w:hAnsi="Times New Roman"/>
        </w:rPr>
        <w:t xml:space="preserve">t: </w:t>
      </w:r>
    </w:p>
    <w:p w14:paraId="1E92701D" w14:textId="3A823624" w:rsidR="004B5899" w:rsidRPr="00D045B3" w:rsidRDefault="004B5899" w:rsidP="00E95370">
      <w:pPr>
        <w:pStyle w:val="KeinLeerraum"/>
        <w:keepNext/>
        <w:numPr>
          <w:ilvl w:val="0"/>
          <w:numId w:val="24"/>
        </w:numPr>
        <w:ind w:left="567" w:hanging="567"/>
        <w:rPr>
          <w:rFonts w:ascii="Times New Roman" w:hAnsi="Times New Roman"/>
        </w:rPr>
      </w:pPr>
      <w:r w:rsidRPr="00D045B3">
        <w:rPr>
          <w:rFonts w:ascii="Times New Roman" w:hAnsi="Times New Roman"/>
        </w:rPr>
        <w:t>újonnan diagnosztizált Philadelphia kromoszóma (bcr</w:t>
      </w:r>
      <w:r w:rsidRPr="00D045B3">
        <w:rPr>
          <w:rFonts w:ascii="Times New Roman" w:hAnsi="Times New Roman"/>
        </w:rPr>
        <w:noBreakHyphen/>
        <w:t>abl) pozitív (Ph+), krónikus myeloid leukaemiás (CML)</w:t>
      </w:r>
      <w:r w:rsidR="009A4BD1" w:rsidRPr="00D045B3">
        <w:rPr>
          <w:rFonts w:ascii="Times New Roman" w:hAnsi="Times New Roman"/>
        </w:rPr>
        <w:t xml:space="preserve"> </w:t>
      </w:r>
      <w:r w:rsidR="009A4BD1" w:rsidRPr="00F67173">
        <w:rPr>
          <w:rFonts w:ascii="Times New Roman" w:eastAsia="Times New Roman" w:hAnsi="Times New Roman"/>
          <w:noProof/>
        </w:rPr>
        <w:t>felnőttek,</w:t>
      </w:r>
      <w:r w:rsidRPr="00D045B3">
        <w:rPr>
          <w:rFonts w:ascii="Times New Roman" w:hAnsi="Times New Roman"/>
        </w:rPr>
        <w:t xml:space="preserve"> gyermekek</w:t>
      </w:r>
      <w:r w:rsidR="009A4BD1" w:rsidRPr="00D045B3">
        <w:rPr>
          <w:rFonts w:ascii="Times New Roman" w:hAnsi="Times New Roman"/>
        </w:rPr>
        <w:t xml:space="preserve"> </w:t>
      </w:r>
      <w:r w:rsidR="009A4BD1" w:rsidRPr="00F67173">
        <w:rPr>
          <w:rFonts w:ascii="Times New Roman" w:eastAsia="Times New Roman" w:hAnsi="Times New Roman"/>
          <w:noProof/>
        </w:rPr>
        <w:t>és serdülők</w:t>
      </w:r>
      <w:r w:rsidRPr="00D045B3">
        <w:rPr>
          <w:rFonts w:ascii="Times New Roman" w:hAnsi="Times New Roman"/>
        </w:rPr>
        <w:t xml:space="preserve"> kezelése, akiknél a csontvelő</w:t>
      </w:r>
      <w:r w:rsidRPr="00D045B3">
        <w:rPr>
          <w:rFonts w:ascii="Times New Roman" w:hAnsi="Times New Roman"/>
        </w:rPr>
        <w:noBreakHyphen/>
        <w:t xml:space="preserve">transzplantáció elsővonalbeli terápiaként nem jöhet szóba. </w:t>
      </w:r>
    </w:p>
    <w:p w14:paraId="1E92701E" w14:textId="1CB8206E" w:rsidR="004B5899" w:rsidRPr="00D045B3" w:rsidRDefault="004B5899" w:rsidP="00E95370">
      <w:pPr>
        <w:pStyle w:val="KeinLeerraum"/>
        <w:numPr>
          <w:ilvl w:val="0"/>
          <w:numId w:val="24"/>
        </w:numPr>
        <w:ind w:left="567" w:hanging="567"/>
        <w:rPr>
          <w:rFonts w:ascii="Times New Roman" w:hAnsi="Times New Roman"/>
        </w:rPr>
      </w:pPr>
      <w:r w:rsidRPr="00D045B3">
        <w:rPr>
          <w:rFonts w:ascii="Times New Roman" w:hAnsi="Times New Roman"/>
        </w:rPr>
        <w:t>Ph+ CML</w:t>
      </w:r>
      <w:r w:rsidRPr="00D045B3">
        <w:rPr>
          <w:rFonts w:ascii="Times New Roman" w:hAnsi="Times New Roman"/>
        </w:rPr>
        <w:noBreakHyphen/>
        <w:t xml:space="preserve">ben szenvedő, sikertelen alfa interferon kezelés utáni krónikus fázisban, vagy akcelerált fázisban levő gyermekek kezelése. </w:t>
      </w:r>
    </w:p>
    <w:p w14:paraId="1E92701F" w14:textId="7D7341DF" w:rsidR="004B5899" w:rsidRPr="00D045B3" w:rsidRDefault="004B5899" w:rsidP="00F67173">
      <w:pPr>
        <w:pStyle w:val="KeinLeerraum"/>
        <w:numPr>
          <w:ilvl w:val="0"/>
          <w:numId w:val="24"/>
        </w:numPr>
        <w:ind w:left="567" w:hanging="567"/>
        <w:rPr>
          <w:rFonts w:ascii="Times New Roman" w:hAnsi="Times New Roman"/>
        </w:rPr>
      </w:pPr>
      <w:r w:rsidRPr="00D045B3">
        <w:rPr>
          <w:rFonts w:ascii="Times New Roman" w:hAnsi="Times New Roman"/>
        </w:rPr>
        <w:t>Ph+ CML</w:t>
      </w:r>
      <w:r w:rsidRPr="00D045B3">
        <w:rPr>
          <w:rFonts w:ascii="Times New Roman" w:hAnsi="Times New Roman"/>
        </w:rPr>
        <w:noBreakHyphen/>
        <w:t>ben szenvedő, blasztos krízisben levő felnőttek</w:t>
      </w:r>
      <w:r w:rsidR="009A4BD1" w:rsidRPr="00D045B3">
        <w:rPr>
          <w:rFonts w:ascii="Times New Roman" w:hAnsi="Times New Roman"/>
        </w:rPr>
        <w:t>, gyermekek és serdülők</w:t>
      </w:r>
      <w:r w:rsidRPr="00D045B3">
        <w:rPr>
          <w:rFonts w:ascii="Times New Roman" w:hAnsi="Times New Roman"/>
        </w:rPr>
        <w:t xml:space="preserve"> kezelése.</w:t>
      </w:r>
    </w:p>
    <w:p w14:paraId="1E927020" w14:textId="73668FF9" w:rsidR="00A81475" w:rsidRPr="00D045B3" w:rsidRDefault="001400A7" w:rsidP="00E95370">
      <w:pPr>
        <w:pStyle w:val="KeinLeerraum"/>
        <w:numPr>
          <w:ilvl w:val="0"/>
          <w:numId w:val="24"/>
        </w:numPr>
        <w:ind w:left="567" w:hanging="567"/>
        <w:rPr>
          <w:rFonts w:ascii="Times New Roman" w:hAnsi="Times New Roman"/>
        </w:rPr>
      </w:pPr>
      <w:r w:rsidRPr="00D045B3">
        <w:rPr>
          <w:rFonts w:ascii="Times New Roman" w:hAnsi="Times New Roman"/>
        </w:rPr>
        <w:t>újonnan</w:t>
      </w:r>
      <w:r w:rsidR="00925F59" w:rsidRPr="00D045B3">
        <w:rPr>
          <w:rFonts w:ascii="Times New Roman" w:hAnsi="Times New Roman"/>
        </w:rPr>
        <w:t xml:space="preserve"> </w:t>
      </w:r>
      <w:r w:rsidR="00A81475" w:rsidRPr="00D045B3">
        <w:rPr>
          <w:rFonts w:ascii="Times New Roman" w:hAnsi="Times New Roman"/>
        </w:rPr>
        <w:t xml:space="preserve">diagnosztizált Philadelphia kromoszóma pozitív, akut </w:t>
      </w:r>
      <w:r w:rsidR="00780B7D" w:rsidRPr="00D045B3">
        <w:rPr>
          <w:rFonts w:ascii="Times New Roman" w:hAnsi="Times New Roman"/>
        </w:rPr>
        <w:t xml:space="preserve">lymphoblastos leukaemiában </w:t>
      </w:r>
      <w:r w:rsidR="00A81475" w:rsidRPr="00D045B3">
        <w:rPr>
          <w:rFonts w:ascii="Times New Roman" w:hAnsi="Times New Roman"/>
        </w:rPr>
        <w:t>(Ph+ALL)</w:t>
      </w:r>
      <w:r w:rsidR="00780B7D" w:rsidRPr="00D045B3">
        <w:rPr>
          <w:rFonts w:ascii="Times New Roman" w:hAnsi="Times New Roman"/>
        </w:rPr>
        <w:t xml:space="preserve"> szenvedő felnőtt</w:t>
      </w:r>
      <w:r w:rsidR="009A4BD1" w:rsidRPr="00D045B3">
        <w:rPr>
          <w:rFonts w:ascii="Times New Roman" w:hAnsi="Times New Roman"/>
        </w:rPr>
        <w:t>ek</w:t>
      </w:r>
      <w:r w:rsidR="006B2245" w:rsidRPr="00D045B3">
        <w:rPr>
          <w:rFonts w:ascii="Times New Roman" w:hAnsi="Times New Roman"/>
        </w:rPr>
        <w:t>,</w:t>
      </w:r>
      <w:r w:rsidR="00B513D0" w:rsidRPr="00D045B3">
        <w:rPr>
          <w:rFonts w:ascii="Times New Roman" w:hAnsi="Times New Roman"/>
        </w:rPr>
        <w:t xml:space="preserve"> gyermek</w:t>
      </w:r>
      <w:r w:rsidR="009A4BD1" w:rsidRPr="00D045B3">
        <w:rPr>
          <w:rFonts w:ascii="Times New Roman" w:hAnsi="Times New Roman"/>
        </w:rPr>
        <w:t>ek</w:t>
      </w:r>
      <w:r w:rsidR="00780B7D" w:rsidRPr="00D045B3">
        <w:rPr>
          <w:rFonts w:ascii="Times New Roman" w:hAnsi="Times New Roman"/>
        </w:rPr>
        <w:t xml:space="preserve"> </w:t>
      </w:r>
      <w:r w:rsidR="006B2245" w:rsidRPr="00D045B3">
        <w:rPr>
          <w:rFonts w:ascii="Times New Roman" w:hAnsi="Times New Roman"/>
        </w:rPr>
        <w:t xml:space="preserve">és serdülők </w:t>
      </w:r>
      <w:r w:rsidR="00780B7D" w:rsidRPr="00D045B3">
        <w:rPr>
          <w:rFonts w:ascii="Times New Roman" w:hAnsi="Times New Roman"/>
        </w:rPr>
        <w:t>kezelése kemoterápiával integrálva.</w:t>
      </w:r>
    </w:p>
    <w:p w14:paraId="1E927021" w14:textId="77777777" w:rsidR="005D4CAF" w:rsidRPr="00D045B3" w:rsidRDefault="005D4CAF" w:rsidP="00E95370">
      <w:pPr>
        <w:pStyle w:val="Default"/>
        <w:numPr>
          <w:ilvl w:val="0"/>
          <w:numId w:val="24"/>
        </w:numPr>
        <w:ind w:left="567" w:hanging="567"/>
        <w:rPr>
          <w:sz w:val="22"/>
          <w:szCs w:val="22"/>
        </w:rPr>
      </w:pPr>
      <w:r w:rsidRPr="00D045B3">
        <w:rPr>
          <w:sz w:val="22"/>
          <w:szCs w:val="22"/>
        </w:rPr>
        <w:t>recidivált vagy refrakter Ph+ ALL</w:t>
      </w:r>
      <w:r w:rsidRPr="00D045B3">
        <w:rPr>
          <w:sz w:val="22"/>
          <w:szCs w:val="22"/>
        </w:rPr>
        <w:noBreakHyphen/>
        <w:t>ben szenvedő felnőtt betegek kezelés</w:t>
      </w:r>
      <w:r w:rsidR="00C80FD2" w:rsidRPr="00D045B3">
        <w:rPr>
          <w:sz w:val="22"/>
          <w:szCs w:val="22"/>
        </w:rPr>
        <w:t>e</w:t>
      </w:r>
      <w:r w:rsidRPr="00D045B3">
        <w:rPr>
          <w:sz w:val="22"/>
          <w:szCs w:val="22"/>
        </w:rPr>
        <w:t xml:space="preserve">, monoterápiaként. </w:t>
      </w:r>
    </w:p>
    <w:p w14:paraId="1E927022" w14:textId="77777777" w:rsidR="005D4CAF" w:rsidRPr="00D045B3" w:rsidRDefault="005D4CAF" w:rsidP="00E95370">
      <w:pPr>
        <w:pStyle w:val="Default"/>
        <w:numPr>
          <w:ilvl w:val="0"/>
          <w:numId w:val="24"/>
        </w:numPr>
        <w:spacing w:after="38"/>
        <w:ind w:left="567" w:hanging="567"/>
        <w:rPr>
          <w:sz w:val="22"/>
          <w:szCs w:val="22"/>
        </w:rPr>
      </w:pPr>
      <w:r w:rsidRPr="00D045B3">
        <w:rPr>
          <w:sz w:val="22"/>
          <w:szCs w:val="22"/>
        </w:rPr>
        <w:t xml:space="preserve">PDGFR („platelet derived growth factor receptor”) génátrendeződéssel társuló myelodysplasiás/myeloproliferatív betegségben (MDS/MPD) szenvedő felnőtt betegek kezelése. </w:t>
      </w:r>
    </w:p>
    <w:p w14:paraId="1E927023" w14:textId="40AE283C" w:rsidR="005D4CAF" w:rsidRPr="00D045B3" w:rsidRDefault="005D4CAF" w:rsidP="00E95370">
      <w:pPr>
        <w:pStyle w:val="Default"/>
        <w:numPr>
          <w:ilvl w:val="0"/>
          <w:numId w:val="24"/>
        </w:numPr>
        <w:ind w:left="567" w:hanging="567"/>
        <w:rPr>
          <w:sz w:val="22"/>
          <w:szCs w:val="22"/>
        </w:rPr>
      </w:pPr>
      <w:r w:rsidRPr="00D045B3">
        <w:rPr>
          <w:sz w:val="22"/>
          <w:szCs w:val="22"/>
        </w:rPr>
        <w:lastRenderedPageBreak/>
        <w:t>FIP1L1-PDGFR</w:t>
      </w:r>
      <w:r w:rsidR="00A81475" w:rsidRPr="00D045B3">
        <w:rPr>
          <w:rFonts w:eastAsia="Times New Roman"/>
        </w:rPr>
        <w:t>α</w:t>
      </w:r>
      <w:r w:rsidRPr="00D045B3">
        <w:rPr>
          <w:sz w:val="22"/>
          <w:szCs w:val="22"/>
        </w:rPr>
        <w:t xml:space="preserve"> átrendeződéssel járó, előrehaladott hypereosinophilia szindrómában (HES) és/vagy krónikus eosin</w:t>
      </w:r>
      <w:r w:rsidR="00622575" w:rsidRPr="00D045B3">
        <w:rPr>
          <w:sz w:val="22"/>
          <w:szCs w:val="22"/>
        </w:rPr>
        <w:t>o</w:t>
      </w:r>
      <w:r w:rsidRPr="00D045B3">
        <w:rPr>
          <w:sz w:val="22"/>
          <w:szCs w:val="22"/>
        </w:rPr>
        <w:t>philiás leuk</w:t>
      </w:r>
      <w:r w:rsidR="00C80FD2" w:rsidRPr="00D045B3">
        <w:rPr>
          <w:sz w:val="22"/>
          <w:szCs w:val="22"/>
        </w:rPr>
        <w:t>ae</w:t>
      </w:r>
      <w:r w:rsidRPr="00D045B3">
        <w:rPr>
          <w:sz w:val="22"/>
          <w:szCs w:val="22"/>
        </w:rPr>
        <w:t xml:space="preserve">miában (CEL) szenvedő felnőttek kezelése. </w:t>
      </w:r>
    </w:p>
    <w:p w14:paraId="1E927024" w14:textId="77777777" w:rsidR="00714759" w:rsidRPr="00D045B3" w:rsidRDefault="00714759" w:rsidP="004B5899">
      <w:pPr>
        <w:pStyle w:val="KeinLeerraum"/>
        <w:rPr>
          <w:rFonts w:ascii="Times New Roman" w:hAnsi="Times New Roman"/>
        </w:rPr>
      </w:pPr>
    </w:p>
    <w:p w14:paraId="1E927025" w14:textId="77777777" w:rsidR="004B5899" w:rsidRPr="00D045B3" w:rsidRDefault="004B5899" w:rsidP="004B5899">
      <w:pPr>
        <w:pStyle w:val="KeinLeerraum"/>
        <w:rPr>
          <w:rFonts w:ascii="Times New Roman" w:hAnsi="Times New Roman"/>
        </w:rPr>
      </w:pPr>
      <w:r w:rsidRPr="00D045B3">
        <w:rPr>
          <w:rFonts w:ascii="Times New Roman" w:hAnsi="Times New Roman"/>
        </w:rPr>
        <w:t>Az imatinib csontvelő</w:t>
      </w:r>
      <w:r w:rsidRPr="00D045B3">
        <w:rPr>
          <w:rFonts w:ascii="Times New Roman" w:hAnsi="Times New Roman"/>
        </w:rPr>
        <w:noBreakHyphen/>
        <w:t>transzplantáció kimenetelére gyakorolt hatását még nem állapították meg.</w:t>
      </w:r>
    </w:p>
    <w:p w14:paraId="1E927026" w14:textId="77777777" w:rsidR="00714759" w:rsidRPr="00D045B3" w:rsidRDefault="00714759" w:rsidP="00714759">
      <w:pPr>
        <w:pStyle w:val="KeinLeerraum"/>
        <w:rPr>
          <w:rFonts w:ascii="Times New Roman" w:hAnsi="Times New Roman"/>
        </w:rPr>
      </w:pPr>
    </w:p>
    <w:p w14:paraId="1E927027" w14:textId="77777777" w:rsidR="00714759" w:rsidRPr="00D045B3" w:rsidRDefault="00714759" w:rsidP="00714759">
      <w:pPr>
        <w:pStyle w:val="Default"/>
        <w:rPr>
          <w:sz w:val="22"/>
          <w:szCs w:val="22"/>
        </w:rPr>
      </w:pPr>
      <w:r w:rsidRPr="00D045B3">
        <w:rPr>
          <w:sz w:val="22"/>
          <w:szCs w:val="22"/>
        </w:rPr>
        <w:t xml:space="preserve">Az Imatinib Actavis alkalmazása javallott: </w:t>
      </w:r>
    </w:p>
    <w:p w14:paraId="1E927028" w14:textId="77777777" w:rsidR="00714759" w:rsidRPr="00D045B3" w:rsidRDefault="00714759" w:rsidP="00E95370">
      <w:pPr>
        <w:pStyle w:val="Default"/>
        <w:numPr>
          <w:ilvl w:val="0"/>
          <w:numId w:val="25"/>
        </w:numPr>
        <w:ind w:left="567" w:hanging="567"/>
        <w:rPr>
          <w:sz w:val="22"/>
          <w:szCs w:val="22"/>
        </w:rPr>
      </w:pPr>
      <w:r w:rsidRPr="00D045B3">
        <w:rPr>
          <w:sz w:val="22"/>
          <w:szCs w:val="22"/>
        </w:rPr>
        <w:t>nem reszekábilis dermatofibrosarcoma protuberans</w:t>
      </w:r>
      <w:r w:rsidR="00DD4FC1" w:rsidRPr="00D045B3">
        <w:rPr>
          <w:sz w:val="22"/>
          <w:szCs w:val="22"/>
        </w:rPr>
        <w:t>ban</w:t>
      </w:r>
      <w:r w:rsidRPr="00D045B3">
        <w:rPr>
          <w:sz w:val="22"/>
          <w:szCs w:val="22"/>
        </w:rPr>
        <w:t xml:space="preserve"> (DFSP), valamint recidiváló és/vagy metasztatikus DFSP</w:t>
      </w:r>
      <w:r w:rsidR="00521A1D" w:rsidRPr="00D045B3">
        <w:rPr>
          <w:sz w:val="22"/>
          <w:szCs w:val="22"/>
        </w:rPr>
        <w:noBreakHyphen/>
      </w:r>
      <w:r w:rsidRPr="00D045B3">
        <w:rPr>
          <w:sz w:val="22"/>
          <w:szCs w:val="22"/>
        </w:rPr>
        <w:t xml:space="preserve">ben szenvedő, műtétre nem alkalmas felnőtt betegek kezelésére. </w:t>
      </w:r>
    </w:p>
    <w:p w14:paraId="1E927029" w14:textId="77777777" w:rsidR="004B5899" w:rsidRPr="00D045B3" w:rsidRDefault="004B5899" w:rsidP="004B5899">
      <w:pPr>
        <w:pStyle w:val="KeinLeerraum"/>
        <w:rPr>
          <w:rFonts w:ascii="Times New Roman" w:hAnsi="Times New Roman"/>
        </w:rPr>
      </w:pPr>
    </w:p>
    <w:p w14:paraId="1E92702A" w14:textId="744A6B79" w:rsidR="004B5899" w:rsidRPr="00D045B3" w:rsidRDefault="004B5899" w:rsidP="008A6837">
      <w:pPr>
        <w:pStyle w:val="Default"/>
        <w:rPr>
          <w:sz w:val="22"/>
          <w:szCs w:val="22"/>
        </w:rPr>
      </w:pPr>
      <w:r w:rsidRPr="00D045B3">
        <w:rPr>
          <w:sz w:val="22"/>
          <w:szCs w:val="22"/>
        </w:rPr>
        <w:t>Felnőtt és gyermekgyógyászati betegeknél az imatinib CML</w:t>
      </w:r>
      <w:r w:rsidRPr="00D045B3">
        <w:rPr>
          <w:sz w:val="22"/>
          <w:szCs w:val="22"/>
        </w:rPr>
        <w:noBreakHyphen/>
        <w:t>ben mutatott hatásosságát a teljes hematológiai és cytogenetikai válaszarány, valamint a progressziómentes túlélés</w:t>
      </w:r>
      <w:r w:rsidR="005D55C6" w:rsidRPr="00D045B3">
        <w:rPr>
          <w:sz w:val="22"/>
          <w:szCs w:val="22"/>
        </w:rPr>
        <w:t>, Ph+ ALL</w:t>
      </w:r>
      <w:r w:rsidR="00EF1F07" w:rsidRPr="00D045B3">
        <w:rPr>
          <w:sz w:val="22"/>
          <w:szCs w:val="22"/>
        </w:rPr>
        <w:noBreakHyphen/>
      </w:r>
      <w:r w:rsidR="005D55C6" w:rsidRPr="00D045B3">
        <w:rPr>
          <w:sz w:val="22"/>
          <w:szCs w:val="22"/>
        </w:rPr>
        <w:t>ben és MDS/MPD</w:t>
      </w:r>
      <w:r w:rsidR="00EF1F07" w:rsidRPr="00D045B3">
        <w:rPr>
          <w:sz w:val="22"/>
          <w:szCs w:val="22"/>
        </w:rPr>
        <w:noBreakHyphen/>
      </w:r>
      <w:r w:rsidR="005D55C6" w:rsidRPr="00D045B3">
        <w:rPr>
          <w:sz w:val="22"/>
          <w:szCs w:val="22"/>
        </w:rPr>
        <w:t>ben a hematológiai és cytogenetikai válaszarány, HES/CEL</w:t>
      </w:r>
      <w:r w:rsidR="00EF1F07" w:rsidRPr="00D045B3">
        <w:rPr>
          <w:sz w:val="22"/>
          <w:szCs w:val="22"/>
        </w:rPr>
        <w:noBreakHyphen/>
      </w:r>
      <w:r w:rsidR="005D55C6" w:rsidRPr="00D045B3">
        <w:rPr>
          <w:sz w:val="22"/>
          <w:szCs w:val="22"/>
        </w:rPr>
        <w:t>ben a hematológiai válaszarány, nem reszekábilis és/vagy metasztatikus DFSP</w:t>
      </w:r>
      <w:r w:rsidR="00EF1F07" w:rsidRPr="00D045B3">
        <w:rPr>
          <w:sz w:val="22"/>
          <w:szCs w:val="22"/>
        </w:rPr>
        <w:noBreakHyphen/>
      </w:r>
      <w:r w:rsidR="005D55C6" w:rsidRPr="00D045B3">
        <w:rPr>
          <w:sz w:val="22"/>
          <w:szCs w:val="22"/>
        </w:rPr>
        <w:t>ben szenvedő felnőttek</w:t>
      </w:r>
      <w:r w:rsidR="00301596" w:rsidRPr="00D045B3">
        <w:rPr>
          <w:sz w:val="22"/>
          <w:szCs w:val="22"/>
        </w:rPr>
        <w:t xml:space="preserve">nél pedig </w:t>
      </w:r>
      <w:r w:rsidR="005D55C6" w:rsidRPr="00D045B3">
        <w:rPr>
          <w:sz w:val="22"/>
          <w:szCs w:val="22"/>
        </w:rPr>
        <w:t>az objektív válaszarány</w:t>
      </w:r>
      <w:r w:rsidRPr="00D045B3">
        <w:rPr>
          <w:sz w:val="22"/>
          <w:szCs w:val="22"/>
        </w:rPr>
        <w:t xml:space="preserve"> határozza meg. </w:t>
      </w:r>
      <w:r w:rsidR="005D55C6" w:rsidRPr="00D045B3">
        <w:rPr>
          <w:sz w:val="22"/>
          <w:szCs w:val="22"/>
        </w:rPr>
        <w:t>PDGFR génátrendeződéssel társuló MDS/MPD</w:t>
      </w:r>
      <w:r w:rsidR="00301596" w:rsidRPr="00D045B3">
        <w:rPr>
          <w:sz w:val="22"/>
          <w:szCs w:val="22"/>
        </w:rPr>
        <w:noBreakHyphen/>
      </w:r>
      <w:r w:rsidR="005D55C6" w:rsidRPr="00D045B3">
        <w:rPr>
          <w:sz w:val="22"/>
          <w:szCs w:val="22"/>
        </w:rPr>
        <w:t xml:space="preserve">ben szenvedő betegek </w:t>
      </w:r>
      <w:r w:rsidR="00301596" w:rsidRPr="00D045B3">
        <w:rPr>
          <w:sz w:val="22"/>
          <w:szCs w:val="22"/>
        </w:rPr>
        <w:t>imatinib</w:t>
      </w:r>
      <w:r w:rsidR="00301596" w:rsidRPr="00D045B3">
        <w:rPr>
          <w:sz w:val="22"/>
          <w:szCs w:val="22"/>
        </w:rPr>
        <w:noBreakHyphen/>
      </w:r>
      <w:r w:rsidR="005D55C6" w:rsidRPr="00D045B3">
        <w:rPr>
          <w:sz w:val="22"/>
          <w:szCs w:val="22"/>
        </w:rPr>
        <w:t xml:space="preserve">kezelésére vonatkozóan </w:t>
      </w:r>
      <w:r w:rsidR="004B2743" w:rsidRPr="00D045B3">
        <w:rPr>
          <w:sz w:val="22"/>
          <w:szCs w:val="22"/>
        </w:rPr>
        <w:t xml:space="preserve">csak </w:t>
      </w:r>
      <w:r w:rsidR="00301596" w:rsidRPr="00D045B3">
        <w:rPr>
          <w:sz w:val="22"/>
          <w:szCs w:val="22"/>
        </w:rPr>
        <w:t>igen</w:t>
      </w:r>
      <w:r w:rsidR="005D55C6" w:rsidRPr="00D045B3">
        <w:rPr>
          <w:sz w:val="22"/>
          <w:szCs w:val="22"/>
        </w:rPr>
        <w:t xml:space="preserve"> korlátozott szám</w:t>
      </w:r>
      <w:r w:rsidR="00301596" w:rsidRPr="00D045B3">
        <w:rPr>
          <w:sz w:val="22"/>
          <w:szCs w:val="22"/>
        </w:rPr>
        <w:t xml:space="preserve">ban </w:t>
      </w:r>
      <w:r w:rsidR="00EF1F07" w:rsidRPr="00D045B3">
        <w:rPr>
          <w:sz w:val="22"/>
          <w:szCs w:val="22"/>
        </w:rPr>
        <w:t>áll</w:t>
      </w:r>
      <w:r w:rsidR="004B2743" w:rsidRPr="00D045B3">
        <w:rPr>
          <w:sz w:val="22"/>
          <w:szCs w:val="22"/>
        </w:rPr>
        <w:t>nak</w:t>
      </w:r>
      <w:r w:rsidR="00EF1F07" w:rsidRPr="00D045B3">
        <w:rPr>
          <w:sz w:val="22"/>
          <w:szCs w:val="22"/>
        </w:rPr>
        <w:t xml:space="preserve"> rendelkezésre</w:t>
      </w:r>
      <w:r w:rsidR="00301596" w:rsidRPr="00D045B3">
        <w:rPr>
          <w:sz w:val="22"/>
          <w:szCs w:val="22"/>
        </w:rPr>
        <w:t xml:space="preserve"> tapasztalatok </w:t>
      </w:r>
      <w:r w:rsidR="00EF1F07" w:rsidRPr="00D045B3">
        <w:rPr>
          <w:sz w:val="22"/>
          <w:szCs w:val="22"/>
        </w:rPr>
        <w:t>(lásd 5.1 </w:t>
      </w:r>
      <w:r w:rsidR="005D55C6" w:rsidRPr="00D045B3">
        <w:rPr>
          <w:sz w:val="22"/>
          <w:szCs w:val="22"/>
        </w:rPr>
        <w:t xml:space="preserve">pont). </w:t>
      </w:r>
      <w:r w:rsidR="00301596" w:rsidRPr="00D045B3">
        <w:rPr>
          <w:sz w:val="22"/>
          <w:szCs w:val="22"/>
        </w:rPr>
        <w:t>Nin</w:t>
      </w:r>
      <w:r w:rsidR="005D55C6" w:rsidRPr="00D045B3">
        <w:rPr>
          <w:color w:val="auto"/>
          <w:sz w:val="22"/>
          <w:szCs w:val="22"/>
        </w:rPr>
        <w:t xml:space="preserve">csenek olyan </w:t>
      </w:r>
      <w:r w:rsidR="001E231E" w:rsidRPr="00D045B3">
        <w:rPr>
          <w:color w:val="auto"/>
          <w:sz w:val="22"/>
          <w:szCs w:val="22"/>
        </w:rPr>
        <w:t xml:space="preserve">kontrollos </w:t>
      </w:r>
      <w:r w:rsidR="005D55C6" w:rsidRPr="00D045B3">
        <w:rPr>
          <w:color w:val="auto"/>
          <w:sz w:val="22"/>
          <w:szCs w:val="22"/>
        </w:rPr>
        <w:t>vizsgálatok, amelyek klinikai előnyt, vagy meghosszabbodott túlélést igazolnának e</w:t>
      </w:r>
      <w:r w:rsidR="003274BB" w:rsidRPr="00D045B3">
        <w:rPr>
          <w:color w:val="auto"/>
          <w:sz w:val="22"/>
          <w:szCs w:val="22"/>
        </w:rPr>
        <w:t>zen</w:t>
      </w:r>
      <w:r w:rsidR="005D55C6" w:rsidRPr="00D045B3">
        <w:rPr>
          <w:color w:val="auto"/>
          <w:sz w:val="22"/>
          <w:szCs w:val="22"/>
        </w:rPr>
        <w:t xml:space="preserve"> betegségek bármelyikében.</w:t>
      </w:r>
    </w:p>
    <w:p w14:paraId="1E92702B" w14:textId="77777777" w:rsidR="004B5899" w:rsidRPr="00D045B3" w:rsidRDefault="004B5899" w:rsidP="004B5899">
      <w:pPr>
        <w:pStyle w:val="KeinLeerraum"/>
        <w:rPr>
          <w:rFonts w:ascii="Times New Roman" w:hAnsi="Times New Roman"/>
        </w:rPr>
      </w:pPr>
    </w:p>
    <w:p w14:paraId="1E92702C" w14:textId="77777777" w:rsidR="004B5899" w:rsidRPr="00D045B3" w:rsidRDefault="004B5899" w:rsidP="00686EB8">
      <w:pPr>
        <w:pStyle w:val="KeinLeerraum"/>
        <w:keepNext/>
        <w:tabs>
          <w:tab w:val="left" w:pos="567"/>
        </w:tabs>
        <w:rPr>
          <w:rFonts w:ascii="Times New Roman" w:hAnsi="Times New Roman"/>
          <w:b/>
        </w:rPr>
      </w:pPr>
      <w:r w:rsidRPr="00D045B3">
        <w:rPr>
          <w:rFonts w:ascii="Times New Roman" w:hAnsi="Times New Roman"/>
          <w:b/>
        </w:rPr>
        <w:t>4.2</w:t>
      </w:r>
      <w:r w:rsidRPr="00D045B3">
        <w:rPr>
          <w:rFonts w:ascii="Times New Roman" w:hAnsi="Times New Roman"/>
          <w:b/>
        </w:rPr>
        <w:tab/>
        <w:t xml:space="preserve">Adagolás és alkalmazás </w:t>
      </w:r>
    </w:p>
    <w:p w14:paraId="1E92702D" w14:textId="77777777" w:rsidR="004B5899" w:rsidRPr="00D045B3" w:rsidRDefault="004B5899" w:rsidP="00686EB8">
      <w:pPr>
        <w:pStyle w:val="KeinLeerraum"/>
        <w:keepNext/>
        <w:rPr>
          <w:rFonts w:ascii="Times New Roman" w:hAnsi="Times New Roman"/>
        </w:rPr>
      </w:pPr>
    </w:p>
    <w:p w14:paraId="1E92702E" w14:textId="77777777" w:rsidR="004B5899" w:rsidRPr="00D045B3" w:rsidRDefault="004B5899" w:rsidP="00686EB8">
      <w:pPr>
        <w:pStyle w:val="KeinLeerraum"/>
        <w:keepNext/>
        <w:rPr>
          <w:rFonts w:ascii="Times New Roman" w:hAnsi="Times New Roman"/>
        </w:rPr>
      </w:pPr>
      <w:r w:rsidRPr="00D045B3">
        <w:rPr>
          <w:rFonts w:ascii="Times New Roman" w:hAnsi="Times New Roman"/>
        </w:rPr>
        <w:t xml:space="preserve">A terápiát </w:t>
      </w:r>
      <w:r w:rsidR="003274BB" w:rsidRPr="00D045B3">
        <w:rPr>
          <w:rFonts w:ascii="Times New Roman" w:hAnsi="Times New Roman"/>
        </w:rPr>
        <w:t xml:space="preserve">- </w:t>
      </w:r>
      <w:r w:rsidRPr="00D045B3">
        <w:rPr>
          <w:rFonts w:ascii="Times New Roman" w:hAnsi="Times New Roman"/>
        </w:rPr>
        <w:t xml:space="preserve">a </w:t>
      </w:r>
      <w:r w:rsidR="003274BB" w:rsidRPr="00D045B3">
        <w:rPr>
          <w:rFonts w:ascii="Times New Roman" w:hAnsi="Times New Roman"/>
        </w:rPr>
        <w:t xml:space="preserve">betegségtől függően – a </w:t>
      </w:r>
      <w:r w:rsidRPr="00D045B3">
        <w:rPr>
          <w:rFonts w:ascii="Times New Roman" w:hAnsi="Times New Roman"/>
        </w:rPr>
        <w:t>hematológiai malignitások</w:t>
      </w:r>
      <w:r w:rsidR="003274BB" w:rsidRPr="00D045B3">
        <w:rPr>
          <w:rFonts w:ascii="Times New Roman" w:hAnsi="Times New Roman"/>
        </w:rPr>
        <w:t xml:space="preserve"> és malignus sarcomák</w:t>
      </w:r>
      <w:r w:rsidRPr="00D045B3">
        <w:rPr>
          <w:rFonts w:ascii="Times New Roman" w:hAnsi="Times New Roman"/>
        </w:rPr>
        <w:t xml:space="preserve"> kezelésében jártas orvosnak kell elindítania. </w:t>
      </w:r>
    </w:p>
    <w:p w14:paraId="1E92702F" w14:textId="77777777" w:rsidR="004B5899" w:rsidRPr="00D045B3" w:rsidRDefault="004B5899" w:rsidP="004B5899">
      <w:pPr>
        <w:pStyle w:val="KeinLeerraum"/>
        <w:rPr>
          <w:rFonts w:ascii="Times New Roman" w:hAnsi="Times New Roman"/>
        </w:rPr>
      </w:pPr>
    </w:p>
    <w:p w14:paraId="1E927030" w14:textId="77777777" w:rsidR="00CE7293" w:rsidRPr="00D045B3" w:rsidRDefault="00CE7293" w:rsidP="00CE7293">
      <w:pPr>
        <w:pStyle w:val="KeinLeerraum"/>
        <w:keepNext/>
        <w:rPr>
          <w:rFonts w:ascii="Times New Roman" w:hAnsi="Times New Roman"/>
          <w:u w:val="single"/>
        </w:rPr>
      </w:pPr>
      <w:r w:rsidRPr="00D045B3">
        <w:rPr>
          <w:rFonts w:ascii="Times New Roman" w:hAnsi="Times New Roman"/>
          <w:u w:val="single"/>
        </w:rPr>
        <w:t>Adagolás</w:t>
      </w:r>
    </w:p>
    <w:p w14:paraId="1E927031" w14:textId="77777777" w:rsidR="00CE7293" w:rsidRPr="00D045B3" w:rsidRDefault="00CE7293" w:rsidP="00CE7293">
      <w:pPr>
        <w:pStyle w:val="KeinLeerraum"/>
        <w:keepNext/>
        <w:rPr>
          <w:rFonts w:ascii="Times New Roman" w:hAnsi="Times New Roman"/>
        </w:rPr>
      </w:pPr>
    </w:p>
    <w:p w14:paraId="1E927032" w14:textId="77777777" w:rsidR="00CE7293" w:rsidRPr="00D045B3" w:rsidRDefault="00CE7293" w:rsidP="00CE7293">
      <w:pPr>
        <w:pStyle w:val="KeinLeerraum"/>
        <w:keepNext/>
        <w:rPr>
          <w:rFonts w:ascii="Times New Roman" w:hAnsi="Times New Roman"/>
          <w:u w:val="single"/>
        </w:rPr>
      </w:pPr>
      <w:r w:rsidRPr="00D045B3">
        <w:rPr>
          <w:rFonts w:ascii="Times New Roman" w:hAnsi="Times New Roman"/>
          <w:u w:val="single"/>
        </w:rPr>
        <w:t>Adagolás CML</w:t>
      </w:r>
      <w:r w:rsidRPr="00D045B3">
        <w:rPr>
          <w:rFonts w:ascii="Times New Roman" w:hAnsi="Times New Roman"/>
          <w:u w:val="single"/>
        </w:rPr>
        <w:noBreakHyphen/>
        <w:t>ben szenvedő felnőtt betegek számára</w:t>
      </w:r>
    </w:p>
    <w:p w14:paraId="1E927037" w14:textId="77777777" w:rsidR="004B5899" w:rsidRPr="00D045B3" w:rsidRDefault="004B5899" w:rsidP="004B5899">
      <w:pPr>
        <w:pStyle w:val="KeinLeerraum"/>
        <w:rPr>
          <w:rFonts w:ascii="Times New Roman" w:hAnsi="Times New Roman"/>
        </w:rPr>
      </w:pPr>
      <w:r w:rsidRPr="00D045B3">
        <w:rPr>
          <w:rFonts w:ascii="Times New Roman" w:hAnsi="Times New Roman"/>
        </w:rPr>
        <w:t xml:space="preserve">Blasztos krízisben levő felnőtt betegeknek az </w:t>
      </w:r>
      <w:r w:rsidR="00DB7EEE" w:rsidRPr="00D045B3">
        <w:rPr>
          <w:rFonts w:ascii="Times New Roman" w:hAnsi="Times New Roman"/>
        </w:rPr>
        <w:t>i</w:t>
      </w:r>
      <w:r w:rsidR="00CE7293" w:rsidRPr="00D045B3">
        <w:rPr>
          <w:rFonts w:ascii="Times New Roman" w:hAnsi="Times New Roman"/>
        </w:rPr>
        <w:t xml:space="preserve">matinib </w:t>
      </w:r>
      <w:r w:rsidRPr="00D045B3">
        <w:rPr>
          <w:rFonts w:ascii="Times New Roman" w:hAnsi="Times New Roman"/>
        </w:rPr>
        <w:t>ajánlott dózisa 600 mg/nap. A blasztos krízis meghatározása: a blas</w:t>
      </w:r>
      <w:r w:rsidR="0048256A" w:rsidRPr="00D045B3">
        <w:rPr>
          <w:rFonts w:ascii="Times New Roman" w:hAnsi="Times New Roman"/>
        </w:rPr>
        <w:t>z</w:t>
      </w:r>
      <w:r w:rsidRPr="00D045B3">
        <w:rPr>
          <w:rFonts w:ascii="Times New Roman" w:hAnsi="Times New Roman"/>
        </w:rPr>
        <w:t xml:space="preserve">tsejtek száma a vérben vagy a csontvelőben ≥ 30%, vagy a hepatosplenomegalián kívül más extramedulláris betegség áll fenn. </w:t>
      </w:r>
    </w:p>
    <w:p w14:paraId="1E927038" w14:textId="77777777" w:rsidR="004B5899" w:rsidRPr="00D045B3" w:rsidRDefault="004B5899" w:rsidP="004B5899">
      <w:pPr>
        <w:pStyle w:val="KeinLeerraum"/>
        <w:rPr>
          <w:rFonts w:ascii="Times New Roman" w:hAnsi="Times New Roman"/>
        </w:rPr>
      </w:pPr>
    </w:p>
    <w:p w14:paraId="1E927039" w14:textId="36CAF1D2" w:rsidR="004B5899" w:rsidRPr="00D045B3" w:rsidRDefault="004B5899" w:rsidP="004B5899">
      <w:pPr>
        <w:pStyle w:val="KeinLeerraum"/>
        <w:rPr>
          <w:rFonts w:ascii="Times New Roman" w:hAnsi="Times New Roman"/>
        </w:rPr>
      </w:pPr>
      <w:r w:rsidRPr="00D045B3">
        <w:rPr>
          <w:rFonts w:ascii="Times New Roman" w:hAnsi="Times New Roman"/>
        </w:rPr>
        <w:t xml:space="preserve">A kezelés időtartama: </w:t>
      </w:r>
      <w:r w:rsidR="0048256A" w:rsidRPr="00D045B3">
        <w:rPr>
          <w:rFonts w:ascii="Times New Roman" w:hAnsi="Times New Roman"/>
        </w:rPr>
        <w:t>Klinikai vizsgálatokban az imatinib</w:t>
      </w:r>
      <w:r w:rsidR="0048256A" w:rsidRPr="00D045B3">
        <w:rPr>
          <w:rFonts w:ascii="Times New Roman" w:hAnsi="Times New Roman"/>
        </w:rPr>
        <w:noBreakHyphen/>
        <w:t xml:space="preserve">kezelést a betegség progressziójáig folytatták. </w:t>
      </w:r>
      <w:r w:rsidRPr="00D045B3">
        <w:rPr>
          <w:rFonts w:ascii="Times New Roman" w:hAnsi="Times New Roman"/>
        </w:rPr>
        <w:t xml:space="preserve">A </w:t>
      </w:r>
      <w:r w:rsidR="001E231E" w:rsidRPr="00F67173">
        <w:rPr>
          <w:rFonts w:ascii="Times New Roman" w:hAnsi="Times New Roman"/>
        </w:rPr>
        <w:t>kezelés leállításának hatását, ha az a</w:t>
      </w:r>
      <w:r w:rsidR="001E231E" w:rsidRPr="00D045B3">
        <w:rPr>
          <w:color w:val="000000"/>
        </w:rPr>
        <w:t xml:space="preserve"> </w:t>
      </w:r>
      <w:r w:rsidRPr="00D045B3">
        <w:rPr>
          <w:rFonts w:ascii="Times New Roman" w:hAnsi="Times New Roman"/>
        </w:rPr>
        <w:t>teljes cytogenetikai válasz elérése után történ</w:t>
      </w:r>
      <w:r w:rsidR="001E231E" w:rsidRPr="00D045B3">
        <w:rPr>
          <w:rFonts w:ascii="Times New Roman" w:hAnsi="Times New Roman"/>
        </w:rPr>
        <w:t>t,</w:t>
      </w:r>
      <w:r w:rsidRPr="00D045B3">
        <w:rPr>
          <w:rFonts w:ascii="Times New Roman" w:hAnsi="Times New Roman"/>
        </w:rPr>
        <w:t xml:space="preserve"> nem </w:t>
      </w:r>
      <w:r w:rsidR="001E231E" w:rsidRPr="00D045B3">
        <w:rPr>
          <w:rFonts w:ascii="Times New Roman" w:hAnsi="Times New Roman"/>
        </w:rPr>
        <w:t>vizsgálták</w:t>
      </w:r>
      <w:r w:rsidRPr="00D045B3">
        <w:rPr>
          <w:rFonts w:ascii="Times New Roman" w:hAnsi="Times New Roman"/>
        </w:rPr>
        <w:t xml:space="preserve">. </w:t>
      </w:r>
    </w:p>
    <w:p w14:paraId="1E92703A" w14:textId="77777777" w:rsidR="004B5899" w:rsidRPr="00D045B3" w:rsidRDefault="004B5899" w:rsidP="004B5899">
      <w:pPr>
        <w:pStyle w:val="KeinLeerraum"/>
        <w:rPr>
          <w:rFonts w:ascii="Times New Roman" w:hAnsi="Times New Roman"/>
        </w:rPr>
      </w:pPr>
    </w:p>
    <w:p w14:paraId="1E92703B" w14:textId="70AD6B8F" w:rsidR="004B5899" w:rsidRPr="00D045B3" w:rsidRDefault="004B5899" w:rsidP="004B5899">
      <w:pPr>
        <w:pStyle w:val="KeinLeerraum"/>
        <w:rPr>
          <w:rFonts w:ascii="Times New Roman" w:hAnsi="Times New Roman"/>
        </w:rPr>
      </w:pPr>
      <w:r w:rsidRPr="00D045B3">
        <w:rPr>
          <w:rFonts w:ascii="Times New Roman" w:hAnsi="Times New Roman"/>
        </w:rPr>
        <w:t>Blasztos krízisben lévő betegeknél - amennyiben nincs jelen súlyos gyógyszer</w:t>
      </w:r>
      <w:r w:rsidR="0048256A" w:rsidRPr="00D045B3">
        <w:rPr>
          <w:rFonts w:ascii="Times New Roman" w:hAnsi="Times New Roman"/>
        </w:rPr>
        <w:noBreakHyphen/>
      </w:r>
      <w:r w:rsidRPr="00D045B3">
        <w:rPr>
          <w:rFonts w:ascii="Times New Roman" w:hAnsi="Times New Roman"/>
        </w:rPr>
        <w:t>mellékhatás, ill. súlyos, nem leukaemiával összefüggő neutropenia vagy thrombocytopenia - megfontolható a dózis 600 mg</w:t>
      </w:r>
      <w:r w:rsidRPr="00D045B3">
        <w:rPr>
          <w:rFonts w:ascii="Times New Roman" w:hAnsi="Times New Roman"/>
        </w:rPr>
        <w:noBreakHyphen/>
        <w:t>ról a maximális 800 mg</w:t>
      </w:r>
      <w:r w:rsidRPr="00D045B3">
        <w:rPr>
          <w:rFonts w:ascii="Times New Roman" w:hAnsi="Times New Roman"/>
        </w:rPr>
        <w:noBreakHyphen/>
        <w:t xml:space="preserve">ra (naponta kétszer 400 mg) emelése a következő esetekben: </w:t>
      </w:r>
      <w:r w:rsidR="0048256A" w:rsidRPr="00D045B3">
        <w:rPr>
          <w:rFonts w:ascii="Times New Roman" w:hAnsi="Times New Roman"/>
        </w:rPr>
        <w:t xml:space="preserve">a betegség (bármely időben </w:t>
      </w:r>
      <w:r w:rsidR="00D069FF" w:rsidRPr="00D045B3">
        <w:rPr>
          <w:rFonts w:ascii="Times New Roman" w:hAnsi="Times New Roman"/>
        </w:rPr>
        <w:t>bekövetkező</w:t>
      </w:r>
      <w:r w:rsidR="0048256A" w:rsidRPr="00D045B3">
        <w:rPr>
          <w:rFonts w:ascii="Times New Roman" w:hAnsi="Times New Roman"/>
        </w:rPr>
        <w:t xml:space="preserve">) progressziója; </w:t>
      </w:r>
      <w:r w:rsidRPr="00D045B3">
        <w:rPr>
          <w:rFonts w:ascii="Times New Roman" w:hAnsi="Times New Roman"/>
        </w:rPr>
        <w:t xml:space="preserve">ha legalább 3 hónapos kezelést követően sem érhető el megfelelő hematológiai válasz; 12 hónapos kezelés után sincs cytogenetikai válasz; vagy a korábban elért hematológiai és/vagy cytogenetikai válasz már nem tapasztalható. Dózisemeléskor a betegek szoros monitorozása szükséges, mivel magasabb dózisok mellett fokozódik a mellékhatások előfordulásának kockázata. </w:t>
      </w:r>
    </w:p>
    <w:p w14:paraId="1E92703C" w14:textId="77777777" w:rsidR="004B5899" w:rsidRPr="00D045B3" w:rsidRDefault="004B5899" w:rsidP="004B5899">
      <w:pPr>
        <w:pStyle w:val="KeinLeerraum"/>
        <w:rPr>
          <w:rFonts w:ascii="Times New Roman" w:hAnsi="Times New Roman"/>
        </w:rPr>
      </w:pPr>
    </w:p>
    <w:p w14:paraId="1E92703D" w14:textId="77777777" w:rsidR="004B5899" w:rsidRPr="00D045B3" w:rsidRDefault="004B5899" w:rsidP="0048256A">
      <w:pPr>
        <w:pStyle w:val="KeinLeerraum"/>
        <w:keepNext/>
        <w:rPr>
          <w:rFonts w:ascii="Times New Roman" w:hAnsi="Times New Roman"/>
          <w:u w:val="single"/>
        </w:rPr>
      </w:pPr>
      <w:r w:rsidRPr="00D045B3">
        <w:rPr>
          <w:rFonts w:ascii="Times New Roman" w:hAnsi="Times New Roman"/>
          <w:u w:val="single"/>
        </w:rPr>
        <w:t>Adagolás CML</w:t>
      </w:r>
      <w:r w:rsidRPr="00D045B3">
        <w:rPr>
          <w:rFonts w:ascii="Times New Roman" w:hAnsi="Times New Roman"/>
          <w:u w:val="single"/>
        </w:rPr>
        <w:noBreakHyphen/>
        <w:t>ben szenvedő gyermek</w:t>
      </w:r>
      <w:r w:rsidR="0048256A" w:rsidRPr="00D045B3">
        <w:rPr>
          <w:rFonts w:ascii="Times New Roman" w:hAnsi="Times New Roman"/>
          <w:u w:val="single"/>
        </w:rPr>
        <w:t>gyógyászati betegek</w:t>
      </w:r>
      <w:r w:rsidRPr="00D045B3">
        <w:rPr>
          <w:rFonts w:ascii="Times New Roman" w:hAnsi="Times New Roman"/>
          <w:u w:val="single"/>
        </w:rPr>
        <w:t xml:space="preserve"> számára </w:t>
      </w:r>
    </w:p>
    <w:p w14:paraId="1E92703E" w14:textId="015E72F6" w:rsidR="004B5899" w:rsidRPr="00D045B3" w:rsidRDefault="004B5899" w:rsidP="00CA41FD">
      <w:pPr>
        <w:pStyle w:val="KeinLeerraum"/>
        <w:rPr>
          <w:rFonts w:ascii="Times New Roman" w:hAnsi="Times New Roman"/>
        </w:rPr>
      </w:pPr>
      <w:r w:rsidRPr="00D045B3">
        <w:rPr>
          <w:rFonts w:ascii="Times New Roman" w:hAnsi="Times New Roman"/>
        </w:rPr>
        <w:t>Gyermekeknél az adagolást a testfelszín (mg/m</w:t>
      </w:r>
      <w:r w:rsidRPr="00D045B3">
        <w:rPr>
          <w:rFonts w:ascii="Times New Roman" w:hAnsi="Times New Roman"/>
          <w:vertAlign w:val="superscript"/>
        </w:rPr>
        <w:t>2</w:t>
      </w:r>
      <w:r w:rsidRPr="00D045B3">
        <w:rPr>
          <w:rFonts w:ascii="Times New Roman" w:hAnsi="Times New Roman"/>
        </w:rPr>
        <w:t>) alapján kell kiszámolni. Gyermekek esetében krónikus, ill. előrehaladott fázisú CML</w:t>
      </w:r>
      <w:r w:rsidRPr="00D045B3">
        <w:rPr>
          <w:rFonts w:ascii="Times New Roman" w:hAnsi="Times New Roman"/>
        </w:rPr>
        <w:noBreakHyphen/>
        <w:t>ben napi 340 mg/m</w:t>
      </w:r>
      <w:r w:rsidRPr="00D045B3">
        <w:rPr>
          <w:rFonts w:ascii="Times New Roman" w:hAnsi="Times New Roman"/>
          <w:vertAlign w:val="superscript"/>
        </w:rPr>
        <w:t>2</w:t>
      </w:r>
      <w:r w:rsidRPr="00D045B3">
        <w:rPr>
          <w:rFonts w:ascii="Times New Roman" w:hAnsi="Times New Roman"/>
        </w:rPr>
        <w:t xml:space="preserve"> dózis ajánlott (a teljes dózis nem haladhatja meg a 800 mg</w:t>
      </w:r>
      <w:r w:rsidRPr="00D045B3">
        <w:rPr>
          <w:rFonts w:ascii="Times New Roman" w:hAnsi="Times New Roman"/>
        </w:rPr>
        <w:noBreakHyphen/>
        <w:t xml:space="preserve">ot). A kezelés napi egyszeri dózisban adható, vagy alternatív megoldásként a napi adagot két (reggeli és esti) részre osztva is be lehet adni. Az adagolási javaslat jelenleg csupán kisszámú gyermekgyógyászati beteg adatain alapul (lásd 5.1 és 5.2 pont). 2 éves kor alatti gyermekek kezelésére vonatkozóan nincs tapasztalat. </w:t>
      </w:r>
    </w:p>
    <w:p w14:paraId="1E92703F" w14:textId="77777777" w:rsidR="004B5899" w:rsidRPr="00D045B3" w:rsidRDefault="004B5899" w:rsidP="004B5899">
      <w:pPr>
        <w:pStyle w:val="KeinLeerraum"/>
        <w:rPr>
          <w:rFonts w:ascii="Times New Roman" w:hAnsi="Times New Roman"/>
        </w:rPr>
      </w:pPr>
    </w:p>
    <w:p w14:paraId="1E927040" w14:textId="1F6CFFF1" w:rsidR="004B5899" w:rsidRPr="00D045B3" w:rsidRDefault="004B5899" w:rsidP="004B5899">
      <w:pPr>
        <w:pStyle w:val="KeinLeerraum"/>
        <w:rPr>
          <w:rFonts w:ascii="Times New Roman" w:hAnsi="Times New Roman"/>
        </w:rPr>
      </w:pPr>
      <w:r w:rsidRPr="00D045B3">
        <w:rPr>
          <w:rFonts w:ascii="Times New Roman" w:hAnsi="Times New Roman"/>
        </w:rPr>
        <w:t xml:space="preserve">Ha nem alakul ki súlyos mellékhatás, ill. súlyos – nem a leukaemiával összefüggő – neutropenia vagy thrombocytopenia, </w:t>
      </w:r>
      <w:r w:rsidR="00313C43" w:rsidRPr="00D045B3">
        <w:rPr>
          <w:rFonts w:ascii="Times New Roman" w:hAnsi="Times New Roman"/>
        </w:rPr>
        <w:t xml:space="preserve">gyermekeknél </w:t>
      </w:r>
      <w:r w:rsidRPr="00D045B3">
        <w:rPr>
          <w:rFonts w:ascii="Times New Roman" w:hAnsi="Times New Roman"/>
        </w:rPr>
        <w:t>megfontolható a napi adag 340 mg/m</w:t>
      </w:r>
      <w:r w:rsidRPr="00D045B3">
        <w:rPr>
          <w:rFonts w:ascii="Times New Roman" w:hAnsi="Times New Roman"/>
          <w:vertAlign w:val="superscript"/>
        </w:rPr>
        <w:t>2</w:t>
      </w:r>
      <w:r w:rsidRPr="00D045B3">
        <w:rPr>
          <w:rFonts w:ascii="Times New Roman" w:hAnsi="Times New Roman"/>
        </w:rPr>
        <w:noBreakHyphen/>
        <w:t>ről 570 mg/m</w:t>
      </w:r>
      <w:r w:rsidRPr="00D045B3">
        <w:rPr>
          <w:rFonts w:ascii="Times New Roman" w:hAnsi="Times New Roman"/>
          <w:vertAlign w:val="superscript"/>
        </w:rPr>
        <w:t>2</w:t>
      </w:r>
      <w:r w:rsidRPr="00D045B3">
        <w:rPr>
          <w:rFonts w:ascii="Times New Roman" w:hAnsi="Times New Roman"/>
        </w:rPr>
        <w:noBreakHyphen/>
        <w:t>re emelése (a teljes dózis nem haladhatja meg a 800 mg</w:t>
      </w:r>
      <w:r w:rsidRPr="00D045B3">
        <w:rPr>
          <w:rFonts w:ascii="Times New Roman" w:hAnsi="Times New Roman"/>
        </w:rPr>
        <w:noBreakHyphen/>
        <w:t>ot) a következő esetekben: a betegség</w:t>
      </w:r>
      <w:r w:rsidR="00D069FF" w:rsidRPr="00D045B3">
        <w:rPr>
          <w:rFonts w:ascii="Times New Roman" w:hAnsi="Times New Roman"/>
        </w:rPr>
        <w:t xml:space="preserve"> (bármely időben bekövetkező)</w:t>
      </w:r>
      <w:r w:rsidRPr="00D045B3">
        <w:rPr>
          <w:rFonts w:ascii="Times New Roman" w:hAnsi="Times New Roman"/>
        </w:rPr>
        <w:t xml:space="preserve"> progresszió</w:t>
      </w:r>
      <w:r w:rsidR="00D069FF" w:rsidRPr="00D045B3">
        <w:rPr>
          <w:rFonts w:ascii="Times New Roman" w:hAnsi="Times New Roman"/>
        </w:rPr>
        <w:t>ja</w:t>
      </w:r>
      <w:r w:rsidRPr="00D045B3">
        <w:rPr>
          <w:rFonts w:ascii="Times New Roman" w:hAnsi="Times New Roman"/>
        </w:rPr>
        <w:t xml:space="preserve">; legalább 3 hónapos kezelést követően sem érhető el megfelelő hematológiai válasz; 12 hónapos kezelés után sincs cytogenetikai válasz; vagy a korábban elért hematológiai és/vagy cytogenetikai válasz már nem tapasztalható. Dózisemeléskor a betegek szoros monitorozása szükséges, mivel a magasabb dózisok mellett fokozódik a mellékhatások előfordulásának kockázata. </w:t>
      </w:r>
    </w:p>
    <w:p w14:paraId="1E927041" w14:textId="77777777" w:rsidR="004B5899" w:rsidRPr="00D045B3" w:rsidRDefault="004B5899" w:rsidP="004B5899">
      <w:pPr>
        <w:pStyle w:val="KeinLeerraum"/>
        <w:rPr>
          <w:rFonts w:ascii="Times New Roman" w:hAnsi="Times New Roman"/>
        </w:rPr>
      </w:pPr>
    </w:p>
    <w:p w14:paraId="1E927042" w14:textId="33A37959" w:rsidR="008357FC" w:rsidRPr="00D045B3" w:rsidRDefault="008357FC" w:rsidP="008A6837">
      <w:pPr>
        <w:pStyle w:val="Default"/>
        <w:keepNext/>
        <w:rPr>
          <w:sz w:val="22"/>
          <w:szCs w:val="22"/>
          <w:u w:val="single"/>
        </w:rPr>
      </w:pPr>
      <w:r w:rsidRPr="00D045B3">
        <w:rPr>
          <w:sz w:val="22"/>
          <w:szCs w:val="22"/>
          <w:u w:val="single"/>
        </w:rPr>
        <w:t>Adagolás Ph+ALL</w:t>
      </w:r>
      <w:r w:rsidRPr="00D045B3">
        <w:rPr>
          <w:sz w:val="22"/>
          <w:szCs w:val="22"/>
          <w:u w:val="single"/>
        </w:rPr>
        <w:noBreakHyphen/>
      </w:r>
      <w:r w:rsidR="00C03210" w:rsidRPr="00D045B3">
        <w:rPr>
          <w:sz w:val="22"/>
          <w:szCs w:val="22"/>
          <w:u w:val="single"/>
        </w:rPr>
        <w:t>es felnőtt betegek számára</w:t>
      </w:r>
    </w:p>
    <w:p w14:paraId="1E927043" w14:textId="77777777" w:rsidR="008357FC" w:rsidRPr="00D045B3" w:rsidRDefault="008357FC" w:rsidP="00CA41FD">
      <w:pPr>
        <w:pStyle w:val="Default"/>
        <w:rPr>
          <w:sz w:val="22"/>
          <w:szCs w:val="22"/>
        </w:rPr>
      </w:pPr>
      <w:r w:rsidRPr="00D045B3">
        <w:rPr>
          <w:sz w:val="22"/>
          <w:szCs w:val="22"/>
        </w:rPr>
        <w:t>Ph+ALL</w:t>
      </w:r>
      <w:r w:rsidRPr="00D045B3">
        <w:rPr>
          <w:sz w:val="22"/>
          <w:szCs w:val="22"/>
        </w:rPr>
        <w:noBreakHyphen/>
        <w:t>ben szenvedő felnőtt betegeknek az imatinib ajánlott dózisa 600 mg/nap. A kezelés minden fázis</w:t>
      </w:r>
      <w:r w:rsidR="008D4D15" w:rsidRPr="00D045B3">
        <w:rPr>
          <w:sz w:val="22"/>
          <w:szCs w:val="22"/>
        </w:rPr>
        <w:t xml:space="preserve">át </w:t>
      </w:r>
      <w:r w:rsidRPr="00D045B3">
        <w:rPr>
          <w:sz w:val="22"/>
          <w:szCs w:val="22"/>
        </w:rPr>
        <w:t>az ezen kórkép kezelésében jártas hematológus szakorvos</w:t>
      </w:r>
      <w:r w:rsidR="00DE7B9C" w:rsidRPr="00D045B3">
        <w:rPr>
          <w:sz w:val="22"/>
          <w:szCs w:val="22"/>
        </w:rPr>
        <w:t>nak kell felügyelnie</w:t>
      </w:r>
      <w:r w:rsidRPr="00D045B3">
        <w:rPr>
          <w:sz w:val="22"/>
          <w:szCs w:val="22"/>
        </w:rPr>
        <w:t xml:space="preserve">. </w:t>
      </w:r>
    </w:p>
    <w:p w14:paraId="1E927044" w14:textId="77777777" w:rsidR="008357FC" w:rsidRPr="00D045B3" w:rsidRDefault="008357FC" w:rsidP="008357FC">
      <w:pPr>
        <w:pStyle w:val="Default"/>
        <w:rPr>
          <w:sz w:val="22"/>
          <w:szCs w:val="22"/>
        </w:rPr>
      </w:pPr>
    </w:p>
    <w:p w14:paraId="1E927045" w14:textId="77777777" w:rsidR="008357FC" w:rsidRPr="00D045B3" w:rsidRDefault="008357FC" w:rsidP="008357FC">
      <w:pPr>
        <w:pStyle w:val="Default"/>
        <w:rPr>
          <w:sz w:val="22"/>
          <w:szCs w:val="22"/>
        </w:rPr>
      </w:pPr>
      <w:r w:rsidRPr="00D045B3">
        <w:rPr>
          <w:sz w:val="22"/>
          <w:szCs w:val="22"/>
        </w:rPr>
        <w:t xml:space="preserve">Kezelési protokoll: a rendelkezésre álló adatok alapján </w:t>
      </w:r>
      <w:r w:rsidR="00E8476D" w:rsidRPr="00D045B3">
        <w:rPr>
          <w:sz w:val="22"/>
          <w:szCs w:val="22"/>
        </w:rPr>
        <w:t>újonnan diagnosztizált Ph+ALL</w:t>
      </w:r>
      <w:r w:rsidR="00E8476D" w:rsidRPr="00D045B3">
        <w:rPr>
          <w:sz w:val="22"/>
          <w:szCs w:val="22"/>
        </w:rPr>
        <w:noBreakHyphen/>
        <w:t>ben szenvedő felnő</w:t>
      </w:r>
      <w:r w:rsidR="00F40067" w:rsidRPr="00D045B3">
        <w:rPr>
          <w:sz w:val="22"/>
          <w:szCs w:val="22"/>
        </w:rPr>
        <w:t>tt betegek</w:t>
      </w:r>
      <w:r w:rsidR="00E8476D" w:rsidRPr="00D045B3">
        <w:rPr>
          <w:sz w:val="22"/>
          <w:szCs w:val="22"/>
        </w:rPr>
        <w:t xml:space="preserve">nél </w:t>
      </w:r>
      <w:r w:rsidR="00F40067" w:rsidRPr="00D045B3">
        <w:rPr>
          <w:sz w:val="22"/>
          <w:szCs w:val="22"/>
        </w:rPr>
        <w:t>a kemoterápiával kombinált 600 </w:t>
      </w:r>
      <w:r w:rsidR="00DE7B9C" w:rsidRPr="00D045B3">
        <w:rPr>
          <w:sz w:val="22"/>
          <w:szCs w:val="22"/>
        </w:rPr>
        <w:t xml:space="preserve">mg/nap </w:t>
      </w:r>
      <w:r w:rsidR="00435D6F" w:rsidRPr="00D045B3">
        <w:rPr>
          <w:sz w:val="22"/>
          <w:szCs w:val="22"/>
        </w:rPr>
        <w:t xml:space="preserve">dózisú </w:t>
      </w:r>
      <w:r w:rsidR="00F40067" w:rsidRPr="00D045B3">
        <w:rPr>
          <w:sz w:val="22"/>
          <w:szCs w:val="22"/>
        </w:rPr>
        <w:t xml:space="preserve">imatinib </w:t>
      </w:r>
      <w:r w:rsidRPr="00D045B3">
        <w:rPr>
          <w:sz w:val="22"/>
          <w:szCs w:val="22"/>
        </w:rPr>
        <w:t>hat</w:t>
      </w:r>
      <w:r w:rsidR="00FD1357" w:rsidRPr="00D045B3">
        <w:rPr>
          <w:sz w:val="22"/>
          <w:szCs w:val="22"/>
        </w:rPr>
        <w:t xml:space="preserve">ásos és </w:t>
      </w:r>
      <w:r w:rsidRPr="00D045B3">
        <w:rPr>
          <w:sz w:val="22"/>
          <w:szCs w:val="22"/>
        </w:rPr>
        <w:t>biztonság</w:t>
      </w:r>
      <w:r w:rsidR="00FD1357" w:rsidRPr="00D045B3">
        <w:rPr>
          <w:sz w:val="22"/>
          <w:szCs w:val="22"/>
        </w:rPr>
        <w:t xml:space="preserve">os </w:t>
      </w:r>
      <w:r w:rsidRPr="00D045B3">
        <w:rPr>
          <w:sz w:val="22"/>
          <w:szCs w:val="22"/>
        </w:rPr>
        <w:t xml:space="preserve">a kemoterápia indukciós, </w:t>
      </w:r>
      <w:r w:rsidR="00435D6F" w:rsidRPr="00D045B3">
        <w:rPr>
          <w:sz w:val="22"/>
          <w:szCs w:val="22"/>
        </w:rPr>
        <w:t xml:space="preserve">valamint </w:t>
      </w:r>
      <w:r w:rsidRPr="00D045B3">
        <w:rPr>
          <w:sz w:val="22"/>
          <w:szCs w:val="22"/>
        </w:rPr>
        <w:t>konszolidációs é</w:t>
      </w:r>
      <w:r w:rsidR="00FD1357" w:rsidRPr="00D045B3">
        <w:rPr>
          <w:sz w:val="22"/>
          <w:szCs w:val="22"/>
        </w:rPr>
        <w:t>s fenntartó fázis</w:t>
      </w:r>
      <w:r w:rsidR="00734CC5" w:rsidRPr="00D045B3">
        <w:rPr>
          <w:sz w:val="22"/>
          <w:szCs w:val="22"/>
        </w:rPr>
        <w:t>ai</w:t>
      </w:r>
      <w:r w:rsidR="00FD1357" w:rsidRPr="00D045B3">
        <w:rPr>
          <w:sz w:val="22"/>
          <w:szCs w:val="22"/>
        </w:rPr>
        <w:t>ban (lásd 5.1 </w:t>
      </w:r>
      <w:r w:rsidRPr="00D045B3">
        <w:rPr>
          <w:sz w:val="22"/>
          <w:szCs w:val="22"/>
        </w:rPr>
        <w:t>pont</w:t>
      </w:r>
      <w:r w:rsidR="00FD1357" w:rsidRPr="00D045B3">
        <w:rPr>
          <w:sz w:val="22"/>
          <w:szCs w:val="22"/>
        </w:rPr>
        <w:t>)</w:t>
      </w:r>
      <w:r w:rsidRPr="00D045B3">
        <w:rPr>
          <w:sz w:val="22"/>
          <w:szCs w:val="22"/>
        </w:rPr>
        <w:t>. A</w:t>
      </w:r>
      <w:r w:rsidR="008609C4" w:rsidRPr="00D045B3">
        <w:rPr>
          <w:sz w:val="22"/>
          <w:szCs w:val="22"/>
        </w:rPr>
        <w:t>z imatinib</w:t>
      </w:r>
      <w:r w:rsidR="008609C4" w:rsidRPr="00D045B3">
        <w:rPr>
          <w:sz w:val="22"/>
          <w:szCs w:val="22"/>
        </w:rPr>
        <w:noBreakHyphen/>
        <w:t>terápia</w:t>
      </w:r>
      <w:r w:rsidRPr="00D045B3">
        <w:rPr>
          <w:sz w:val="22"/>
          <w:szCs w:val="22"/>
        </w:rPr>
        <w:t xml:space="preserve"> időtartama a választott kezelési program függvényében változhat, de a hosszabb </w:t>
      </w:r>
      <w:r w:rsidR="008609C4" w:rsidRPr="00D045B3">
        <w:rPr>
          <w:sz w:val="22"/>
          <w:szCs w:val="22"/>
        </w:rPr>
        <w:t>imatinib</w:t>
      </w:r>
      <w:r w:rsidR="008609C4" w:rsidRPr="00D045B3">
        <w:rPr>
          <w:sz w:val="22"/>
          <w:szCs w:val="22"/>
        </w:rPr>
        <w:noBreakHyphen/>
      </w:r>
      <w:r w:rsidRPr="00D045B3">
        <w:rPr>
          <w:sz w:val="22"/>
          <w:szCs w:val="22"/>
        </w:rPr>
        <w:t xml:space="preserve">kezelés általában jobb eredményekkel járt. </w:t>
      </w:r>
    </w:p>
    <w:p w14:paraId="1E927046" w14:textId="77777777" w:rsidR="008609C4" w:rsidRPr="00D045B3" w:rsidRDefault="008609C4" w:rsidP="008357FC">
      <w:pPr>
        <w:pStyle w:val="Default"/>
        <w:rPr>
          <w:sz w:val="22"/>
          <w:szCs w:val="22"/>
        </w:rPr>
      </w:pPr>
    </w:p>
    <w:p w14:paraId="1E927047" w14:textId="77777777" w:rsidR="008357FC" w:rsidRPr="00D045B3" w:rsidRDefault="008357FC" w:rsidP="008357FC">
      <w:pPr>
        <w:pStyle w:val="Default"/>
        <w:rPr>
          <w:sz w:val="22"/>
          <w:szCs w:val="22"/>
        </w:rPr>
      </w:pPr>
      <w:r w:rsidRPr="00D045B3">
        <w:rPr>
          <w:sz w:val="22"/>
          <w:szCs w:val="22"/>
        </w:rPr>
        <w:t>Recidiváló vagy refrakter Ph+ ALL</w:t>
      </w:r>
      <w:r w:rsidR="008609C4" w:rsidRPr="00D045B3">
        <w:rPr>
          <w:sz w:val="22"/>
          <w:szCs w:val="22"/>
        </w:rPr>
        <w:noBreakHyphen/>
      </w:r>
      <w:r w:rsidRPr="00D045B3">
        <w:rPr>
          <w:sz w:val="22"/>
          <w:szCs w:val="22"/>
        </w:rPr>
        <w:t>ben szenvedő felnőtt betegek esetében a</w:t>
      </w:r>
      <w:r w:rsidR="008609C4" w:rsidRPr="00D045B3">
        <w:rPr>
          <w:sz w:val="22"/>
          <w:szCs w:val="22"/>
        </w:rPr>
        <w:t xml:space="preserve">z imatinib monoterápia 600 </w:t>
      </w:r>
      <w:r w:rsidRPr="00D045B3">
        <w:rPr>
          <w:sz w:val="22"/>
          <w:szCs w:val="22"/>
        </w:rPr>
        <w:t xml:space="preserve">mg/nap </w:t>
      </w:r>
      <w:r w:rsidR="008609C4" w:rsidRPr="00D045B3">
        <w:rPr>
          <w:sz w:val="22"/>
          <w:szCs w:val="22"/>
        </w:rPr>
        <w:t>dózissal biztonságos, hatásos</w:t>
      </w:r>
      <w:r w:rsidRPr="00D045B3">
        <w:rPr>
          <w:sz w:val="22"/>
          <w:szCs w:val="22"/>
        </w:rPr>
        <w:t xml:space="preserve"> és a betegség progressziójáig alkalmazható. </w:t>
      </w:r>
    </w:p>
    <w:p w14:paraId="1E927048" w14:textId="77777777" w:rsidR="008F0D85" w:rsidRPr="00D045B3" w:rsidRDefault="008F0D85" w:rsidP="008F0D85">
      <w:pPr>
        <w:rPr>
          <w:color w:val="000000"/>
          <w:u w:val="single"/>
          <w:lang w:val="hu-HU" w:eastAsia="hu-HU"/>
        </w:rPr>
      </w:pPr>
    </w:p>
    <w:p w14:paraId="1E927049" w14:textId="77777777" w:rsidR="008F0D85" w:rsidRPr="00D045B3" w:rsidRDefault="008F0D85" w:rsidP="008F0D85">
      <w:pPr>
        <w:rPr>
          <w:rFonts w:eastAsia="MS Mincho"/>
          <w:color w:val="000000"/>
          <w:u w:val="single"/>
          <w:lang w:val="hu-HU"/>
        </w:rPr>
      </w:pPr>
      <w:r w:rsidRPr="00D045B3">
        <w:rPr>
          <w:color w:val="000000"/>
          <w:u w:val="single"/>
          <w:lang w:val="hu-HU" w:eastAsia="hu-HU"/>
        </w:rPr>
        <w:t>Adagolás Ph+ALL</w:t>
      </w:r>
      <w:r w:rsidRPr="00D045B3">
        <w:rPr>
          <w:color w:val="000000"/>
          <w:u w:val="single"/>
          <w:lang w:val="hu-HU"/>
        </w:rPr>
        <w:noBreakHyphen/>
        <w:t>es</w:t>
      </w:r>
      <w:r w:rsidRPr="00D045B3">
        <w:rPr>
          <w:color w:val="000000"/>
          <w:u w:val="single"/>
          <w:lang w:val="hu-HU" w:eastAsia="hu-HU"/>
        </w:rPr>
        <w:t xml:space="preserve"> gyermekek</w:t>
      </w:r>
      <w:r w:rsidRPr="00D045B3">
        <w:rPr>
          <w:color w:val="000000"/>
          <w:u w:val="single"/>
          <w:lang w:val="hu-HU"/>
        </w:rPr>
        <w:t xml:space="preserve"> számára</w:t>
      </w:r>
    </w:p>
    <w:p w14:paraId="1E92704A" w14:textId="22ABE413" w:rsidR="008F0D85" w:rsidRPr="00D045B3" w:rsidRDefault="008F0D85" w:rsidP="008F0D85">
      <w:pPr>
        <w:rPr>
          <w:color w:val="000000"/>
          <w:lang w:val="hu-HU"/>
        </w:rPr>
      </w:pPr>
      <w:r w:rsidRPr="00D045B3">
        <w:rPr>
          <w:lang w:val="hu-HU" w:eastAsia="hu-HU"/>
        </w:rPr>
        <w:t xml:space="preserve">Gyermekeknél az adagolás a testfelszín alapján kell </w:t>
      </w:r>
      <w:r w:rsidR="001E231E" w:rsidRPr="00D045B3">
        <w:rPr>
          <w:lang w:val="hu-HU" w:eastAsia="hu-HU"/>
        </w:rPr>
        <w:t xml:space="preserve">kiszámolni </w:t>
      </w:r>
      <w:r w:rsidRPr="00D045B3">
        <w:rPr>
          <w:color w:val="000000"/>
          <w:lang w:val="hu-HU" w:eastAsia="hu-HU"/>
        </w:rPr>
        <w:t>(mg/m</w:t>
      </w:r>
      <w:r w:rsidRPr="00D045B3">
        <w:rPr>
          <w:color w:val="000000"/>
          <w:vertAlign w:val="superscript"/>
          <w:lang w:val="hu-HU" w:eastAsia="hu-HU"/>
        </w:rPr>
        <w:t>2</w:t>
      </w:r>
      <w:r w:rsidRPr="00D045B3">
        <w:rPr>
          <w:color w:val="000000"/>
          <w:lang w:val="hu-HU" w:eastAsia="hu-HU"/>
        </w:rPr>
        <w:t xml:space="preserve">). </w:t>
      </w:r>
      <w:r w:rsidRPr="00D045B3">
        <w:rPr>
          <w:lang w:val="hu-HU" w:eastAsia="hu-HU"/>
        </w:rPr>
        <w:t>A Ph+ALL</w:t>
      </w:r>
      <w:r w:rsidRPr="00D045B3">
        <w:rPr>
          <w:lang w:val="hu-HU"/>
        </w:rPr>
        <w:noBreakHyphen/>
      </w:r>
      <w:r w:rsidRPr="00D045B3">
        <w:rPr>
          <w:lang w:val="hu-HU" w:eastAsia="hu-HU"/>
        </w:rPr>
        <w:t>ben szenvedő gyermekeknél</w:t>
      </w:r>
      <w:r w:rsidRPr="00D045B3">
        <w:rPr>
          <w:lang w:val="hu-HU"/>
        </w:rPr>
        <w:t xml:space="preserve"> nap</w:t>
      </w:r>
      <w:r w:rsidRPr="00D045B3">
        <w:rPr>
          <w:lang w:val="hu-HU" w:eastAsia="hu-HU"/>
        </w:rPr>
        <w:t xml:space="preserve">i </w:t>
      </w:r>
      <w:r w:rsidRPr="00D045B3">
        <w:rPr>
          <w:color w:val="000000"/>
          <w:lang w:val="hu-HU" w:eastAsia="hu-HU"/>
        </w:rPr>
        <w:t>340</w:t>
      </w:r>
      <w:r w:rsidRPr="00D045B3">
        <w:rPr>
          <w:color w:val="000000"/>
          <w:lang w:val="hu-HU"/>
        </w:rPr>
        <w:t> mg</w:t>
      </w:r>
      <w:r w:rsidRPr="00D045B3">
        <w:rPr>
          <w:color w:val="000000"/>
          <w:lang w:val="hu-HU" w:eastAsia="hu-HU"/>
        </w:rPr>
        <w:t>/m</w:t>
      </w:r>
      <w:r w:rsidRPr="00D045B3">
        <w:rPr>
          <w:color w:val="000000"/>
          <w:vertAlign w:val="superscript"/>
          <w:lang w:val="hu-HU" w:eastAsia="hu-HU"/>
        </w:rPr>
        <w:t>2</w:t>
      </w:r>
      <w:r w:rsidRPr="00D045B3">
        <w:rPr>
          <w:color w:val="000000"/>
          <w:lang w:val="hu-HU"/>
        </w:rPr>
        <w:noBreakHyphen/>
      </w:r>
      <w:r w:rsidRPr="00D045B3">
        <w:rPr>
          <w:color w:val="000000"/>
          <w:lang w:val="hu-HU" w:eastAsia="hu-HU"/>
        </w:rPr>
        <w:t>es dózis javasolt (ami nem haladja meg a 600</w:t>
      </w:r>
      <w:r w:rsidRPr="00D045B3">
        <w:rPr>
          <w:color w:val="000000"/>
          <w:lang w:val="hu-HU"/>
        </w:rPr>
        <w:t> mg</w:t>
      </w:r>
      <w:r w:rsidRPr="00D045B3">
        <w:rPr>
          <w:color w:val="000000"/>
          <w:lang w:val="hu-HU"/>
        </w:rPr>
        <w:noBreakHyphen/>
      </w:r>
      <w:r w:rsidRPr="00D045B3">
        <w:rPr>
          <w:color w:val="000000"/>
          <w:lang w:val="hu-HU" w:eastAsia="hu-HU"/>
        </w:rPr>
        <w:t>os összdózist).</w:t>
      </w:r>
    </w:p>
    <w:p w14:paraId="1E92704B" w14:textId="77777777" w:rsidR="008357FC" w:rsidRPr="00D045B3" w:rsidRDefault="008357FC" w:rsidP="008357FC">
      <w:pPr>
        <w:pStyle w:val="Default"/>
        <w:rPr>
          <w:sz w:val="22"/>
          <w:szCs w:val="22"/>
        </w:rPr>
      </w:pPr>
    </w:p>
    <w:p w14:paraId="1E92704C" w14:textId="77777777" w:rsidR="008357FC" w:rsidRPr="00D045B3" w:rsidRDefault="008357FC" w:rsidP="008A6837">
      <w:pPr>
        <w:pStyle w:val="Default"/>
        <w:keepNext/>
        <w:rPr>
          <w:sz w:val="22"/>
          <w:szCs w:val="22"/>
          <w:u w:val="single"/>
        </w:rPr>
      </w:pPr>
      <w:r w:rsidRPr="00D045B3">
        <w:rPr>
          <w:sz w:val="22"/>
          <w:szCs w:val="22"/>
          <w:u w:val="single"/>
        </w:rPr>
        <w:t>Adagolás MDS/MPD</w:t>
      </w:r>
      <w:r w:rsidR="008609C4" w:rsidRPr="00D045B3">
        <w:rPr>
          <w:sz w:val="22"/>
          <w:szCs w:val="22"/>
          <w:u w:val="single"/>
        </w:rPr>
        <w:noBreakHyphen/>
        <w:t>ben</w:t>
      </w:r>
    </w:p>
    <w:p w14:paraId="1E92704D" w14:textId="77777777" w:rsidR="008357FC" w:rsidRPr="00D045B3" w:rsidRDefault="008357FC" w:rsidP="00CA41FD">
      <w:pPr>
        <w:pStyle w:val="Default"/>
        <w:rPr>
          <w:sz w:val="22"/>
          <w:szCs w:val="22"/>
        </w:rPr>
      </w:pPr>
      <w:r w:rsidRPr="00D045B3">
        <w:rPr>
          <w:sz w:val="22"/>
          <w:szCs w:val="22"/>
        </w:rPr>
        <w:t>MDS/MPD</w:t>
      </w:r>
      <w:r w:rsidR="00F44BB5" w:rsidRPr="00D045B3">
        <w:rPr>
          <w:sz w:val="22"/>
          <w:szCs w:val="22"/>
        </w:rPr>
        <w:noBreakHyphen/>
      </w:r>
      <w:r w:rsidRPr="00D045B3">
        <w:rPr>
          <w:sz w:val="22"/>
          <w:szCs w:val="22"/>
        </w:rPr>
        <w:t>ben szenvedő felnőtt betegeknek a</w:t>
      </w:r>
      <w:r w:rsidR="00F44BB5" w:rsidRPr="00D045B3">
        <w:rPr>
          <w:sz w:val="22"/>
          <w:szCs w:val="22"/>
        </w:rPr>
        <w:t>z imatinib</w:t>
      </w:r>
      <w:r w:rsidRPr="00D045B3">
        <w:rPr>
          <w:sz w:val="22"/>
          <w:szCs w:val="22"/>
        </w:rPr>
        <w:t xml:space="preserve"> ajánlott </w:t>
      </w:r>
      <w:r w:rsidR="00F44BB5" w:rsidRPr="00D045B3">
        <w:rPr>
          <w:sz w:val="22"/>
          <w:szCs w:val="22"/>
        </w:rPr>
        <w:t>dózisa 400 </w:t>
      </w:r>
      <w:r w:rsidRPr="00D045B3">
        <w:rPr>
          <w:sz w:val="22"/>
          <w:szCs w:val="22"/>
        </w:rPr>
        <w:t xml:space="preserve">mg/nap. </w:t>
      </w:r>
    </w:p>
    <w:p w14:paraId="1E92704E" w14:textId="77777777" w:rsidR="008609C4" w:rsidRPr="00D045B3" w:rsidRDefault="008609C4" w:rsidP="008357FC">
      <w:pPr>
        <w:pStyle w:val="Default"/>
        <w:rPr>
          <w:sz w:val="22"/>
          <w:szCs w:val="22"/>
        </w:rPr>
      </w:pPr>
    </w:p>
    <w:p w14:paraId="1E92704F" w14:textId="77777777" w:rsidR="008357FC" w:rsidRPr="00D045B3" w:rsidRDefault="008357FC" w:rsidP="008357FC">
      <w:pPr>
        <w:pStyle w:val="Default"/>
        <w:rPr>
          <w:sz w:val="22"/>
          <w:szCs w:val="22"/>
        </w:rPr>
      </w:pPr>
      <w:r w:rsidRPr="00D045B3">
        <w:rPr>
          <w:sz w:val="22"/>
          <w:szCs w:val="22"/>
        </w:rPr>
        <w:t>A kezelés időtartama: Az e</w:t>
      </w:r>
      <w:r w:rsidR="00F44BB5" w:rsidRPr="00D045B3">
        <w:rPr>
          <w:sz w:val="22"/>
          <w:szCs w:val="22"/>
        </w:rPr>
        <w:t>ddig</w:t>
      </w:r>
      <w:r w:rsidRPr="00D045B3">
        <w:rPr>
          <w:sz w:val="22"/>
          <w:szCs w:val="22"/>
        </w:rPr>
        <w:t xml:space="preserve"> elvégzett egyetlen klinikai vizsgálatban a</w:t>
      </w:r>
      <w:r w:rsidR="00F44BB5" w:rsidRPr="00D045B3">
        <w:rPr>
          <w:sz w:val="22"/>
          <w:szCs w:val="22"/>
        </w:rPr>
        <w:t>z imatinib</w:t>
      </w:r>
      <w:r w:rsidR="0059609C" w:rsidRPr="00D045B3">
        <w:rPr>
          <w:sz w:val="22"/>
          <w:szCs w:val="22"/>
        </w:rPr>
        <w:noBreakHyphen/>
      </w:r>
      <w:r w:rsidRPr="00D045B3">
        <w:rPr>
          <w:sz w:val="22"/>
          <w:szCs w:val="22"/>
        </w:rPr>
        <w:t>kezelést a betegség progr</w:t>
      </w:r>
      <w:r w:rsidR="00F44BB5" w:rsidRPr="00D045B3">
        <w:rPr>
          <w:sz w:val="22"/>
          <w:szCs w:val="22"/>
        </w:rPr>
        <w:t>essziójáig folytatták (lásd 5.1 </w:t>
      </w:r>
      <w:r w:rsidRPr="00D045B3">
        <w:rPr>
          <w:sz w:val="22"/>
          <w:szCs w:val="22"/>
        </w:rPr>
        <w:t>pont). Az analízis időpontjában a kezelés időtartamának medián</w:t>
      </w:r>
      <w:r w:rsidR="00F44BB5" w:rsidRPr="00D045B3">
        <w:rPr>
          <w:sz w:val="22"/>
          <w:szCs w:val="22"/>
        </w:rPr>
        <w:t xml:space="preserve"> értéke 47</w:t>
      </w:r>
      <w:r w:rsidR="0059609C" w:rsidRPr="00D045B3">
        <w:rPr>
          <w:sz w:val="22"/>
          <w:szCs w:val="22"/>
        </w:rPr>
        <w:t> </w:t>
      </w:r>
      <w:r w:rsidR="00F44BB5" w:rsidRPr="00D045B3">
        <w:rPr>
          <w:sz w:val="22"/>
          <w:szCs w:val="22"/>
        </w:rPr>
        <w:t>hónap (24 </w:t>
      </w:r>
      <w:r w:rsidRPr="00D045B3">
        <w:rPr>
          <w:sz w:val="22"/>
          <w:szCs w:val="22"/>
        </w:rPr>
        <w:t>nap</w:t>
      </w:r>
      <w:r w:rsidR="00F44BB5" w:rsidRPr="00D045B3">
        <w:rPr>
          <w:sz w:val="22"/>
          <w:szCs w:val="22"/>
        </w:rPr>
        <w:noBreakHyphen/>
        <w:t>60 </w:t>
      </w:r>
      <w:r w:rsidRPr="00D045B3">
        <w:rPr>
          <w:sz w:val="22"/>
          <w:szCs w:val="22"/>
        </w:rPr>
        <w:t xml:space="preserve">hónap) volt. </w:t>
      </w:r>
    </w:p>
    <w:p w14:paraId="1E927050" w14:textId="77777777" w:rsidR="00F44BB5" w:rsidRPr="00D045B3" w:rsidRDefault="00F44BB5" w:rsidP="008357FC">
      <w:pPr>
        <w:pStyle w:val="Default"/>
        <w:rPr>
          <w:sz w:val="22"/>
          <w:szCs w:val="22"/>
        </w:rPr>
      </w:pPr>
    </w:p>
    <w:p w14:paraId="1E927051" w14:textId="77777777" w:rsidR="008357FC" w:rsidRPr="00D045B3" w:rsidRDefault="008357FC" w:rsidP="008A6837">
      <w:pPr>
        <w:pStyle w:val="Default"/>
        <w:keepNext/>
        <w:rPr>
          <w:sz w:val="22"/>
          <w:szCs w:val="22"/>
          <w:u w:val="single"/>
        </w:rPr>
      </w:pPr>
      <w:r w:rsidRPr="00D045B3">
        <w:rPr>
          <w:sz w:val="22"/>
          <w:szCs w:val="22"/>
          <w:u w:val="single"/>
        </w:rPr>
        <w:t>Adagolás HES/CEL</w:t>
      </w:r>
      <w:r w:rsidR="00F44BB5" w:rsidRPr="00D045B3">
        <w:rPr>
          <w:sz w:val="22"/>
          <w:szCs w:val="22"/>
          <w:u w:val="single"/>
        </w:rPr>
        <w:noBreakHyphen/>
      </w:r>
      <w:r w:rsidRPr="00D045B3">
        <w:rPr>
          <w:sz w:val="22"/>
          <w:szCs w:val="22"/>
          <w:u w:val="single"/>
        </w:rPr>
        <w:t xml:space="preserve">ben </w:t>
      </w:r>
    </w:p>
    <w:p w14:paraId="1E927052" w14:textId="77777777" w:rsidR="008357FC" w:rsidRPr="00D045B3" w:rsidRDefault="008357FC" w:rsidP="00CA41FD">
      <w:pPr>
        <w:pStyle w:val="Default"/>
        <w:rPr>
          <w:sz w:val="22"/>
          <w:szCs w:val="22"/>
        </w:rPr>
      </w:pPr>
      <w:r w:rsidRPr="00D045B3">
        <w:rPr>
          <w:sz w:val="22"/>
          <w:szCs w:val="22"/>
        </w:rPr>
        <w:t>HES/CEL</w:t>
      </w:r>
      <w:r w:rsidR="00F44BB5" w:rsidRPr="00D045B3">
        <w:rPr>
          <w:sz w:val="22"/>
          <w:szCs w:val="22"/>
        </w:rPr>
        <w:noBreakHyphen/>
      </w:r>
      <w:r w:rsidRPr="00D045B3">
        <w:rPr>
          <w:sz w:val="22"/>
          <w:szCs w:val="22"/>
        </w:rPr>
        <w:t>ben szenvedő felnőtt betegek</w:t>
      </w:r>
      <w:r w:rsidR="0059609C" w:rsidRPr="00D045B3">
        <w:rPr>
          <w:sz w:val="22"/>
          <w:szCs w:val="22"/>
        </w:rPr>
        <w:t xml:space="preserve"> számára</w:t>
      </w:r>
      <w:r w:rsidRPr="00D045B3">
        <w:rPr>
          <w:sz w:val="22"/>
          <w:szCs w:val="22"/>
        </w:rPr>
        <w:t xml:space="preserve"> a</w:t>
      </w:r>
      <w:r w:rsidR="007816DB" w:rsidRPr="00D045B3">
        <w:rPr>
          <w:sz w:val="22"/>
          <w:szCs w:val="22"/>
        </w:rPr>
        <w:t xml:space="preserve">z imatinib ajánlott </w:t>
      </w:r>
      <w:r w:rsidR="0059609C" w:rsidRPr="00D045B3">
        <w:rPr>
          <w:sz w:val="22"/>
          <w:szCs w:val="22"/>
        </w:rPr>
        <w:t>dózisa</w:t>
      </w:r>
      <w:r w:rsidR="007816DB" w:rsidRPr="00D045B3">
        <w:rPr>
          <w:sz w:val="22"/>
          <w:szCs w:val="22"/>
        </w:rPr>
        <w:t xml:space="preserve"> 100 </w:t>
      </w:r>
      <w:r w:rsidRPr="00D045B3">
        <w:rPr>
          <w:sz w:val="22"/>
          <w:szCs w:val="22"/>
        </w:rPr>
        <w:t xml:space="preserve">mg/nap. </w:t>
      </w:r>
    </w:p>
    <w:p w14:paraId="1E927053" w14:textId="77777777" w:rsidR="007816DB" w:rsidRPr="00D045B3" w:rsidRDefault="007816DB" w:rsidP="008357FC">
      <w:pPr>
        <w:pStyle w:val="Default"/>
        <w:rPr>
          <w:sz w:val="22"/>
          <w:szCs w:val="22"/>
        </w:rPr>
      </w:pPr>
    </w:p>
    <w:p w14:paraId="1E927054" w14:textId="77777777" w:rsidR="008357FC" w:rsidRPr="00D045B3" w:rsidRDefault="007816DB" w:rsidP="008357FC">
      <w:pPr>
        <w:pStyle w:val="Default"/>
        <w:rPr>
          <w:sz w:val="22"/>
          <w:szCs w:val="22"/>
        </w:rPr>
      </w:pPr>
      <w:r w:rsidRPr="00D045B3">
        <w:rPr>
          <w:sz w:val="22"/>
          <w:szCs w:val="22"/>
        </w:rPr>
        <w:t>Gyógyszer</w:t>
      </w:r>
      <w:r w:rsidRPr="00D045B3">
        <w:rPr>
          <w:sz w:val="22"/>
          <w:szCs w:val="22"/>
        </w:rPr>
        <w:noBreakHyphen/>
        <w:t>mellékhatások hiányában megfontolható a dózis 100 mg</w:t>
      </w:r>
      <w:r w:rsidRPr="00D045B3">
        <w:rPr>
          <w:sz w:val="22"/>
          <w:szCs w:val="22"/>
        </w:rPr>
        <w:noBreakHyphen/>
        <w:t>ról 400 mg</w:t>
      </w:r>
      <w:r w:rsidRPr="00D045B3">
        <w:rPr>
          <w:sz w:val="22"/>
          <w:szCs w:val="22"/>
        </w:rPr>
        <w:noBreakHyphen/>
        <w:t xml:space="preserve">ra történő emelése, </w:t>
      </w:r>
      <w:r w:rsidR="00F57DE0" w:rsidRPr="00D045B3">
        <w:rPr>
          <w:sz w:val="22"/>
          <w:szCs w:val="22"/>
        </w:rPr>
        <w:t>ha</w:t>
      </w:r>
      <w:r w:rsidR="008357FC" w:rsidRPr="00D045B3">
        <w:rPr>
          <w:sz w:val="22"/>
          <w:szCs w:val="22"/>
        </w:rPr>
        <w:t xml:space="preserve"> az eredmények értékelése </w:t>
      </w:r>
      <w:r w:rsidR="00A647B4" w:rsidRPr="00D045B3">
        <w:rPr>
          <w:sz w:val="22"/>
          <w:szCs w:val="22"/>
        </w:rPr>
        <w:t>elégtelen</w:t>
      </w:r>
      <w:r w:rsidR="008357FC" w:rsidRPr="00D045B3">
        <w:rPr>
          <w:sz w:val="22"/>
          <w:szCs w:val="22"/>
        </w:rPr>
        <w:t xml:space="preserve"> terápiás válasz</w:t>
      </w:r>
      <w:r w:rsidR="00A647B4" w:rsidRPr="00D045B3">
        <w:rPr>
          <w:sz w:val="22"/>
          <w:szCs w:val="22"/>
        </w:rPr>
        <w:t>t</w:t>
      </w:r>
      <w:r w:rsidR="008357FC" w:rsidRPr="00D045B3">
        <w:rPr>
          <w:sz w:val="22"/>
          <w:szCs w:val="22"/>
        </w:rPr>
        <w:t xml:space="preserve"> muta</w:t>
      </w:r>
      <w:r w:rsidRPr="00D045B3">
        <w:rPr>
          <w:sz w:val="22"/>
          <w:szCs w:val="22"/>
        </w:rPr>
        <w:t>t</w:t>
      </w:r>
      <w:r w:rsidR="008357FC" w:rsidRPr="00D045B3">
        <w:rPr>
          <w:sz w:val="22"/>
          <w:szCs w:val="22"/>
        </w:rPr>
        <w:t xml:space="preserve">. </w:t>
      </w:r>
    </w:p>
    <w:p w14:paraId="1E927055" w14:textId="77777777" w:rsidR="00A647B4" w:rsidRPr="00D045B3" w:rsidRDefault="00A647B4" w:rsidP="008357FC">
      <w:pPr>
        <w:pStyle w:val="Default"/>
        <w:rPr>
          <w:sz w:val="22"/>
          <w:szCs w:val="22"/>
        </w:rPr>
      </w:pPr>
    </w:p>
    <w:p w14:paraId="1E927056" w14:textId="77777777" w:rsidR="008357FC" w:rsidRPr="00D045B3" w:rsidRDefault="008357FC" w:rsidP="008357FC">
      <w:pPr>
        <w:pStyle w:val="Default"/>
        <w:rPr>
          <w:sz w:val="22"/>
          <w:szCs w:val="22"/>
        </w:rPr>
      </w:pPr>
      <w:r w:rsidRPr="00D045B3">
        <w:rPr>
          <w:sz w:val="22"/>
          <w:szCs w:val="22"/>
        </w:rPr>
        <w:t xml:space="preserve">A kezelést mindaddig folytatni kell, amíg az a beteg számára előnyös. </w:t>
      </w:r>
    </w:p>
    <w:p w14:paraId="1E927057" w14:textId="77777777" w:rsidR="00A647B4" w:rsidRPr="00D045B3" w:rsidRDefault="00A647B4" w:rsidP="008357FC">
      <w:pPr>
        <w:pStyle w:val="Default"/>
        <w:rPr>
          <w:sz w:val="22"/>
          <w:szCs w:val="22"/>
        </w:rPr>
      </w:pPr>
    </w:p>
    <w:p w14:paraId="1E927058" w14:textId="77777777" w:rsidR="008357FC" w:rsidRPr="00D045B3" w:rsidRDefault="00A647B4" w:rsidP="00CA41FD">
      <w:pPr>
        <w:pStyle w:val="Default"/>
        <w:keepNext/>
        <w:rPr>
          <w:sz w:val="22"/>
          <w:szCs w:val="22"/>
          <w:u w:val="single"/>
        </w:rPr>
      </w:pPr>
      <w:r w:rsidRPr="00D045B3">
        <w:rPr>
          <w:sz w:val="22"/>
          <w:szCs w:val="22"/>
          <w:u w:val="single"/>
        </w:rPr>
        <w:t>A</w:t>
      </w:r>
      <w:r w:rsidR="008357FC" w:rsidRPr="00D045B3">
        <w:rPr>
          <w:sz w:val="22"/>
          <w:szCs w:val="22"/>
          <w:u w:val="single"/>
        </w:rPr>
        <w:t>dagolás DFSP</w:t>
      </w:r>
      <w:r w:rsidRPr="00D045B3">
        <w:rPr>
          <w:sz w:val="22"/>
          <w:szCs w:val="22"/>
          <w:u w:val="single"/>
        </w:rPr>
        <w:noBreakHyphen/>
      </w:r>
      <w:r w:rsidR="008357FC" w:rsidRPr="00D045B3">
        <w:rPr>
          <w:sz w:val="22"/>
          <w:szCs w:val="22"/>
          <w:u w:val="single"/>
        </w:rPr>
        <w:t xml:space="preserve">ben </w:t>
      </w:r>
    </w:p>
    <w:p w14:paraId="1E927059" w14:textId="77777777" w:rsidR="008357FC" w:rsidRPr="00D045B3" w:rsidRDefault="008357FC" w:rsidP="008357FC">
      <w:pPr>
        <w:pStyle w:val="Default"/>
        <w:rPr>
          <w:sz w:val="22"/>
          <w:szCs w:val="22"/>
        </w:rPr>
      </w:pPr>
      <w:r w:rsidRPr="00D045B3">
        <w:rPr>
          <w:sz w:val="22"/>
          <w:szCs w:val="22"/>
        </w:rPr>
        <w:t>DFSP</w:t>
      </w:r>
      <w:r w:rsidR="00A647B4" w:rsidRPr="00D045B3">
        <w:rPr>
          <w:sz w:val="22"/>
          <w:szCs w:val="22"/>
        </w:rPr>
        <w:noBreakHyphen/>
      </w:r>
      <w:r w:rsidRPr="00D045B3">
        <w:rPr>
          <w:sz w:val="22"/>
          <w:szCs w:val="22"/>
        </w:rPr>
        <w:t>ben szenvedő felnőtt betegeknek a</w:t>
      </w:r>
      <w:r w:rsidR="00A647B4" w:rsidRPr="00D045B3">
        <w:rPr>
          <w:sz w:val="22"/>
          <w:szCs w:val="22"/>
        </w:rPr>
        <w:t>z imatinib</w:t>
      </w:r>
      <w:r w:rsidRPr="00D045B3">
        <w:rPr>
          <w:sz w:val="22"/>
          <w:szCs w:val="22"/>
        </w:rPr>
        <w:t xml:space="preserve"> ajánlott </w:t>
      </w:r>
      <w:r w:rsidR="00A647B4" w:rsidRPr="00D045B3">
        <w:rPr>
          <w:sz w:val="22"/>
          <w:szCs w:val="22"/>
        </w:rPr>
        <w:t>dózisa</w:t>
      </w:r>
      <w:r w:rsidRPr="00D045B3">
        <w:rPr>
          <w:sz w:val="22"/>
          <w:szCs w:val="22"/>
        </w:rPr>
        <w:t xml:space="preserve"> 800</w:t>
      </w:r>
      <w:r w:rsidR="00A647B4" w:rsidRPr="00D045B3">
        <w:rPr>
          <w:sz w:val="22"/>
          <w:szCs w:val="22"/>
        </w:rPr>
        <w:t> </w:t>
      </w:r>
      <w:r w:rsidRPr="00D045B3">
        <w:rPr>
          <w:sz w:val="22"/>
          <w:szCs w:val="22"/>
        </w:rPr>
        <w:t xml:space="preserve">mg/nap. </w:t>
      </w:r>
    </w:p>
    <w:p w14:paraId="1E92705A" w14:textId="77777777" w:rsidR="008357FC" w:rsidRPr="00D045B3" w:rsidRDefault="008357FC" w:rsidP="008357FC">
      <w:pPr>
        <w:pStyle w:val="KeinLeerraum"/>
        <w:rPr>
          <w:rFonts w:ascii="Times New Roman" w:hAnsi="Times New Roman"/>
        </w:rPr>
      </w:pPr>
    </w:p>
    <w:p w14:paraId="1E92705B" w14:textId="77777777" w:rsidR="004B5899" w:rsidRPr="00D045B3" w:rsidRDefault="004B5899" w:rsidP="0048256A">
      <w:pPr>
        <w:pStyle w:val="KeinLeerraum"/>
        <w:keepNext/>
        <w:rPr>
          <w:rFonts w:ascii="Times New Roman" w:hAnsi="Times New Roman"/>
          <w:u w:val="single"/>
        </w:rPr>
      </w:pPr>
      <w:r w:rsidRPr="00D045B3">
        <w:rPr>
          <w:rFonts w:ascii="Times New Roman" w:hAnsi="Times New Roman"/>
          <w:u w:val="single"/>
        </w:rPr>
        <w:t xml:space="preserve">Dózismódosítás mellékhatások jelentkezése miatt </w:t>
      </w:r>
    </w:p>
    <w:p w14:paraId="1E92705C" w14:textId="77777777" w:rsidR="004B5899" w:rsidRPr="00D045B3" w:rsidRDefault="004B5899" w:rsidP="0048256A">
      <w:pPr>
        <w:pStyle w:val="KeinLeerraum"/>
        <w:keepNext/>
        <w:rPr>
          <w:rFonts w:ascii="Times New Roman" w:hAnsi="Times New Roman"/>
        </w:rPr>
      </w:pPr>
      <w:r w:rsidRPr="00D045B3">
        <w:rPr>
          <w:rFonts w:ascii="Times New Roman" w:hAnsi="Times New Roman"/>
          <w:i/>
          <w:iCs/>
        </w:rPr>
        <w:t xml:space="preserve">Nem hematológiai mellékhatások </w:t>
      </w:r>
    </w:p>
    <w:p w14:paraId="1E92705D" w14:textId="77777777" w:rsidR="004B5899" w:rsidRPr="00D045B3" w:rsidRDefault="004B5899" w:rsidP="00CA41FD">
      <w:pPr>
        <w:pStyle w:val="KeinLeerraum"/>
        <w:rPr>
          <w:rFonts w:ascii="Times New Roman" w:hAnsi="Times New Roman"/>
        </w:rPr>
      </w:pPr>
      <w:r w:rsidRPr="00D045B3">
        <w:rPr>
          <w:rFonts w:ascii="Times New Roman" w:hAnsi="Times New Roman"/>
        </w:rPr>
        <w:t xml:space="preserve">Ha súlyos, nem hematológiai mellékhatás lép fel az </w:t>
      </w:r>
      <w:r w:rsidR="00DB7EEE" w:rsidRPr="00D045B3">
        <w:rPr>
          <w:rFonts w:ascii="Times New Roman" w:hAnsi="Times New Roman"/>
        </w:rPr>
        <w:t>i</w:t>
      </w:r>
      <w:r w:rsidR="00CE7293" w:rsidRPr="00D045B3">
        <w:rPr>
          <w:rFonts w:ascii="Times New Roman" w:hAnsi="Times New Roman"/>
        </w:rPr>
        <w:t xml:space="preserve">matinib </w:t>
      </w:r>
      <w:r w:rsidRPr="00D045B3">
        <w:rPr>
          <w:rFonts w:ascii="Times New Roman" w:hAnsi="Times New Roman"/>
        </w:rPr>
        <w:t xml:space="preserve">alkalmazása során, a kezelést fel kell függeszteni, amíg az állapot nem rendeződik. Ezután a kezelés szükség szerint újrakezdhető az esemény kezdeti súlyosságától függően. </w:t>
      </w:r>
    </w:p>
    <w:p w14:paraId="1E92705E" w14:textId="77777777" w:rsidR="004B5899" w:rsidRPr="00D045B3" w:rsidRDefault="004B5899" w:rsidP="004B5899">
      <w:pPr>
        <w:pStyle w:val="KeinLeerraum"/>
        <w:rPr>
          <w:rFonts w:ascii="Times New Roman" w:hAnsi="Times New Roman"/>
        </w:rPr>
      </w:pPr>
    </w:p>
    <w:p w14:paraId="1E92705F" w14:textId="7F486790" w:rsidR="004B5899" w:rsidRPr="00D045B3" w:rsidRDefault="004B5899" w:rsidP="004B5899">
      <w:pPr>
        <w:pStyle w:val="KeinLeerraum"/>
        <w:rPr>
          <w:rFonts w:ascii="Times New Roman" w:hAnsi="Times New Roman"/>
        </w:rPr>
      </w:pPr>
      <w:r w:rsidRPr="00D045B3">
        <w:rPr>
          <w:rFonts w:ascii="Times New Roman" w:hAnsi="Times New Roman"/>
        </w:rPr>
        <w:t xml:space="preserve">Ha a bilirubinszint emelkedése meghaladja a helyi normálérték felső határának (Institutional Upper Limit of Normal/IULN) a háromszorosát, vagy a máj transzaminázok esetében az IULN ötszörösét, az </w:t>
      </w:r>
      <w:r w:rsidR="00DB7EEE" w:rsidRPr="00D045B3">
        <w:rPr>
          <w:rFonts w:ascii="Times New Roman" w:hAnsi="Times New Roman"/>
        </w:rPr>
        <w:t>i</w:t>
      </w:r>
      <w:r w:rsidR="00CE7293" w:rsidRPr="00D045B3">
        <w:rPr>
          <w:rFonts w:ascii="Times New Roman" w:hAnsi="Times New Roman"/>
        </w:rPr>
        <w:t>matinib</w:t>
      </w:r>
      <w:r w:rsidR="0048256A" w:rsidRPr="00D045B3">
        <w:rPr>
          <w:rFonts w:ascii="Times New Roman" w:hAnsi="Times New Roman"/>
        </w:rPr>
        <w:noBreakHyphen/>
      </w:r>
      <w:r w:rsidRPr="00D045B3">
        <w:rPr>
          <w:rFonts w:ascii="Times New Roman" w:hAnsi="Times New Roman"/>
        </w:rPr>
        <w:t>kezelést fel kell függeszteni addig, amíg a bilirubinszint az IULN kevesebb, mint 1,5</w:t>
      </w:r>
      <w:r w:rsidRPr="00D045B3">
        <w:rPr>
          <w:rFonts w:ascii="Times New Roman" w:hAnsi="Times New Roman"/>
        </w:rPr>
        <w:noBreakHyphen/>
        <w:t>szeresére, illetve a transzamináz érték az IULN kevesebb, mint 2,5</w:t>
      </w:r>
      <w:r w:rsidRPr="00D045B3">
        <w:rPr>
          <w:rFonts w:ascii="Times New Roman" w:hAnsi="Times New Roman"/>
        </w:rPr>
        <w:noBreakHyphen/>
        <w:t xml:space="preserve">szeresére csökken. Az </w:t>
      </w:r>
      <w:r w:rsidR="00DB7EEE" w:rsidRPr="00D045B3">
        <w:rPr>
          <w:rFonts w:ascii="Times New Roman" w:hAnsi="Times New Roman"/>
        </w:rPr>
        <w:t>i</w:t>
      </w:r>
      <w:r w:rsidR="00CE7293" w:rsidRPr="00D045B3">
        <w:rPr>
          <w:rFonts w:ascii="Times New Roman" w:hAnsi="Times New Roman"/>
        </w:rPr>
        <w:t>matinib</w:t>
      </w:r>
      <w:r w:rsidR="00DB7EEE" w:rsidRPr="00D045B3">
        <w:rPr>
          <w:rFonts w:ascii="Times New Roman" w:hAnsi="Times New Roman"/>
        </w:rPr>
        <w:noBreakHyphen/>
      </w:r>
      <w:r w:rsidRPr="00D045B3">
        <w:rPr>
          <w:rFonts w:ascii="Times New Roman" w:hAnsi="Times New Roman"/>
        </w:rPr>
        <w:t xml:space="preserve">terápia ekkor csökkentett napi dózisokkal folytatható. Felnőttek esetében a dózis </w:t>
      </w:r>
      <w:r w:rsidR="00D069FF" w:rsidRPr="00D045B3">
        <w:rPr>
          <w:rFonts w:ascii="Times New Roman" w:hAnsi="Times New Roman"/>
        </w:rPr>
        <w:t xml:space="preserve">napi </w:t>
      </w:r>
      <w:r w:rsidR="007377F1" w:rsidRPr="00D045B3">
        <w:rPr>
          <w:rFonts w:ascii="Times New Roman" w:hAnsi="Times New Roman"/>
        </w:rPr>
        <w:t>400 mg</w:t>
      </w:r>
      <w:r w:rsidR="007377F1" w:rsidRPr="00D045B3">
        <w:rPr>
          <w:rFonts w:ascii="Times New Roman" w:hAnsi="Times New Roman"/>
        </w:rPr>
        <w:noBreakHyphen/>
        <w:t>ról 300 mg</w:t>
      </w:r>
      <w:r w:rsidR="007377F1" w:rsidRPr="00D045B3">
        <w:rPr>
          <w:rFonts w:ascii="Times New Roman" w:hAnsi="Times New Roman"/>
        </w:rPr>
        <w:noBreakHyphen/>
        <w:t xml:space="preserve">ra, vagy </w:t>
      </w:r>
      <w:r w:rsidRPr="00D045B3">
        <w:rPr>
          <w:rFonts w:ascii="Times New Roman" w:hAnsi="Times New Roman"/>
        </w:rPr>
        <w:t>600 mg</w:t>
      </w:r>
      <w:r w:rsidRPr="00D045B3">
        <w:rPr>
          <w:rFonts w:ascii="Times New Roman" w:hAnsi="Times New Roman"/>
        </w:rPr>
        <w:noBreakHyphen/>
        <w:t>ról 400 mg</w:t>
      </w:r>
      <w:r w:rsidRPr="00D045B3">
        <w:rPr>
          <w:rFonts w:ascii="Times New Roman" w:hAnsi="Times New Roman"/>
        </w:rPr>
        <w:noBreakHyphen/>
        <w:t xml:space="preserve">ra, </w:t>
      </w:r>
      <w:r w:rsidR="00D069FF" w:rsidRPr="00D045B3">
        <w:rPr>
          <w:rFonts w:ascii="Times New Roman" w:hAnsi="Times New Roman"/>
        </w:rPr>
        <w:t xml:space="preserve">vagy </w:t>
      </w:r>
      <w:r w:rsidRPr="00D045B3">
        <w:rPr>
          <w:rFonts w:ascii="Times New Roman" w:hAnsi="Times New Roman"/>
        </w:rPr>
        <w:t>800 mg</w:t>
      </w:r>
      <w:r w:rsidRPr="00D045B3">
        <w:rPr>
          <w:rFonts w:ascii="Times New Roman" w:hAnsi="Times New Roman"/>
        </w:rPr>
        <w:noBreakHyphen/>
        <w:t>ról 600 mg</w:t>
      </w:r>
      <w:r w:rsidRPr="00D045B3">
        <w:rPr>
          <w:rFonts w:ascii="Times New Roman" w:hAnsi="Times New Roman"/>
        </w:rPr>
        <w:noBreakHyphen/>
        <w:t xml:space="preserve">ra, gyermekeknél </w:t>
      </w:r>
      <w:r w:rsidR="006C2D1E" w:rsidRPr="00D045B3">
        <w:rPr>
          <w:rFonts w:ascii="Times New Roman" w:hAnsi="Times New Roman"/>
        </w:rPr>
        <w:t xml:space="preserve">pedig </w:t>
      </w:r>
      <w:r w:rsidRPr="00D045B3">
        <w:rPr>
          <w:rFonts w:ascii="Times New Roman" w:hAnsi="Times New Roman"/>
        </w:rPr>
        <w:t>340 mg</w:t>
      </w:r>
      <w:r w:rsidR="001E231E" w:rsidRPr="00D045B3">
        <w:rPr>
          <w:rFonts w:ascii="Times New Roman" w:hAnsi="Times New Roman"/>
        </w:rPr>
        <w:t>/m</w:t>
      </w:r>
      <w:r w:rsidR="001E231E" w:rsidRPr="00D045B3">
        <w:rPr>
          <w:rFonts w:ascii="Times New Roman" w:hAnsi="Times New Roman"/>
          <w:vertAlign w:val="superscript"/>
        </w:rPr>
        <w:t>2</w:t>
      </w:r>
      <w:r w:rsidR="001E231E" w:rsidRPr="00D045B3">
        <w:rPr>
          <w:rFonts w:ascii="Times New Roman" w:hAnsi="Times New Roman"/>
        </w:rPr>
        <w:t>/nap</w:t>
      </w:r>
      <w:r w:rsidRPr="00D045B3">
        <w:rPr>
          <w:rFonts w:ascii="Times New Roman" w:hAnsi="Times New Roman"/>
        </w:rPr>
        <w:t>ról 260 mg/m</w:t>
      </w:r>
      <w:r w:rsidRPr="00D045B3">
        <w:rPr>
          <w:rFonts w:ascii="Times New Roman" w:hAnsi="Times New Roman"/>
          <w:vertAlign w:val="superscript"/>
        </w:rPr>
        <w:t>2</w:t>
      </w:r>
      <w:r w:rsidRPr="00D045B3">
        <w:rPr>
          <w:rFonts w:ascii="Times New Roman" w:hAnsi="Times New Roman"/>
        </w:rPr>
        <w:t xml:space="preserve">/napra csökkentendő. </w:t>
      </w:r>
    </w:p>
    <w:p w14:paraId="1E927060" w14:textId="77777777" w:rsidR="004B5899" w:rsidRPr="00D045B3" w:rsidRDefault="004B5899" w:rsidP="004B5899">
      <w:pPr>
        <w:pStyle w:val="KeinLeerraum"/>
        <w:rPr>
          <w:rFonts w:ascii="Times New Roman" w:hAnsi="Times New Roman"/>
        </w:rPr>
      </w:pPr>
    </w:p>
    <w:p w14:paraId="1E927061" w14:textId="77777777" w:rsidR="004B5899" w:rsidRPr="00D045B3" w:rsidRDefault="004B5899" w:rsidP="0048256A">
      <w:pPr>
        <w:pStyle w:val="KeinLeerraum"/>
        <w:keepNext/>
        <w:rPr>
          <w:rFonts w:ascii="Times New Roman" w:hAnsi="Times New Roman"/>
        </w:rPr>
      </w:pPr>
      <w:r w:rsidRPr="00D045B3">
        <w:rPr>
          <w:rFonts w:ascii="Times New Roman" w:hAnsi="Times New Roman"/>
          <w:i/>
          <w:iCs/>
        </w:rPr>
        <w:t xml:space="preserve">Hematológiai mellékhatások </w:t>
      </w:r>
    </w:p>
    <w:p w14:paraId="1E927062" w14:textId="77777777" w:rsidR="004B5899" w:rsidRPr="00D045B3" w:rsidRDefault="004B5899" w:rsidP="00CA41FD">
      <w:pPr>
        <w:pStyle w:val="KeinLeerraum"/>
        <w:rPr>
          <w:rFonts w:ascii="Times New Roman" w:hAnsi="Times New Roman"/>
        </w:rPr>
      </w:pPr>
      <w:r w:rsidRPr="00D045B3">
        <w:rPr>
          <w:rFonts w:ascii="Times New Roman" w:hAnsi="Times New Roman"/>
        </w:rPr>
        <w:t xml:space="preserve">Súlyos neutropenia és thrombocytopenia esetén a dózis csökkentése vagy a kezelés megszakítása javasolt az alábbi táblázat szerint. </w:t>
      </w:r>
    </w:p>
    <w:p w14:paraId="1E927063" w14:textId="77777777" w:rsidR="004B5899" w:rsidRPr="00D045B3" w:rsidRDefault="004B5899" w:rsidP="004B5899">
      <w:pPr>
        <w:pStyle w:val="KeinLeerraum"/>
        <w:rPr>
          <w:rFonts w:ascii="Times New Roman" w:hAnsi="Times New Roman"/>
        </w:rPr>
      </w:pPr>
    </w:p>
    <w:p w14:paraId="1E927064" w14:textId="77777777" w:rsidR="004B5899" w:rsidRPr="00D045B3" w:rsidRDefault="004B5899" w:rsidP="0048256A">
      <w:pPr>
        <w:pStyle w:val="KeinLeerraum"/>
        <w:keepNext/>
        <w:rPr>
          <w:rFonts w:ascii="Times New Roman" w:hAnsi="Times New Roman"/>
        </w:rPr>
      </w:pPr>
      <w:r w:rsidRPr="00D045B3">
        <w:rPr>
          <w:rFonts w:ascii="Times New Roman" w:hAnsi="Times New Roman"/>
        </w:rPr>
        <w:t xml:space="preserve">Dózismódosítás neutropeniában és thrombocytopeniában: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552"/>
        <w:gridCol w:w="4110"/>
      </w:tblGrid>
      <w:tr w:rsidR="007377F1" w:rsidRPr="00D045B3" w14:paraId="1E92706B" w14:textId="77777777" w:rsidTr="007377F1">
        <w:tc>
          <w:tcPr>
            <w:tcW w:w="2410" w:type="dxa"/>
            <w:tcBorders>
              <w:top w:val="single" w:sz="4" w:space="0" w:color="000000"/>
              <w:left w:val="single" w:sz="4" w:space="0" w:color="000000"/>
              <w:bottom w:val="single" w:sz="4" w:space="0" w:color="000000"/>
              <w:right w:val="single" w:sz="4" w:space="0" w:color="000000"/>
            </w:tcBorders>
          </w:tcPr>
          <w:p w14:paraId="1E927065" w14:textId="77777777" w:rsidR="007377F1" w:rsidRPr="00D045B3" w:rsidRDefault="007377F1" w:rsidP="007377F1">
            <w:pPr>
              <w:pStyle w:val="Default"/>
              <w:rPr>
                <w:sz w:val="22"/>
                <w:szCs w:val="22"/>
              </w:rPr>
            </w:pPr>
            <w:r w:rsidRPr="00D045B3">
              <w:rPr>
                <w:sz w:val="22"/>
                <w:szCs w:val="22"/>
              </w:rPr>
              <w:t xml:space="preserve">HES/CEL (kezdő dózis 100 mg) </w:t>
            </w:r>
          </w:p>
          <w:p w14:paraId="1E927066" w14:textId="77777777" w:rsidR="007377F1" w:rsidRPr="00D045B3" w:rsidRDefault="007377F1" w:rsidP="00371A6B">
            <w:pPr>
              <w:pStyle w:val="KeinLeerraum"/>
              <w:rPr>
                <w:rFonts w:ascii="Times New Roman" w:hAnsi="Times New Roman"/>
              </w:rPr>
            </w:pPr>
          </w:p>
        </w:tc>
        <w:tc>
          <w:tcPr>
            <w:tcW w:w="2552" w:type="dxa"/>
            <w:tcBorders>
              <w:top w:val="single" w:sz="4" w:space="0" w:color="000000"/>
              <w:left w:val="single" w:sz="4" w:space="0" w:color="000000"/>
              <w:bottom w:val="single" w:sz="4" w:space="0" w:color="000000"/>
              <w:right w:val="single" w:sz="4" w:space="0" w:color="000000"/>
            </w:tcBorders>
          </w:tcPr>
          <w:p w14:paraId="1E927067" w14:textId="77777777" w:rsidR="007377F1" w:rsidRPr="00D045B3" w:rsidRDefault="00F3764C" w:rsidP="00371A6B">
            <w:pPr>
              <w:rPr>
                <w:szCs w:val="22"/>
                <w:lang w:val="hu-HU"/>
              </w:rPr>
            </w:pPr>
            <w:r w:rsidRPr="00D045B3">
              <w:rPr>
                <w:szCs w:val="22"/>
                <w:lang w:val="hu-HU"/>
              </w:rPr>
              <w:t>ANC &lt;1,0 × 10</w:t>
            </w:r>
            <w:r w:rsidRPr="00D045B3">
              <w:rPr>
                <w:szCs w:val="22"/>
                <w:vertAlign w:val="superscript"/>
                <w:lang w:val="hu-HU"/>
              </w:rPr>
              <w:t>9</w:t>
            </w:r>
            <w:r w:rsidRPr="00D045B3">
              <w:rPr>
                <w:szCs w:val="22"/>
                <w:lang w:val="hu-HU"/>
              </w:rPr>
              <w:t>/l és/vagy thrombocytaszám &lt; 50 × 10</w:t>
            </w:r>
            <w:r w:rsidRPr="00D045B3">
              <w:rPr>
                <w:szCs w:val="22"/>
                <w:vertAlign w:val="superscript"/>
                <w:lang w:val="hu-HU"/>
              </w:rPr>
              <w:t>9</w:t>
            </w:r>
            <w:r w:rsidRPr="00D045B3">
              <w:rPr>
                <w:szCs w:val="22"/>
                <w:lang w:val="hu-HU"/>
              </w:rPr>
              <w:t>/l</w:t>
            </w:r>
          </w:p>
        </w:tc>
        <w:tc>
          <w:tcPr>
            <w:tcW w:w="4110" w:type="dxa"/>
            <w:tcBorders>
              <w:top w:val="single" w:sz="4" w:space="0" w:color="000000"/>
              <w:left w:val="single" w:sz="4" w:space="0" w:color="000000"/>
              <w:bottom w:val="single" w:sz="4" w:space="0" w:color="000000"/>
              <w:right w:val="single" w:sz="4" w:space="0" w:color="000000"/>
            </w:tcBorders>
          </w:tcPr>
          <w:p w14:paraId="1E927068" w14:textId="77777777" w:rsidR="00F3764C" w:rsidRPr="00D045B3" w:rsidRDefault="00F3764C" w:rsidP="00F3764C">
            <w:pPr>
              <w:pStyle w:val="Default"/>
              <w:ind w:left="317" w:hanging="317"/>
              <w:rPr>
                <w:sz w:val="22"/>
                <w:szCs w:val="22"/>
              </w:rPr>
            </w:pPr>
            <w:r w:rsidRPr="00D045B3">
              <w:rPr>
                <w:sz w:val="22"/>
                <w:szCs w:val="22"/>
              </w:rPr>
              <w:t>1. Állítsa le az imatinib</w:t>
            </w:r>
            <w:r w:rsidRPr="00D045B3">
              <w:rPr>
                <w:sz w:val="22"/>
                <w:szCs w:val="22"/>
              </w:rPr>
              <w:noBreakHyphen/>
              <w:t>kezelést, amíg az ANC eléri a ≥1,5 × 10</w:t>
            </w:r>
            <w:r w:rsidRPr="00D045B3">
              <w:rPr>
                <w:sz w:val="22"/>
                <w:szCs w:val="22"/>
                <w:vertAlign w:val="superscript"/>
              </w:rPr>
              <w:t>9</w:t>
            </w:r>
            <w:r w:rsidRPr="00D045B3">
              <w:rPr>
                <w:sz w:val="22"/>
                <w:szCs w:val="22"/>
              </w:rPr>
              <w:t>/l, a thrombocytaszám pedig a ≥75 × 10</w:t>
            </w:r>
            <w:r w:rsidRPr="00D045B3">
              <w:rPr>
                <w:sz w:val="22"/>
                <w:szCs w:val="22"/>
                <w:vertAlign w:val="superscript"/>
              </w:rPr>
              <w:t>9</w:t>
            </w:r>
            <w:r w:rsidRPr="00D045B3">
              <w:rPr>
                <w:sz w:val="22"/>
                <w:szCs w:val="22"/>
              </w:rPr>
              <w:t xml:space="preserve">/l értéket. </w:t>
            </w:r>
          </w:p>
          <w:p w14:paraId="1E927069" w14:textId="77777777" w:rsidR="00F3764C" w:rsidRPr="00D045B3" w:rsidRDefault="00F3764C" w:rsidP="008A6837">
            <w:pPr>
              <w:pStyle w:val="KeinLeerraum"/>
              <w:ind w:left="317" w:hanging="317"/>
              <w:rPr>
                <w:rFonts w:ascii="Times New Roman" w:hAnsi="Times New Roman"/>
              </w:rPr>
            </w:pPr>
            <w:r w:rsidRPr="00D045B3">
              <w:rPr>
                <w:rFonts w:ascii="Times New Roman" w:hAnsi="Times New Roman"/>
              </w:rPr>
              <w:t xml:space="preserve">2. </w:t>
            </w:r>
            <w:r w:rsidR="00457B2C" w:rsidRPr="00D045B3">
              <w:rPr>
                <w:rFonts w:ascii="Times New Roman" w:hAnsi="Times New Roman"/>
              </w:rPr>
              <w:t>Indítsa újra</w:t>
            </w:r>
            <w:r w:rsidRPr="00D045B3">
              <w:rPr>
                <w:rFonts w:ascii="Times New Roman" w:hAnsi="Times New Roman"/>
              </w:rPr>
              <w:t xml:space="preserve"> az imatinib</w:t>
            </w:r>
            <w:r w:rsidRPr="00D045B3">
              <w:rPr>
                <w:rFonts w:ascii="Times New Roman" w:hAnsi="Times New Roman"/>
              </w:rPr>
              <w:noBreakHyphen/>
              <w:t>kezelést a korábban (tehát a súlyos mellékhatás megjelenése előtt) alkalmazott dózissal.</w:t>
            </w:r>
          </w:p>
          <w:p w14:paraId="1E92706A" w14:textId="77777777" w:rsidR="007377F1" w:rsidRPr="00D045B3" w:rsidRDefault="007377F1" w:rsidP="00F3764C">
            <w:pPr>
              <w:pStyle w:val="KeinLeerraum"/>
              <w:ind w:left="176" w:hanging="176"/>
              <w:rPr>
                <w:rFonts w:ascii="Times New Roman" w:hAnsi="Times New Roman"/>
              </w:rPr>
            </w:pPr>
          </w:p>
        </w:tc>
      </w:tr>
      <w:tr w:rsidR="007377F1" w:rsidRPr="00D045B3" w14:paraId="1E927072" w14:textId="77777777" w:rsidTr="007377F1">
        <w:tc>
          <w:tcPr>
            <w:tcW w:w="2410" w:type="dxa"/>
            <w:tcBorders>
              <w:top w:val="single" w:sz="4" w:space="0" w:color="000000"/>
              <w:left w:val="single" w:sz="4" w:space="0" w:color="000000"/>
              <w:bottom w:val="single" w:sz="4" w:space="0" w:color="000000"/>
              <w:right w:val="single" w:sz="4" w:space="0" w:color="000000"/>
            </w:tcBorders>
          </w:tcPr>
          <w:p w14:paraId="1E92706C" w14:textId="7A11E115" w:rsidR="00F3764C" w:rsidRPr="00D045B3" w:rsidRDefault="00F3764C" w:rsidP="00F3764C">
            <w:pPr>
              <w:pStyle w:val="Default"/>
              <w:rPr>
                <w:sz w:val="22"/>
                <w:szCs w:val="22"/>
              </w:rPr>
            </w:pPr>
            <w:r w:rsidRPr="00D045B3">
              <w:rPr>
                <w:sz w:val="22"/>
                <w:szCs w:val="22"/>
              </w:rPr>
              <w:t xml:space="preserve">MDS/MPD (kezdő </w:t>
            </w:r>
            <w:r w:rsidR="00A67865" w:rsidRPr="00D045B3">
              <w:rPr>
                <w:sz w:val="22"/>
                <w:szCs w:val="22"/>
              </w:rPr>
              <w:t>dózis</w:t>
            </w:r>
            <w:r w:rsidRPr="00D045B3">
              <w:rPr>
                <w:sz w:val="22"/>
                <w:szCs w:val="22"/>
              </w:rPr>
              <w:t xml:space="preserve"> 400</w:t>
            </w:r>
            <w:r w:rsidR="00A67865" w:rsidRPr="00D045B3">
              <w:rPr>
                <w:sz w:val="22"/>
                <w:szCs w:val="22"/>
              </w:rPr>
              <w:t> </w:t>
            </w:r>
            <w:r w:rsidRPr="00D045B3">
              <w:rPr>
                <w:sz w:val="22"/>
                <w:szCs w:val="22"/>
              </w:rPr>
              <w:t xml:space="preserve">mg) </w:t>
            </w:r>
          </w:p>
          <w:p w14:paraId="1E92706D" w14:textId="77777777" w:rsidR="007377F1" w:rsidRPr="00D045B3" w:rsidRDefault="00A67865" w:rsidP="00A67865">
            <w:pPr>
              <w:pStyle w:val="KeinLeerraum"/>
              <w:rPr>
                <w:rFonts w:ascii="Times New Roman" w:hAnsi="Times New Roman"/>
              </w:rPr>
            </w:pPr>
            <w:r w:rsidRPr="00D045B3">
              <w:rPr>
                <w:rFonts w:ascii="Times New Roman" w:hAnsi="Times New Roman"/>
              </w:rPr>
              <w:t>HES/CEL (400 </w:t>
            </w:r>
            <w:r w:rsidR="00F3764C" w:rsidRPr="00D045B3">
              <w:rPr>
                <w:rFonts w:ascii="Times New Roman" w:hAnsi="Times New Roman"/>
              </w:rPr>
              <w:t>mg</w:t>
            </w:r>
            <w:r w:rsidRPr="00D045B3">
              <w:rPr>
                <w:rFonts w:ascii="Times New Roman" w:hAnsi="Times New Roman"/>
              </w:rPr>
              <w:noBreakHyphen/>
            </w:r>
            <w:r w:rsidR="00F3764C" w:rsidRPr="00D045B3">
              <w:rPr>
                <w:rFonts w:ascii="Times New Roman" w:hAnsi="Times New Roman"/>
              </w:rPr>
              <w:t xml:space="preserve">os </w:t>
            </w:r>
            <w:r w:rsidRPr="00D045B3">
              <w:rPr>
                <w:rFonts w:ascii="Times New Roman" w:hAnsi="Times New Roman"/>
              </w:rPr>
              <w:t>dózis</w:t>
            </w:r>
            <w:r w:rsidR="00F3764C" w:rsidRPr="00D045B3">
              <w:rPr>
                <w:rFonts w:ascii="Times New Roman" w:hAnsi="Times New Roman"/>
              </w:rPr>
              <w:t>)</w:t>
            </w:r>
            <w:r w:rsidR="00F3764C" w:rsidRPr="00D045B3">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E92706E" w14:textId="77777777" w:rsidR="007377F1" w:rsidRPr="00D045B3" w:rsidRDefault="00F3764C" w:rsidP="00371A6B">
            <w:pPr>
              <w:rPr>
                <w:szCs w:val="22"/>
                <w:lang w:val="hu-HU"/>
              </w:rPr>
            </w:pPr>
            <w:r w:rsidRPr="00D045B3">
              <w:rPr>
                <w:szCs w:val="22"/>
                <w:lang w:val="hu-HU"/>
              </w:rPr>
              <w:t>ANC &lt;1,0 × 10</w:t>
            </w:r>
            <w:r w:rsidRPr="00D045B3">
              <w:rPr>
                <w:szCs w:val="22"/>
                <w:vertAlign w:val="superscript"/>
                <w:lang w:val="hu-HU"/>
              </w:rPr>
              <w:t>9</w:t>
            </w:r>
            <w:r w:rsidRPr="00D045B3">
              <w:rPr>
                <w:szCs w:val="22"/>
                <w:lang w:val="hu-HU"/>
              </w:rPr>
              <w:t>/l és/vagy thrombocytaszám &lt; 50 × 10</w:t>
            </w:r>
            <w:r w:rsidRPr="00D045B3">
              <w:rPr>
                <w:szCs w:val="22"/>
                <w:vertAlign w:val="superscript"/>
                <w:lang w:val="hu-HU"/>
              </w:rPr>
              <w:t>9</w:t>
            </w:r>
            <w:r w:rsidRPr="00D045B3">
              <w:rPr>
                <w:szCs w:val="22"/>
                <w:lang w:val="hu-HU"/>
              </w:rPr>
              <w:t>/l</w:t>
            </w:r>
          </w:p>
        </w:tc>
        <w:tc>
          <w:tcPr>
            <w:tcW w:w="4110" w:type="dxa"/>
            <w:tcBorders>
              <w:top w:val="single" w:sz="4" w:space="0" w:color="000000"/>
              <w:left w:val="single" w:sz="4" w:space="0" w:color="000000"/>
              <w:bottom w:val="single" w:sz="4" w:space="0" w:color="000000"/>
              <w:right w:val="single" w:sz="4" w:space="0" w:color="000000"/>
            </w:tcBorders>
          </w:tcPr>
          <w:p w14:paraId="1E92706F" w14:textId="77777777" w:rsidR="00F3764C" w:rsidRPr="00D045B3" w:rsidRDefault="00F3764C" w:rsidP="008A6837">
            <w:pPr>
              <w:pStyle w:val="Default"/>
              <w:ind w:left="317" w:hanging="284"/>
              <w:rPr>
                <w:sz w:val="22"/>
                <w:szCs w:val="22"/>
              </w:rPr>
            </w:pPr>
            <w:r w:rsidRPr="00D045B3">
              <w:rPr>
                <w:sz w:val="22"/>
                <w:szCs w:val="22"/>
              </w:rPr>
              <w:t>1. Állítsa le az imatinib</w:t>
            </w:r>
            <w:r w:rsidRPr="00D045B3">
              <w:rPr>
                <w:sz w:val="22"/>
                <w:szCs w:val="22"/>
              </w:rPr>
              <w:noBreakHyphen/>
              <w:t>kezelést, amíg az ANC eléri a ≥1,5 × 10</w:t>
            </w:r>
            <w:r w:rsidRPr="00D045B3">
              <w:rPr>
                <w:sz w:val="22"/>
                <w:szCs w:val="22"/>
                <w:vertAlign w:val="superscript"/>
              </w:rPr>
              <w:t>9</w:t>
            </w:r>
            <w:r w:rsidRPr="00D045B3">
              <w:rPr>
                <w:sz w:val="22"/>
                <w:szCs w:val="22"/>
              </w:rPr>
              <w:t>/l, a thrombocytaszám pedig a ≥75 × 10</w:t>
            </w:r>
            <w:r w:rsidRPr="00D045B3">
              <w:rPr>
                <w:sz w:val="22"/>
                <w:szCs w:val="22"/>
                <w:vertAlign w:val="superscript"/>
              </w:rPr>
              <w:t>9</w:t>
            </w:r>
            <w:r w:rsidRPr="00D045B3">
              <w:rPr>
                <w:sz w:val="22"/>
                <w:szCs w:val="22"/>
              </w:rPr>
              <w:t xml:space="preserve">/l értéket. </w:t>
            </w:r>
          </w:p>
          <w:p w14:paraId="1E927070" w14:textId="77777777" w:rsidR="00256E24" w:rsidRPr="00D045B3" w:rsidRDefault="00256E24" w:rsidP="00256E24">
            <w:pPr>
              <w:pStyle w:val="KeinLeerraum"/>
              <w:ind w:left="317" w:hanging="317"/>
              <w:rPr>
                <w:rFonts w:ascii="Times New Roman" w:hAnsi="Times New Roman"/>
              </w:rPr>
            </w:pPr>
            <w:r w:rsidRPr="00D045B3">
              <w:rPr>
                <w:rFonts w:ascii="Times New Roman" w:hAnsi="Times New Roman"/>
              </w:rPr>
              <w:t xml:space="preserve">2. </w:t>
            </w:r>
            <w:r w:rsidR="00457B2C" w:rsidRPr="00D045B3">
              <w:rPr>
                <w:rFonts w:ascii="Times New Roman" w:hAnsi="Times New Roman"/>
              </w:rPr>
              <w:t>Indítsa újra</w:t>
            </w:r>
            <w:r w:rsidRPr="00D045B3">
              <w:rPr>
                <w:rFonts w:ascii="Times New Roman" w:hAnsi="Times New Roman"/>
              </w:rPr>
              <w:t xml:space="preserve"> az imatinib</w:t>
            </w:r>
            <w:r w:rsidRPr="00D045B3">
              <w:rPr>
                <w:rFonts w:ascii="Times New Roman" w:hAnsi="Times New Roman"/>
              </w:rPr>
              <w:noBreakHyphen/>
              <w:t>kezelést a korábban (tehát a súlyos mellékhatás megjelenése előtt) alkalmazott dózissal.</w:t>
            </w:r>
          </w:p>
          <w:p w14:paraId="1E927071" w14:textId="77777777" w:rsidR="007377F1" w:rsidRPr="00D045B3" w:rsidRDefault="00F3764C" w:rsidP="00256E24">
            <w:pPr>
              <w:pStyle w:val="KeinLeerraum"/>
              <w:ind w:left="317" w:hanging="317"/>
              <w:rPr>
                <w:rFonts w:ascii="Times New Roman" w:hAnsi="Times New Roman"/>
              </w:rPr>
            </w:pPr>
            <w:r w:rsidRPr="00D045B3">
              <w:rPr>
                <w:rFonts w:ascii="Times New Roman" w:hAnsi="Times New Roman"/>
              </w:rPr>
              <w:t>3. Ha az ANC ismét &lt;1,0 × 10</w:t>
            </w:r>
            <w:r w:rsidRPr="00D045B3">
              <w:rPr>
                <w:rFonts w:ascii="Times New Roman" w:hAnsi="Times New Roman"/>
                <w:vertAlign w:val="superscript"/>
              </w:rPr>
              <w:t>9</w:t>
            </w:r>
            <w:r w:rsidRPr="00D045B3">
              <w:rPr>
                <w:rFonts w:ascii="Times New Roman" w:hAnsi="Times New Roman"/>
              </w:rPr>
              <w:t>/l, és/vagy a thrombocytaszám ismét &lt; 50 × 10</w:t>
            </w:r>
            <w:r w:rsidRPr="00D045B3">
              <w:rPr>
                <w:rFonts w:ascii="Times New Roman" w:hAnsi="Times New Roman"/>
                <w:vertAlign w:val="superscript"/>
              </w:rPr>
              <w:t>9</w:t>
            </w:r>
            <w:r w:rsidRPr="00D045B3">
              <w:rPr>
                <w:rFonts w:ascii="Times New Roman" w:hAnsi="Times New Roman"/>
              </w:rPr>
              <w:t>/l, az 1. pont szerint járjon el, majd az imatinib</w:t>
            </w:r>
            <w:r w:rsidRPr="00D045B3">
              <w:rPr>
                <w:rFonts w:ascii="Times New Roman" w:hAnsi="Times New Roman"/>
              </w:rPr>
              <w:noBreakHyphen/>
              <w:t xml:space="preserve">kezelést </w:t>
            </w:r>
            <w:r w:rsidR="00256E24" w:rsidRPr="00D045B3">
              <w:rPr>
                <w:rFonts w:ascii="Times New Roman" w:hAnsi="Times New Roman"/>
              </w:rPr>
              <w:t>300</w:t>
            </w:r>
            <w:r w:rsidRPr="00D045B3">
              <w:rPr>
                <w:rFonts w:ascii="Times New Roman" w:hAnsi="Times New Roman"/>
              </w:rPr>
              <w:t> mg</w:t>
            </w:r>
            <w:r w:rsidRPr="00D045B3">
              <w:rPr>
                <w:rFonts w:ascii="Times New Roman" w:hAnsi="Times New Roman"/>
              </w:rPr>
              <w:noBreakHyphen/>
              <w:t xml:space="preserve">ra csökkentett </w:t>
            </w:r>
            <w:r w:rsidR="00256E24" w:rsidRPr="00D045B3">
              <w:rPr>
                <w:rFonts w:ascii="Times New Roman" w:hAnsi="Times New Roman"/>
              </w:rPr>
              <w:t>dózissal</w:t>
            </w:r>
            <w:r w:rsidRPr="00D045B3">
              <w:rPr>
                <w:rFonts w:ascii="Times New Roman" w:hAnsi="Times New Roman"/>
              </w:rPr>
              <w:t xml:space="preserve"> </w:t>
            </w:r>
            <w:r w:rsidR="00140D7D" w:rsidRPr="00D045B3">
              <w:rPr>
                <w:rFonts w:ascii="Times New Roman" w:hAnsi="Times New Roman"/>
              </w:rPr>
              <w:t>indítsa újra</w:t>
            </w:r>
            <w:r w:rsidRPr="00D045B3">
              <w:rPr>
                <w:rFonts w:ascii="Times New Roman" w:hAnsi="Times New Roman"/>
              </w:rPr>
              <w:t>.</w:t>
            </w:r>
          </w:p>
        </w:tc>
      </w:tr>
      <w:tr w:rsidR="00903FE0" w:rsidRPr="00D045B3" w14:paraId="1E927078" w14:textId="77777777" w:rsidTr="00A47CCB">
        <w:tc>
          <w:tcPr>
            <w:tcW w:w="2410" w:type="dxa"/>
          </w:tcPr>
          <w:p w14:paraId="1E927073" w14:textId="73781AA0" w:rsidR="00903FE0" w:rsidRPr="00D045B3" w:rsidRDefault="00903FE0" w:rsidP="006B783B">
            <w:pPr>
              <w:pStyle w:val="KeinLeerraum"/>
              <w:rPr>
                <w:rFonts w:ascii="Times New Roman" w:hAnsi="Times New Roman"/>
              </w:rPr>
            </w:pPr>
            <w:r w:rsidRPr="00D045B3">
              <w:rPr>
                <w:rFonts w:ascii="Times New Roman" w:hAnsi="Times New Roman"/>
              </w:rPr>
              <w:t>Gyermek</w:t>
            </w:r>
            <w:r w:rsidR="001E231E" w:rsidRPr="00D045B3">
              <w:rPr>
                <w:rFonts w:ascii="Times New Roman" w:hAnsi="Times New Roman"/>
              </w:rPr>
              <w:t>- és serdülő</w:t>
            </w:r>
            <w:r w:rsidRPr="00D045B3">
              <w:rPr>
                <w:rFonts w:ascii="Times New Roman" w:hAnsi="Times New Roman"/>
              </w:rPr>
              <w:t>kori krónikus fázisú CML (340 mg/m</w:t>
            </w:r>
            <w:r w:rsidRPr="00D045B3">
              <w:rPr>
                <w:rFonts w:ascii="Times New Roman" w:hAnsi="Times New Roman"/>
                <w:vertAlign w:val="superscript"/>
              </w:rPr>
              <w:t>2</w:t>
            </w:r>
            <w:r w:rsidRPr="00D045B3">
              <w:rPr>
                <w:rFonts w:ascii="Times New Roman" w:hAnsi="Times New Roman"/>
              </w:rPr>
              <w:t xml:space="preserve"> dózisban)</w:t>
            </w:r>
          </w:p>
        </w:tc>
        <w:tc>
          <w:tcPr>
            <w:tcW w:w="2552" w:type="dxa"/>
          </w:tcPr>
          <w:p w14:paraId="1E927074" w14:textId="77777777" w:rsidR="00903FE0" w:rsidRPr="00D045B3" w:rsidRDefault="00903FE0" w:rsidP="00A47CCB">
            <w:pPr>
              <w:rPr>
                <w:lang w:val="hu-HU"/>
              </w:rPr>
            </w:pPr>
            <w:r w:rsidRPr="00D045B3">
              <w:rPr>
                <w:lang w:val="hu-HU"/>
              </w:rPr>
              <w:t>ANC &lt;1,0</w:t>
            </w:r>
            <w:r w:rsidRPr="00D045B3">
              <w:rPr>
                <w:szCs w:val="22"/>
                <w:lang w:val="hu-HU"/>
              </w:rPr>
              <w:t> × </w:t>
            </w:r>
            <w:r w:rsidRPr="00D045B3">
              <w:rPr>
                <w:lang w:val="hu-HU"/>
              </w:rPr>
              <w:t>10</w:t>
            </w:r>
            <w:r w:rsidRPr="00D045B3">
              <w:rPr>
                <w:vertAlign w:val="superscript"/>
                <w:lang w:val="hu-HU"/>
              </w:rPr>
              <w:t>9</w:t>
            </w:r>
            <w:r w:rsidRPr="00D045B3">
              <w:rPr>
                <w:lang w:val="hu-HU"/>
              </w:rPr>
              <w:t>/l és/vagy thrombocytaszám &lt; 50</w:t>
            </w:r>
            <w:r w:rsidRPr="00D045B3">
              <w:rPr>
                <w:szCs w:val="22"/>
                <w:lang w:val="hu-HU"/>
              </w:rPr>
              <w:t> × </w:t>
            </w:r>
            <w:r w:rsidRPr="00D045B3">
              <w:rPr>
                <w:lang w:val="hu-HU"/>
              </w:rPr>
              <w:t>10</w:t>
            </w:r>
            <w:r w:rsidRPr="00D045B3">
              <w:rPr>
                <w:vertAlign w:val="superscript"/>
                <w:lang w:val="hu-HU"/>
              </w:rPr>
              <w:t>9</w:t>
            </w:r>
            <w:r w:rsidRPr="00D045B3">
              <w:rPr>
                <w:lang w:val="hu-HU"/>
              </w:rPr>
              <w:t>/l</w:t>
            </w:r>
          </w:p>
        </w:tc>
        <w:tc>
          <w:tcPr>
            <w:tcW w:w="4110" w:type="dxa"/>
          </w:tcPr>
          <w:p w14:paraId="1E927075" w14:textId="77777777" w:rsidR="00903FE0" w:rsidRPr="00D045B3" w:rsidRDefault="00903FE0" w:rsidP="00860BD9">
            <w:pPr>
              <w:pStyle w:val="KeinLeerraum"/>
              <w:ind w:left="317" w:hanging="317"/>
              <w:rPr>
                <w:rFonts w:ascii="Times New Roman" w:hAnsi="Times New Roman"/>
              </w:rPr>
            </w:pPr>
            <w:r w:rsidRPr="00D045B3">
              <w:rPr>
                <w:rFonts w:ascii="Times New Roman" w:hAnsi="Times New Roman"/>
              </w:rPr>
              <w:t xml:space="preserve">1. Állítsa le az </w:t>
            </w:r>
            <w:r w:rsidR="00A47CCB" w:rsidRPr="00D045B3">
              <w:rPr>
                <w:rFonts w:ascii="Times New Roman" w:hAnsi="Times New Roman"/>
              </w:rPr>
              <w:t>imatinib</w:t>
            </w:r>
            <w:r w:rsidR="00A47CCB" w:rsidRPr="00D045B3">
              <w:rPr>
                <w:rFonts w:ascii="Times New Roman" w:hAnsi="Times New Roman"/>
              </w:rPr>
              <w:noBreakHyphen/>
            </w:r>
            <w:r w:rsidRPr="00D045B3">
              <w:rPr>
                <w:rFonts w:ascii="Times New Roman" w:hAnsi="Times New Roman"/>
              </w:rPr>
              <w:t xml:space="preserve">kezelést, amíg az ANC eléri a </w:t>
            </w:r>
            <w:r w:rsidRPr="00D045B3">
              <w:rPr>
                <w:rFonts w:ascii="Times New Roman" w:hAnsi="Times New Roman"/>
                <w:sz w:val="20"/>
                <w:szCs w:val="20"/>
              </w:rPr>
              <w:t>≥</w:t>
            </w:r>
            <w:r w:rsidRPr="00D045B3">
              <w:rPr>
                <w:rFonts w:ascii="Times New Roman" w:hAnsi="Times New Roman"/>
              </w:rPr>
              <w:t>1,5 × 10</w:t>
            </w:r>
            <w:r w:rsidRPr="00D045B3">
              <w:rPr>
                <w:rFonts w:ascii="Times New Roman" w:hAnsi="Times New Roman"/>
                <w:vertAlign w:val="superscript"/>
              </w:rPr>
              <w:t>9</w:t>
            </w:r>
            <w:r w:rsidRPr="00D045B3">
              <w:rPr>
                <w:rFonts w:ascii="Times New Roman" w:hAnsi="Times New Roman"/>
              </w:rPr>
              <w:t>/l, a thrombocytaszám pedig a ≥75 × 10</w:t>
            </w:r>
            <w:r w:rsidRPr="00D045B3">
              <w:rPr>
                <w:rFonts w:ascii="Times New Roman" w:hAnsi="Times New Roman"/>
                <w:vertAlign w:val="superscript"/>
              </w:rPr>
              <w:t>9</w:t>
            </w:r>
            <w:r w:rsidRPr="00D045B3">
              <w:rPr>
                <w:rFonts w:ascii="Times New Roman" w:hAnsi="Times New Roman"/>
              </w:rPr>
              <w:t xml:space="preserve">/l értéket. </w:t>
            </w:r>
          </w:p>
          <w:p w14:paraId="1E927076" w14:textId="77777777" w:rsidR="00903FE0" w:rsidRPr="00D045B3" w:rsidRDefault="00903FE0" w:rsidP="00860BD9">
            <w:pPr>
              <w:pStyle w:val="KeinLeerraum"/>
              <w:ind w:left="317" w:hanging="317"/>
              <w:rPr>
                <w:rFonts w:ascii="Times New Roman" w:hAnsi="Times New Roman"/>
              </w:rPr>
            </w:pPr>
            <w:r w:rsidRPr="00D045B3">
              <w:rPr>
                <w:rFonts w:ascii="Times New Roman" w:hAnsi="Times New Roman"/>
              </w:rPr>
              <w:t xml:space="preserve">2. </w:t>
            </w:r>
            <w:r w:rsidR="00140D7D" w:rsidRPr="00D045B3">
              <w:rPr>
                <w:rFonts w:ascii="Times New Roman" w:hAnsi="Times New Roman"/>
              </w:rPr>
              <w:t xml:space="preserve">Indítsa újra </w:t>
            </w:r>
            <w:r w:rsidRPr="00D045B3">
              <w:rPr>
                <w:rFonts w:ascii="Times New Roman" w:hAnsi="Times New Roman"/>
              </w:rPr>
              <w:t xml:space="preserve">az </w:t>
            </w:r>
            <w:r w:rsidR="00A47CCB" w:rsidRPr="00D045B3">
              <w:rPr>
                <w:rFonts w:ascii="Times New Roman" w:hAnsi="Times New Roman"/>
              </w:rPr>
              <w:t>imatinib</w:t>
            </w:r>
            <w:r w:rsidR="00A47CCB" w:rsidRPr="00D045B3">
              <w:rPr>
                <w:rFonts w:ascii="Times New Roman" w:hAnsi="Times New Roman"/>
              </w:rPr>
              <w:noBreakHyphen/>
              <w:t xml:space="preserve">kezelést </w:t>
            </w:r>
            <w:r w:rsidRPr="00D045B3">
              <w:rPr>
                <w:rFonts w:ascii="Times New Roman" w:hAnsi="Times New Roman"/>
              </w:rPr>
              <w:t>a korábban (tehát a súlyos mellékhatás megjelenése előtt) alkalmazott dózissal.</w:t>
            </w:r>
          </w:p>
          <w:p w14:paraId="1E927077" w14:textId="77777777" w:rsidR="00903FE0" w:rsidRPr="00D045B3" w:rsidRDefault="00903FE0" w:rsidP="00860BD9">
            <w:pPr>
              <w:pStyle w:val="KeinLeerraum"/>
              <w:ind w:left="317" w:hanging="317"/>
              <w:rPr>
                <w:rFonts w:ascii="Times New Roman" w:hAnsi="Times New Roman"/>
              </w:rPr>
            </w:pPr>
            <w:r w:rsidRPr="00D045B3">
              <w:rPr>
                <w:rFonts w:ascii="Times New Roman" w:hAnsi="Times New Roman"/>
              </w:rPr>
              <w:t>3. Ha az ANC ismét &lt;1,0 × 10</w:t>
            </w:r>
            <w:r w:rsidRPr="00D045B3">
              <w:rPr>
                <w:rFonts w:ascii="Times New Roman" w:hAnsi="Times New Roman"/>
                <w:vertAlign w:val="superscript"/>
              </w:rPr>
              <w:t>9</w:t>
            </w:r>
            <w:r w:rsidRPr="00D045B3">
              <w:rPr>
                <w:rFonts w:ascii="Times New Roman" w:hAnsi="Times New Roman"/>
              </w:rPr>
              <w:t>/l, és/vagy a thrombocytaszám ismét &lt; 50 × 10</w:t>
            </w:r>
            <w:r w:rsidRPr="00D045B3">
              <w:rPr>
                <w:rFonts w:ascii="Times New Roman" w:hAnsi="Times New Roman"/>
                <w:vertAlign w:val="superscript"/>
              </w:rPr>
              <w:t>9</w:t>
            </w:r>
            <w:r w:rsidRPr="00D045B3">
              <w:rPr>
                <w:rFonts w:ascii="Times New Roman" w:hAnsi="Times New Roman"/>
              </w:rPr>
              <w:t xml:space="preserve">/l, az 1. pont szerint járjon el, majd az </w:t>
            </w:r>
            <w:r w:rsidR="00A47CCB" w:rsidRPr="00D045B3">
              <w:rPr>
                <w:rFonts w:ascii="Times New Roman" w:hAnsi="Times New Roman"/>
              </w:rPr>
              <w:t>imatinib</w:t>
            </w:r>
            <w:r w:rsidR="00A47CCB" w:rsidRPr="00D045B3">
              <w:rPr>
                <w:rFonts w:ascii="Times New Roman" w:hAnsi="Times New Roman"/>
              </w:rPr>
              <w:noBreakHyphen/>
              <w:t xml:space="preserve">kezelést </w:t>
            </w:r>
            <w:r w:rsidRPr="00D045B3">
              <w:rPr>
                <w:rFonts w:ascii="Times New Roman" w:hAnsi="Times New Roman"/>
              </w:rPr>
              <w:t>260 mg</w:t>
            </w:r>
            <w:r w:rsidRPr="00D045B3">
              <w:rPr>
                <w:rFonts w:ascii="Times New Roman" w:hAnsi="Times New Roman"/>
              </w:rPr>
              <w:noBreakHyphen/>
              <w:t>ra csökkentett adaggal folytassa.</w:t>
            </w:r>
          </w:p>
        </w:tc>
      </w:tr>
      <w:tr w:rsidR="00903FE0" w:rsidRPr="00D045B3" w14:paraId="1E927081" w14:textId="77777777" w:rsidTr="00A47C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36"/>
        </w:trPr>
        <w:tc>
          <w:tcPr>
            <w:tcW w:w="2410" w:type="dxa"/>
          </w:tcPr>
          <w:p w14:paraId="1E927079" w14:textId="70EC8C24" w:rsidR="00903FE0" w:rsidRPr="00D045B3" w:rsidRDefault="00903FE0" w:rsidP="006C2D1E">
            <w:pPr>
              <w:pStyle w:val="Default"/>
              <w:rPr>
                <w:sz w:val="22"/>
                <w:szCs w:val="22"/>
              </w:rPr>
            </w:pPr>
            <w:r w:rsidRPr="00D045B3">
              <w:rPr>
                <w:sz w:val="22"/>
                <w:szCs w:val="22"/>
              </w:rPr>
              <w:t>CML blasztos krízis</w:t>
            </w:r>
            <w:r w:rsidR="000C31EA" w:rsidRPr="00D045B3">
              <w:rPr>
                <w:sz w:val="22"/>
                <w:szCs w:val="22"/>
              </w:rPr>
              <w:t>ben</w:t>
            </w:r>
            <w:r w:rsidRPr="00D045B3">
              <w:rPr>
                <w:sz w:val="22"/>
                <w:szCs w:val="22"/>
              </w:rPr>
              <w:t xml:space="preserve">, </w:t>
            </w:r>
            <w:r w:rsidR="00256E24" w:rsidRPr="00D045B3">
              <w:rPr>
                <w:sz w:val="22"/>
                <w:szCs w:val="22"/>
              </w:rPr>
              <w:t>és Ph+ALL</w:t>
            </w:r>
            <w:r w:rsidR="007B43BC" w:rsidRPr="00D045B3">
              <w:rPr>
                <w:sz w:val="22"/>
                <w:szCs w:val="22"/>
              </w:rPr>
              <w:noBreakHyphen/>
              <w:t>ben</w:t>
            </w:r>
            <w:r w:rsidR="00256E24" w:rsidRPr="00D045B3">
              <w:rPr>
                <w:sz w:val="22"/>
                <w:szCs w:val="22"/>
              </w:rPr>
              <w:t xml:space="preserve"> </w:t>
            </w:r>
            <w:r w:rsidRPr="00D045B3">
              <w:rPr>
                <w:sz w:val="22"/>
                <w:szCs w:val="22"/>
              </w:rPr>
              <w:t xml:space="preserve">(kezdő dózis: 600 mg) </w:t>
            </w:r>
          </w:p>
        </w:tc>
        <w:tc>
          <w:tcPr>
            <w:tcW w:w="2552" w:type="dxa"/>
          </w:tcPr>
          <w:p w14:paraId="1E92707A" w14:textId="77777777" w:rsidR="00903FE0" w:rsidRPr="00D045B3" w:rsidRDefault="00903FE0" w:rsidP="006B783B">
            <w:pPr>
              <w:pStyle w:val="Default"/>
              <w:rPr>
                <w:sz w:val="14"/>
                <w:szCs w:val="14"/>
              </w:rPr>
            </w:pPr>
            <w:r w:rsidRPr="00D045B3">
              <w:rPr>
                <w:sz w:val="22"/>
                <w:szCs w:val="22"/>
                <w:vertAlign w:val="superscript"/>
              </w:rPr>
              <w:t>a</w:t>
            </w:r>
            <w:r w:rsidRPr="00D045B3">
              <w:rPr>
                <w:sz w:val="22"/>
                <w:szCs w:val="22"/>
              </w:rPr>
              <w:t>ANC &lt; 0,5</w:t>
            </w:r>
            <w:r w:rsidRPr="00D045B3">
              <w:t> × </w:t>
            </w:r>
            <w:r w:rsidRPr="00D045B3">
              <w:rPr>
                <w:sz w:val="22"/>
                <w:szCs w:val="22"/>
              </w:rPr>
              <w:t>10</w:t>
            </w:r>
            <w:r w:rsidRPr="00D045B3">
              <w:rPr>
                <w:sz w:val="22"/>
                <w:szCs w:val="22"/>
                <w:vertAlign w:val="superscript"/>
              </w:rPr>
              <w:t>9</w:t>
            </w:r>
            <w:r w:rsidRPr="00D045B3">
              <w:rPr>
                <w:sz w:val="22"/>
                <w:szCs w:val="22"/>
              </w:rPr>
              <w:t>/l</w:t>
            </w:r>
            <w:r w:rsidRPr="00D045B3">
              <w:rPr>
                <w:sz w:val="14"/>
                <w:szCs w:val="14"/>
              </w:rPr>
              <w:t xml:space="preserve"> </w:t>
            </w:r>
          </w:p>
          <w:p w14:paraId="1E92707B" w14:textId="77777777" w:rsidR="00903FE0" w:rsidRPr="00D045B3" w:rsidRDefault="00903FE0" w:rsidP="006B783B">
            <w:pPr>
              <w:pStyle w:val="Default"/>
              <w:rPr>
                <w:sz w:val="22"/>
                <w:szCs w:val="22"/>
              </w:rPr>
            </w:pPr>
            <w:r w:rsidRPr="00D045B3">
              <w:rPr>
                <w:sz w:val="22"/>
                <w:szCs w:val="22"/>
              </w:rPr>
              <w:t xml:space="preserve">és/vagy thrombocytaszám </w:t>
            </w:r>
          </w:p>
          <w:p w14:paraId="1E92707C" w14:textId="77777777" w:rsidR="00903FE0" w:rsidRPr="00D045B3" w:rsidRDefault="00903FE0" w:rsidP="006B783B">
            <w:pPr>
              <w:pStyle w:val="Default"/>
              <w:rPr>
                <w:sz w:val="22"/>
                <w:szCs w:val="22"/>
              </w:rPr>
            </w:pPr>
            <w:r w:rsidRPr="00D045B3">
              <w:rPr>
                <w:sz w:val="22"/>
                <w:szCs w:val="22"/>
              </w:rPr>
              <w:t>&lt; 10</w:t>
            </w:r>
            <w:r w:rsidRPr="00D045B3">
              <w:t> × </w:t>
            </w:r>
            <w:r w:rsidRPr="00D045B3">
              <w:rPr>
                <w:sz w:val="22"/>
                <w:szCs w:val="22"/>
              </w:rPr>
              <w:t>10</w:t>
            </w:r>
            <w:r w:rsidRPr="00D045B3">
              <w:rPr>
                <w:sz w:val="22"/>
                <w:szCs w:val="22"/>
                <w:vertAlign w:val="superscript"/>
              </w:rPr>
              <w:t>9</w:t>
            </w:r>
            <w:r w:rsidRPr="00D045B3">
              <w:rPr>
                <w:sz w:val="22"/>
                <w:szCs w:val="22"/>
              </w:rPr>
              <w:t xml:space="preserve">/l </w:t>
            </w:r>
          </w:p>
        </w:tc>
        <w:tc>
          <w:tcPr>
            <w:tcW w:w="4110" w:type="dxa"/>
          </w:tcPr>
          <w:p w14:paraId="1E92707D" w14:textId="77777777" w:rsidR="00903FE0" w:rsidRPr="00D045B3" w:rsidRDefault="00903FE0" w:rsidP="00860BD9">
            <w:pPr>
              <w:pStyle w:val="Default"/>
              <w:ind w:left="317" w:hanging="317"/>
              <w:rPr>
                <w:sz w:val="22"/>
                <w:szCs w:val="22"/>
              </w:rPr>
            </w:pPr>
            <w:r w:rsidRPr="00D045B3">
              <w:rPr>
                <w:sz w:val="22"/>
                <w:szCs w:val="22"/>
              </w:rPr>
              <w:t>1. Ellenőrizni kell, hogy a cytopeni</w:t>
            </w:r>
            <w:r w:rsidR="005A5EF0" w:rsidRPr="00D045B3">
              <w:rPr>
                <w:sz w:val="22"/>
                <w:szCs w:val="22"/>
              </w:rPr>
              <w:t>a</w:t>
            </w:r>
            <w:r w:rsidRPr="00D045B3">
              <w:rPr>
                <w:sz w:val="22"/>
                <w:szCs w:val="22"/>
              </w:rPr>
              <w:t xml:space="preserve"> összefügg</w:t>
            </w:r>
            <w:r w:rsidRPr="00D045B3">
              <w:rPr>
                <w:sz w:val="22"/>
                <w:szCs w:val="22"/>
              </w:rPr>
              <w:noBreakHyphen/>
              <w:t xml:space="preserve">e a leukaemiával (csontvelő aspiratio vagy biopsia). </w:t>
            </w:r>
          </w:p>
          <w:p w14:paraId="1E92707E" w14:textId="77777777" w:rsidR="00903FE0" w:rsidRPr="00D045B3" w:rsidRDefault="00903FE0" w:rsidP="00860BD9">
            <w:pPr>
              <w:pStyle w:val="Default"/>
              <w:ind w:left="317" w:hanging="317"/>
              <w:rPr>
                <w:sz w:val="22"/>
                <w:szCs w:val="22"/>
              </w:rPr>
            </w:pPr>
            <w:r w:rsidRPr="00D045B3">
              <w:rPr>
                <w:sz w:val="22"/>
                <w:szCs w:val="22"/>
              </w:rPr>
              <w:t xml:space="preserve">2. Ha a cytopenia nem a leukaemiával kapcsolatos, csökkentse az </w:t>
            </w:r>
            <w:r w:rsidR="00A47CCB" w:rsidRPr="00D045B3">
              <w:rPr>
                <w:sz w:val="22"/>
                <w:szCs w:val="22"/>
              </w:rPr>
              <w:t>imatinb</w:t>
            </w:r>
            <w:r w:rsidRPr="00D045B3">
              <w:rPr>
                <w:sz w:val="22"/>
                <w:szCs w:val="22"/>
              </w:rPr>
              <w:t xml:space="preserve"> dózisát 400 mg</w:t>
            </w:r>
            <w:r w:rsidRPr="00D045B3">
              <w:rPr>
                <w:sz w:val="22"/>
                <w:szCs w:val="22"/>
              </w:rPr>
              <w:noBreakHyphen/>
              <w:t xml:space="preserve">ra. </w:t>
            </w:r>
          </w:p>
          <w:p w14:paraId="1E92707F" w14:textId="77777777" w:rsidR="00903FE0" w:rsidRPr="00D045B3" w:rsidRDefault="00903FE0" w:rsidP="00860BD9">
            <w:pPr>
              <w:pStyle w:val="Default"/>
              <w:ind w:left="317" w:hanging="317"/>
              <w:rPr>
                <w:sz w:val="22"/>
                <w:szCs w:val="22"/>
              </w:rPr>
            </w:pPr>
            <w:r w:rsidRPr="00D045B3">
              <w:rPr>
                <w:sz w:val="22"/>
                <w:szCs w:val="22"/>
              </w:rPr>
              <w:t>3. Ha a cytopenia 2 héten keresztül fennmarad, csökkentse tovább az adagot 300 mg</w:t>
            </w:r>
            <w:r w:rsidRPr="00D045B3">
              <w:rPr>
                <w:sz w:val="22"/>
                <w:szCs w:val="22"/>
              </w:rPr>
              <w:noBreakHyphen/>
              <w:t xml:space="preserve">ra. </w:t>
            </w:r>
          </w:p>
          <w:p w14:paraId="1E927080" w14:textId="77777777" w:rsidR="00903FE0" w:rsidRPr="00D045B3" w:rsidRDefault="00903FE0" w:rsidP="00860BD9">
            <w:pPr>
              <w:pStyle w:val="Default"/>
              <w:ind w:left="317" w:hanging="317"/>
              <w:rPr>
                <w:sz w:val="22"/>
                <w:szCs w:val="22"/>
              </w:rPr>
            </w:pPr>
            <w:r w:rsidRPr="00D045B3">
              <w:rPr>
                <w:sz w:val="22"/>
                <w:szCs w:val="22"/>
              </w:rPr>
              <w:t xml:space="preserve">4. Ha a cytopenia 4 héten át fennmarad és továbbra sem a leukaemiával kapcsolatos, állítsa le az </w:t>
            </w:r>
            <w:r w:rsidR="00A47CCB" w:rsidRPr="00D045B3">
              <w:rPr>
                <w:sz w:val="22"/>
                <w:szCs w:val="22"/>
              </w:rPr>
              <w:t>imatinib</w:t>
            </w:r>
            <w:r w:rsidR="00A47CCB" w:rsidRPr="00D045B3">
              <w:rPr>
                <w:sz w:val="22"/>
                <w:szCs w:val="22"/>
              </w:rPr>
              <w:noBreakHyphen/>
              <w:t>kezelést</w:t>
            </w:r>
            <w:r w:rsidRPr="00D045B3">
              <w:rPr>
                <w:sz w:val="22"/>
                <w:szCs w:val="22"/>
              </w:rPr>
              <w:t>, amíg az ANC</w:t>
            </w:r>
            <w:r w:rsidRPr="00D045B3">
              <w:rPr>
                <w:sz w:val="20"/>
                <w:szCs w:val="20"/>
              </w:rPr>
              <w:t> ≥</w:t>
            </w:r>
            <w:r w:rsidRPr="00D045B3">
              <w:rPr>
                <w:sz w:val="22"/>
                <w:szCs w:val="22"/>
              </w:rPr>
              <w:t>1 × 10</w:t>
            </w:r>
            <w:r w:rsidRPr="00D045B3">
              <w:rPr>
                <w:sz w:val="22"/>
                <w:szCs w:val="22"/>
                <w:vertAlign w:val="superscript"/>
              </w:rPr>
              <w:t>9</w:t>
            </w:r>
            <w:r w:rsidRPr="00D045B3">
              <w:rPr>
                <w:sz w:val="22"/>
                <w:szCs w:val="22"/>
              </w:rPr>
              <w:t>/l és a thrombocytaszám</w:t>
            </w:r>
            <w:r w:rsidRPr="00D045B3">
              <w:rPr>
                <w:sz w:val="20"/>
                <w:szCs w:val="20"/>
              </w:rPr>
              <w:t> ≥</w:t>
            </w:r>
            <w:r w:rsidRPr="00D045B3">
              <w:rPr>
                <w:sz w:val="22"/>
                <w:szCs w:val="22"/>
              </w:rPr>
              <w:t>20 × 10</w:t>
            </w:r>
            <w:r w:rsidRPr="00D045B3">
              <w:rPr>
                <w:sz w:val="22"/>
                <w:szCs w:val="22"/>
                <w:vertAlign w:val="superscript"/>
              </w:rPr>
              <w:t>9</w:t>
            </w:r>
            <w:r w:rsidRPr="00D045B3">
              <w:rPr>
                <w:sz w:val="22"/>
                <w:szCs w:val="22"/>
              </w:rPr>
              <w:t>/l lesz, majd folytassa a kezelést 300 mg</w:t>
            </w:r>
            <w:r w:rsidRPr="00D045B3">
              <w:rPr>
                <w:sz w:val="22"/>
                <w:szCs w:val="22"/>
              </w:rPr>
              <w:noBreakHyphen/>
              <w:t xml:space="preserve">mal. </w:t>
            </w:r>
          </w:p>
        </w:tc>
      </w:tr>
      <w:tr w:rsidR="00903FE0" w:rsidRPr="00D045B3" w14:paraId="1E927089" w14:textId="77777777" w:rsidTr="00A47CCB">
        <w:trPr>
          <w:trHeight w:val="4108"/>
        </w:trPr>
        <w:tc>
          <w:tcPr>
            <w:tcW w:w="2410" w:type="dxa"/>
          </w:tcPr>
          <w:p w14:paraId="1E927082" w14:textId="67C6263A" w:rsidR="00903FE0" w:rsidRPr="00D045B3" w:rsidRDefault="00903FE0" w:rsidP="00903FE0">
            <w:pPr>
              <w:pStyle w:val="KeinLeerraum"/>
              <w:rPr>
                <w:rFonts w:ascii="Times New Roman" w:hAnsi="Times New Roman"/>
              </w:rPr>
            </w:pPr>
            <w:r w:rsidRPr="00D045B3">
              <w:rPr>
                <w:rFonts w:ascii="Times New Roman" w:hAnsi="Times New Roman"/>
              </w:rPr>
              <w:t>Gyermek</w:t>
            </w:r>
            <w:r w:rsidR="001E231E" w:rsidRPr="00D045B3">
              <w:rPr>
                <w:rFonts w:ascii="Times New Roman" w:hAnsi="Times New Roman"/>
              </w:rPr>
              <w:t>- és serdülő</w:t>
            </w:r>
            <w:r w:rsidRPr="00D045B3">
              <w:rPr>
                <w:rFonts w:ascii="Times New Roman" w:hAnsi="Times New Roman"/>
              </w:rPr>
              <w:t>kori</w:t>
            </w:r>
            <w:r w:rsidRPr="00D045B3">
              <w:rPr>
                <w:rStyle w:val="Kommentarzeichen"/>
              </w:rPr>
              <w:t xml:space="preserve"> </w:t>
            </w:r>
            <w:r w:rsidRPr="00D045B3">
              <w:rPr>
                <w:rFonts w:ascii="Times New Roman" w:hAnsi="Times New Roman"/>
              </w:rPr>
              <w:t>CML akcelerált fázis és blasztos krízis (kezdő dózis: 340 mg/m</w:t>
            </w:r>
            <w:r w:rsidRPr="00D045B3">
              <w:rPr>
                <w:rFonts w:ascii="Times New Roman" w:hAnsi="Times New Roman"/>
                <w:vertAlign w:val="superscript"/>
              </w:rPr>
              <w:t>2</w:t>
            </w:r>
            <w:r w:rsidRPr="00D045B3">
              <w:rPr>
                <w:rFonts w:ascii="Times New Roman" w:hAnsi="Times New Roman"/>
              </w:rPr>
              <w:t>)</w:t>
            </w:r>
          </w:p>
        </w:tc>
        <w:tc>
          <w:tcPr>
            <w:tcW w:w="2552" w:type="dxa"/>
          </w:tcPr>
          <w:p w14:paraId="1E927083" w14:textId="77777777" w:rsidR="00903FE0" w:rsidRPr="00D045B3" w:rsidRDefault="00903FE0" w:rsidP="006B783B">
            <w:pPr>
              <w:pStyle w:val="KeinLeerraum"/>
              <w:rPr>
                <w:rFonts w:ascii="Times New Roman" w:hAnsi="Times New Roman"/>
              </w:rPr>
            </w:pPr>
            <w:r w:rsidRPr="00D045B3">
              <w:rPr>
                <w:rFonts w:ascii="Times New Roman" w:hAnsi="Times New Roman"/>
              </w:rPr>
              <w:t>ANC &lt; 0,5 × 10</w:t>
            </w:r>
            <w:r w:rsidRPr="00D045B3">
              <w:rPr>
                <w:rFonts w:ascii="Times New Roman" w:hAnsi="Times New Roman"/>
                <w:vertAlign w:val="superscript"/>
              </w:rPr>
              <w:t>9</w:t>
            </w:r>
            <w:r w:rsidRPr="00D045B3">
              <w:rPr>
                <w:rFonts w:ascii="Times New Roman" w:hAnsi="Times New Roman"/>
              </w:rPr>
              <w:t xml:space="preserve">/l </w:t>
            </w:r>
          </w:p>
          <w:p w14:paraId="1E927084" w14:textId="77777777" w:rsidR="00903FE0" w:rsidRPr="00D045B3" w:rsidRDefault="00903FE0" w:rsidP="006B783B">
            <w:pPr>
              <w:pStyle w:val="KeinLeerraum"/>
              <w:rPr>
                <w:rFonts w:ascii="Times New Roman" w:hAnsi="Times New Roman"/>
              </w:rPr>
            </w:pPr>
            <w:r w:rsidRPr="00D045B3">
              <w:rPr>
                <w:rFonts w:ascii="Times New Roman" w:hAnsi="Times New Roman"/>
              </w:rPr>
              <w:t>és/vagy thrombocytaszám &lt;10 × 10</w:t>
            </w:r>
            <w:r w:rsidRPr="00D045B3">
              <w:rPr>
                <w:rFonts w:ascii="Times New Roman" w:hAnsi="Times New Roman"/>
                <w:vertAlign w:val="superscript"/>
              </w:rPr>
              <w:t>9</w:t>
            </w:r>
            <w:r w:rsidRPr="00D045B3">
              <w:rPr>
                <w:rFonts w:ascii="Times New Roman" w:hAnsi="Times New Roman"/>
              </w:rPr>
              <w:t>/l</w:t>
            </w:r>
          </w:p>
        </w:tc>
        <w:tc>
          <w:tcPr>
            <w:tcW w:w="4110" w:type="dxa"/>
          </w:tcPr>
          <w:p w14:paraId="1E927085" w14:textId="77777777" w:rsidR="00903FE0" w:rsidRPr="00D045B3" w:rsidRDefault="00903FE0" w:rsidP="00860BD9">
            <w:pPr>
              <w:pStyle w:val="KeinLeerraum"/>
              <w:ind w:left="317" w:hanging="317"/>
              <w:rPr>
                <w:rFonts w:ascii="Times New Roman" w:hAnsi="Times New Roman"/>
              </w:rPr>
            </w:pPr>
            <w:r w:rsidRPr="00D045B3">
              <w:rPr>
                <w:rFonts w:ascii="Times New Roman" w:hAnsi="Times New Roman"/>
              </w:rPr>
              <w:t>1. Ellenőrizni kell, hogy a cytopenia összefügg</w:t>
            </w:r>
            <w:r w:rsidRPr="00D045B3">
              <w:rPr>
                <w:rFonts w:ascii="Times New Roman" w:hAnsi="Times New Roman"/>
              </w:rPr>
              <w:noBreakHyphen/>
              <w:t xml:space="preserve">e a leukaemiával (csontvelő aspiratio vagy biopsia). </w:t>
            </w:r>
          </w:p>
          <w:p w14:paraId="1E927086" w14:textId="77777777" w:rsidR="00903FE0" w:rsidRPr="00D045B3" w:rsidRDefault="00903FE0" w:rsidP="008A6837">
            <w:pPr>
              <w:pStyle w:val="KeinLeerraum"/>
              <w:ind w:left="317" w:hanging="284"/>
              <w:rPr>
                <w:rFonts w:ascii="Times New Roman" w:hAnsi="Times New Roman"/>
              </w:rPr>
            </w:pPr>
            <w:smartTag w:uri="urn:schemas-microsoft-com:office:smarttags" w:element="metricconverter">
              <w:smartTagPr>
                <w:attr w:name="ProductID" w:val="2. Ha"/>
              </w:smartTagPr>
              <w:r w:rsidRPr="00D045B3">
                <w:rPr>
                  <w:rFonts w:ascii="Times New Roman" w:hAnsi="Times New Roman"/>
                </w:rPr>
                <w:t>2. Ha</w:t>
              </w:r>
            </w:smartTag>
            <w:r w:rsidRPr="00D045B3">
              <w:rPr>
                <w:rFonts w:ascii="Times New Roman" w:hAnsi="Times New Roman"/>
              </w:rPr>
              <w:t xml:space="preserve"> a cytopenia nem a leukaemiával kapcsolatos, csökkentse az </w:t>
            </w:r>
            <w:r w:rsidR="00A47CCB" w:rsidRPr="00D045B3">
              <w:rPr>
                <w:rFonts w:ascii="Times New Roman" w:hAnsi="Times New Roman"/>
              </w:rPr>
              <w:t xml:space="preserve">imatinib </w:t>
            </w:r>
            <w:r w:rsidRPr="00D045B3">
              <w:rPr>
                <w:rFonts w:ascii="Times New Roman" w:hAnsi="Times New Roman"/>
              </w:rPr>
              <w:t>dózisát 400 mg</w:t>
            </w:r>
            <w:r w:rsidRPr="00D045B3">
              <w:rPr>
                <w:rFonts w:ascii="Times New Roman" w:hAnsi="Times New Roman"/>
              </w:rPr>
              <w:noBreakHyphen/>
              <w:t xml:space="preserve">ra. </w:t>
            </w:r>
          </w:p>
          <w:p w14:paraId="1E927087" w14:textId="77777777" w:rsidR="00903FE0" w:rsidRPr="00D045B3" w:rsidRDefault="00903FE0" w:rsidP="008A6837">
            <w:pPr>
              <w:pStyle w:val="KeinLeerraum"/>
              <w:ind w:left="317" w:hanging="317"/>
              <w:rPr>
                <w:rFonts w:ascii="Times New Roman" w:hAnsi="Times New Roman"/>
              </w:rPr>
            </w:pPr>
            <w:smartTag w:uri="urn:schemas-microsoft-com:office:smarttags" w:element="metricconverter">
              <w:smartTagPr>
                <w:attr w:name="ProductID" w:val="3. Ha"/>
              </w:smartTagPr>
              <w:r w:rsidRPr="00D045B3">
                <w:rPr>
                  <w:rFonts w:ascii="Times New Roman" w:hAnsi="Times New Roman"/>
                </w:rPr>
                <w:t>3. Ha</w:t>
              </w:r>
            </w:smartTag>
            <w:r w:rsidRPr="00D045B3">
              <w:rPr>
                <w:rFonts w:ascii="Times New Roman" w:hAnsi="Times New Roman"/>
              </w:rPr>
              <w:t xml:space="preserve"> a cytopenia 2 héten át fennmarad, csökkentse tovább az adagot 300 mg</w:t>
            </w:r>
            <w:r w:rsidRPr="00D045B3">
              <w:rPr>
                <w:rFonts w:ascii="Times New Roman" w:hAnsi="Times New Roman"/>
              </w:rPr>
              <w:noBreakHyphen/>
              <w:t xml:space="preserve">ra. </w:t>
            </w:r>
          </w:p>
          <w:p w14:paraId="1E927088" w14:textId="77777777" w:rsidR="00903FE0" w:rsidRPr="00D045B3" w:rsidRDefault="00903FE0" w:rsidP="00860BD9">
            <w:pPr>
              <w:pStyle w:val="KeinLeerraum"/>
              <w:ind w:left="317" w:hanging="317"/>
              <w:rPr>
                <w:rFonts w:ascii="Times New Roman" w:hAnsi="Times New Roman"/>
              </w:rPr>
            </w:pPr>
            <w:smartTag w:uri="urn:schemas-microsoft-com:office:smarttags" w:element="metricconverter">
              <w:smartTagPr>
                <w:attr w:name="ProductID" w:val="4. Ha"/>
              </w:smartTagPr>
              <w:r w:rsidRPr="00D045B3">
                <w:rPr>
                  <w:rFonts w:ascii="Times New Roman" w:hAnsi="Times New Roman"/>
                </w:rPr>
                <w:t>4. Ha</w:t>
              </w:r>
            </w:smartTag>
            <w:r w:rsidRPr="00D045B3">
              <w:rPr>
                <w:rFonts w:ascii="Times New Roman" w:hAnsi="Times New Roman"/>
              </w:rPr>
              <w:t xml:space="preserve"> a cytopenia 4 héten át fennmarad és továbbra sem a leukaemiával kapcsolatos, állítsa le az </w:t>
            </w:r>
            <w:r w:rsidR="00A47CCB" w:rsidRPr="00D045B3">
              <w:rPr>
                <w:rFonts w:ascii="Times New Roman" w:hAnsi="Times New Roman"/>
              </w:rPr>
              <w:t>imatinib</w:t>
            </w:r>
            <w:r w:rsidR="00A47CCB" w:rsidRPr="00D045B3">
              <w:rPr>
                <w:rFonts w:ascii="Times New Roman" w:hAnsi="Times New Roman"/>
              </w:rPr>
              <w:noBreakHyphen/>
              <w:t>kezelést</w:t>
            </w:r>
            <w:r w:rsidRPr="00D045B3">
              <w:rPr>
                <w:rFonts w:ascii="Times New Roman" w:hAnsi="Times New Roman"/>
              </w:rPr>
              <w:t>, amíg az ANC eléri a ≥1 × 10</w:t>
            </w:r>
            <w:r w:rsidRPr="00D045B3">
              <w:rPr>
                <w:rFonts w:ascii="Times New Roman" w:hAnsi="Times New Roman"/>
                <w:vertAlign w:val="superscript"/>
              </w:rPr>
              <w:t>9</w:t>
            </w:r>
            <w:r w:rsidRPr="00D045B3">
              <w:rPr>
                <w:rFonts w:ascii="Times New Roman" w:hAnsi="Times New Roman"/>
              </w:rPr>
              <w:t>/l, a thrombocytaszám pedig a ≥20 × 10</w:t>
            </w:r>
            <w:r w:rsidRPr="00D045B3">
              <w:rPr>
                <w:rFonts w:ascii="Times New Roman" w:hAnsi="Times New Roman"/>
                <w:vertAlign w:val="superscript"/>
              </w:rPr>
              <w:t>9</w:t>
            </w:r>
            <w:r w:rsidRPr="00D045B3">
              <w:rPr>
                <w:rFonts w:ascii="Times New Roman" w:hAnsi="Times New Roman"/>
              </w:rPr>
              <w:t>/l értéket, majd folytassa a kezelést 200  mg/m</w:t>
            </w:r>
            <w:r w:rsidRPr="00D045B3">
              <w:rPr>
                <w:rFonts w:ascii="Times New Roman" w:hAnsi="Times New Roman"/>
                <w:vertAlign w:val="superscript"/>
              </w:rPr>
              <w:t>2</w:t>
            </w:r>
            <w:r w:rsidRPr="00D045B3">
              <w:rPr>
                <w:rFonts w:ascii="Times New Roman" w:hAnsi="Times New Roman"/>
              </w:rPr>
              <w:t xml:space="preserve"> dózissal.</w:t>
            </w:r>
          </w:p>
        </w:tc>
      </w:tr>
      <w:tr w:rsidR="00236AD4" w:rsidRPr="00D045B3" w14:paraId="1E92708F" w14:textId="77777777" w:rsidTr="00371A6B">
        <w:tc>
          <w:tcPr>
            <w:tcW w:w="2410" w:type="dxa"/>
            <w:tcBorders>
              <w:top w:val="single" w:sz="4" w:space="0" w:color="000000"/>
              <w:left w:val="single" w:sz="4" w:space="0" w:color="000000"/>
              <w:bottom w:val="single" w:sz="4" w:space="0" w:color="000000"/>
              <w:right w:val="single" w:sz="4" w:space="0" w:color="000000"/>
            </w:tcBorders>
          </w:tcPr>
          <w:p w14:paraId="1E92708A" w14:textId="77777777" w:rsidR="00236AD4" w:rsidRPr="00D045B3" w:rsidRDefault="00236AD4" w:rsidP="008A6837">
            <w:pPr>
              <w:pStyle w:val="Default"/>
              <w:rPr>
                <w:sz w:val="22"/>
                <w:szCs w:val="22"/>
              </w:rPr>
            </w:pPr>
            <w:r w:rsidRPr="00D045B3">
              <w:rPr>
                <w:sz w:val="22"/>
                <w:szCs w:val="22"/>
              </w:rPr>
              <w:t xml:space="preserve">DFSP </w:t>
            </w:r>
            <w:r w:rsidRPr="00D045B3">
              <w:t>(400 </w:t>
            </w:r>
            <w:r w:rsidRPr="00D045B3">
              <w:rPr>
                <w:sz w:val="22"/>
                <w:szCs w:val="22"/>
              </w:rPr>
              <w:t>mg</w:t>
            </w:r>
            <w:r w:rsidRPr="00D045B3">
              <w:noBreakHyphen/>
            </w:r>
            <w:r w:rsidRPr="00D045B3">
              <w:rPr>
                <w:sz w:val="22"/>
                <w:szCs w:val="22"/>
              </w:rPr>
              <w:t xml:space="preserve">os </w:t>
            </w:r>
            <w:r w:rsidRPr="00D045B3">
              <w:t>dózis</w:t>
            </w:r>
            <w:r w:rsidRPr="00D045B3">
              <w:rPr>
                <w:sz w:val="22"/>
                <w:szCs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E92708B" w14:textId="77777777" w:rsidR="00236AD4" w:rsidRPr="00D045B3" w:rsidRDefault="00236AD4" w:rsidP="00371A6B">
            <w:pPr>
              <w:rPr>
                <w:szCs w:val="22"/>
                <w:lang w:val="hu-HU"/>
              </w:rPr>
            </w:pPr>
            <w:r w:rsidRPr="00D045B3">
              <w:rPr>
                <w:szCs w:val="22"/>
                <w:lang w:val="hu-HU"/>
              </w:rPr>
              <w:t>ANC &lt;1,0 × 10</w:t>
            </w:r>
            <w:r w:rsidRPr="00D045B3">
              <w:rPr>
                <w:szCs w:val="22"/>
                <w:vertAlign w:val="superscript"/>
                <w:lang w:val="hu-HU"/>
              </w:rPr>
              <w:t>9</w:t>
            </w:r>
            <w:r w:rsidRPr="00D045B3">
              <w:rPr>
                <w:szCs w:val="22"/>
                <w:lang w:val="hu-HU"/>
              </w:rPr>
              <w:t>/l és/vagy thrombocytaszám &lt; 50 × 10</w:t>
            </w:r>
            <w:r w:rsidRPr="00D045B3">
              <w:rPr>
                <w:szCs w:val="22"/>
                <w:vertAlign w:val="superscript"/>
                <w:lang w:val="hu-HU"/>
              </w:rPr>
              <w:t>9</w:t>
            </w:r>
            <w:r w:rsidRPr="00D045B3">
              <w:rPr>
                <w:szCs w:val="22"/>
                <w:lang w:val="hu-HU"/>
              </w:rPr>
              <w:t>/l</w:t>
            </w:r>
          </w:p>
        </w:tc>
        <w:tc>
          <w:tcPr>
            <w:tcW w:w="4110" w:type="dxa"/>
            <w:tcBorders>
              <w:top w:val="single" w:sz="4" w:space="0" w:color="000000"/>
              <w:left w:val="single" w:sz="4" w:space="0" w:color="000000"/>
              <w:bottom w:val="single" w:sz="4" w:space="0" w:color="000000"/>
              <w:right w:val="single" w:sz="4" w:space="0" w:color="000000"/>
            </w:tcBorders>
          </w:tcPr>
          <w:p w14:paraId="1E92708C" w14:textId="77777777" w:rsidR="00236AD4" w:rsidRPr="00D045B3" w:rsidRDefault="00236AD4" w:rsidP="00371A6B">
            <w:pPr>
              <w:pStyle w:val="Default"/>
              <w:ind w:left="317" w:hanging="284"/>
              <w:rPr>
                <w:sz w:val="22"/>
                <w:szCs w:val="22"/>
              </w:rPr>
            </w:pPr>
            <w:r w:rsidRPr="00D045B3">
              <w:rPr>
                <w:sz w:val="22"/>
                <w:szCs w:val="22"/>
              </w:rPr>
              <w:t>1. Állítsa le az imatinib</w:t>
            </w:r>
            <w:r w:rsidRPr="00D045B3">
              <w:rPr>
                <w:sz w:val="22"/>
                <w:szCs w:val="22"/>
              </w:rPr>
              <w:noBreakHyphen/>
              <w:t>kezelést, amíg az ANC eléri a ≥1,5 × 10</w:t>
            </w:r>
            <w:r w:rsidRPr="00D045B3">
              <w:rPr>
                <w:sz w:val="22"/>
                <w:szCs w:val="22"/>
                <w:vertAlign w:val="superscript"/>
              </w:rPr>
              <w:t>9</w:t>
            </w:r>
            <w:r w:rsidRPr="00D045B3">
              <w:rPr>
                <w:sz w:val="22"/>
                <w:szCs w:val="22"/>
              </w:rPr>
              <w:t>/l, a thrombocytaszám pedig a ≥75 × 10</w:t>
            </w:r>
            <w:r w:rsidRPr="00D045B3">
              <w:rPr>
                <w:sz w:val="22"/>
                <w:szCs w:val="22"/>
                <w:vertAlign w:val="superscript"/>
              </w:rPr>
              <w:t>9</w:t>
            </w:r>
            <w:r w:rsidRPr="00D045B3">
              <w:rPr>
                <w:sz w:val="22"/>
                <w:szCs w:val="22"/>
              </w:rPr>
              <w:t xml:space="preserve">/l értéket. </w:t>
            </w:r>
          </w:p>
          <w:p w14:paraId="1E92708D" w14:textId="77777777" w:rsidR="00236AD4" w:rsidRPr="00D045B3" w:rsidRDefault="00236AD4" w:rsidP="00371A6B">
            <w:pPr>
              <w:pStyle w:val="KeinLeerraum"/>
              <w:ind w:left="317" w:hanging="317"/>
              <w:rPr>
                <w:rFonts w:ascii="Times New Roman" w:hAnsi="Times New Roman"/>
              </w:rPr>
            </w:pPr>
            <w:r w:rsidRPr="00D045B3">
              <w:rPr>
                <w:rFonts w:ascii="Times New Roman" w:hAnsi="Times New Roman"/>
              </w:rPr>
              <w:t>2. Az imatinib</w:t>
            </w:r>
            <w:r w:rsidRPr="00D045B3">
              <w:rPr>
                <w:rFonts w:ascii="Times New Roman" w:hAnsi="Times New Roman"/>
              </w:rPr>
              <w:noBreakHyphen/>
              <w:t>kezelést 600 mg</w:t>
            </w:r>
            <w:r w:rsidRPr="00D045B3">
              <w:rPr>
                <w:rFonts w:ascii="Times New Roman" w:hAnsi="Times New Roman"/>
              </w:rPr>
              <w:noBreakHyphen/>
              <w:t xml:space="preserve">mal </w:t>
            </w:r>
            <w:r w:rsidR="00140D7D" w:rsidRPr="00D045B3">
              <w:rPr>
                <w:rFonts w:ascii="Times New Roman" w:hAnsi="Times New Roman"/>
              </w:rPr>
              <w:t>indítsa újra</w:t>
            </w:r>
            <w:r w:rsidRPr="00D045B3">
              <w:rPr>
                <w:rFonts w:ascii="Times New Roman" w:hAnsi="Times New Roman"/>
              </w:rPr>
              <w:t>.</w:t>
            </w:r>
          </w:p>
          <w:p w14:paraId="1E92708E" w14:textId="77777777" w:rsidR="00236AD4" w:rsidRPr="00D045B3" w:rsidRDefault="00236AD4" w:rsidP="000C31EA">
            <w:pPr>
              <w:pStyle w:val="KeinLeerraum"/>
              <w:ind w:left="317" w:hanging="317"/>
              <w:rPr>
                <w:rFonts w:ascii="Times New Roman" w:hAnsi="Times New Roman"/>
              </w:rPr>
            </w:pPr>
            <w:r w:rsidRPr="00D045B3">
              <w:rPr>
                <w:rFonts w:ascii="Times New Roman" w:hAnsi="Times New Roman"/>
              </w:rPr>
              <w:t>3. Ha az ANC ismét &lt;1,0 × 10</w:t>
            </w:r>
            <w:r w:rsidRPr="00D045B3">
              <w:rPr>
                <w:rFonts w:ascii="Times New Roman" w:hAnsi="Times New Roman"/>
                <w:vertAlign w:val="superscript"/>
              </w:rPr>
              <w:t>9</w:t>
            </w:r>
            <w:r w:rsidRPr="00D045B3">
              <w:rPr>
                <w:rFonts w:ascii="Times New Roman" w:hAnsi="Times New Roman"/>
              </w:rPr>
              <w:t>/l, és/vagy a thrombocytaszám ismét &lt; 50 × 10</w:t>
            </w:r>
            <w:r w:rsidRPr="00D045B3">
              <w:rPr>
                <w:rFonts w:ascii="Times New Roman" w:hAnsi="Times New Roman"/>
                <w:vertAlign w:val="superscript"/>
              </w:rPr>
              <w:t>9</w:t>
            </w:r>
            <w:r w:rsidRPr="00D045B3">
              <w:rPr>
                <w:rFonts w:ascii="Times New Roman" w:hAnsi="Times New Roman"/>
              </w:rPr>
              <w:t xml:space="preserve">/l, az 1. pont szerint járjon el, majd a </w:t>
            </w:r>
            <w:r w:rsidR="000C31EA" w:rsidRPr="00D045B3">
              <w:rPr>
                <w:rFonts w:ascii="Times New Roman" w:hAnsi="Times New Roman"/>
              </w:rPr>
              <w:t xml:space="preserve">kezelést </w:t>
            </w:r>
            <w:r w:rsidRPr="00D045B3">
              <w:rPr>
                <w:rFonts w:ascii="Times New Roman" w:hAnsi="Times New Roman"/>
              </w:rPr>
              <w:t>400 mg</w:t>
            </w:r>
            <w:r w:rsidRPr="00D045B3">
              <w:rPr>
                <w:rFonts w:ascii="Times New Roman" w:hAnsi="Times New Roman"/>
              </w:rPr>
              <w:noBreakHyphen/>
              <w:t xml:space="preserve">ra csökkentett </w:t>
            </w:r>
            <w:r w:rsidR="000C31EA" w:rsidRPr="00D045B3">
              <w:rPr>
                <w:rFonts w:ascii="Times New Roman" w:hAnsi="Times New Roman"/>
              </w:rPr>
              <w:t xml:space="preserve">imatinib </w:t>
            </w:r>
            <w:r w:rsidRPr="00D045B3">
              <w:rPr>
                <w:rFonts w:ascii="Times New Roman" w:hAnsi="Times New Roman"/>
              </w:rPr>
              <w:t xml:space="preserve">dózissal </w:t>
            </w:r>
            <w:r w:rsidR="00140D7D" w:rsidRPr="00D045B3">
              <w:rPr>
                <w:rFonts w:ascii="Times New Roman" w:hAnsi="Times New Roman"/>
              </w:rPr>
              <w:t>indítsa újra</w:t>
            </w:r>
            <w:r w:rsidRPr="00D045B3">
              <w:rPr>
                <w:rFonts w:ascii="Times New Roman" w:hAnsi="Times New Roman"/>
              </w:rPr>
              <w:t>.</w:t>
            </w:r>
          </w:p>
        </w:tc>
      </w:tr>
      <w:tr w:rsidR="00236AD4" w:rsidRPr="00D045B3" w14:paraId="1E927091" w14:textId="77777777" w:rsidTr="00371A6B">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222"/>
        </w:trPr>
        <w:tc>
          <w:tcPr>
            <w:tcW w:w="9072" w:type="dxa"/>
            <w:gridSpan w:val="3"/>
            <w:tcBorders>
              <w:top w:val="single" w:sz="4" w:space="0" w:color="auto"/>
              <w:left w:val="single" w:sz="4" w:space="0" w:color="auto"/>
              <w:bottom w:val="nil"/>
              <w:right w:val="single" w:sz="4" w:space="0" w:color="auto"/>
            </w:tcBorders>
          </w:tcPr>
          <w:p w14:paraId="1E927090" w14:textId="77777777" w:rsidR="00236AD4" w:rsidRPr="00D045B3" w:rsidRDefault="00236AD4" w:rsidP="00371A6B">
            <w:pPr>
              <w:pStyle w:val="Default"/>
              <w:rPr>
                <w:sz w:val="22"/>
                <w:szCs w:val="22"/>
              </w:rPr>
            </w:pPr>
            <w:r w:rsidRPr="00D045B3">
              <w:rPr>
                <w:sz w:val="22"/>
                <w:szCs w:val="22"/>
              </w:rPr>
              <w:t xml:space="preserve">ANC = abszolút neutrofilszám </w:t>
            </w:r>
          </w:p>
        </w:tc>
      </w:tr>
      <w:tr w:rsidR="00236AD4" w:rsidRPr="00D045B3" w14:paraId="1E927093" w14:textId="77777777" w:rsidTr="00371A6B">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222"/>
        </w:trPr>
        <w:tc>
          <w:tcPr>
            <w:tcW w:w="9072" w:type="dxa"/>
            <w:gridSpan w:val="3"/>
            <w:tcBorders>
              <w:top w:val="nil"/>
              <w:left w:val="single" w:sz="4" w:space="0" w:color="auto"/>
              <w:bottom w:val="single" w:sz="4" w:space="0" w:color="auto"/>
              <w:right w:val="single" w:sz="4" w:space="0" w:color="auto"/>
            </w:tcBorders>
          </w:tcPr>
          <w:p w14:paraId="1E927092" w14:textId="77777777" w:rsidR="00236AD4" w:rsidRPr="00D045B3" w:rsidRDefault="00236AD4" w:rsidP="00371A6B">
            <w:pPr>
              <w:pStyle w:val="Default"/>
              <w:rPr>
                <w:sz w:val="22"/>
                <w:szCs w:val="22"/>
              </w:rPr>
            </w:pPr>
            <w:r w:rsidRPr="00D045B3">
              <w:rPr>
                <w:sz w:val="22"/>
                <w:szCs w:val="22"/>
              </w:rPr>
              <w:t>’</w:t>
            </w:r>
            <w:r w:rsidRPr="00D045B3">
              <w:rPr>
                <w:sz w:val="22"/>
                <w:szCs w:val="22"/>
                <w:vertAlign w:val="superscript"/>
              </w:rPr>
              <w:t>a</w:t>
            </w:r>
            <w:r w:rsidRPr="00D045B3">
              <w:rPr>
                <w:sz w:val="22"/>
                <w:szCs w:val="22"/>
              </w:rPr>
              <w:t>’ legalább egy hónapos kezelés után következik be</w:t>
            </w:r>
          </w:p>
        </w:tc>
      </w:tr>
    </w:tbl>
    <w:p w14:paraId="1E927094" w14:textId="77777777" w:rsidR="00236AD4" w:rsidRPr="00D045B3" w:rsidRDefault="00236AD4" w:rsidP="00903FE0">
      <w:pPr>
        <w:pStyle w:val="KeinLeerraum"/>
        <w:rPr>
          <w:rFonts w:ascii="Times New Roman" w:hAnsi="Times New Roman"/>
        </w:rPr>
      </w:pPr>
    </w:p>
    <w:p w14:paraId="1E927095" w14:textId="77777777" w:rsidR="00903FE0" w:rsidRPr="00D045B3" w:rsidRDefault="00903FE0" w:rsidP="00903FE0">
      <w:pPr>
        <w:pStyle w:val="KeinLeerraum"/>
        <w:keepNext/>
        <w:rPr>
          <w:rFonts w:ascii="Times New Roman" w:hAnsi="Times New Roman"/>
          <w:u w:val="single"/>
        </w:rPr>
      </w:pPr>
      <w:r w:rsidRPr="00D045B3">
        <w:rPr>
          <w:rFonts w:ascii="Times New Roman" w:hAnsi="Times New Roman"/>
          <w:u w:val="single"/>
        </w:rPr>
        <w:t>Különleges betegcsoportok</w:t>
      </w:r>
    </w:p>
    <w:p w14:paraId="1E927096" w14:textId="77777777" w:rsidR="00D33C6F" w:rsidRPr="00D045B3" w:rsidRDefault="00D33C6F" w:rsidP="00903FE0">
      <w:pPr>
        <w:pStyle w:val="KeinLeerraum"/>
        <w:keepNext/>
        <w:rPr>
          <w:rFonts w:ascii="Times New Roman" w:hAnsi="Times New Roman"/>
          <w:u w:val="single"/>
        </w:rPr>
      </w:pPr>
    </w:p>
    <w:p w14:paraId="1E927097" w14:textId="50125F30" w:rsidR="00BE191D" w:rsidRPr="00D045B3" w:rsidRDefault="004B5899" w:rsidP="00BE191D">
      <w:pPr>
        <w:pStyle w:val="Default"/>
        <w:rPr>
          <w:sz w:val="22"/>
          <w:szCs w:val="22"/>
        </w:rPr>
      </w:pPr>
      <w:r w:rsidRPr="00D045B3">
        <w:rPr>
          <w:i/>
          <w:iCs/>
          <w:sz w:val="22"/>
          <w:szCs w:val="22"/>
          <w:u w:val="single"/>
        </w:rPr>
        <w:t>Alkalmazása gyermekeknél</w:t>
      </w:r>
      <w:r w:rsidR="00070DAA" w:rsidRPr="00D045B3">
        <w:rPr>
          <w:i/>
          <w:iCs/>
          <w:sz w:val="22"/>
          <w:szCs w:val="22"/>
          <w:u w:val="single"/>
        </w:rPr>
        <w:t xml:space="preserve"> és serdülőknél</w:t>
      </w:r>
      <w:r w:rsidRPr="00D045B3">
        <w:rPr>
          <w:i/>
          <w:iCs/>
          <w:sz w:val="22"/>
          <w:szCs w:val="22"/>
          <w:u w:val="single"/>
        </w:rPr>
        <w:t xml:space="preserve">: </w:t>
      </w:r>
      <w:r w:rsidR="006C2D1E" w:rsidRPr="00D045B3">
        <w:rPr>
          <w:sz w:val="22"/>
          <w:szCs w:val="22"/>
        </w:rPr>
        <w:t xml:space="preserve">2 éves kor alatti </w:t>
      </w:r>
      <w:r w:rsidRPr="00D045B3">
        <w:rPr>
          <w:sz w:val="22"/>
          <w:szCs w:val="22"/>
        </w:rPr>
        <w:t>CML</w:t>
      </w:r>
      <w:r w:rsidRPr="00D045B3">
        <w:rPr>
          <w:sz w:val="22"/>
          <w:szCs w:val="22"/>
        </w:rPr>
        <w:noBreakHyphen/>
        <w:t xml:space="preserve">ben szenvedő gyermekek </w:t>
      </w:r>
      <w:r w:rsidR="009D1B51" w:rsidRPr="00D045B3">
        <w:rPr>
          <w:sz w:val="22"/>
          <w:szCs w:val="22"/>
        </w:rPr>
        <w:t xml:space="preserve">és 1 éves kor alatti </w:t>
      </w:r>
      <w:r w:rsidR="009D1B51" w:rsidRPr="00D045B3">
        <w:rPr>
          <w:sz w:val="22"/>
          <w:szCs w:val="22"/>
          <w:lang w:eastAsia="hu-HU"/>
        </w:rPr>
        <w:t>Ph+ALL</w:t>
      </w:r>
      <w:r w:rsidR="009D1B51" w:rsidRPr="00D045B3">
        <w:rPr>
          <w:sz w:val="22"/>
          <w:szCs w:val="22"/>
        </w:rPr>
        <w:noBreakHyphen/>
        <w:t>ben szenvedő gyermekek esetében</w:t>
      </w:r>
      <w:r w:rsidRPr="00D045B3">
        <w:rPr>
          <w:sz w:val="22"/>
          <w:szCs w:val="22"/>
        </w:rPr>
        <w:t xml:space="preserve"> nincs tapasztalat (lásd 5.1 pont). </w:t>
      </w:r>
      <w:r w:rsidR="000D2C69" w:rsidRPr="00D045B3">
        <w:rPr>
          <w:sz w:val="22"/>
          <w:szCs w:val="22"/>
        </w:rPr>
        <w:t>MDS/MPD</w:t>
      </w:r>
      <w:r w:rsidR="000D2C69" w:rsidRPr="00D045B3">
        <w:rPr>
          <w:sz w:val="22"/>
          <w:szCs w:val="22"/>
        </w:rPr>
        <w:noBreakHyphen/>
        <w:t>ben, DFSP</w:t>
      </w:r>
      <w:r w:rsidR="000D2C69" w:rsidRPr="00D045B3">
        <w:rPr>
          <w:sz w:val="22"/>
          <w:szCs w:val="22"/>
        </w:rPr>
        <w:noBreakHyphen/>
        <w:t xml:space="preserve">ben, </w:t>
      </w:r>
      <w:r w:rsidR="00BE191D" w:rsidRPr="00D045B3">
        <w:rPr>
          <w:sz w:val="22"/>
          <w:szCs w:val="22"/>
        </w:rPr>
        <w:t>illetve HES/CEL</w:t>
      </w:r>
      <w:r w:rsidR="00BE191D" w:rsidRPr="00D045B3">
        <w:rPr>
          <w:sz w:val="22"/>
          <w:szCs w:val="22"/>
        </w:rPr>
        <w:noBreakHyphen/>
        <w:t xml:space="preserve">ben </w:t>
      </w:r>
      <w:r w:rsidR="004431D2" w:rsidRPr="00D045B3">
        <w:rPr>
          <w:sz w:val="22"/>
          <w:szCs w:val="22"/>
        </w:rPr>
        <w:t>szenvedő</w:t>
      </w:r>
      <w:r w:rsidR="009D1B51" w:rsidRPr="00D045B3">
        <w:rPr>
          <w:sz w:val="22"/>
          <w:szCs w:val="22"/>
        </w:rPr>
        <w:t xml:space="preserve"> gyermeke</w:t>
      </w:r>
      <w:r w:rsidR="004431D2" w:rsidRPr="00D045B3">
        <w:rPr>
          <w:sz w:val="22"/>
          <w:szCs w:val="22"/>
        </w:rPr>
        <w:t xml:space="preserve">k </w:t>
      </w:r>
      <w:r w:rsidR="009D1B51" w:rsidRPr="00D045B3">
        <w:rPr>
          <w:sz w:val="22"/>
          <w:szCs w:val="22"/>
        </w:rPr>
        <w:t xml:space="preserve">esetében </w:t>
      </w:r>
      <w:r w:rsidR="00BE191D" w:rsidRPr="00D045B3">
        <w:rPr>
          <w:sz w:val="22"/>
          <w:szCs w:val="22"/>
        </w:rPr>
        <w:t xml:space="preserve">nagyon kevés tapasztalat áll rendelkezésre. </w:t>
      </w:r>
    </w:p>
    <w:p w14:paraId="1E927098" w14:textId="77777777" w:rsidR="004431D2" w:rsidRPr="00D045B3" w:rsidRDefault="004431D2" w:rsidP="00BE191D">
      <w:pPr>
        <w:pStyle w:val="Default"/>
        <w:rPr>
          <w:sz w:val="22"/>
          <w:szCs w:val="22"/>
        </w:rPr>
      </w:pPr>
    </w:p>
    <w:p w14:paraId="1E927099" w14:textId="6BDA8DE6" w:rsidR="004B5899" w:rsidRPr="00D045B3" w:rsidRDefault="00BE191D" w:rsidP="00CA41FD">
      <w:pPr>
        <w:pStyle w:val="KeinLeerraum"/>
        <w:rPr>
          <w:rFonts w:ascii="Times New Roman" w:hAnsi="Times New Roman"/>
        </w:rPr>
      </w:pPr>
      <w:r w:rsidRPr="00D045B3">
        <w:rPr>
          <w:rFonts w:ascii="Times New Roman" w:hAnsi="Times New Roman"/>
        </w:rPr>
        <w:t xml:space="preserve">Az imatinib </w:t>
      </w:r>
      <w:r w:rsidR="004431D2" w:rsidRPr="00D045B3">
        <w:rPr>
          <w:rFonts w:ascii="Times New Roman" w:hAnsi="Times New Roman"/>
        </w:rPr>
        <w:t xml:space="preserve">hatásosságát </w:t>
      </w:r>
      <w:r w:rsidRPr="00D045B3">
        <w:rPr>
          <w:rFonts w:ascii="Times New Roman" w:hAnsi="Times New Roman"/>
        </w:rPr>
        <w:t xml:space="preserve">és </w:t>
      </w:r>
      <w:r w:rsidR="004431D2" w:rsidRPr="00D045B3">
        <w:rPr>
          <w:rFonts w:ascii="Times New Roman" w:hAnsi="Times New Roman"/>
        </w:rPr>
        <w:t xml:space="preserve">biztonságosságát </w:t>
      </w:r>
      <w:r w:rsidRPr="00D045B3">
        <w:rPr>
          <w:rFonts w:ascii="Times New Roman" w:hAnsi="Times New Roman"/>
        </w:rPr>
        <w:t>MDS/MPD</w:t>
      </w:r>
      <w:r w:rsidR="00DE2796" w:rsidRPr="00D045B3">
        <w:rPr>
          <w:rFonts w:ascii="Times New Roman" w:hAnsi="Times New Roman"/>
        </w:rPr>
        <w:noBreakHyphen/>
        <w:t>ben</w:t>
      </w:r>
      <w:r w:rsidRPr="00D045B3">
        <w:rPr>
          <w:rFonts w:ascii="Times New Roman" w:hAnsi="Times New Roman"/>
        </w:rPr>
        <w:t>, DFSP</w:t>
      </w:r>
      <w:r w:rsidR="00DE2796" w:rsidRPr="00D045B3">
        <w:rPr>
          <w:rFonts w:ascii="Times New Roman" w:hAnsi="Times New Roman"/>
        </w:rPr>
        <w:noBreakHyphen/>
        <w:t>ben</w:t>
      </w:r>
      <w:r w:rsidRPr="00D045B3">
        <w:rPr>
          <w:rFonts w:ascii="Times New Roman" w:hAnsi="Times New Roman"/>
        </w:rPr>
        <w:t>, és HES/CEL</w:t>
      </w:r>
      <w:r w:rsidR="00DE2796" w:rsidRPr="00D045B3">
        <w:rPr>
          <w:rFonts w:ascii="Times New Roman" w:hAnsi="Times New Roman"/>
        </w:rPr>
        <w:noBreakHyphen/>
      </w:r>
      <w:r w:rsidRPr="00D045B3">
        <w:rPr>
          <w:rFonts w:ascii="Times New Roman" w:hAnsi="Times New Roman"/>
        </w:rPr>
        <w:t>ben szenvedő</w:t>
      </w:r>
      <w:r w:rsidR="00DE2796" w:rsidRPr="00D045B3">
        <w:rPr>
          <w:rFonts w:ascii="Times New Roman" w:hAnsi="Times New Roman"/>
        </w:rPr>
        <w:t>, 18 </w:t>
      </w:r>
      <w:r w:rsidRPr="00D045B3">
        <w:rPr>
          <w:rFonts w:ascii="Times New Roman" w:hAnsi="Times New Roman"/>
        </w:rPr>
        <w:t xml:space="preserve">évesnél fiatalabb gyermekeknél </w:t>
      </w:r>
      <w:r w:rsidR="00070DAA" w:rsidRPr="00D045B3">
        <w:rPr>
          <w:rFonts w:ascii="Times New Roman" w:hAnsi="Times New Roman"/>
        </w:rPr>
        <w:t xml:space="preserve">és serdülőknél </w:t>
      </w:r>
      <w:r w:rsidRPr="00D045B3">
        <w:rPr>
          <w:rFonts w:ascii="Times New Roman" w:hAnsi="Times New Roman"/>
        </w:rPr>
        <w:t xml:space="preserve">klinikai vizsgálatokban nem igazolták. A jelenleg rendelkezésre álló, publikált adatok </w:t>
      </w:r>
      <w:r w:rsidR="00DE2796" w:rsidRPr="00D045B3">
        <w:rPr>
          <w:rFonts w:ascii="Times New Roman" w:hAnsi="Times New Roman"/>
        </w:rPr>
        <w:t>az 5.1 pontban kerültek összegzésre</w:t>
      </w:r>
      <w:r w:rsidRPr="00D045B3">
        <w:rPr>
          <w:rFonts w:ascii="Times New Roman" w:hAnsi="Times New Roman"/>
        </w:rPr>
        <w:t>, de az adagolásra vonatkozó</w:t>
      </w:r>
      <w:r w:rsidR="00DE2796" w:rsidRPr="00D045B3">
        <w:rPr>
          <w:rFonts w:ascii="Times New Roman" w:hAnsi="Times New Roman"/>
        </w:rPr>
        <w:t>an nem adhatók ajánlások</w:t>
      </w:r>
      <w:r w:rsidRPr="00D045B3">
        <w:rPr>
          <w:rFonts w:ascii="Times New Roman" w:hAnsi="Times New Roman"/>
        </w:rPr>
        <w:t>.</w:t>
      </w:r>
    </w:p>
    <w:p w14:paraId="1E92709A" w14:textId="77777777" w:rsidR="004B5899" w:rsidRPr="00D045B3" w:rsidRDefault="004B5899" w:rsidP="004B5899">
      <w:pPr>
        <w:pStyle w:val="KeinLeerraum"/>
        <w:rPr>
          <w:rFonts w:ascii="Times New Roman" w:hAnsi="Times New Roman"/>
        </w:rPr>
      </w:pPr>
    </w:p>
    <w:p w14:paraId="1E92709B" w14:textId="77777777" w:rsidR="004B5899" w:rsidRPr="00D045B3" w:rsidRDefault="004B5899" w:rsidP="00903FE0">
      <w:pPr>
        <w:pStyle w:val="KeinLeerraum"/>
        <w:keepNext/>
        <w:rPr>
          <w:rFonts w:ascii="Times New Roman" w:hAnsi="Times New Roman"/>
        </w:rPr>
      </w:pPr>
      <w:r w:rsidRPr="00D045B3">
        <w:rPr>
          <w:rFonts w:ascii="Times New Roman" w:hAnsi="Times New Roman"/>
          <w:i/>
          <w:iCs/>
          <w:u w:val="single"/>
        </w:rPr>
        <w:t>Máj</w:t>
      </w:r>
      <w:r w:rsidR="00903FE0" w:rsidRPr="00D045B3">
        <w:rPr>
          <w:rFonts w:ascii="Times New Roman" w:hAnsi="Times New Roman"/>
          <w:i/>
          <w:iCs/>
          <w:u w:val="single"/>
        </w:rPr>
        <w:t>elégtelenség</w:t>
      </w:r>
      <w:r w:rsidRPr="00D045B3">
        <w:rPr>
          <w:rFonts w:ascii="Times New Roman" w:hAnsi="Times New Roman"/>
          <w:iCs/>
        </w:rPr>
        <w:t xml:space="preserve">: </w:t>
      </w:r>
      <w:r w:rsidRPr="00D045B3">
        <w:rPr>
          <w:rFonts w:ascii="Times New Roman" w:hAnsi="Times New Roman"/>
        </w:rPr>
        <w:t>Az imatinib főként a májon keresztül metabolizálódik. Enyhe, mérsékelt vagy súlyos májfunkció károsodásban szenvedő betegek számára a napi 400 mg</w:t>
      </w:r>
      <w:r w:rsidRPr="00D045B3">
        <w:rPr>
          <w:rFonts w:ascii="Times New Roman" w:hAnsi="Times New Roman"/>
        </w:rPr>
        <w:noBreakHyphen/>
        <w:t xml:space="preserve">os minimális dózis javasolt. A dózis csökkenthető, ha azt a beteg nem jól tolerálja (lásd 4.4, 4.8, és 5.2 pont). </w:t>
      </w:r>
    </w:p>
    <w:p w14:paraId="1E92709C" w14:textId="77777777" w:rsidR="004B5899" w:rsidRPr="00D045B3" w:rsidRDefault="004B5899" w:rsidP="004B5899">
      <w:pPr>
        <w:pStyle w:val="KeinLeerraum"/>
        <w:rPr>
          <w:rFonts w:ascii="Times New Roman" w:hAnsi="Times New Roman"/>
        </w:rPr>
      </w:pPr>
    </w:p>
    <w:p w14:paraId="1E92709D" w14:textId="17BA0CA1" w:rsidR="004B5899" w:rsidRPr="00D045B3" w:rsidRDefault="004B5899" w:rsidP="004B5899">
      <w:pPr>
        <w:pStyle w:val="KeinLeerraum"/>
        <w:rPr>
          <w:rFonts w:ascii="Times New Roman" w:hAnsi="Times New Roman"/>
        </w:rPr>
      </w:pPr>
      <w:r w:rsidRPr="00D045B3">
        <w:rPr>
          <w:rFonts w:ascii="Times New Roman" w:hAnsi="Times New Roman"/>
        </w:rPr>
        <w:t>A májkárosodás osztályozása:</w:t>
      </w:r>
    </w:p>
    <w:p w14:paraId="1E92709E" w14:textId="77777777" w:rsidR="004B5899" w:rsidRPr="00D045B3" w:rsidRDefault="004B5899" w:rsidP="004B5899">
      <w:pPr>
        <w:pStyle w:val="KeinLeerraum"/>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836"/>
      </w:tblGrid>
      <w:tr w:rsidR="004B5899" w:rsidRPr="00D045B3" w14:paraId="1E9270A1" w14:textId="77777777" w:rsidTr="006B783B">
        <w:tc>
          <w:tcPr>
            <w:tcW w:w="2376" w:type="dxa"/>
          </w:tcPr>
          <w:p w14:paraId="1E92709F" w14:textId="578345FE" w:rsidR="004B5899" w:rsidRPr="00D045B3" w:rsidRDefault="004B5899" w:rsidP="00070DAA">
            <w:pPr>
              <w:pStyle w:val="KeinLeerraum"/>
              <w:keepNext/>
              <w:rPr>
                <w:rFonts w:ascii="Times New Roman" w:hAnsi="Times New Roman"/>
              </w:rPr>
            </w:pPr>
            <w:r w:rsidRPr="00D045B3">
              <w:rPr>
                <w:rFonts w:ascii="Times New Roman" w:hAnsi="Times New Roman"/>
              </w:rPr>
              <w:t>Májkárosodás</w:t>
            </w:r>
          </w:p>
        </w:tc>
        <w:tc>
          <w:tcPr>
            <w:tcW w:w="6836" w:type="dxa"/>
          </w:tcPr>
          <w:p w14:paraId="1E9270A0" w14:textId="77777777" w:rsidR="004B5899" w:rsidRPr="00D045B3" w:rsidRDefault="004B5899" w:rsidP="00984DD6">
            <w:pPr>
              <w:pStyle w:val="KeinLeerraum"/>
              <w:keepNext/>
              <w:rPr>
                <w:rFonts w:ascii="Times New Roman" w:hAnsi="Times New Roman"/>
              </w:rPr>
            </w:pPr>
            <w:r w:rsidRPr="00D045B3">
              <w:rPr>
                <w:rFonts w:ascii="Times New Roman" w:hAnsi="Times New Roman"/>
              </w:rPr>
              <w:t>Májfunkciós vizsgálatok</w:t>
            </w:r>
          </w:p>
        </w:tc>
      </w:tr>
      <w:tr w:rsidR="004B5899" w:rsidRPr="00D045B3" w14:paraId="1E9270A5" w14:textId="77777777" w:rsidTr="006B783B">
        <w:tc>
          <w:tcPr>
            <w:tcW w:w="2376" w:type="dxa"/>
          </w:tcPr>
          <w:p w14:paraId="1E9270A2" w14:textId="77777777" w:rsidR="004B5899" w:rsidRPr="00D045B3" w:rsidRDefault="004B5899" w:rsidP="00984DD6">
            <w:pPr>
              <w:pStyle w:val="KeinLeerraum"/>
              <w:keepNext/>
              <w:rPr>
                <w:rFonts w:ascii="Times New Roman" w:hAnsi="Times New Roman"/>
              </w:rPr>
            </w:pPr>
            <w:r w:rsidRPr="00D045B3">
              <w:rPr>
                <w:rFonts w:ascii="Times New Roman" w:hAnsi="Times New Roman"/>
              </w:rPr>
              <w:t>Enyhe</w:t>
            </w:r>
          </w:p>
        </w:tc>
        <w:tc>
          <w:tcPr>
            <w:tcW w:w="6836" w:type="dxa"/>
          </w:tcPr>
          <w:p w14:paraId="1E9270A3" w14:textId="77777777" w:rsidR="004B5899" w:rsidRPr="00D045B3" w:rsidRDefault="004B5899" w:rsidP="00984DD6">
            <w:pPr>
              <w:pStyle w:val="KeinLeerraum"/>
              <w:keepNext/>
              <w:rPr>
                <w:rFonts w:ascii="Times New Roman" w:hAnsi="Times New Roman"/>
              </w:rPr>
            </w:pPr>
            <w:r w:rsidRPr="00D045B3">
              <w:rPr>
                <w:rFonts w:ascii="Times New Roman" w:hAnsi="Times New Roman"/>
              </w:rPr>
              <w:t xml:space="preserve">Összbilirubin: = 1,5 ULN </w:t>
            </w:r>
          </w:p>
          <w:p w14:paraId="1E9270A4" w14:textId="77777777" w:rsidR="004B5899" w:rsidRPr="00D045B3" w:rsidRDefault="004B5899" w:rsidP="00984DD6">
            <w:pPr>
              <w:pStyle w:val="KeinLeerraum"/>
              <w:keepNext/>
              <w:rPr>
                <w:rFonts w:ascii="Times New Roman" w:hAnsi="Times New Roman"/>
              </w:rPr>
            </w:pPr>
            <w:r w:rsidRPr="00D045B3">
              <w:rPr>
                <w:rFonts w:ascii="Times New Roman" w:hAnsi="Times New Roman"/>
              </w:rPr>
              <w:t>ASAT: &gt;ULN (lehet normális vagy &lt; ULN, ha az összbilirubin &gt; ULN)</w:t>
            </w:r>
          </w:p>
        </w:tc>
      </w:tr>
      <w:tr w:rsidR="004B5899" w:rsidRPr="00D045B3" w14:paraId="1E9270A9" w14:textId="77777777" w:rsidTr="006B783B">
        <w:tc>
          <w:tcPr>
            <w:tcW w:w="2376" w:type="dxa"/>
          </w:tcPr>
          <w:p w14:paraId="1E9270A6" w14:textId="77777777" w:rsidR="004B5899" w:rsidRPr="00D045B3" w:rsidRDefault="004B5899" w:rsidP="00984DD6">
            <w:pPr>
              <w:pStyle w:val="KeinLeerraum"/>
              <w:keepNext/>
              <w:rPr>
                <w:rFonts w:ascii="Times New Roman" w:hAnsi="Times New Roman"/>
              </w:rPr>
            </w:pPr>
            <w:r w:rsidRPr="00D045B3">
              <w:rPr>
                <w:rFonts w:ascii="Times New Roman" w:hAnsi="Times New Roman"/>
              </w:rPr>
              <w:t>Közepesen súlyos</w:t>
            </w:r>
          </w:p>
        </w:tc>
        <w:tc>
          <w:tcPr>
            <w:tcW w:w="6836" w:type="dxa"/>
          </w:tcPr>
          <w:p w14:paraId="1E9270A7" w14:textId="77777777" w:rsidR="004B5899" w:rsidRPr="00D045B3" w:rsidRDefault="004B5899" w:rsidP="00984DD6">
            <w:pPr>
              <w:pStyle w:val="KeinLeerraum"/>
              <w:keepNext/>
              <w:rPr>
                <w:rFonts w:ascii="Times New Roman" w:hAnsi="Times New Roman"/>
              </w:rPr>
            </w:pPr>
            <w:r w:rsidRPr="00D045B3">
              <w:rPr>
                <w:rFonts w:ascii="Times New Roman" w:hAnsi="Times New Roman"/>
              </w:rPr>
              <w:t xml:space="preserve">Összbilirubin: &gt;1,5–3,0 ULN </w:t>
            </w:r>
          </w:p>
          <w:p w14:paraId="1E9270A8" w14:textId="77777777" w:rsidR="004B5899" w:rsidRPr="00D045B3" w:rsidRDefault="004B5899" w:rsidP="00984DD6">
            <w:pPr>
              <w:pStyle w:val="KeinLeerraum"/>
              <w:keepNext/>
              <w:rPr>
                <w:rFonts w:ascii="Times New Roman" w:hAnsi="Times New Roman"/>
              </w:rPr>
            </w:pPr>
            <w:r w:rsidRPr="00D045B3">
              <w:rPr>
                <w:rFonts w:ascii="Times New Roman" w:hAnsi="Times New Roman"/>
              </w:rPr>
              <w:t>ASAT: bármilyen érték</w:t>
            </w:r>
          </w:p>
        </w:tc>
      </w:tr>
      <w:tr w:rsidR="004B5899" w:rsidRPr="00D045B3" w14:paraId="1E9270AD" w14:textId="77777777" w:rsidTr="006B783B">
        <w:tc>
          <w:tcPr>
            <w:tcW w:w="2376" w:type="dxa"/>
          </w:tcPr>
          <w:p w14:paraId="1E9270AA" w14:textId="77777777" w:rsidR="004B5899" w:rsidRPr="00D045B3" w:rsidRDefault="004B5899" w:rsidP="00984DD6">
            <w:pPr>
              <w:pStyle w:val="KeinLeerraum"/>
              <w:keepNext/>
              <w:rPr>
                <w:rFonts w:ascii="Times New Roman" w:hAnsi="Times New Roman"/>
              </w:rPr>
            </w:pPr>
            <w:r w:rsidRPr="00D045B3">
              <w:rPr>
                <w:rFonts w:ascii="Times New Roman" w:hAnsi="Times New Roman"/>
              </w:rPr>
              <w:t>Súlyos</w:t>
            </w:r>
          </w:p>
        </w:tc>
        <w:tc>
          <w:tcPr>
            <w:tcW w:w="6836" w:type="dxa"/>
          </w:tcPr>
          <w:p w14:paraId="1E9270AB" w14:textId="77777777" w:rsidR="004B5899" w:rsidRPr="00D045B3" w:rsidRDefault="004B5899" w:rsidP="00984DD6">
            <w:pPr>
              <w:pStyle w:val="KeinLeerraum"/>
              <w:keepNext/>
              <w:rPr>
                <w:rFonts w:ascii="Times New Roman" w:hAnsi="Times New Roman"/>
              </w:rPr>
            </w:pPr>
            <w:r w:rsidRPr="00D045B3">
              <w:rPr>
                <w:rFonts w:ascii="Times New Roman" w:hAnsi="Times New Roman"/>
              </w:rPr>
              <w:t xml:space="preserve">Összbilirubin: &gt;3–10 ULN </w:t>
            </w:r>
          </w:p>
          <w:p w14:paraId="1E9270AC" w14:textId="77777777" w:rsidR="004B5899" w:rsidRPr="00D045B3" w:rsidRDefault="004B5899" w:rsidP="00984DD6">
            <w:pPr>
              <w:pStyle w:val="KeinLeerraum"/>
              <w:keepNext/>
              <w:rPr>
                <w:rFonts w:ascii="Times New Roman" w:hAnsi="Times New Roman"/>
              </w:rPr>
            </w:pPr>
            <w:r w:rsidRPr="00D045B3">
              <w:rPr>
                <w:rFonts w:ascii="Times New Roman" w:hAnsi="Times New Roman"/>
              </w:rPr>
              <w:t>ASAT: bármilyen érték</w:t>
            </w:r>
          </w:p>
        </w:tc>
      </w:tr>
    </w:tbl>
    <w:p w14:paraId="1E9270AE" w14:textId="77777777" w:rsidR="004B5899" w:rsidRPr="00D045B3" w:rsidRDefault="004B5899" w:rsidP="004B5899">
      <w:pPr>
        <w:pStyle w:val="KeinLeerraum"/>
        <w:rPr>
          <w:rFonts w:ascii="Times New Roman" w:hAnsi="Times New Roman"/>
        </w:rPr>
      </w:pPr>
    </w:p>
    <w:p w14:paraId="1E9270AF" w14:textId="77777777" w:rsidR="004B5899" w:rsidRPr="00D045B3" w:rsidRDefault="004B5899" w:rsidP="004B5899">
      <w:pPr>
        <w:pStyle w:val="KeinLeerraum"/>
        <w:rPr>
          <w:rFonts w:ascii="Times New Roman" w:hAnsi="Times New Roman"/>
        </w:rPr>
      </w:pPr>
      <w:r w:rsidRPr="00D045B3">
        <w:rPr>
          <w:rFonts w:ascii="Times New Roman" w:hAnsi="Times New Roman"/>
        </w:rPr>
        <w:t xml:space="preserve">ULN = az adott intézményben alkalmazott normál tartomány felső határa </w:t>
      </w:r>
    </w:p>
    <w:p w14:paraId="1E9270B0" w14:textId="77777777" w:rsidR="004B5899" w:rsidRPr="00D045B3" w:rsidRDefault="004B5899" w:rsidP="004B5899">
      <w:pPr>
        <w:pStyle w:val="KeinLeerraum"/>
        <w:rPr>
          <w:rFonts w:ascii="Times New Roman" w:hAnsi="Times New Roman"/>
        </w:rPr>
      </w:pPr>
      <w:r w:rsidRPr="00D045B3">
        <w:rPr>
          <w:rFonts w:ascii="Times New Roman" w:hAnsi="Times New Roman"/>
        </w:rPr>
        <w:t>ASAT = aszpartát</w:t>
      </w:r>
      <w:r w:rsidRPr="00D045B3">
        <w:rPr>
          <w:rFonts w:ascii="Times New Roman" w:hAnsi="Times New Roman"/>
        </w:rPr>
        <w:noBreakHyphen/>
        <w:t xml:space="preserve">aminotranszferáz </w:t>
      </w:r>
    </w:p>
    <w:p w14:paraId="1E9270B1" w14:textId="77777777" w:rsidR="004B5899" w:rsidRPr="00D045B3" w:rsidRDefault="004B5899" w:rsidP="004B5899">
      <w:pPr>
        <w:pStyle w:val="KeinLeerraum"/>
        <w:rPr>
          <w:rFonts w:ascii="Times New Roman" w:hAnsi="Times New Roman"/>
          <w:i/>
          <w:iCs/>
        </w:rPr>
      </w:pPr>
    </w:p>
    <w:p w14:paraId="1E9270B2" w14:textId="27652CAA" w:rsidR="004B5899" w:rsidRPr="00D045B3" w:rsidRDefault="004B5899" w:rsidP="008A6837">
      <w:pPr>
        <w:pStyle w:val="KeinLeerraum"/>
        <w:keepNext/>
        <w:rPr>
          <w:rFonts w:ascii="Times New Roman" w:hAnsi="Times New Roman"/>
        </w:rPr>
      </w:pPr>
      <w:r w:rsidRPr="00D045B3">
        <w:rPr>
          <w:rFonts w:ascii="Times New Roman" w:hAnsi="Times New Roman"/>
          <w:i/>
          <w:iCs/>
          <w:u w:val="single"/>
        </w:rPr>
        <w:t>Vese</w:t>
      </w:r>
      <w:r w:rsidR="00903FE0" w:rsidRPr="00D045B3">
        <w:rPr>
          <w:rFonts w:ascii="Times New Roman" w:hAnsi="Times New Roman"/>
          <w:i/>
          <w:iCs/>
          <w:u w:val="single"/>
        </w:rPr>
        <w:t>elégtelenség</w:t>
      </w:r>
      <w:r w:rsidRPr="00D045B3">
        <w:rPr>
          <w:rFonts w:ascii="Times New Roman" w:hAnsi="Times New Roman"/>
          <w:i/>
          <w:iCs/>
          <w:u w:val="single"/>
        </w:rPr>
        <w:t>:</w:t>
      </w:r>
      <w:r w:rsidRPr="00D045B3">
        <w:rPr>
          <w:rFonts w:ascii="Times New Roman" w:hAnsi="Times New Roman"/>
        </w:rPr>
        <w:t xml:space="preserve"> </w:t>
      </w:r>
      <w:r w:rsidR="00903FE0" w:rsidRPr="00D045B3">
        <w:rPr>
          <w:rFonts w:ascii="Times New Roman" w:hAnsi="Times New Roman"/>
        </w:rPr>
        <w:t>A vesekárosodásban szenvedő vagy dialízis kezelésben részesülő betegek kezdő adagjaként a napi 400 mg</w:t>
      </w:r>
      <w:r w:rsidR="00903FE0" w:rsidRPr="00D045B3">
        <w:rPr>
          <w:rFonts w:ascii="Times New Roman" w:hAnsi="Times New Roman"/>
        </w:rPr>
        <w:noBreakHyphen/>
        <w:t>os legalacsonyabb ajánlott dózist kell alkalmazni. Ezeknél a betegeknél azonban megfelelő körültekintés ajánlott. A dózis csökkenthető, ha azt a beteg nem jól tolerálja. A dózis emelhető, ha a beteg jól tolerálja azt, illetve</w:t>
      </w:r>
      <w:r w:rsidR="00AC1C57" w:rsidRPr="00D045B3">
        <w:rPr>
          <w:rFonts w:ascii="Times New Roman" w:hAnsi="Times New Roman"/>
        </w:rPr>
        <w:t xml:space="preserve"> </w:t>
      </w:r>
      <w:r w:rsidR="00903FE0" w:rsidRPr="00D045B3">
        <w:rPr>
          <w:rFonts w:ascii="Times New Roman" w:hAnsi="Times New Roman"/>
        </w:rPr>
        <w:t>ha nem tapasztalható megfelelő hatásosság (lásd 4.4 és 5.2 pont).</w:t>
      </w:r>
    </w:p>
    <w:p w14:paraId="1E9270B3" w14:textId="77777777" w:rsidR="00903FE0" w:rsidRPr="00D045B3" w:rsidRDefault="00903FE0" w:rsidP="004B5899">
      <w:pPr>
        <w:pStyle w:val="KeinLeerraum"/>
        <w:rPr>
          <w:rFonts w:ascii="Times New Roman" w:hAnsi="Times New Roman"/>
          <w:iCs/>
        </w:rPr>
      </w:pPr>
    </w:p>
    <w:p w14:paraId="1E9270B4" w14:textId="77777777" w:rsidR="004B5899" w:rsidRPr="00D045B3" w:rsidRDefault="004B5899" w:rsidP="008A6837">
      <w:pPr>
        <w:pStyle w:val="KeinLeerraum"/>
        <w:keepNext/>
        <w:rPr>
          <w:rFonts w:ascii="Times New Roman" w:hAnsi="Times New Roman"/>
        </w:rPr>
      </w:pPr>
      <w:r w:rsidRPr="00D045B3">
        <w:rPr>
          <w:rFonts w:ascii="Times New Roman" w:hAnsi="Times New Roman"/>
          <w:i/>
          <w:iCs/>
          <w:u w:val="single"/>
        </w:rPr>
        <w:t>Idős</w:t>
      </w:r>
      <w:r w:rsidR="00111F14" w:rsidRPr="00D045B3">
        <w:rPr>
          <w:rFonts w:ascii="Times New Roman" w:hAnsi="Times New Roman"/>
          <w:i/>
          <w:iCs/>
          <w:u w:val="single"/>
        </w:rPr>
        <w:t xml:space="preserve"> betegek</w:t>
      </w:r>
      <w:r w:rsidRPr="00D045B3">
        <w:rPr>
          <w:rFonts w:ascii="Times New Roman" w:hAnsi="Times New Roman"/>
          <w:i/>
          <w:iCs/>
          <w:u w:val="single"/>
        </w:rPr>
        <w:t>:</w:t>
      </w:r>
      <w:r w:rsidRPr="00D045B3">
        <w:rPr>
          <w:rFonts w:ascii="Times New Roman" w:hAnsi="Times New Roman"/>
          <w:i/>
          <w:iCs/>
        </w:rPr>
        <w:t xml:space="preserve"> </w:t>
      </w:r>
      <w:r w:rsidRPr="00D045B3">
        <w:rPr>
          <w:rFonts w:ascii="Times New Roman" w:hAnsi="Times New Roman"/>
          <w:iCs/>
        </w:rPr>
        <w:t>A</w:t>
      </w:r>
      <w:r w:rsidRPr="00D045B3">
        <w:rPr>
          <w:rFonts w:ascii="Times New Roman" w:hAnsi="Times New Roman"/>
        </w:rPr>
        <w:t>z imatinib farmakokinetikáját időse</w:t>
      </w:r>
      <w:r w:rsidR="00371A6B" w:rsidRPr="00D045B3">
        <w:rPr>
          <w:rFonts w:ascii="Times New Roman" w:hAnsi="Times New Roman"/>
        </w:rPr>
        <w:t>bbe</w:t>
      </w:r>
      <w:r w:rsidRPr="00D045B3">
        <w:rPr>
          <w:rFonts w:ascii="Times New Roman" w:hAnsi="Times New Roman"/>
        </w:rPr>
        <w:t>knél specifikusan nem vizsgálták. Az olyan felnőtt betegek bevonásával végzett klinikai vizsgálatokban, amelyekben a résztvevők több mint 20%</w:t>
      </w:r>
      <w:r w:rsidRPr="00D045B3">
        <w:rPr>
          <w:rFonts w:ascii="Times New Roman" w:hAnsi="Times New Roman"/>
        </w:rPr>
        <w:noBreakHyphen/>
        <w:t>a 65 éves vagy ennél idősebb volt, nem tapasztaltak jelentős, korhoz kötött farmakokinetikai különbségeket. Idős</w:t>
      </w:r>
      <w:r w:rsidR="00111F14" w:rsidRPr="00D045B3">
        <w:rPr>
          <w:rFonts w:ascii="Times New Roman" w:hAnsi="Times New Roman"/>
        </w:rPr>
        <w:t>ebb</w:t>
      </w:r>
      <w:r w:rsidRPr="00D045B3">
        <w:rPr>
          <w:rFonts w:ascii="Times New Roman" w:hAnsi="Times New Roman"/>
        </w:rPr>
        <w:t xml:space="preserve"> </w:t>
      </w:r>
      <w:r w:rsidR="00F524ED" w:rsidRPr="00D045B3">
        <w:rPr>
          <w:rFonts w:ascii="Times New Roman" w:hAnsi="Times New Roman"/>
        </w:rPr>
        <w:t xml:space="preserve">betegeknél </w:t>
      </w:r>
      <w:r w:rsidRPr="00D045B3">
        <w:rPr>
          <w:rFonts w:ascii="Times New Roman" w:hAnsi="Times New Roman"/>
        </w:rPr>
        <w:t xml:space="preserve">nincs szükség specifikus dózismódosításra. </w:t>
      </w:r>
    </w:p>
    <w:p w14:paraId="1E9270B5" w14:textId="77777777" w:rsidR="004B5899" w:rsidRPr="00D045B3" w:rsidRDefault="004B5899" w:rsidP="004B5899">
      <w:pPr>
        <w:pStyle w:val="KeinLeerraum"/>
        <w:rPr>
          <w:rFonts w:ascii="Times New Roman" w:hAnsi="Times New Roman"/>
        </w:rPr>
      </w:pPr>
    </w:p>
    <w:p w14:paraId="1E9270B6" w14:textId="77777777" w:rsidR="00903FE0" w:rsidRPr="00D045B3" w:rsidRDefault="00903FE0" w:rsidP="008A6837">
      <w:pPr>
        <w:pStyle w:val="KeinLeerraum"/>
        <w:keepNext/>
        <w:rPr>
          <w:rFonts w:ascii="Times New Roman" w:hAnsi="Times New Roman"/>
          <w:u w:val="single"/>
        </w:rPr>
      </w:pPr>
      <w:r w:rsidRPr="00D045B3">
        <w:rPr>
          <w:rFonts w:ascii="Times New Roman" w:hAnsi="Times New Roman"/>
          <w:u w:val="single"/>
        </w:rPr>
        <w:t>Az alkalmazás módja</w:t>
      </w:r>
    </w:p>
    <w:p w14:paraId="1E9270B7" w14:textId="77777777" w:rsidR="00903FE0" w:rsidRPr="00D045B3" w:rsidRDefault="00903FE0" w:rsidP="008A6837">
      <w:pPr>
        <w:pStyle w:val="KeinLeerraum"/>
        <w:keepNext/>
        <w:rPr>
          <w:rFonts w:ascii="Times New Roman" w:hAnsi="Times New Roman"/>
        </w:rPr>
      </w:pPr>
    </w:p>
    <w:p w14:paraId="1E9270B8" w14:textId="77777777" w:rsidR="00903FE0" w:rsidRPr="00D045B3" w:rsidRDefault="00903FE0" w:rsidP="008A6837">
      <w:pPr>
        <w:pStyle w:val="KeinLeerraum"/>
        <w:keepNext/>
        <w:rPr>
          <w:rFonts w:ascii="Times New Roman" w:hAnsi="Times New Roman"/>
        </w:rPr>
      </w:pPr>
      <w:r w:rsidRPr="00D045B3">
        <w:rPr>
          <w:rFonts w:ascii="Times New Roman" w:hAnsi="Times New Roman"/>
        </w:rPr>
        <w:t>Az előírt dózist per os kell bevenni, étkezé</w:t>
      </w:r>
      <w:r w:rsidR="00AA33FE" w:rsidRPr="00D045B3">
        <w:rPr>
          <w:rFonts w:ascii="Times New Roman" w:hAnsi="Times New Roman"/>
        </w:rPr>
        <w:t>s közben, egy nagy pohár vízzel, hogy minimálisra lehessen csökkenteni a gastrointestinalis irritáció kockázatát. A 400 mg és 60</w:t>
      </w:r>
      <w:r w:rsidR="007B5C2A" w:rsidRPr="00D045B3">
        <w:rPr>
          <w:rFonts w:ascii="Times New Roman" w:hAnsi="Times New Roman"/>
        </w:rPr>
        <w:t>0</w:t>
      </w:r>
      <w:r w:rsidR="00AA33FE" w:rsidRPr="00D045B3">
        <w:rPr>
          <w:rFonts w:ascii="Times New Roman" w:hAnsi="Times New Roman"/>
        </w:rPr>
        <w:t> mg dózisokat naponta egyszer, míg a 800 mg</w:t>
      </w:r>
      <w:r w:rsidR="00AA33FE" w:rsidRPr="00D045B3">
        <w:rPr>
          <w:rFonts w:ascii="Times New Roman" w:hAnsi="Times New Roman"/>
        </w:rPr>
        <w:noBreakHyphen/>
        <w:t xml:space="preserve">os adagokat naponta kétszer 400 mg dózisként, reggel és este kell bevenni. </w:t>
      </w:r>
    </w:p>
    <w:p w14:paraId="1E9270B9" w14:textId="77777777" w:rsidR="00AA33FE" w:rsidRPr="00D045B3" w:rsidRDefault="00AA33FE" w:rsidP="004B5899">
      <w:pPr>
        <w:pStyle w:val="KeinLeerraum"/>
        <w:rPr>
          <w:rFonts w:ascii="Times New Roman" w:hAnsi="Times New Roman"/>
        </w:rPr>
      </w:pPr>
    </w:p>
    <w:p w14:paraId="1E9270BA" w14:textId="77777777" w:rsidR="009E12FC" w:rsidRPr="00D045B3" w:rsidRDefault="009E12FC" w:rsidP="004B5899">
      <w:pPr>
        <w:pStyle w:val="KeinLeerraum"/>
        <w:rPr>
          <w:rFonts w:ascii="Times New Roman" w:hAnsi="Times New Roman"/>
        </w:rPr>
      </w:pPr>
      <w:r w:rsidRPr="00D045B3">
        <w:rPr>
          <w:rFonts w:ascii="Times New Roman" w:hAnsi="Times New Roman"/>
        </w:rPr>
        <w:t>Azon betegek</w:t>
      </w:r>
      <w:r w:rsidR="00F15175" w:rsidRPr="00D045B3">
        <w:rPr>
          <w:rFonts w:ascii="Times New Roman" w:hAnsi="Times New Roman"/>
        </w:rPr>
        <w:t xml:space="preserve"> (gyermekek)</w:t>
      </w:r>
      <w:r w:rsidRPr="00D045B3">
        <w:rPr>
          <w:rFonts w:ascii="Times New Roman" w:hAnsi="Times New Roman"/>
        </w:rPr>
        <w:t xml:space="preserve"> számára, akik nem képesek a kapszulát lenyelni, a kapszula tartalmát fel lehet oldani egy pohárnyi szénsavmentes vízben vagy almalében.</w:t>
      </w:r>
      <w:r w:rsidR="00FF797D" w:rsidRPr="00D045B3">
        <w:rPr>
          <w:rFonts w:ascii="Times New Roman" w:hAnsi="Times New Roman"/>
        </w:rPr>
        <w:t xml:space="preserve"> Mivel az állatkísérletes vizsgálatok reprodukcióra gyakorolt toxicitást mutattak, és a humán foetust érintő potenciális kockázat nem ismert, azok</w:t>
      </w:r>
      <w:r w:rsidR="00477D1E" w:rsidRPr="00D045B3">
        <w:rPr>
          <w:rFonts w:ascii="Times New Roman" w:hAnsi="Times New Roman"/>
        </w:rPr>
        <w:t>nak</w:t>
      </w:r>
      <w:r w:rsidR="00FF797D" w:rsidRPr="00D045B3">
        <w:rPr>
          <w:rFonts w:ascii="Times New Roman" w:hAnsi="Times New Roman"/>
        </w:rPr>
        <w:t xml:space="preserve"> a fogamzóképes korú nők</w:t>
      </w:r>
      <w:r w:rsidR="00477D1E" w:rsidRPr="00D045B3">
        <w:rPr>
          <w:rFonts w:ascii="Times New Roman" w:hAnsi="Times New Roman"/>
        </w:rPr>
        <w:t>nek</w:t>
      </w:r>
      <w:r w:rsidR="00FF797D" w:rsidRPr="00D045B3">
        <w:rPr>
          <w:rFonts w:ascii="Times New Roman" w:hAnsi="Times New Roman"/>
        </w:rPr>
        <w:t xml:space="preserve">, akik </w:t>
      </w:r>
      <w:r w:rsidR="00477D1E" w:rsidRPr="00D045B3">
        <w:rPr>
          <w:rFonts w:ascii="Times New Roman" w:hAnsi="Times New Roman"/>
        </w:rPr>
        <w:t xml:space="preserve">a kapszulát felnyitják, azt kell tanácsolni, hogy </w:t>
      </w:r>
      <w:r w:rsidR="00F524ED" w:rsidRPr="00D045B3">
        <w:rPr>
          <w:rFonts w:ascii="Times New Roman" w:hAnsi="Times New Roman"/>
        </w:rPr>
        <w:t>kellő óvatossággal</w:t>
      </w:r>
      <w:r w:rsidR="00477D1E" w:rsidRPr="00D045B3">
        <w:rPr>
          <w:rFonts w:ascii="Times New Roman" w:hAnsi="Times New Roman"/>
        </w:rPr>
        <w:t xml:space="preserve"> kezeljék a kapszula tartalmát és kerüljék el, hogy a gyógyszer bőrre</w:t>
      </w:r>
      <w:r w:rsidR="00D2437A" w:rsidRPr="00D045B3">
        <w:rPr>
          <w:rFonts w:ascii="Times New Roman" w:hAnsi="Times New Roman"/>
        </w:rPr>
        <w:t>,</w:t>
      </w:r>
      <w:r w:rsidR="00477D1E" w:rsidRPr="00D045B3">
        <w:rPr>
          <w:rFonts w:ascii="Times New Roman" w:hAnsi="Times New Roman"/>
        </w:rPr>
        <w:t xml:space="preserve"> szembe, </w:t>
      </w:r>
      <w:r w:rsidR="00D2437A" w:rsidRPr="00D045B3">
        <w:rPr>
          <w:rFonts w:ascii="Times New Roman" w:hAnsi="Times New Roman"/>
        </w:rPr>
        <w:t xml:space="preserve">vagy </w:t>
      </w:r>
      <w:r w:rsidR="00477D1E" w:rsidRPr="00D045B3">
        <w:rPr>
          <w:rFonts w:ascii="Times New Roman" w:hAnsi="Times New Roman"/>
        </w:rPr>
        <w:t>belélegzésre kerüljön</w:t>
      </w:r>
      <w:r w:rsidR="00737C82" w:rsidRPr="00D045B3">
        <w:rPr>
          <w:rFonts w:ascii="Times New Roman" w:hAnsi="Times New Roman"/>
        </w:rPr>
        <w:t xml:space="preserve"> (lásd 4.6 pont). A nyitott kapszulákkal történő érintkezést követően azonnal kezet kell mosni. </w:t>
      </w:r>
    </w:p>
    <w:p w14:paraId="1E9270BB" w14:textId="77777777" w:rsidR="009E12FC" w:rsidRPr="00D045B3" w:rsidRDefault="009E12FC" w:rsidP="004B5899">
      <w:pPr>
        <w:pStyle w:val="KeinLeerraum"/>
        <w:rPr>
          <w:rFonts w:ascii="Times New Roman" w:hAnsi="Times New Roman"/>
        </w:rPr>
      </w:pPr>
    </w:p>
    <w:p w14:paraId="1E9270BC" w14:textId="77777777" w:rsidR="004B5899" w:rsidRPr="00D045B3" w:rsidRDefault="004B5899" w:rsidP="00686EB8">
      <w:pPr>
        <w:pStyle w:val="KeinLeerraum"/>
        <w:keepNext/>
        <w:tabs>
          <w:tab w:val="left" w:pos="567"/>
        </w:tabs>
        <w:rPr>
          <w:rFonts w:ascii="Times New Roman" w:hAnsi="Times New Roman"/>
          <w:b/>
        </w:rPr>
      </w:pPr>
      <w:r w:rsidRPr="00D045B3">
        <w:rPr>
          <w:rFonts w:ascii="Times New Roman" w:hAnsi="Times New Roman"/>
          <w:b/>
        </w:rPr>
        <w:t>4.3</w:t>
      </w:r>
      <w:r w:rsidRPr="00D045B3">
        <w:rPr>
          <w:rFonts w:ascii="Times New Roman" w:hAnsi="Times New Roman"/>
          <w:b/>
        </w:rPr>
        <w:tab/>
        <w:t xml:space="preserve">Ellenjavallatok </w:t>
      </w:r>
    </w:p>
    <w:p w14:paraId="1E9270BD" w14:textId="77777777" w:rsidR="004B5899" w:rsidRPr="00D045B3" w:rsidRDefault="004B5899" w:rsidP="00686EB8">
      <w:pPr>
        <w:pStyle w:val="KeinLeerraum"/>
        <w:keepNext/>
        <w:rPr>
          <w:rFonts w:ascii="Times New Roman" w:hAnsi="Times New Roman"/>
        </w:rPr>
      </w:pPr>
    </w:p>
    <w:p w14:paraId="1E9270BE" w14:textId="77777777" w:rsidR="004B5899" w:rsidRPr="00D045B3" w:rsidRDefault="004B5899" w:rsidP="00686EB8">
      <w:pPr>
        <w:pStyle w:val="KeinLeerraum"/>
        <w:keepNext/>
        <w:rPr>
          <w:rFonts w:ascii="Times New Roman" w:hAnsi="Times New Roman"/>
        </w:rPr>
      </w:pPr>
      <w:r w:rsidRPr="00D045B3">
        <w:rPr>
          <w:rFonts w:ascii="Times New Roman" w:hAnsi="Times New Roman"/>
        </w:rPr>
        <w:t xml:space="preserve">A készítmény hatóanyagával vagy, a 6.1 pontban felsorolt bármely segédanyagával szembeni túlérzékenység. </w:t>
      </w:r>
    </w:p>
    <w:p w14:paraId="1E9270BF" w14:textId="77777777" w:rsidR="004B5899" w:rsidRPr="00D045B3" w:rsidRDefault="004B5899" w:rsidP="004B5899">
      <w:pPr>
        <w:pStyle w:val="KeinLeerraum"/>
        <w:rPr>
          <w:rFonts w:ascii="Times New Roman" w:hAnsi="Times New Roman"/>
        </w:rPr>
      </w:pPr>
    </w:p>
    <w:p w14:paraId="1E9270C0" w14:textId="77777777" w:rsidR="004B5899" w:rsidRPr="00D045B3" w:rsidRDefault="004B5899" w:rsidP="00686EB8">
      <w:pPr>
        <w:pStyle w:val="KeinLeerraum"/>
        <w:keepNext/>
        <w:tabs>
          <w:tab w:val="left" w:pos="567"/>
        </w:tabs>
        <w:rPr>
          <w:rFonts w:ascii="Times New Roman" w:hAnsi="Times New Roman"/>
          <w:b/>
        </w:rPr>
      </w:pPr>
      <w:r w:rsidRPr="00D045B3">
        <w:rPr>
          <w:rFonts w:ascii="Times New Roman" w:hAnsi="Times New Roman"/>
          <w:b/>
        </w:rPr>
        <w:t>4.4</w:t>
      </w:r>
      <w:r w:rsidRPr="00D045B3">
        <w:rPr>
          <w:rFonts w:ascii="Times New Roman" w:hAnsi="Times New Roman"/>
          <w:b/>
        </w:rPr>
        <w:tab/>
        <w:t xml:space="preserve">Különleges figyelmeztetések és az alkalmazással kapcsolatos óvintézkedések </w:t>
      </w:r>
    </w:p>
    <w:p w14:paraId="1E9270C1" w14:textId="77777777" w:rsidR="004B5899" w:rsidRPr="00D045B3" w:rsidRDefault="004B5899" w:rsidP="00686EB8">
      <w:pPr>
        <w:pStyle w:val="KeinLeerraum"/>
        <w:keepNext/>
        <w:rPr>
          <w:rFonts w:ascii="Times New Roman" w:hAnsi="Times New Roman"/>
        </w:rPr>
      </w:pPr>
    </w:p>
    <w:p w14:paraId="1E9270C2" w14:textId="19D22ED6" w:rsidR="009E12FC" w:rsidRPr="00D045B3" w:rsidRDefault="00070DAA" w:rsidP="00CA41FD">
      <w:pPr>
        <w:pStyle w:val="KeinLeerraum"/>
        <w:rPr>
          <w:rFonts w:ascii="Times New Roman" w:hAnsi="Times New Roman"/>
        </w:rPr>
      </w:pPr>
      <w:r w:rsidRPr="00D045B3">
        <w:rPr>
          <w:rFonts w:ascii="Times New Roman" w:hAnsi="Times New Roman"/>
        </w:rPr>
        <w:t xml:space="preserve">Ha </w:t>
      </w:r>
      <w:r w:rsidR="009E12FC" w:rsidRPr="00D045B3">
        <w:rPr>
          <w:rFonts w:ascii="Times New Roman" w:hAnsi="Times New Roman"/>
        </w:rPr>
        <w:t>az imatinibet egyéb gyógyszerekkel adják egyidejűleg, számolni kell a gyógyszer-kölcsönhatások kialakulásának lehetőségével. Elővigyázatosság szükséges, ha az imatinibet proteáz</w:t>
      </w:r>
      <w:r w:rsidR="009E12FC" w:rsidRPr="00D045B3">
        <w:rPr>
          <w:rFonts w:ascii="Times New Roman" w:hAnsi="Times New Roman"/>
        </w:rPr>
        <w:noBreakHyphen/>
        <w:t>gátlókkal, azol</w:t>
      </w:r>
      <w:r w:rsidR="00F449F6" w:rsidRPr="00D045B3">
        <w:rPr>
          <w:rFonts w:ascii="Times New Roman" w:hAnsi="Times New Roman"/>
        </w:rPr>
        <w:t>-</w:t>
      </w:r>
      <w:r w:rsidR="009E12FC" w:rsidRPr="00D045B3">
        <w:rPr>
          <w:rFonts w:ascii="Times New Roman" w:hAnsi="Times New Roman"/>
        </w:rPr>
        <w:t>típusú gombaelleni szerekkel, bizonyos makrolidokkal, szűk terápiás ablakú CYP3A4</w:t>
      </w:r>
      <w:r w:rsidR="009E12FC" w:rsidRPr="00D045B3">
        <w:rPr>
          <w:rFonts w:ascii="Times New Roman" w:hAnsi="Times New Roman"/>
        </w:rPr>
        <w:noBreakHyphen/>
        <w:t xml:space="preserve">szubsztráttal (pl. ciklosporin, pimozid, takrolimusz, szirolimusz, ergotamin, diergotamin, fentanil, alfentanil, terfenadin, bortezomib, docetaxel, kinidin) vagy warfarinnal, illetve egyéb kumarinszármazékokkal együtt szedik (lásd 4.5 pont). </w:t>
      </w:r>
    </w:p>
    <w:p w14:paraId="1E9270C3" w14:textId="77777777" w:rsidR="009E12FC" w:rsidRPr="00D045B3" w:rsidRDefault="009E12FC" w:rsidP="009E12FC">
      <w:pPr>
        <w:pStyle w:val="KeinLeerraum"/>
        <w:rPr>
          <w:rFonts w:ascii="Times New Roman" w:hAnsi="Times New Roman"/>
        </w:rPr>
      </w:pPr>
    </w:p>
    <w:p w14:paraId="1E9270C4" w14:textId="39EF84F0" w:rsidR="009E12FC" w:rsidRPr="00D045B3" w:rsidRDefault="009E12FC" w:rsidP="009E12FC">
      <w:pPr>
        <w:pStyle w:val="KeinLeerraum"/>
        <w:rPr>
          <w:rFonts w:ascii="Times New Roman" w:hAnsi="Times New Roman"/>
        </w:rPr>
      </w:pPr>
      <w:r w:rsidRPr="00D045B3">
        <w:rPr>
          <w:rFonts w:ascii="Times New Roman" w:hAnsi="Times New Roman"/>
        </w:rPr>
        <w:t>Az imatinib és a CYP3A4</w:t>
      </w:r>
      <w:r w:rsidRPr="00D045B3">
        <w:rPr>
          <w:rFonts w:ascii="Times New Roman" w:hAnsi="Times New Roman"/>
        </w:rPr>
        <w:noBreakHyphen/>
        <w:t>et indukáló gyógyszerek (pl</w:t>
      </w:r>
      <w:r w:rsidR="005A5EF0" w:rsidRPr="00D045B3">
        <w:rPr>
          <w:rFonts w:ascii="Times New Roman" w:hAnsi="Times New Roman"/>
        </w:rPr>
        <w:t>.</w:t>
      </w:r>
      <w:r w:rsidRPr="00D045B3">
        <w:rPr>
          <w:rFonts w:ascii="Times New Roman" w:hAnsi="Times New Roman"/>
        </w:rPr>
        <w:t xml:space="preserve"> dexametazon, fenitoin, karbamazepin, rifampicin, fenobarbitál, vagy </w:t>
      </w:r>
      <w:r w:rsidRPr="00D045B3">
        <w:rPr>
          <w:rFonts w:ascii="Times New Roman" w:hAnsi="Times New Roman"/>
          <w:i/>
          <w:iCs/>
        </w:rPr>
        <w:t xml:space="preserve">Hypericum perforatum, </w:t>
      </w:r>
      <w:r w:rsidRPr="00D045B3">
        <w:rPr>
          <w:rFonts w:ascii="Times New Roman" w:hAnsi="Times New Roman"/>
        </w:rPr>
        <w:t xml:space="preserve">másnéven </w:t>
      </w:r>
      <w:r w:rsidR="00070DAA" w:rsidRPr="00D045B3">
        <w:rPr>
          <w:rFonts w:ascii="Times New Roman" w:hAnsi="Times New Roman"/>
        </w:rPr>
        <w:t xml:space="preserve">közönséges </w:t>
      </w:r>
      <w:r w:rsidRPr="00D045B3">
        <w:rPr>
          <w:rFonts w:ascii="Times New Roman" w:hAnsi="Times New Roman"/>
        </w:rPr>
        <w:t>orbáncfű) egyidejű alkalmazásakor a terápiás hatás jelentősen csökkenhet Az imatinib expozíció, potenciálisan fokozza a terápiás elégtelenség kockázatát. Ezért kerülni kell az erős CYP3A4</w:t>
      </w:r>
      <w:r w:rsidRPr="00D045B3">
        <w:rPr>
          <w:rFonts w:ascii="Times New Roman" w:hAnsi="Times New Roman"/>
        </w:rPr>
        <w:noBreakHyphen/>
        <w:t xml:space="preserve">induktorok és imatinib együttadását (lásd 4.5 pont). </w:t>
      </w:r>
    </w:p>
    <w:p w14:paraId="1E9270C5" w14:textId="77777777" w:rsidR="004B5899" w:rsidRPr="00D045B3" w:rsidRDefault="004B5899" w:rsidP="004B5899">
      <w:pPr>
        <w:pStyle w:val="KeinLeerraum"/>
        <w:rPr>
          <w:rFonts w:ascii="Times New Roman" w:hAnsi="Times New Roman"/>
        </w:rPr>
      </w:pPr>
    </w:p>
    <w:p w14:paraId="1E9270C6"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u w:val="single"/>
        </w:rPr>
        <w:t xml:space="preserve">Hypothyreosis </w:t>
      </w:r>
    </w:p>
    <w:p w14:paraId="1E9270C7" w14:textId="77777777" w:rsidR="009E12FC" w:rsidRPr="00D045B3" w:rsidRDefault="009E12FC" w:rsidP="00CA41FD">
      <w:pPr>
        <w:pStyle w:val="KeinLeerraum"/>
        <w:rPr>
          <w:rFonts w:ascii="Times New Roman" w:hAnsi="Times New Roman"/>
        </w:rPr>
      </w:pPr>
      <w:r w:rsidRPr="00D045B3">
        <w:rPr>
          <w:rFonts w:ascii="Times New Roman" w:hAnsi="Times New Roman"/>
        </w:rPr>
        <w:t xml:space="preserve">Thyreoidectomián átesett, levotiroxin pótlás alatt álló betegek imatinib kezelése során hypothyreosis klinikai eseteiről számoltak be (lásd 4.5 pont). Ebben a betegcsoportban a pajzsmirigyserkentő hormon (TSH) szinteket szorosan ellenőrizni kell. </w:t>
      </w:r>
    </w:p>
    <w:p w14:paraId="1E9270C8" w14:textId="77777777" w:rsidR="009E12FC" w:rsidRPr="00D045B3" w:rsidRDefault="009E12FC" w:rsidP="009E12FC">
      <w:pPr>
        <w:pStyle w:val="KeinLeerraum"/>
        <w:rPr>
          <w:rFonts w:ascii="Times New Roman" w:hAnsi="Times New Roman"/>
        </w:rPr>
      </w:pPr>
    </w:p>
    <w:p w14:paraId="1E9270C9"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u w:val="single"/>
        </w:rPr>
        <w:t xml:space="preserve">Hepatotoxicitás </w:t>
      </w:r>
    </w:p>
    <w:p w14:paraId="1E9270CA" w14:textId="77777777" w:rsidR="00F15175" w:rsidRPr="00D045B3" w:rsidRDefault="009E12FC" w:rsidP="00F15175">
      <w:pPr>
        <w:spacing w:line="240" w:lineRule="auto"/>
        <w:rPr>
          <w:color w:val="000000"/>
          <w:lang w:val="hu-HU"/>
        </w:rPr>
      </w:pPr>
      <w:r w:rsidRPr="00D045B3">
        <w:rPr>
          <w:lang w:val="hu-HU"/>
        </w:rPr>
        <w:t>Az imatinib főként a májon keresztül metabolizálódik, csak 13%</w:t>
      </w:r>
      <w:r w:rsidRPr="00D045B3">
        <w:rPr>
          <w:lang w:val="hu-HU"/>
        </w:rPr>
        <w:noBreakHyphen/>
        <w:t xml:space="preserve">a ürül a vesén át. Enyhe, közepesen súlyos vagy súlyos májkárosodásban szenvedő betegeknél a perifériás vérképet és a májenzim értékeket gondosan monitorozni kell (lásd 4.2, 4.8 és 5.2 pont). </w:t>
      </w:r>
      <w:r w:rsidR="00F15175" w:rsidRPr="00D045B3">
        <w:rPr>
          <w:color w:val="000000"/>
          <w:lang w:val="hu-HU"/>
        </w:rPr>
        <w:t>Megjegyzendő, hogy GIST</w:t>
      </w:r>
      <w:r w:rsidR="00F15175" w:rsidRPr="00D045B3">
        <w:rPr>
          <w:color w:val="000000"/>
          <w:lang w:val="hu-HU"/>
        </w:rPr>
        <w:noBreakHyphen/>
        <w:t>es betegeknek májmetasztázisa is lehet, ami májelégtelenséghez vezethet.</w:t>
      </w:r>
    </w:p>
    <w:p w14:paraId="1E9270CB" w14:textId="77777777" w:rsidR="009E12FC" w:rsidRPr="00D045B3" w:rsidRDefault="009E12FC" w:rsidP="009E12FC">
      <w:pPr>
        <w:pStyle w:val="KeinLeerraum"/>
        <w:rPr>
          <w:rFonts w:ascii="Times New Roman" w:hAnsi="Times New Roman"/>
        </w:rPr>
      </w:pPr>
    </w:p>
    <w:p w14:paraId="1E9270CC"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Májkárosodás eseteit – beleértve a májelégtelenséget és a májnekrózist – figyelték meg az imatinib alkalmazása mellett. Ha az imatinibet nagy dózisú kemoterápiás kezeléssel kombinációban alkalmazzák, a súlyos májreakciók gyakoriságának a növekedését figyelték meg. A májfunkciót gondosan ellenőrizni kell, ha az imatinibet olyan kemoterápiás protokollal alkalmazzák kombinációban, amely ismerten a májfunkció zavaraival járhat (lásd 4.5 és 4.8 pont). </w:t>
      </w:r>
    </w:p>
    <w:p w14:paraId="1E9270CD" w14:textId="77777777" w:rsidR="009E12FC" w:rsidRPr="00D045B3" w:rsidRDefault="009E12FC" w:rsidP="009E12FC">
      <w:pPr>
        <w:pStyle w:val="KeinLeerraum"/>
        <w:rPr>
          <w:rFonts w:ascii="Times New Roman" w:hAnsi="Times New Roman"/>
        </w:rPr>
      </w:pPr>
    </w:p>
    <w:p w14:paraId="1E9270CE"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u w:val="single"/>
        </w:rPr>
        <w:t xml:space="preserve">Folyadékretenció </w:t>
      </w:r>
    </w:p>
    <w:p w14:paraId="1E9270CF" w14:textId="2F5B973E" w:rsidR="009E12FC" w:rsidRPr="00D045B3" w:rsidRDefault="009E12FC" w:rsidP="00CA41FD">
      <w:pPr>
        <w:pStyle w:val="KeinLeerraum"/>
        <w:rPr>
          <w:rFonts w:ascii="Times New Roman" w:hAnsi="Times New Roman"/>
        </w:rPr>
      </w:pPr>
      <w:r w:rsidRPr="00D045B3">
        <w:rPr>
          <w:rFonts w:ascii="Times New Roman" w:hAnsi="Times New Roman"/>
        </w:rPr>
        <w:t>Súlyos folyadékretencióról (pleuralis folyadék, oedema, tüdőoedema, ascites, felületes oedema) az imatinibet szedő, újonnan diagnosztizált CML</w:t>
      </w:r>
      <w:r w:rsidRPr="00D045B3">
        <w:rPr>
          <w:rFonts w:ascii="Times New Roman" w:hAnsi="Times New Roman"/>
        </w:rPr>
        <w:noBreakHyphen/>
        <w:t>es betegek 2,5%</w:t>
      </w:r>
      <w:r w:rsidRPr="00D045B3">
        <w:rPr>
          <w:rFonts w:ascii="Times New Roman" w:hAnsi="Times New Roman"/>
        </w:rPr>
        <w:noBreakHyphen/>
        <w:t>ánál számoltak be. Ezért kifejezetten javasolt a betegek testtömegének rendszeres ellenőrzése. A váratlan, gyors testtömeg gyarapodást gondosan ki kell vizsgálni, és amennyiben szükséges, mérlegelni kell a megfelelő szupportív ellátás és kezelés elkezdését. Klinikai vizsgálatokban ezen tünetek gyakorisága nagyobb volt az idősebb betegeknél, illetve azoknál, akiknek az anamnézisében szívbetegség szerepelt. Ezért a szívbeteg</w:t>
      </w:r>
      <w:r w:rsidR="00070DAA" w:rsidRPr="00D045B3">
        <w:rPr>
          <w:rFonts w:ascii="Times New Roman" w:hAnsi="Times New Roman"/>
        </w:rPr>
        <w:t>eknél</w:t>
      </w:r>
      <w:r w:rsidRPr="00D045B3">
        <w:rPr>
          <w:rFonts w:ascii="Times New Roman" w:hAnsi="Times New Roman"/>
        </w:rPr>
        <w:t xml:space="preserve"> elővigyázatosság szükséges. </w:t>
      </w:r>
    </w:p>
    <w:p w14:paraId="1E9270D0" w14:textId="77777777" w:rsidR="009E12FC" w:rsidRPr="00D045B3" w:rsidRDefault="009E12FC" w:rsidP="009E12FC">
      <w:pPr>
        <w:pStyle w:val="KeinLeerraum"/>
        <w:rPr>
          <w:rFonts w:ascii="Times New Roman" w:hAnsi="Times New Roman"/>
        </w:rPr>
      </w:pPr>
    </w:p>
    <w:p w14:paraId="1E9270D1" w14:textId="77777777" w:rsidR="009E12FC" w:rsidRPr="00D045B3" w:rsidRDefault="009E12FC" w:rsidP="009E12FC">
      <w:pPr>
        <w:pStyle w:val="KeinLeerraum"/>
        <w:keepNext/>
        <w:rPr>
          <w:rFonts w:ascii="Times New Roman" w:hAnsi="Times New Roman"/>
          <w:u w:val="single"/>
        </w:rPr>
      </w:pPr>
      <w:r w:rsidRPr="00D045B3">
        <w:rPr>
          <w:rFonts w:ascii="Times New Roman" w:hAnsi="Times New Roman"/>
          <w:u w:val="single"/>
        </w:rPr>
        <w:t xml:space="preserve">Szívbetegségben szenvedő betegek </w:t>
      </w:r>
    </w:p>
    <w:p w14:paraId="1E9270D2" w14:textId="77777777" w:rsidR="009E12FC" w:rsidRPr="00D045B3" w:rsidRDefault="009E12FC" w:rsidP="00CA41FD">
      <w:pPr>
        <w:pStyle w:val="KeinLeerraum"/>
        <w:rPr>
          <w:rFonts w:ascii="Times New Roman" w:hAnsi="Times New Roman"/>
        </w:rPr>
      </w:pPr>
      <w:r w:rsidRPr="00D045B3">
        <w:rPr>
          <w:rFonts w:ascii="Times New Roman" w:hAnsi="Times New Roman"/>
        </w:rPr>
        <w:t>Szívbetegség, a szívelégtelenség kockázati tényezőinek fennállása vagy korábban fennálló veseelégtelenség esetén a betegek gondos monitorozása szükséges. A szív</w:t>
      </w:r>
      <w:r w:rsidRPr="00D045B3">
        <w:rPr>
          <w:rFonts w:ascii="Times New Roman" w:hAnsi="Times New Roman"/>
        </w:rPr>
        <w:noBreakHyphen/>
        <w:t xml:space="preserve"> vagy veseelégtelenség tüneteit mutató betegeket ki kell vizsgálni és ennek megfelelően kell kezelni. </w:t>
      </w:r>
    </w:p>
    <w:p w14:paraId="1E9270D3" w14:textId="77777777" w:rsidR="009E12FC" w:rsidRPr="00D045B3" w:rsidRDefault="009E12FC" w:rsidP="009E12FC">
      <w:pPr>
        <w:pStyle w:val="KeinLeerraum"/>
        <w:rPr>
          <w:rFonts w:ascii="Times New Roman" w:hAnsi="Times New Roman"/>
        </w:rPr>
      </w:pPr>
    </w:p>
    <w:p w14:paraId="1E9270D4" w14:textId="67C5F4A5" w:rsidR="009E12FC" w:rsidRPr="00D045B3" w:rsidRDefault="009E12FC" w:rsidP="009E12FC">
      <w:pPr>
        <w:pStyle w:val="KeinLeerraum"/>
        <w:rPr>
          <w:rFonts w:ascii="Times New Roman" w:hAnsi="Times New Roman"/>
        </w:rPr>
      </w:pPr>
      <w:r w:rsidRPr="00D045B3">
        <w:rPr>
          <w:rFonts w:ascii="Times New Roman" w:hAnsi="Times New Roman"/>
        </w:rPr>
        <w:t>Azon hypereosinophilia szindrómás (HES) betegek</w:t>
      </w:r>
      <w:r w:rsidR="00070DAA" w:rsidRPr="00D045B3">
        <w:rPr>
          <w:rFonts w:ascii="Times New Roman" w:hAnsi="Times New Roman"/>
        </w:rPr>
        <w:t>nél</w:t>
      </w:r>
      <w:r w:rsidRPr="00D045B3">
        <w:rPr>
          <w:rFonts w:ascii="Times New Roman" w:hAnsi="Times New Roman"/>
        </w:rPr>
        <w:t xml:space="preserve">, akiknél </w:t>
      </w:r>
      <w:r w:rsidR="00C7083C" w:rsidRPr="00D045B3">
        <w:rPr>
          <w:rFonts w:ascii="Times New Roman" w:hAnsi="Times New Roman"/>
        </w:rPr>
        <w:t>a m</w:t>
      </w:r>
      <w:r w:rsidRPr="00D045B3">
        <w:rPr>
          <w:rFonts w:ascii="Times New Roman" w:hAnsi="Times New Roman"/>
        </w:rPr>
        <w:t>yocardiumon belül okkult HES</w:t>
      </w:r>
      <w:r w:rsidRPr="00D045B3">
        <w:rPr>
          <w:rFonts w:ascii="Times New Roman" w:hAnsi="Times New Roman"/>
        </w:rPr>
        <w:noBreakHyphen/>
        <w:t>sejt infiltráció következett be, elszigetelt esetekben az imatinib</w:t>
      </w:r>
      <w:r w:rsidR="00C7083C" w:rsidRPr="00D045B3">
        <w:rPr>
          <w:rFonts w:ascii="Times New Roman" w:hAnsi="Times New Roman"/>
        </w:rPr>
        <w:noBreakHyphen/>
      </w:r>
      <w:r w:rsidRPr="00D045B3">
        <w:rPr>
          <w:rFonts w:ascii="Times New Roman" w:hAnsi="Times New Roman"/>
        </w:rPr>
        <w:t>kezelés elindításával összefüggésben HES</w:t>
      </w:r>
      <w:r w:rsidRPr="00D045B3">
        <w:rPr>
          <w:rFonts w:ascii="Times New Roman" w:hAnsi="Times New Roman"/>
        </w:rPr>
        <w:noBreakHyphen/>
        <w:t>s</w:t>
      </w:r>
      <w:r w:rsidR="00C7083C" w:rsidRPr="00D045B3">
        <w:rPr>
          <w:rFonts w:ascii="Times New Roman" w:hAnsi="Times New Roman"/>
        </w:rPr>
        <w:t>e</w:t>
      </w:r>
      <w:r w:rsidRPr="00D045B3">
        <w:rPr>
          <w:rFonts w:ascii="Times New Roman" w:hAnsi="Times New Roman"/>
        </w:rPr>
        <w:t>jt degranulációval járó cardiogen sokk/balkamra dysfunctio lépett fel. A beszámolók szerint az állapot szisztémás szteroidok adására, keringéstámogatásra és az imatinib</w:t>
      </w:r>
      <w:r w:rsidR="00C7083C" w:rsidRPr="00D045B3">
        <w:rPr>
          <w:rFonts w:ascii="Times New Roman" w:hAnsi="Times New Roman"/>
        </w:rPr>
        <w:noBreakHyphen/>
      </w:r>
      <w:r w:rsidRPr="00D045B3">
        <w:rPr>
          <w:rFonts w:ascii="Times New Roman" w:hAnsi="Times New Roman"/>
        </w:rPr>
        <w:t>kezelés átmeneti felfüggesztés</w:t>
      </w:r>
      <w:r w:rsidR="00C7083C" w:rsidRPr="00D045B3">
        <w:rPr>
          <w:rFonts w:ascii="Times New Roman" w:hAnsi="Times New Roman"/>
        </w:rPr>
        <w:t xml:space="preserve">ére reverzíbilisnek bizonyult. </w:t>
      </w:r>
      <w:r w:rsidRPr="00D045B3">
        <w:rPr>
          <w:rFonts w:ascii="Times New Roman" w:hAnsi="Times New Roman"/>
        </w:rPr>
        <w:t>Mivel az imatinib alkalmazása kapcsán nem gyakran cardialis mellékhatásokat jelentettek, ezért a HES/CEL</w:t>
      </w:r>
      <w:r w:rsidRPr="00D045B3">
        <w:rPr>
          <w:rFonts w:ascii="Times New Roman" w:hAnsi="Times New Roman"/>
        </w:rPr>
        <w:noBreakHyphen/>
        <w:t>ben szenvedő betegek esetében az imatinib</w:t>
      </w:r>
      <w:r w:rsidR="00C7083C" w:rsidRPr="00D045B3">
        <w:rPr>
          <w:rFonts w:ascii="Times New Roman" w:hAnsi="Times New Roman"/>
        </w:rPr>
        <w:noBreakHyphen/>
      </w:r>
      <w:r w:rsidRPr="00D045B3">
        <w:rPr>
          <w:rFonts w:ascii="Times New Roman" w:hAnsi="Times New Roman"/>
        </w:rPr>
        <w:t xml:space="preserve"> kezelés megkezdése előtt megfontolandó az előny/kockázat arányának gondos értékelése. </w:t>
      </w:r>
    </w:p>
    <w:p w14:paraId="1E9270D5" w14:textId="77777777" w:rsidR="009E12FC" w:rsidRPr="00D045B3" w:rsidRDefault="009E12FC" w:rsidP="009E12FC">
      <w:pPr>
        <w:pStyle w:val="KeinLeerraum"/>
        <w:rPr>
          <w:rFonts w:ascii="Times New Roman" w:hAnsi="Times New Roman"/>
        </w:rPr>
      </w:pPr>
    </w:p>
    <w:p w14:paraId="1E9270D6" w14:textId="304756F4" w:rsidR="009E12FC" w:rsidRPr="00D045B3" w:rsidRDefault="009E12FC" w:rsidP="009E12FC">
      <w:pPr>
        <w:pStyle w:val="KeinLeerraum"/>
        <w:rPr>
          <w:rFonts w:ascii="Times New Roman" w:hAnsi="Times New Roman"/>
        </w:rPr>
      </w:pPr>
      <w:r w:rsidRPr="00D045B3">
        <w:rPr>
          <w:rFonts w:ascii="Times New Roman" w:hAnsi="Times New Roman"/>
        </w:rPr>
        <w:t>A PDGFR génátrendeződéssel társuló myelodysplasiás/myeloproliferatív kórképek magas eosinophil sejtszámmal járhatnak. Ennek megfelelően HES/CEL, illetve MDS/MPD miatt kezelt betegek</w:t>
      </w:r>
      <w:r w:rsidR="00070DAA" w:rsidRPr="00D045B3">
        <w:rPr>
          <w:rFonts w:ascii="Times New Roman" w:hAnsi="Times New Roman"/>
        </w:rPr>
        <w:t xml:space="preserve"> esetében</w:t>
      </w:r>
      <w:r w:rsidRPr="00D045B3">
        <w:rPr>
          <w:rFonts w:ascii="Times New Roman" w:hAnsi="Times New Roman"/>
        </w:rPr>
        <w:t xml:space="preserve"> magas eosinophilszám esetén az imatinib</w:t>
      </w:r>
      <w:r w:rsidR="00C7083C" w:rsidRPr="00D045B3">
        <w:rPr>
          <w:rFonts w:ascii="Times New Roman" w:hAnsi="Times New Roman"/>
        </w:rPr>
        <w:noBreakHyphen/>
      </w:r>
      <w:r w:rsidRPr="00D045B3">
        <w:rPr>
          <w:rFonts w:ascii="Times New Roman" w:hAnsi="Times New Roman"/>
        </w:rPr>
        <w:t>kezelés elindítása előtt megfontolandó a kardiológiai kivizsgálás, echocardiográfia elvégzése és a szérum troponinszintjének a meghatározása. Amennyiben ezek bármelyike kóros, megfontolandó a kardiológiai ellenőrző vizsgálatok elvégzése, valamint profilaktikus szisztémás szteroid (1</w:t>
      </w:r>
      <w:r w:rsidRPr="00D045B3">
        <w:rPr>
          <w:rFonts w:ascii="Times New Roman" w:hAnsi="Times New Roman"/>
        </w:rPr>
        <w:noBreakHyphen/>
        <w:t>2 mg/ttkg) 1</w:t>
      </w:r>
      <w:r w:rsidRPr="00D045B3">
        <w:rPr>
          <w:rFonts w:ascii="Times New Roman" w:hAnsi="Times New Roman"/>
        </w:rPr>
        <w:noBreakHyphen/>
        <w:t xml:space="preserve">2 hétig tartó egyidejű alkalmazása a terápia megkezdésekor. </w:t>
      </w:r>
    </w:p>
    <w:p w14:paraId="1E9270D7" w14:textId="77777777" w:rsidR="009E12FC" w:rsidRPr="00D045B3" w:rsidRDefault="009E12FC" w:rsidP="009E12FC">
      <w:pPr>
        <w:pStyle w:val="KeinLeerraum"/>
        <w:rPr>
          <w:rFonts w:ascii="Times New Roman" w:hAnsi="Times New Roman"/>
        </w:rPr>
      </w:pPr>
    </w:p>
    <w:p w14:paraId="1E9270D8" w14:textId="77777777" w:rsidR="009E12FC" w:rsidRPr="00D045B3" w:rsidRDefault="009E12FC" w:rsidP="00686EB8">
      <w:pPr>
        <w:pStyle w:val="KeinLeerraum"/>
        <w:keepNext/>
        <w:rPr>
          <w:rFonts w:ascii="Times New Roman" w:hAnsi="Times New Roman"/>
          <w:u w:val="single"/>
        </w:rPr>
      </w:pPr>
      <w:r w:rsidRPr="00D045B3">
        <w:rPr>
          <w:rFonts w:ascii="Times New Roman" w:hAnsi="Times New Roman"/>
          <w:u w:val="single"/>
        </w:rPr>
        <w:t xml:space="preserve">Gastrointestinalis vérzés </w:t>
      </w:r>
    </w:p>
    <w:p w14:paraId="1E9270D9" w14:textId="77777777" w:rsidR="00F15175" w:rsidRPr="00D045B3" w:rsidRDefault="00F15175" w:rsidP="00F15175">
      <w:pPr>
        <w:pStyle w:val="Textkrper"/>
        <w:spacing w:line="240" w:lineRule="auto"/>
        <w:rPr>
          <w:b w:val="0"/>
          <w:i w:val="0"/>
          <w:color w:val="000000"/>
          <w:lang w:val="hu-HU"/>
        </w:rPr>
      </w:pPr>
      <w:r w:rsidRPr="00D045B3">
        <w:rPr>
          <w:b w:val="0"/>
          <w:i w:val="0"/>
          <w:color w:val="000000"/>
          <w:lang w:val="hu-HU"/>
        </w:rPr>
        <w:t>A nem reszekábilis és/vagy metasztatikus GIST</w:t>
      </w:r>
      <w:r w:rsidRPr="00D045B3">
        <w:rPr>
          <w:b w:val="0"/>
          <w:i w:val="0"/>
          <w:color w:val="000000"/>
          <w:lang w:val="hu-HU"/>
        </w:rPr>
        <w:noBreakHyphen/>
        <w:t>ben szenvedő betegek vizsgálata során mind gastrointestinalis, mind intratumoralis vérzésről beszámoltak (lásd 4.8 pont). A rendelkezésre álló adatok alapján nem azonosítottak olyan prediszponáló faktort (pl. a tumor mérete, lokalizációja, véralvadási zavarok), amely a GIST</w:t>
      </w:r>
      <w:r w:rsidRPr="00D045B3">
        <w:rPr>
          <w:b w:val="0"/>
          <w:i w:val="0"/>
          <w:color w:val="000000"/>
          <w:lang w:val="hu-HU"/>
        </w:rPr>
        <w:noBreakHyphen/>
        <w:t>es betegekre nézve nagyobb kockázatot jelentene valamely típusú vérzésre. Mivel a vascularizáltság és vérzékenység eleve fokozott a GIST természetéből és klinikai lefolyásából adódóan, minden betegnél a szokásos gyakorlatot és eljárásokat kell követni a vérzés monitorozására és kezelésére.</w:t>
      </w:r>
    </w:p>
    <w:p w14:paraId="1E9270DA" w14:textId="77777777" w:rsidR="00EA1383" w:rsidRPr="00D045B3" w:rsidRDefault="00F15175" w:rsidP="00190CF7">
      <w:pPr>
        <w:pStyle w:val="KeinLeerraum"/>
        <w:rPr>
          <w:rFonts w:ascii="Times New Roman" w:hAnsi="Times New Roman"/>
        </w:rPr>
      </w:pPr>
      <w:r w:rsidRPr="00D045B3">
        <w:rPr>
          <w:rFonts w:ascii="Times New Roman" w:hAnsi="Times New Roman"/>
        </w:rPr>
        <w:t xml:space="preserve">Emellett a </w:t>
      </w:r>
      <w:r w:rsidR="00EA1383" w:rsidRPr="00D045B3">
        <w:rPr>
          <w:rFonts w:ascii="Times New Roman" w:hAnsi="Times New Roman"/>
        </w:rPr>
        <w:t>CML</w:t>
      </w:r>
      <w:r w:rsidR="00EA1383" w:rsidRPr="00D045B3">
        <w:rPr>
          <w:rFonts w:ascii="Times New Roman" w:hAnsi="Times New Roman"/>
        </w:rPr>
        <w:noBreakHyphen/>
        <w:t>ben, ALL</w:t>
      </w:r>
      <w:r w:rsidR="00EA1383" w:rsidRPr="00D045B3">
        <w:rPr>
          <w:rFonts w:ascii="Times New Roman" w:hAnsi="Times New Roman"/>
        </w:rPr>
        <w:noBreakHyphen/>
        <w:t>ben és egyéb betegségekben szenvedő betegeknél gastricus antralis vascularis ectasiáról (GAVE), a gastrointestinalis vérzés egy ritka okáról számoltak be a forgalomba hozatalt követően (lásd 4.8</w:t>
      </w:r>
      <w:r w:rsidR="00CA7A20" w:rsidRPr="00D045B3">
        <w:rPr>
          <w:rFonts w:ascii="Times New Roman" w:hAnsi="Times New Roman"/>
        </w:rPr>
        <w:t> </w:t>
      </w:r>
      <w:r w:rsidR="00EA1383" w:rsidRPr="00D045B3">
        <w:rPr>
          <w:rFonts w:ascii="Times New Roman" w:hAnsi="Times New Roman"/>
        </w:rPr>
        <w:t>pont). Amikor szükséges, megfontolható az imatinib</w:t>
      </w:r>
      <w:r w:rsidR="00EA1383" w:rsidRPr="00D045B3">
        <w:rPr>
          <w:rFonts w:ascii="Times New Roman" w:hAnsi="Times New Roman"/>
        </w:rPr>
        <w:noBreakHyphen/>
        <w:t>kezelés leállítása.</w:t>
      </w:r>
    </w:p>
    <w:p w14:paraId="1E9270DB" w14:textId="77777777" w:rsidR="00EA1383" w:rsidRPr="00D045B3" w:rsidRDefault="00EA1383" w:rsidP="009E12FC">
      <w:pPr>
        <w:pStyle w:val="KeinLeerraum"/>
        <w:rPr>
          <w:rFonts w:ascii="Times New Roman" w:hAnsi="Times New Roman"/>
        </w:rPr>
      </w:pPr>
    </w:p>
    <w:p w14:paraId="1E9270DC" w14:textId="77777777" w:rsidR="009E12FC" w:rsidRPr="00D045B3" w:rsidRDefault="009E12FC" w:rsidP="00686EB8">
      <w:pPr>
        <w:pStyle w:val="KeinLeerraum"/>
        <w:keepNext/>
        <w:rPr>
          <w:rFonts w:ascii="Times New Roman" w:hAnsi="Times New Roman"/>
          <w:u w:val="single"/>
        </w:rPr>
      </w:pPr>
      <w:r w:rsidRPr="00D045B3">
        <w:rPr>
          <w:rFonts w:ascii="Times New Roman" w:hAnsi="Times New Roman"/>
          <w:u w:val="single"/>
        </w:rPr>
        <w:t xml:space="preserve">Tumor lízis szindróma </w:t>
      </w:r>
    </w:p>
    <w:p w14:paraId="1E9270DD" w14:textId="77777777" w:rsidR="009E12FC" w:rsidRPr="00D045B3" w:rsidRDefault="009E12FC" w:rsidP="00CA41FD">
      <w:pPr>
        <w:pStyle w:val="KeinLeerraum"/>
        <w:rPr>
          <w:rFonts w:ascii="Times New Roman" w:hAnsi="Times New Roman"/>
        </w:rPr>
      </w:pPr>
      <w:r w:rsidRPr="00D045B3">
        <w:rPr>
          <w:rFonts w:ascii="Times New Roman" w:hAnsi="Times New Roman"/>
        </w:rPr>
        <w:t>A tumor lízis szindróma (tumour lysis syndrome (TLS)) lehetséges előfordulása miatt az imatinib</w:t>
      </w:r>
      <w:r w:rsidR="00C7083C" w:rsidRPr="00D045B3">
        <w:rPr>
          <w:rFonts w:ascii="Times New Roman" w:hAnsi="Times New Roman"/>
        </w:rPr>
        <w:noBreakHyphen/>
      </w:r>
      <w:r w:rsidRPr="00D045B3">
        <w:rPr>
          <w:rFonts w:ascii="Times New Roman" w:hAnsi="Times New Roman"/>
        </w:rPr>
        <w:t xml:space="preserve">kezelés megkezdése előtt javasolt a klinikailag jelentős mértékű dehidrációt korrigálni, illetve a magas húgysavszintet kezelni (lásd 4.8 pont). </w:t>
      </w:r>
    </w:p>
    <w:p w14:paraId="1E9270DE" w14:textId="77777777" w:rsidR="00A76F33" w:rsidRPr="00D045B3" w:rsidRDefault="00A76F33" w:rsidP="00583562">
      <w:pPr>
        <w:pStyle w:val="KeinLeerraum"/>
        <w:rPr>
          <w:rFonts w:ascii="Times New Roman" w:hAnsi="Times New Roman"/>
        </w:rPr>
      </w:pPr>
    </w:p>
    <w:p w14:paraId="1E9270DF" w14:textId="77777777" w:rsidR="00A76F33" w:rsidRPr="00D045B3" w:rsidRDefault="00A76F33" w:rsidP="00583562">
      <w:pPr>
        <w:pStyle w:val="KeinLeerraum"/>
        <w:rPr>
          <w:rFonts w:ascii="Times New Roman" w:hAnsi="Times New Roman"/>
          <w:u w:val="single"/>
        </w:rPr>
      </w:pPr>
      <w:r w:rsidRPr="00D045B3">
        <w:rPr>
          <w:rFonts w:ascii="Times New Roman" w:hAnsi="Times New Roman"/>
          <w:u w:val="single"/>
        </w:rPr>
        <w:t xml:space="preserve">Hepatitis B reaktiváció </w:t>
      </w:r>
    </w:p>
    <w:p w14:paraId="1E9270E0" w14:textId="3BDF8F87" w:rsidR="00A76F33" w:rsidRPr="00D045B3" w:rsidRDefault="00A76F33" w:rsidP="00583562">
      <w:pPr>
        <w:pStyle w:val="KeinLeerraum"/>
        <w:rPr>
          <w:rFonts w:ascii="Times New Roman" w:hAnsi="Times New Roman"/>
        </w:rPr>
      </w:pPr>
      <w:r w:rsidRPr="00D045B3">
        <w:rPr>
          <w:rFonts w:ascii="Times New Roman" w:hAnsi="Times New Roman"/>
        </w:rPr>
        <w:t>A hepatitis B reaktivációja fordult elő krónikus vírushordozó betegeknél, miután ezek a betegek BCR-ABL tirozin-kináz inhibitorokat kaptak. Egyes esetekben akut májelégtelenség vagy fulmináns hepatitis alakult ki, amely májtranszplantáció</w:t>
      </w:r>
      <w:r w:rsidR="00070DAA" w:rsidRPr="00D045B3">
        <w:rPr>
          <w:rFonts w:ascii="Times New Roman" w:hAnsi="Times New Roman"/>
        </w:rPr>
        <w:t>t tett szükségessé</w:t>
      </w:r>
      <w:r w:rsidRPr="00D045B3">
        <w:rPr>
          <w:rFonts w:ascii="Times New Roman" w:hAnsi="Times New Roman"/>
        </w:rPr>
        <w:t xml:space="preserve"> vagy a beteg halálához vezetett. </w:t>
      </w:r>
    </w:p>
    <w:p w14:paraId="1E9270E1" w14:textId="77777777" w:rsidR="009E12FC" w:rsidRPr="00D045B3" w:rsidRDefault="00A76F33" w:rsidP="00A76F33">
      <w:pPr>
        <w:pStyle w:val="KeinLeerraum"/>
        <w:rPr>
          <w:rFonts w:ascii="Times New Roman" w:hAnsi="Times New Roman"/>
        </w:rPr>
      </w:pPr>
      <w:r w:rsidRPr="00D045B3">
        <w:rPr>
          <w:rFonts w:ascii="Times New Roman" w:hAnsi="Times New Roman"/>
        </w:rPr>
        <w:t>Az Imatinib Actavis kezelés megkezdése előtt a betegeknél a HBV fertőzöttség kivizsgálására van szükség. A májbetegségek és a hepatitis B kezelés szakértőivel kell konzultálni a kezelés megkezdése előtt a pozitív hepatitis B szerológiájú betegeknél (beleértve az aktív betegséget is), valamint olyan betegek esetében, akiknél a kezelés közben derül ki a HBV fertőzés. Az Imatinib Actavis kezelést igénylő HBV hordozókat szorosan ellenőrizni kell a kezelés közben, valamint a kezelés befejezését követően több hónapon keresztül, hogy nem alakulnak-e ki az aktív HBV fertőzés jelei és tünetei (lásd 4.8 pont).</w:t>
      </w:r>
    </w:p>
    <w:p w14:paraId="1E9270E2" w14:textId="77777777" w:rsidR="006C65ED" w:rsidRPr="00D045B3" w:rsidRDefault="006C65ED" w:rsidP="006C65ED">
      <w:pPr>
        <w:pStyle w:val="Endnotentext"/>
        <w:keepNext/>
        <w:widowControl w:val="0"/>
        <w:tabs>
          <w:tab w:val="left" w:pos="720"/>
        </w:tabs>
        <w:rPr>
          <w:snapToGrid w:val="0"/>
          <w:color w:val="000000"/>
          <w:szCs w:val="22"/>
          <w:u w:val="single"/>
          <w:lang w:val="hu-HU"/>
        </w:rPr>
      </w:pPr>
    </w:p>
    <w:p w14:paraId="1E9270E3" w14:textId="77777777" w:rsidR="006C65ED" w:rsidRPr="00D045B3" w:rsidRDefault="006C65ED" w:rsidP="006C65ED">
      <w:pPr>
        <w:pStyle w:val="Endnotentext"/>
        <w:keepNext/>
        <w:widowControl w:val="0"/>
        <w:tabs>
          <w:tab w:val="left" w:pos="720"/>
        </w:tabs>
        <w:rPr>
          <w:snapToGrid w:val="0"/>
          <w:color w:val="000000"/>
          <w:szCs w:val="22"/>
          <w:u w:val="single"/>
          <w:lang w:val="hu-HU"/>
        </w:rPr>
      </w:pPr>
      <w:r w:rsidRPr="00D045B3">
        <w:rPr>
          <w:snapToGrid w:val="0"/>
          <w:color w:val="000000"/>
          <w:szCs w:val="22"/>
          <w:u w:val="single"/>
          <w:lang w:val="hu-HU"/>
        </w:rPr>
        <w:t>Fototoxicitás</w:t>
      </w:r>
    </w:p>
    <w:p w14:paraId="1E9270E4" w14:textId="07C2959F" w:rsidR="006C65ED" w:rsidRPr="00D045B3" w:rsidRDefault="006C65ED" w:rsidP="006C65ED">
      <w:pPr>
        <w:pStyle w:val="Endnotentext"/>
        <w:widowControl w:val="0"/>
        <w:tabs>
          <w:tab w:val="left" w:pos="720"/>
        </w:tabs>
        <w:rPr>
          <w:snapToGrid w:val="0"/>
          <w:color w:val="000000"/>
          <w:szCs w:val="22"/>
          <w:lang w:val="hu-HU"/>
        </w:rPr>
      </w:pPr>
      <w:r w:rsidRPr="00D045B3">
        <w:rPr>
          <w:snapToGrid w:val="0"/>
          <w:color w:val="000000"/>
          <w:szCs w:val="22"/>
          <w:lang w:val="hu-HU"/>
        </w:rPr>
        <w:t>Az imatinib</w:t>
      </w:r>
      <w:r w:rsidRPr="00D045B3">
        <w:rPr>
          <w:snapToGrid w:val="0"/>
          <w:color w:val="000000"/>
          <w:szCs w:val="22"/>
          <w:lang w:val="hu-HU"/>
        </w:rPr>
        <w:noBreakHyphen/>
        <w:t>kezeléssel összefüggő fototoxicitás kockázata miatt a napfény általi közvetlen besugárzást kerülni vagy minimalizálni kell. A betegeket tájékoztatni kell arról, hogy öltözékükkel védekezzenek és használjanak magas fényvédő faktorszámú naptejet.</w:t>
      </w:r>
    </w:p>
    <w:p w14:paraId="4EF29CB3" w14:textId="4C7251BF" w:rsidR="00124014" w:rsidRPr="00D045B3" w:rsidRDefault="00124014" w:rsidP="00124014">
      <w:pPr>
        <w:rPr>
          <w:lang w:val="hu-HU" w:bidi="th-TH"/>
        </w:rPr>
      </w:pPr>
    </w:p>
    <w:p w14:paraId="5F5A2BD9" w14:textId="77777777" w:rsidR="00124014" w:rsidRPr="00D045B3" w:rsidRDefault="00124014" w:rsidP="00124014">
      <w:pPr>
        <w:pStyle w:val="Endnotentext"/>
        <w:keepNext/>
        <w:widowControl w:val="0"/>
        <w:rPr>
          <w:snapToGrid w:val="0"/>
          <w:color w:val="000000"/>
          <w:szCs w:val="22"/>
          <w:u w:val="single"/>
          <w:lang w:val="hu-HU"/>
        </w:rPr>
      </w:pPr>
      <w:r w:rsidRPr="00D045B3">
        <w:rPr>
          <w:snapToGrid w:val="0"/>
          <w:color w:val="000000"/>
          <w:szCs w:val="22"/>
          <w:u w:val="single"/>
          <w:lang w:val="hu-HU"/>
        </w:rPr>
        <w:t>Thromboticus microangiopathia</w:t>
      </w:r>
    </w:p>
    <w:p w14:paraId="215100D2" w14:textId="1CBA3B09" w:rsidR="00124014" w:rsidRPr="00D045B3" w:rsidRDefault="00124014" w:rsidP="00124014">
      <w:pPr>
        <w:pStyle w:val="Endnotentext"/>
        <w:widowControl w:val="0"/>
        <w:rPr>
          <w:color w:val="000000"/>
          <w:szCs w:val="22"/>
          <w:lang w:val="hu-HU"/>
        </w:rPr>
      </w:pPr>
      <w:r w:rsidRPr="00D045B3">
        <w:rPr>
          <w:rFonts w:cs="Times New Roman"/>
          <w:szCs w:val="22"/>
          <w:lang w:val="hu-HU"/>
        </w:rPr>
        <w:t>A BCR</w:t>
      </w:r>
      <w:r w:rsidRPr="00D045B3">
        <w:rPr>
          <w:rFonts w:cs="Times New Roman"/>
          <w:szCs w:val="22"/>
          <w:lang w:val="hu-HU"/>
        </w:rPr>
        <w:noBreakHyphen/>
        <w:t>ABL tirozin</w:t>
      </w:r>
      <w:r w:rsidRPr="00D045B3">
        <w:rPr>
          <w:rFonts w:cs="Times New Roman"/>
          <w:szCs w:val="22"/>
          <w:lang w:val="hu-HU"/>
        </w:rPr>
        <w:noBreakHyphen/>
        <w:t>kináz inhibitorok (TKI</w:t>
      </w:r>
      <w:r w:rsidRPr="00D045B3">
        <w:rPr>
          <w:rFonts w:cs="Times New Roman"/>
          <w:szCs w:val="22"/>
          <w:lang w:val="hu-HU"/>
        </w:rPr>
        <w:noBreakHyphen/>
        <w:t xml:space="preserve">k) </w:t>
      </w:r>
      <w:r w:rsidR="00070DAA" w:rsidRPr="00D045B3">
        <w:rPr>
          <w:rFonts w:cs="Times New Roman"/>
          <w:szCs w:val="22"/>
          <w:lang w:val="hu-HU"/>
        </w:rPr>
        <w:t xml:space="preserve">alkalmazása során </w:t>
      </w:r>
      <w:r w:rsidRPr="00D045B3">
        <w:rPr>
          <w:color w:val="000000"/>
          <w:szCs w:val="22"/>
          <w:lang w:val="hu-HU"/>
        </w:rPr>
        <w:t>thromboticus microangiopathiá</w:t>
      </w:r>
      <w:r w:rsidR="00070DAA" w:rsidRPr="00D045B3">
        <w:rPr>
          <w:color w:val="000000"/>
          <w:szCs w:val="22"/>
          <w:lang w:val="hu-HU"/>
        </w:rPr>
        <w:t>t</w:t>
      </w:r>
      <w:r w:rsidRPr="00D045B3">
        <w:rPr>
          <w:color w:val="000000"/>
          <w:szCs w:val="22"/>
          <w:lang w:val="hu-HU"/>
        </w:rPr>
        <w:t xml:space="preserve"> (TMA) </w:t>
      </w:r>
      <w:r w:rsidR="00070DAA" w:rsidRPr="00D045B3">
        <w:rPr>
          <w:color w:val="000000"/>
          <w:szCs w:val="22"/>
          <w:lang w:val="hu-HU"/>
        </w:rPr>
        <w:t>jelentettek</w:t>
      </w:r>
      <w:r w:rsidRPr="00D045B3">
        <w:rPr>
          <w:color w:val="000000"/>
          <w:szCs w:val="22"/>
          <w:lang w:val="hu-HU"/>
        </w:rPr>
        <w:t>, beleértve az Imatinib Actavis-szel kapcsolatos egyedi esetjelentéseket (lásd 4.8 pont). Ha az Imatinib Actavis</w:t>
      </w:r>
      <w:r w:rsidRPr="00D045B3">
        <w:rPr>
          <w:color w:val="000000"/>
          <w:szCs w:val="22"/>
          <w:lang w:val="hu-HU"/>
        </w:rPr>
        <w:noBreakHyphen/>
      </w:r>
      <w:r w:rsidR="00070DAA" w:rsidRPr="00D045B3">
        <w:rPr>
          <w:color w:val="000000"/>
          <w:szCs w:val="22"/>
          <w:lang w:val="hu-HU"/>
        </w:rPr>
        <w:t>szal kezelt</w:t>
      </w:r>
      <w:r w:rsidRPr="00D045B3">
        <w:rPr>
          <w:color w:val="000000"/>
          <w:szCs w:val="22"/>
          <w:lang w:val="hu-HU"/>
        </w:rPr>
        <w:t xml:space="preserve"> betegnél a TMA laboratóriumi vagy klinikai jelei fordulnak elő, a kezelést fel kell függeszteni, és a TMA alapos kivizsgálása szükséges, beleértve az ADAMTS13 aktivitást és az anti-ADAMTS13-antitest meghatározást. Ha az anti-ADAMTS13-antitest szint magas és az ADAMTS13 aktivitás alacsony, az Imatinib Actavis</w:t>
      </w:r>
      <w:r w:rsidRPr="00D045B3">
        <w:rPr>
          <w:color w:val="000000"/>
          <w:szCs w:val="22"/>
          <w:lang w:val="hu-HU"/>
        </w:rPr>
        <w:noBreakHyphen/>
        <w:t>kezelést nem szabad folytatni.</w:t>
      </w:r>
    </w:p>
    <w:p w14:paraId="1E9270E5" w14:textId="77777777" w:rsidR="00A76F33" w:rsidRPr="00D045B3" w:rsidRDefault="00A76F33" w:rsidP="00A76F33">
      <w:pPr>
        <w:pStyle w:val="KeinLeerraum"/>
        <w:rPr>
          <w:rFonts w:ascii="Times New Roman" w:hAnsi="Times New Roman"/>
        </w:rPr>
      </w:pPr>
    </w:p>
    <w:p w14:paraId="1E9270E6" w14:textId="77777777" w:rsidR="009E12FC" w:rsidRPr="00D045B3" w:rsidRDefault="009E12FC" w:rsidP="00686EB8">
      <w:pPr>
        <w:pStyle w:val="KeinLeerraum"/>
        <w:keepNext/>
        <w:rPr>
          <w:rFonts w:ascii="Times New Roman" w:hAnsi="Times New Roman"/>
          <w:u w:val="single"/>
        </w:rPr>
      </w:pPr>
      <w:r w:rsidRPr="00D045B3">
        <w:rPr>
          <w:rFonts w:ascii="Times New Roman" w:hAnsi="Times New Roman"/>
          <w:u w:val="single"/>
        </w:rPr>
        <w:t xml:space="preserve">Laboratóriumi vizsgálatok: </w:t>
      </w:r>
    </w:p>
    <w:p w14:paraId="1E9270E7" w14:textId="1563051B" w:rsidR="009E12FC" w:rsidRPr="00D045B3" w:rsidRDefault="009E12FC" w:rsidP="00CA41FD">
      <w:pPr>
        <w:pStyle w:val="KeinLeerraum"/>
        <w:rPr>
          <w:rFonts w:ascii="Times New Roman" w:hAnsi="Times New Roman"/>
        </w:rPr>
      </w:pPr>
      <w:r w:rsidRPr="00D045B3">
        <w:rPr>
          <w:rFonts w:ascii="Times New Roman" w:hAnsi="Times New Roman"/>
        </w:rPr>
        <w:t>Az imatinib</w:t>
      </w:r>
      <w:r w:rsidR="00C7083C" w:rsidRPr="00D045B3">
        <w:rPr>
          <w:rFonts w:ascii="Times New Roman" w:hAnsi="Times New Roman"/>
        </w:rPr>
        <w:noBreakHyphen/>
      </w:r>
      <w:r w:rsidRPr="00D045B3">
        <w:rPr>
          <w:rFonts w:ascii="Times New Roman" w:hAnsi="Times New Roman"/>
        </w:rPr>
        <w:t>kezelés során rendszeresen ellenőrizni kell a teljes vérképet. A CML</w:t>
      </w:r>
      <w:r w:rsidR="00070DAA" w:rsidRPr="00D045B3">
        <w:rPr>
          <w:rFonts w:ascii="Times New Roman" w:hAnsi="Times New Roman"/>
        </w:rPr>
        <w:t>-es</w:t>
      </w:r>
      <w:r w:rsidRPr="00D045B3">
        <w:rPr>
          <w:rFonts w:ascii="Times New Roman" w:hAnsi="Times New Roman"/>
        </w:rPr>
        <w:t xml:space="preserve"> betegek imatinib</w:t>
      </w:r>
      <w:r w:rsidR="00C7083C" w:rsidRPr="00D045B3">
        <w:rPr>
          <w:rFonts w:ascii="Times New Roman" w:hAnsi="Times New Roman"/>
        </w:rPr>
        <w:noBreakHyphen/>
      </w:r>
      <w:r w:rsidRPr="00D045B3">
        <w:rPr>
          <w:rFonts w:ascii="Times New Roman" w:hAnsi="Times New Roman"/>
        </w:rPr>
        <w:t>kezelésekor neutropeniát vagy thrombocytopeniát figyeltek meg. Ezen cytopeniák előfordulása azonban valószínűleg a kezelendő betegség stádiumától függ, és sokkal gyakoribb az akcelerált fázisú CML</w:t>
      </w:r>
      <w:r w:rsidRPr="00D045B3">
        <w:rPr>
          <w:rFonts w:ascii="Times New Roman" w:hAnsi="Times New Roman"/>
        </w:rPr>
        <w:noBreakHyphen/>
        <w:t>es betegek</w:t>
      </w:r>
      <w:r w:rsidR="008306E2" w:rsidRPr="00D045B3">
        <w:rPr>
          <w:rFonts w:ascii="Times New Roman" w:hAnsi="Times New Roman"/>
        </w:rPr>
        <w:t>nél</w:t>
      </w:r>
      <w:r w:rsidRPr="00D045B3">
        <w:rPr>
          <w:rFonts w:ascii="Times New Roman" w:hAnsi="Times New Roman"/>
        </w:rPr>
        <w:t xml:space="preserve"> vagy blasztos krízisben, mint a krónikus fázisban. Ilyen esetben az imatinib</w:t>
      </w:r>
      <w:r w:rsidR="00C7083C" w:rsidRPr="00D045B3">
        <w:rPr>
          <w:rFonts w:ascii="Times New Roman" w:hAnsi="Times New Roman"/>
        </w:rPr>
        <w:noBreakHyphen/>
      </w:r>
      <w:r w:rsidRPr="00D045B3">
        <w:rPr>
          <w:rFonts w:ascii="Times New Roman" w:hAnsi="Times New Roman"/>
        </w:rPr>
        <w:t>kezelést le kell állítani, vagy csökkenteni kell az alkalmazott adagot, a 4.2 pontban javasoltak szerint.</w:t>
      </w:r>
    </w:p>
    <w:p w14:paraId="1E9270E8"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 </w:t>
      </w:r>
    </w:p>
    <w:p w14:paraId="1E9270E9" w14:textId="77777777" w:rsidR="009E12FC" w:rsidRPr="00D045B3" w:rsidRDefault="009E12FC" w:rsidP="009E12FC">
      <w:pPr>
        <w:pStyle w:val="KeinLeerraum"/>
        <w:rPr>
          <w:rFonts w:ascii="Times New Roman" w:hAnsi="Times New Roman"/>
        </w:rPr>
      </w:pPr>
      <w:r w:rsidRPr="00D045B3">
        <w:rPr>
          <w:rFonts w:ascii="Times New Roman" w:hAnsi="Times New Roman"/>
        </w:rPr>
        <w:t>A májfunkciót (transzaminázok, bilirubin, alkalikus</w:t>
      </w:r>
      <w:r w:rsidRPr="00D045B3">
        <w:rPr>
          <w:rFonts w:ascii="Times New Roman" w:hAnsi="Times New Roman"/>
        </w:rPr>
        <w:noBreakHyphen/>
        <w:t>foszfatáz) rendszeresen ellenőrizni kell az imatinib</w:t>
      </w:r>
      <w:r w:rsidR="00C7083C" w:rsidRPr="00D045B3">
        <w:rPr>
          <w:rFonts w:ascii="Times New Roman" w:hAnsi="Times New Roman"/>
        </w:rPr>
        <w:noBreakHyphen/>
      </w:r>
      <w:r w:rsidRPr="00D045B3">
        <w:rPr>
          <w:rFonts w:ascii="Times New Roman" w:hAnsi="Times New Roman"/>
        </w:rPr>
        <w:t xml:space="preserve">kezelésben részesülő betegeknél. </w:t>
      </w:r>
    </w:p>
    <w:p w14:paraId="1E9270EA" w14:textId="77777777" w:rsidR="009E12FC" w:rsidRPr="00D045B3" w:rsidRDefault="009E12FC" w:rsidP="009E12FC">
      <w:pPr>
        <w:pStyle w:val="KeinLeerraum"/>
        <w:rPr>
          <w:rFonts w:ascii="Times New Roman" w:hAnsi="Times New Roman"/>
        </w:rPr>
      </w:pPr>
    </w:p>
    <w:p w14:paraId="1E9270EB" w14:textId="30895F3E" w:rsidR="009E12FC" w:rsidRPr="00D045B3" w:rsidRDefault="00500188" w:rsidP="009E12FC">
      <w:pPr>
        <w:pStyle w:val="KeinLeerraum"/>
        <w:rPr>
          <w:rFonts w:ascii="Times New Roman" w:hAnsi="Times New Roman"/>
        </w:rPr>
      </w:pPr>
      <w:r w:rsidRPr="00D045B3">
        <w:rPr>
          <w:rFonts w:ascii="Times New Roman" w:hAnsi="Times New Roman"/>
        </w:rPr>
        <w:t>Vesekárosodásban szenvedő</w:t>
      </w:r>
      <w:r w:rsidR="009E12FC" w:rsidRPr="00D045B3">
        <w:rPr>
          <w:rFonts w:ascii="Times New Roman" w:hAnsi="Times New Roman"/>
        </w:rPr>
        <w:t xml:space="preserve"> betegek</w:t>
      </w:r>
      <w:r w:rsidRPr="00D045B3">
        <w:rPr>
          <w:rFonts w:ascii="Times New Roman" w:hAnsi="Times New Roman"/>
        </w:rPr>
        <w:t>nél</w:t>
      </w:r>
      <w:r w:rsidR="009E12FC" w:rsidRPr="00D045B3">
        <w:rPr>
          <w:rFonts w:ascii="Times New Roman" w:hAnsi="Times New Roman"/>
        </w:rPr>
        <w:t xml:space="preserve"> az imatinib plazma expozíciója magasabbnak tűnik, mint az egészséges vesefunkciójú betegeknél. Ennek oka valószínűleg az, hogy az ilyen betegeknél megemelkedik az imatinibet megkötő savas alfa glikoprotein (AGP) plazmaszintje. Vesekárosodásban szenvedő betegeknél a legkisebb kezdő dózist kell alkalmazni. </w:t>
      </w:r>
      <w:r w:rsidRPr="00D045B3">
        <w:rPr>
          <w:rFonts w:ascii="Times New Roman" w:hAnsi="Times New Roman"/>
        </w:rPr>
        <w:t>S</w:t>
      </w:r>
      <w:r w:rsidR="009E12FC" w:rsidRPr="00D045B3">
        <w:rPr>
          <w:rFonts w:ascii="Times New Roman" w:hAnsi="Times New Roman"/>
        </w:rPr>
        <w:t xml:space="preserve">úlyos vesekárosodásban szenvedő betegek kezelése óvatosságot igényel. Az adagot csökkenteni lehet, amennyiben azt a beteg nem jól tolerálja (lásd 4.2 és 5.2 pont). </w:t>
      </w:r>
    </w:p>
    <w:p w14:paraId="1E9270EC" w14:textId="77777777" w:rsidR="009E12FC" w:rsidRPr="00D045B3" w:rsidRDefault="009E12FC" w:rsidP="009E12FC">
      <w:pPr>
        <w:pStyle w:val="KeinLeerraum"/>
        <w:rPr>
          <w:rFonts w:ascii="Times New Roman" w:hAnsi="Times New Roman"/>
        </w:rPr>
      </w:pPr>
    </w:p>
    <w:p w14:paraId="1E9270ED" w14:textId="15EBD4C8" w:rsidR="00EA1383" w:rsidRPr="00D045B3" w:rsidRDefault="00EA1383" w:rsidP="00190CF7">
      <w:pPr>
        <w:pStyle w:val="KeinLeerraum"/>
        <w:rPr>
          <w:rFonts w:ascii="Times New Roman" w:hAnsi="Times New Roman"/>
        </w:rPr>
      </w:pPr>
      <w:r w:rsidRPr="00D045B3">
        <w:rPr>
          <w:rFonts w:ascii="Times New Roman" w:hAnsi="Times New Roman"/>
        </w:rPr>
        <w:t>A tartós imatinib</w:t>
      </w:r>
      <w:r w:rsidRPr="00D045B3">
        <w:rPr>
          <w:rFonts w:ascii="Times New Roman" w:hAnsi="Times New Roman"/>
        </w:rPr>
        <w:noBreakHyphen/>
        <w:t>kezelés a vesefunkció klinikailag szignifikáns mértékű romlásával hozható összefüggésbe. Ezért a veseműködést ellenőrizni kell az imatinib</w:t>
      </w:r>
      <w:r w:rsidRPr="00D045B3">
        <w:rPr>
          <w:rFonts w:ascii="Times New Roman" w:hAnsi="Times New Roman"/>
        </w:rPr>
        <w:noBreakHyphen/>
        <w:t>kezelés elindítása előtt, majd szoros monitorozás alatt kell tartani a terápia alatt, különleges figyelmet fordítva azokra a betegekre, akiknél jelen vannak a veseműködés károsodás kockázati tényezői. Veseműködés károsodás észlelésekor megfelelő ellátást és kezelést kell előírni az általánosan elfogadott kezelési irányelveknek megfelelően.</w:t>
      </w:r>
    </w:p>
    <w:p w14:paraId="1E9270EE" w14:textId="77777777" w:rsidR="00EA1383" w:rsidRPr="00D045B3" w:rsidRDefault="00EA1383" w:rsidP="006D5A4F">
      <w:pPr>
        <w:pStyle w:val="KeinLeerraum"/>
        <w:rPr>
          <w:rFonts w:ascii="Times New Roman" w:hAnsi="Times New Roman"/>
        </w:rPr>
      </w:pPr>
    </w:p>
    <w:p w14:paraId="1E9270EF" w14:textId="77777777" w:rsidR="009E12FC" w:rsidRPr="00D045B3" w:rsidRDefault="009E12FC" w:rsidP="00CA7A20">
      <w:pPr>
        <w:pStyle w:val="KeinLeerraum"/>
        <w:keepNext/>
        <w:rPr>
          <w:rFonts w:ascii="Times New Roman" w:hAnsi="Times New Roman"/>
          <w:u w:val="single"/>
        </w:rPr>
      </w:pPr>
      <w:r w:rsidRPr="00D045B3">
        <w:rPr>
          <w:rFonts w:ascii="Times New Roman" w:hAnsi="Times New Roman"/>
          <w:u w:val="single"/>
        </w:rPr>
        <w:t>Gyermek</w:t>
      </w:r>
      <w:r w:rsidR="00811718" w:rsidRPr="00D045B3">
        <w:rPr>
          <w:rFonts w:ascii="Times New Roman" w:hAnsi="Times New Roman"/>
          <w:u w:val="single"/>
        </w:rPr>
        <w:t>ek</w:t>
      </w:r>
      <w:r w:rsidR="00E6046F" w:rsidRPr="00D045B3">
        <w:rPr>
          <w:rFonts w:ascii="Times New Roman" w:hAnsi="Times New Roman"/>
          <w:u w:val="single"/>
        </w:rPr>
        <w:t xml:space="preserve"> és serdülők</w:t>
      </w:r>
      <w:r w:rsidRPr="00D045B3">
        <w:rPr>
          <w:rFonts w:ascii="Times New Roman" w:hAnsi="Times New Roman"/>
          <w:u w:val="single"/>
        </w:rPr>
        <w:t xml:space="preserve"> </w:t>
      </w:r>
    </w:p>
    <w:p w14:paraId="1E9270F0" w14:textId="788830C5" w:rsidR="009E12FC" w:rsidRPr="00D045B3" w:rsidRDefault="009E12FC" w:rsidP="00CA41FD">
      <w:pPr>
        <w:pStyle w:val="KeinLeerraum"/>
        <w:rPr>
          <w:rFonts w:ascii="Times New Roman" w:hAnsi="Times New Roman"/>
        </w:rPr>
      </w:pPr>
      <w:r w:rsidRPr="00D045B3">
        <w:rPr>
          <w:rFonts w:ascii="Times New Roman" w:hAnsi="Times New Roman"/>
        </w:rPr>
        <w:t>Az imatinib</w:t>
      </w:r>
      <w:r w:rsidR="00500188" w:rsidRPr="00D045B3">
        <w:rPr>
          <w:rFonts w:ascii="Times New Roman" w:hAnsi="Times New Roman"/>
        </w:rPr>
        <w:t>bel kezelt</w:t>
      </w:r>
      <w:r w:rsidRPr="00D045B3">
        <w:rPr>
          <w:rFonts w:ascii="Times New Roman" w:hAnsi="Times New Roman"/>
        </w:rPr>
        <w:t xml:space="preserve"> gyermekeknél és a serdülőkor előtt állóknál </w:t>
      </w:r>
      <w:r w:rsidR="00500188" w:rsidRPr="00D045B3">
        <w:rPr>
          <w:rFonts w:ascii="Times New Roman" w:hAnsi="Times New Roman"/>
        </w:rPr>
        <w:t>növekedési retardáció kialakulásáról szóló esetismertetések jelentek meg</w:t>
      </w:r>
      <w:r w:rsidRPr="00D045B3">
        <w:rPr>
          <w:rFonts w:ascii="Times New Roman" w:hAnsi="Times New Roman"/>
        </w:rPr>
        <w:t xml:space="preserve">. </w:t>
      </w:r>
      <w:r w:rsidR="001E1537" w:rsidRPr="00D045B3">
        <w:rPr>
          <w:rFonts w:ascii="Times New Roman" w:hAnsi="Times New Roman"/>
          <w:color w:val="000000"/>
        </w:rPr>
        <w:t>Egy megfigyeléses vizsgálatban, 12 és 24 hónapos kezelés után, a CML</w:t>
      </w:r>
      <w:r w:rsidR="001E1537" w:rsidRPr="00D045B3">
        <w:rPr>
          <w:rFonts w:ascii="Times New Roman" w:hAnsi="Times New Roman"/>
          <w:color w:val="000000"/>
        </w:rPr>
        <w:noBreakHyphen/>
        <w:t>ben szenvedő gyermek</w:t>
      </w:r>
      <w:r w:rsidR="00500188" w:rsidRPr="00D045B3">
        <w:rPr>
          <w:rFonts w:ascii="Times New Roman" w:hAnsi="Times New Roman"/>
          <w:color w:val="000000"/>
        </w:rPr>
        <w:t>ek és serdülők</w:t>
      </w:r>
      <w:r w:rsidR="001E1537" w:rsidRPr="00D045B3">
        <w:rPr>
          <w:rFonts w:ascii="Times New Roman" w:hAnsi="Times New Roman"/>
          <w:color w:val="000000"/>
        </w:rPr>
        <w:t xml:space="preserve"> két</w:t>
      </w:r>
      <w:r w:rsidR="00500188" w:rsidRPr="00D045B3">
        <w:rPr>
          <w:rFonts w:ascii="Times New Roman" w:hAnsi="Times New Roman"/>
          <w:color w:val="000000"/>
        </w:rPr>
        <w:t xml:space="preserve"> kisebb</w:t>
      </w:r>
      <w:r w:rsidR="001E1537" w:rsidRPr="00D045B3">
        <w:rPr>
          <w:rFonts w:ascii="Times New Roman" w:hAnsi="Times New Roman"/>
          <w:color w:val="000000"/>
        </w:rPr>
        <w:t>, pubertás</w:t>
      </w:r>
      <w:r w:rsidR="00857785" w:rsidRPr="00D045B3">
        <w:rPr>
          <w:rFonts w:ascii="Times New Roman" w:hAnsi="Times New Roman"/>
          <w:color w:val="000000"/>
        </w:rPr>
        <w:t>-</w:t>
      </w:r>
      <w:r w:rsidR="001E1537" w:rsidRPr="00D045B3">
        <w:rPr>
          <w:rFonts w:ascii="Times New Roman" w:hAnsi="Times New Roman"/>
          <w:color w:val="000000"/>
        </w:rPr>
        <w:t>státusztól és nemtől független alcsoportjában a medián testmagasságra vonatkozó standard deviációs pontszám statisztikailag szignifikáns csökkenését jelentették (melynek klinikai jelentősége bizonytalan). A</w:t>
      </w:r>
      <w:r w:rsidRPr="00D045B3">
        <w:rPr>
          <w:rFonts w:ascii="Times New Roman" w:hAnsi="Times New Roman"/>
        </w:rPr>
        <w:t xml:space="preserve">z </w:t>
      </w:r>
      <w:r w:rsidR="00C7083C" w:rsidRPr="00D045B3">
        <w:rPr>
          <w:rFonts w:ascii="Times New Roman" w:hAnsi="Times New Roman"/>
        </w:rPr>
        <w:t>imatinib</w:t>
      </w:r>
      <w:r w:rsidR="00C7083C" w:rsidRPr="00D045B3">
        <w:rPr>
          <w:rFonts w:ascii="Times New Roman" w:hAnsi="Times New Roman"/>
        </w:rPr>
        <w:noBreakHyphen/>
      </w:r>
      <w:r w:rsidRPr="00D045B3">
        <w:rPr>
          <w:rFonts w:ascii="Times New Roman" w:hAnsi="Times New Roman"/>
        </w:rPr>
        <w:t xml:space="preserve">kezelés alatt álló gyermekek növekedésének </w:t>
      </w:r>
      <w:r w:rsidR="00500188" w:rsidRPr="00D045B3">
        <w:rPr>
          <w:rFonts w:ascii="Times New Roman" w:hAnsi="Times New Roman"/>
        </w:rPr>
        <w:t xml:space="preserve">szoros </w:t>
      </w:r>
      <w:r w:rsidRPr="00D045B3">
        <w:rPr>
          <w:rFonts w:ascii="Times New Roman" w:hAnsi="Times New Roman"/>
        </w:rPr>
        <w:t xml:space="preserve">monitorozása javasolt (lásd 4.8 pont). </w:t>
      </w:r>
    </w:p>
    <w:p w14:paraId="5F5A198F" w14:textId="1E936EC6" w:rsidR="00A52D9C" w:rsidRPr="00D045B3" w:rsidRDefault="00A52D9C" w:rsidP="00CA41FD">
      <w:pPr>
        <w:pStyle w:val="KeinLeerraum"/>
        <w:rPr>
          <w:rFonts w:ascii="Times New Roman" w:hAnsi="Times New Roman"/>
        </w:rPr>
      </w:pPr>
    </w:p>
    <w:p w14:paraId="190D6405" w14:textId="51F37056" w:rsidR="00A52D9C" w:rsidRPr="00D045B3" w:rsidRDefault="00A52D9C" w:rsidP="00CA41FD">
      <w:pPr>
        <w:pStyle w:val="KeinLeerraum"/>
        <w:rPr>
          <w:rFonts w:ascii="Times New Roman" w:hAnsi="Times New Roman"/>
        </w:rPr>
      </w:pPr>
      <w:r w:rsidRPr="00D045B3">
        <w:rPr>
          <w:rFonts w:ascii="Times New Roman" w:hAnsi="Times New Roman"/>
        </w:rPr>
        <w:t>Segédanyag</w:t>
      </w:r>
      <w:r w:rsidR="00631810" w:rsidRPr="00D045B3">
        <w:rPr>
          <w:rFonts w:ascii="Times New Roman" w:hAnsi="Times New Roman"/>
        </w:rPr>
        <w:t>(</w:t>
      </w:r>
      <w:r w:rsidRPr="00D045B3">
        <w:rPr>
          <w:rFonts w:ascii="Times New Roman" w:hAnsi="Times New Roman"/>
        </w:rPr>
        <w:t>ok</w:t>
      </w:r>
      <w:r w:rsidR="00631810" w:rsidRPr="00D045B3">
        <w:rPr>
          <w:rFonts w:ascii="Times New Roman" w:hAnsi="Times New Roman"/>
        </w:rPr>
        <w:t>)</w:t>
      </w:r>
    </w:p>
    <w:p w14:paraId="589757B1" w14:textId="410C064E" w:rsidR="00A52D9C" w:rsidRPr="00D045B3" w:rsidRDefault="00A52D9C" w:rsidP="00CA41FD">
      <w:pPr>
        <w:pStyle w:val="KeinLeerraum"/>
        <w:rPr>
          <w:rFonts w:ascii="Times New Roman" w:hAnsi="Times New Roman"/>
        </w:rPr>
      </w:pPr>
    </w:p>
    <w:p w14:paraId="055AB27C" w14:textId="168F5818" w:rsidR="00A52D9C" w:rsidRPr="00D045B3" w:rsidRDefault="00A52D9C" w:rsidP="00CA41FD">
      <w:pPr>
        <w:pStyle w:val="KeinLeerraum"/>
        <w:rPr>
          <w:rFonts w:ascii="Times New Roman" w:hAnsi="Times New Roman"/>
          <w:i/>
          <w:iCs/>
          <w:u w:val="single"/>
        </w:rPr>
      </w:pPr>
      <w:r w:rsidRPr="00D045B3">
        <w:rPr>
          <w:rFonts w:ascii="Times New Roman" w:hAnsi="Times New Roman"/>
          <w:i/>
          <w:iCs/>
          <w:u w:val="single"/>
        </w:rPr>
        <w:t>Nátrium</w:t>
      </w:r>
    </w:p>
    <w:p w14:paraId="14334685" w14:textId="40B2750F" w:rsidR="00A52D9C" w:rsidRPr="00D045B3" w:rsidRDefault="006970F2" w:rsidP="00A074F7">
      <w:pPr>
        <w:rPr>
          <w:lang w:val="hu-HU"/>
        </w:rPr>
      </w:pPr>
      <w:r w:rsidRPr="00D045B3">
        <w:rPr>
          <w:lang w:val="hu-HU"/>
        </w:rPr>
        <w:t>A készítmény kevesebb, mint 1 </w:t>
      </w:r>
      <w:r w:rsidR="00A52D9C" w:rsidRPr="00D045B3">
        <w:rPr>
          <w:lang w:val="hu-HU"/>
        </w:rPr>
        <w:t>mmol</w:t>
      </w:r>
      <w:r w:rsidRPr="00D045B3">
        <w:rPr>
          <w:lang w:val="hu-HU"/>
        </w:rPr>
        <w:t xml:space="preserve"> (23 </w:t>
      </w:r>
      <w:r w:rsidR="00A52D9C" w:rsidRPr="00D045B3">
        <w:rPr>
          <w:lang w:val="hu-HU"/>
        </w:rPr>
        <w:t>mg) nátriumot tartalmaz kemény kapszulánként, azaz gyakorlatilag „nátriummentes”.</w:t>
      </w:r>
    </w:p>
    <w:p w14:paraId="1E9270F1" w14:textId="77777777" w:rsidR="009E12FC" w:rsidRPr="00D045B3" w:rsidRDefault="009E12FC" w:rsidP="009E12FC">
      <w:pPr>
        <w:pStyle w:val="KeinLeerraum"/>
        <w:rPr>
          <w:rFonts w:ascii="Times New Roman" w:hAnsi="Times New Roman"/>
          <w:b/>
        </w:rPr>
      </w:pPr>
    </w:p>
    <w:p w14:paraId="1E9270F2" w14:textId="77777777" w:rsidR="009E12FC" w:rsidRPr="00D045B3" w:rsidRDefault="009E12FC" w:rsidP="00E04170">
      <w:pPr>
        <w:pStyle w:val="KeinLeerraum"/>
        <w:keepNext/>
        <w:tabs>
          <w:tab w:val="left" w:pos="567"/>
        </w:tabs>
        <w:rPr>
          <w:rFonts w:ascii="Times New Roman" w:hAnsi="Times New Roman"/>
          <w:b/>
        </w:rPr>
      </w:pPr>
      <w:r w:rsidRPr="00D045B3">
        <w:rPr>
          <w:rFonts w:ascii="Times New Roman" w:hAnsi="Times New Roman"/>
          <w:b/>
        </w:rPr>
        <w:t>4.5</w:t>
      </w:r>
      <w:r w:rsidRPr="00D045B3">
        <w:rPr>
          <w:rFonts w:ascii="Times New Roman" w:hAnsi="Times New Roman"/>
          <w:b/>
        </w:rPr>
        <w:tab/>
        <w:t xml:space="preserve">Gyógyszerkölcsönhatások és egyéb interakciók </w:t>
      </w:r>
    </w:p>
    <w:p w14:paraId="1E9270F3" w14:textId="77777777" w:rsidR="009E12FC" w:rsidRPr="00D045B3" w:rsidRDefault="009E12FC" w:rsidP="00E04170">
      <w:pPr>
        <w:pStyle w:val="KeinLeerraum"/>
        <w:keepNext/>
        <w:rPr>
          <w:rFonts w:ascii="Times New Roman" w:hAnsi="Times New Roman"/>
        </w:rPr>
      </w:pPr>
    </w:p>
    <w:p w14:paraId="1E9270F4" w14:textId="77777777" w:rsidR="009E12FC" w:rsidRPr="00D045B3" w:rsidRDefault="009E12FC" w:rsidP="00E04170">
      <w:pPr>
        <w:pStyle w:val="KeinLeerraum"/>
        <w:keepNext/>
        <w:rPr>
          <w:rFonts w:ascii="Times New Roman" w:hAnsi="Times New Roman"/>
          <w:u w:val="single"/>
        </w:rPr>
      </w:pPr>
      <w:r w:rsidRPr="00D045B3">
        <w:rPr>
          <w:rFonts w:ascii="Times New Roman" w:hAnsi="Times New Roman"/>
          <w:u w:val="single"/>
        </w:rPr>
        <w:t xml:space="preserve">Hatóanyagok, melyek </w:t>
      </w:r>
      <w:r w:rsidRPr="00D045B3">
        <w:rPr>
          <w:rFonts w:ascii="Times New Roman" w:hAnsi="Times New Roman"/>
          <w:b/>
          <w:u w:val="single"/>
        </w:rPr>
        <w:t>növelhetik az imatinib</w:t>
      </w:r>
      <w:r w:rsidRPr="00D045B3">
        <w:rPr>
          <w:rFonts w:ascii="Times New Roman" w:hAnsi="Times New Roman"/>
          <w:u w:val="single"/>
        </w:rPr>
        <w:t xml:space="preserve"> plazmakoncentrációját: </w:t>
      </w:r>
    </w:p>
    <w:p w14:paraId="1E9270F5" w14:textId="77777777" w:rsidR="009E12FC" w:rsidRPr="00D045B3" w:rsidRDefault="009E12FC" w:rsidP="00CA41FD">
      <w:pPr>
        <w:pStyle w:val="KeinLeerraum"/>
        <w:rPr>
          <w:rFonts w:ascii="Times New Roman" w:hAnsi="Times New Roman"/>
        </w:rPr>
      </w:pPr>
      <w:r w:rsidRPr="00D045B3">
        <w:rPr>
          <w:rFonts w:ascii="Times New Roman" w:hAnsi="Times New Roman"/>
        </w:rPr>
        <w:t>Azok az anyagok, melyek a citokróm P450 CYP3A4 izoenzim aktivitását gátolják (pl. olyan proteázgátlók, mint az indinavir, lopinavir/ritonavir, ritonavir, szakvinavir, telaprevir, nelfinavir, boceprevir; azol</w:t>
      </w:r>
      <w:r w:rsidRPr="00D045B3">
        <w:rPr>
          <w:rFonts w:ascii="Times New Roman" w:hAnsi="Times New Roman"/>
        </w:rPr>
        <w:noBreakHyphen/>
        <w:t xml:space="preserve">típusú gombaelleni szerek, többek között a ketokonazol, itrakonazol, </w:t>
      </w:r>
      <w:r w:rsidR="001B1BFC" w:rsidRPr="00D045B3">
        <w:rPr>
          <w:rFonts w:ascii="Times New Roman" w:hAnsi="Times New Roman"/>
        </w:rPr>
        <w:t xml:space="preserve">pozakonazol, vorikonazol, </w:t>
      </w:r>
      <w:r w:rsidRPr="00D045B3">
        <w:rPr>
          <w:rFonts w:ascii="Times New Roman" w:hAnsi="Times New Roman"/>
        </w:rPr>
        <w:t>egyes makrolidok, mint pl. az eritromicin, klaritromicin és a telitromicin) csökkenthetik az imatinib metabolizmusát és növelhetik koncentrációját. Egészséges önkénteseknél az imatinib expozíció szignifikáns növekedését észlelték (az imatinib átlagos C</w:t>
      </w:r>
      <w:r w:rsidRPr="00D045B3">
        <w:rPr>
          <w:rFonts w:ascii="Times New Roman" w:hAnsi="Times New Roman"/>
          <w:vertAlign w:val="subscript"/>
        </w:rPr>
        <w:t>max</w:t>
      </w:r>
      <w:r w:rsidRPr="00D045B3">
        <w:rPr>
          <w:rFonts w:ascii="Times New Roman" w:hAnsi="Times New Roman"/>
        </w:rPr>
        <w:noBreakHyphen/>
        <w:t xml:space="preserve"> és AUC</w:t>
      </w:r>
      <w:r w:rsidRPr="00D045B3">
        <w:rPr>
          <w:rFonts w:ascii="Times New Roman" w:hAnsi="Times New Roman"/>
        </w:rPr>
        <w:noBreakHyphen/>
        <w:t>értékei 26%, ill. 40%</w:t>
      </w:r>
      <w:r w:rsidRPr="00D045B3">
        <w:rPr>
          <w:rFonts w:ascii="Times New Roman" w:hAnsi="Times New Roman"/>
        </w:rPr>
        <w:noBreakHyphen/>
        <w:t>kal emelkedtek) egyszeri dózisú ketokonazol (CYP3A4</w:t>
      </w:r>
      <w:r w:rsidR="00C7083C" w:rsidRPr="00D045B3">
        <w:rPr>
          <w:rFonts w:ascii="Times New Roman" w:hAnsi="Times New Roman"/>
        </w:rPr>
        <w:noBreakHyphen/>
      </w:r>
      <w:r w:rsidRPr="00D045B3">
        <w:rPr>
          <w:rFonts w:ascii="Times New Roman" w:hAnsi="Times New Roman"/>
        </w:rPr>
        <w:t>gátló) egyidejű adásakor. Imatinib és CYP3A4</w:t>
      </w:r>
      <w:r w:rsidRPr="00D045B3">
        <w:rPr>
          <w:rFonts w:ascii="Times New Roman" w:hAnsi="Times New Roman"/>
        </w:rPr>
        <w:noBreakHyphen/>
        <w:t xml:space="preserve">gátló tulajdonságú hatóanyagok együttes </w:t>
      </w:r>
      <w:r w:rsidR="00C7083C" w:rsidRPr="00D045B3">
        <w:rPr>
          <w:rFonts w:ascii="Times New Roman" w:hAnsi="Times New Roman"/>
        </w:rPr>
        <w:t>alkalmazásakor</w:t>
      </w:r>
      <w:r w:rsidRPr="00D045B3">
        <w:rPr>
          <w:rFonts w:ascii="Times New Roman" w:hAnsi="Times New Roman"/>
        </w:rPr>
        <w:t xml:space="preserve"> óvatosság szükséges.</w:t>
      </w:r>
    </w:p>
    <w:p w14:paraId="1E9270F6" w14:textId="77777777" w:rsidR="009E12FC" w:rsidRPr="00D045B3" w:rsidRDefault="009E12FC" w:rsidP="009E12FC">
      <w:pPr>
        <w:pStyle w:val="KeinLeerraum"/>
        <w:rPr>
          <w:rFonts w:ascii="Times New Roman" w:hAnsi="Times New Roman"/>
        </w:rPr>
      </w:pPr>
    </w:p>
    <w:p w14:paraId="1E9270F7" w14:textId="77777777" w:rsidR="009E12FC" w:rsidRPr="00D045B3" w:rsidRDefault="009E12FC" w:rsidP="00E04170">
      <w:pPr>
        <w:pStyle w:val="KeinLeerraum"/>
        <w:keepNext/>
        <w:rPr>
          <w:rFonts w:ascii="Times New Roman" w:hAnsi="Times New Roman"/>
          <w:u w:val="single"/>
        </w:rPr>
      </w:pPr>
      <w:r w:rsidRPr="00D045B3">
        <w:rPr>
          <w:rFonts w:ascii="Times New Roman" w:hAnsi="Times New Roman"/>
          <w:u w:val="single"/>
        </w:rPr>
        <w:t xml:space="preserve">Hatóanyagok, melyek </w:t>
      </w:r>
      <w:r w:rsidRPr="00D045B3">
        <w:rPr>
          <w:rFonts w:ascii="Times New Roman" w:hAnsi="Times New Roman"/>
          <w:b/>
          <w:u w:val="single"/>
        </w:rPr>
        <w:t>csökkenthetik az imatinib</w:t>
      </w:r>
      <w:r w:rsidRPr="00D045B3">
        <w:rPr>
          <w:rFonts w:ascii="Times New Roman" w:hAnsi="Times New Roman"/>
          <w:u w:val="single"/>
        </w:rPr>
        <w:t xml:space="preserve"> plazmakoncentrációját: </w:t>
      </w:r>
    </w:p>
    <w:p w14:paraId="1E9270F8" w14:textId="7DE7317A" w:rsidR="009E12FC" w:rsidRPr="00D045B3" w:rsidRDefault="009E12FC" w:rsidP="00CA41FD">
      <w:pPr>
        <w:pStyle w:val="KeinLeerraum"/>
        <w:rPr>
          <w:rFonts w:ascii="Times New Roman" w:hAnsi="Times New Roman"/>
        </w:rPr>
      </w:pPr>
      <w:r w:rsidRPr="00D045B3">
        <w:rPr>
          <w:rFonts w:ascii="Times New Roman" w:hAnsi="Times New Roman"/>
        </w:rPr>
        <w:t xml:space="preserve">A CYP3A4 aktivitását indukáló anyagok (pl. dexametazon, fenitoin, karbamazepin, rifampicin, fenobarbitál, foszfenitoin, primidon vagy a </w:t>
      </w:r>
      <w:r w:rsidRPr="00D045B3">
        <w:rPr>
          <w:rFonts w:ascii="Times New Roman" w:hAnsi="Times New Roman"/>
          <w:i/>
          <w:iCs/>
        </w:rPr>
        <w:t xml:space="preserve">Hypericum perforatum </w:t>
      </w:r>
      <w:r w:rsidRPr="00D045B3">
        <w:rPr>
          <w:rFonts w:ascii="Times New Roman" w:hAnsi="Times New Roman"/>
        </w:rPr>
        <w:t>[</w:t>
      </w:r>
      <w:r w:rsidR="00500188" w:rsidRPr="00D045B3">
        <w:rPr>
          <w:rFonts w:ascii="Times New Roman" w:hAnsi="Times New Roman"/>
        </w:rPr>
        <w:t xml:space="preserve">közönséges </w:t>
      </w:r>
      <w:r w:rsidRPr="00D045B3">
        <w:rPr>
          <w:rFonts w:ascii="Times New Roman" w:hAnsi="Times New Roman"/>
        </w:rPr>
        <w:t>orbáncfű]) szignifikáns mértékben csökkenthetik az imatinib expozíciót, potenciálisan növelve a terápia sikertelenségének lehetőségét. 600 mg</w:t>
      </w:r>
      <w:r w:rsidRPr="00D045B3">
        <w:rPr>
          <w:rFonts w:ascii="Times New Roman" w:hAnsi="Times New Roman"/>
        </w:rPr>
        <w:noBreakHyphen/>
        <w:t>os, ismételt dózisú rifampicin előkezelést követő egyszeri 400 mg imatinib bevétele a C</w:t>
      </w:r>
      <w:r w:rsidRPr="00D045B3">
        <w:rPr>
          <w:rFonts w:ascii="Times New Roman" w:hAnsi="Times New Roman"/>
          <w:vertAlign w:val="subscript"/>
        </w:rPr>
        <w:t>max</w:t>
      </w:r>
      <w:r w:rsidRPr="00D045B3">
        <w:rPr>
          <w:rFonts w:ascii="Times New Roman" w:hAnsi="Times New Roman"/>
        </w:rPr>
        <w:noBreakHyphen/>
        <w:t>, valamint az AUC</w:t>
      </w:r>
      <w:r w:rsidRPr="00D045B3">
        <w:rPr>
          <w:rFonts w:ascii="Times New Roman" w:hAnsi="Times New Roman"/>
          <w:vertAlign w:val="subscript"/>
        </w:rPr>
        <w:t>0-∞</w:t>
      </w:r>
      <w:r w:rsidRPr="00D045B3">
        <w:rPr>
          <w:rFonts w:ascii="Times New Roman" w:hAnsi="Times New Roman"/>
        </w:rPr>
        <w:noBreakHyphen/>
        <w:t>értékeiben sorrendben legalább 54%, ill. 74%</w:t>
      </w:r>
      <w:r w:rsidRPr="00D045B3">
        <w:rPr>
          <w:rFonts w:ascii="Times New Roman" w:hAnsi="Times New Roman"/>
        </w:rPr>
        <w:noBreakHyphen/>
        <w:t>os csökkenést okozott a rifampicin nélküli kezeléshez képest. Hasonló eredményeket figyeltek meg azoknál a malignus gliómában szenvedő, imatinibbel kezelt betegeknél, akik egyidejűleg enzimindukáló antiepileptikum (pl. karbamazepin, oxkarbazepin, fenitoin) kezelésben részesültek. Az imatinib plazma AUC</w:t>
      </w:r>
      <w:r w:rsidRPr="00D045B3">
        <w:rPr>
          <w:rFonts w:ascii="Times New Roman" w:hAnsi="Times New Roman"/>
        </w:rPr>
        <w:noBreakHyphen/>
        <w:t>értéke 73%</w:t>
      </w:r>
      <w:r w:rsidRPr="00D045B3">
        <w:rPr>
          <w:rFonts w:ascii="Times New Roman" w:hAnsi="Times New Roman"/>
        </w:rPr>
        <w:noBreakHyphen/>
        <w:t xml:space="preserve">kal csökkent az enzimindukáló antiepileptikumot nem szedő betegekhez képest. Rifampicin vagy más erős CYP3A4 induktor és imatinib egyidejű adása kerülendő. </w:t>
      </w:r>
    </w:p>
    <w:p w14:paraId="1E9270F9" w14:textId="77777777" w:rsidR="009E12FC" w:rsidRPr="00D045B3" w:rsidRDefault="009E12FC" w:rsidP="009E12FC">
      <w:pPr>
        <w:pStyle w:val="KeinLeerraum"/>
        <w:rPr>
          <w:rFonts w:ascii="Times New Roman" w:hAnsi="Times New Roman"/>
        </w:rPr>
      </w:pPr>
    </w:p>
    <w:p w14:paraId="1E9270FA" w14:textId="77777777" w:rsidR="009E12FC" w:rsidRPr="00D045B3" w:rsidRDefault="009E12FC" w:rsidP="00E04170">
      <w:pPr>
        <w:pStyle w:val="KeinLeerraum"/>
        <w:keepNext/>
        <w:rPr>
          <w:rFonts w:ascii="Times New Roman" w:hAnsi="Times New Roman"/>
          <w:u w:val="single"/>
        </w:rPr>
      </w:pPr>
      <w:r w:rsidRPr="00D045B3">
        <w:rPr>
          <w:rFonts w:ascii="Times New Roman" w:hAnsi="Times New Roman"/>
          <w:u w:val="single"/>
        </w:rPr>
        <w:t xml:space="preserve">Hatóanyagok, melyek plazmakoncentrációját az imatinib megváltoztathatja </w:t>
      </w:r>
    </w:p>
    <w:p w14:paraId="1E9270FB" w14:textId="77777777" w:rsidR="009E12FC" w:rsidRPr="00D045B3" w:rsidRDefault="009E12FC" w:rsidP="00CA41FD">
      <w:pPr>
        <w:pStyle w:val="KeinLeerraum"/>
        <w:rPr>
          <w:rFonts w:ascii="Times New Roman" w:hAnsi="Times New Roman"/>
        </w:rPr>
      </w:pPr>
      <w:r w:rsidRPr="00D045B3">
        <w:rPr>
          <w:rFonts w:ascii="Times New Roman" w:hAnsi="Times New Roman"/>
        </w:rPr>
        <w:t>Az imatinib a szimvasztatin (CYP3A4 szubsztrát) átlagos C</w:t>
      </w:r>
      <w:r w:rsidRPr="00D045B3">
        <w:rPr>
          <w:rFonts w:ascii="Times New Roman" w:hAnsi="Times New Roman"/>
          <w:vertAlign w:val="subscript"/>
        </w:rPr>
        <w:t>max</w:t>
      </w:r>
      <w:r w:rsidRPr="00D045B3">
        <w:rPr>
          <w:rFonts w:ascii="Times New Roman" w:hAnsi="Times New Roman"/>
        </w:rPr>
        <w:noBreakHyphen/>
        <w:t>, ill. AUC</w:t>
      </w:r>
      <w:r w:rsidRPr="00D045B3">
        <w:rPr>
          <w:rFonts w:ascii="Times New Roman" w:hAnsi="Times New Roman"/>
        </w:rPr>
        <w:noBreakHyphen/>
        <w:t>értékét sorrendben 2</w:t>
      </w:r>
      <w:r w:rsidRPr="00D045B3">
        <w:rPr>
          <w:rFonts w:ascii="Times New Roman" w:hAnsi="Times New Roman"/>
        </w:rPr>
        <w:noBreakHyphen/>
        <w:t>, ill. 3,5</w:t>
      </w:r>
      <w:r w:rsidRPr="00D045B3">
        <w:rPr>
          <w:rFonts w:ascii="Times New Roman" w:hAnsi="Times New Roman"/>
        </w:rPr>
        <w:noBreakHyphen/>
        <w:t>szeresére növeli, ami arra utal, hogy az imatinib gátolja a CYP3A4 izoenzim aktivitását. Ezért óvatosság ajánlott, amikor az imatinibet szűk terápiás tartományú CYP3A4 szubsztrátokkal (pl.ciklosporin, pimozid, takrolimusz, szirolimusz, ergotamin, diergotamin, fentanil, alfentanil, terfenadin, bortezomib, docetaxel és kinidin) adják együtt. Az imatinib növelheti az egyéb, CYP3A4 enzimrendszeren keresztül metabolizálódó gyógyszerek (pl. triazolo</w:t>
      </w:r>
      <w:r w:rsidRPr="00D045B3">
        <w:rPr>
          <w:rFonts w:ascii="Times New Roman" w:hAnsi="Times New Roman"/>
        </w:rPr>
        <w:noBreakHyphen/>
        <w:t>benzodiazepinek, dihidropiridin kalciumcsatorna</w:t>
      </w:r>
      <w:r w:rsidRPr="00D045B3">
        <w:rPr>
          <w:rFonts w:ascii="Times New Roman" w:hAnsi="Times New Roman"/>
        </w:rPr>
        <w:noBreakHyphen/>
        <w:t>blokkolók, egyes HMG</w:t>
      </w:r>
      <w:r w:rsidRPr="00D045B3">
        <w:rPr>
          <w:rFonts w:ascii="Times New Roman" w:hAnsi="Times New Roman"/>
        </w:rPr>
        <w:noBreakHyphen/>
        <w:t>CoA</w:t>
      </w:r>
      <w:r w:rsidRPr="00D045B3">
        <w:rPr>
          <w:rFonts w:ascii="Times New Roman" w:hAnsi="Times New Roman"/>
        </w:rPr>
        <w:noBreakHyphen/>
        <w:t>reduktáz</w:t>
      </w:r>
      <w:r w:rsidRPr="00D045B3">
        <w:rPr>
          <w:rFonts w:ascii="Times New Roman" w:hAnsi="Times New Roman"/>
        </w:rPr>
        <w:noBreakHyphen/>
        <w:t xml:space="preserve">inhibitorok, pl. sztatinok stb.) plazmaszintjét. </w:t>
      </w:r>
    </w:p>
    <w:p w14:paraId="1E9270FC" w14:textId="77777777" w:rsidR="009E12FC" w:rsidRPr="00D045B3" w:rsidRDefault="009E12FC" w:rsidP="009E12FC">
      <w:pPr>
        <w:pStyle w:val="KeinLeerraum"/>
        <w:rPr>
          <w:rFonts w:ascii="Times New Roman" w:hAnsi="Times New Roman"/>
        </w:rPr>
      </w:pPr>
    </w:p>
    <w:p w14:paraId="1E9270FD"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Az imatinib alkalmazásával összefüggő fokozott vérzési (pl. haemorrhagiás) kockázat miatt az antikoaguláns kezelésre szoruló betegeknek kis molekulatömegű vagy standard heparint kell kapniuk az olyan kumarinszármazékok helyett, mint amilyen a warfarin. </w:t>
      </w:r>
    </w:p>
    <w:p w14:paraId="1E9270FE" w14:textId="77777777" w:rsidR="009E12FC" w:rsidRPr="00D045B3" w:rsidRDefault="009E12FC" w:rsidP="009E12FC">
      <w:pPr>
        <w:pStyle w:val="KeinLeerraum"/>
        <w:rPr>
          <w:rFonts w:ascii="Times New Roman" w:hAnsi="Times New Roman"/>
          <w:i/>
          <w:iCs/>
        </w:rPr>
      </w:pPr>
    </w:p>
    <w:p w14:paraId="1E9270FF" w14:textId="77777777" w:rsidR="009E12FC" w:rsidRPr="00D045B3" w:rsidRDefault="009E12FC" w:rsidP="009E12FC">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az imatinib a CYP3A4 működést befolyásoló koncentrációhoz hasonló koncentrációban gátolja a citokróm P450 CYP2D6 izoenzim aktivitását. Az imatinib napi 2</w:t>
      </w:r>
      <w:r w:rsidRPr="00D045B3">
        <w:t> × </w:t>
      </w:r>
      <w:r w:rsidRPr="00D045B3">
        <w:rPr>
          <w:rFonts w:ascii="Times New Roman" w:hAnsi="Times New Roman"/>
        </w:rPr>
        <w:t>400 mg dózisban gátló hatást gyakorolt a metoprolol CYP2D6 által mediált metabolizmusára, melynek következtében a metoprolol C</w:t>
      </w:r>
      <w:r w:rsidRPr="00D045B3">
        <w:rPr>
          <w:rFonts w:ascii="Times New Roman" w:hAnsi="Times New Roman"/>
          <w:vertAlign w:val="subscript"/>
        </w:rPr>
        <w:t>max</w:t>
      </w:r>
      <w:r w:rsidRPr="00D045B3">
        <w:rPr>
          <w:rFonts w:ascii="Times New Roman" w:hAnsi="Times New Roman"/>
        </w:rPr>
        <w:noBreakHyphen/>
        <w:t xml:space="preserve"> és AUC</w:t>
      </w:r>
      <w:r w:rsidRPr="00D045B3">
        <w:rPr>
          <w:rFonts w:ascii="Times New Roman" w:hAnsi="Times New Roman"/>
        </w:rPr>
        <w:noBreakHyphen/>
        <w:t>értékei körülbelül 23%</w:t>
      </w:r>
      <w:r w:rsidRPr="00D045B3">
        <w:rPr>
          <w:rFonts w:ascii="Times New Roman" w:hAnsi="Times New Roman"/>
        </w:rPr>
        <w:noBreakHyphen/>
        <w:t>kal növekedtek (90%CI [1,16</w:t>
      </w:r>
      <w:r w:rsidRPr="00D045B3">
        <w:rPr>
          <w:rFonts w:ascii="Times New Roman" w:hAnsi="Times New Roman"/>
        </w:rPr>
        <w:noBreakHyphen/>
        <w:t xml:space="preserve">1,30]). Úgy tűnik, hogy az imatinib és a CYP2D6 szubsztrátok egyidejű alkalmazása esetén nincs szükség dózismódosításra, azonban óvatosság javasolt a szűk terápiás tartományú CYP2D6 szubsztrátok (pl. metoprolol) esetén. Metoprolollal kezelt betegeknél megfontolandó a rendszeres klinikai ellenőrzés. </w:t>
      </w:r>
    </w:p>
    <w:p w14:paraId="1E927100" w14:textId="77777777" w:rsidR="009E12FC" w:rsidRPr="00D045B3" w:rsidRDefault="009E12FC" w:rsidP="009E12FC">
      <w:pPr>
        <w:pStyle w:val="KeinLeerraum"/>
        <w:rPr>
          <w:rFonts w:ascii="Times New Roman" w:hAnsi="Times New Roman"/>
        </w:rPr>
      </w:pPr>
    </w:p>
    <w:p w14:paraId="1E927101" w14:textId="54E570B6" w:rsidR="009E12FC" w:rsidRPr="00D045B3" w:rsidRDefault="009E12FC" w:rsidP="009E12FC">
      <w:pPr>
        <w:pStyle w:val="KeinLeerraum"/>
        <w:rPr>
          <w:rFonts w:ascii="Times New Roman" w:hAnsi="Times New Roman"/>
        </w:rPr>
      </w:pPr>
      <w:r w:rsidRPr="00D045B3">
        <w:rPr>
          <w:rFonts w:ascii="Times New Roman" w:hAnsi="Times New Roman"/>
        </w:rPr>
        <w:t xml:space="preserve">Az imatinib </w:t>
      </w:r>
      <w:r w:rsidRPr="00D045B3">
        <w:rPr>
          <w:rFonts w:ascii="Times New Roman" w:hAnsi="Times New Roman"/>
          <w:i/>
          <w:iCs/>
        </w:rPr>
        <w:t xml:space="preserve">in vitro </w:t>
      </w:r>
      <w:r w:rsidRPr="00D045B3">
        <w:rPr>
          <w:rFonts w:ascii="Times New Roman" w:hAnsi="Times New Roman"/>
        </w:rPr>
        <w:t>gátolja a paracetamol O</w:t>
      </w:r>
      <w:r w:rsidRPr="00D045B3">
        <w:rPr>
          <w:rFonts w:ascii="Times New Roman" w:hAnsi="Times New Roman"/>
        </w:rPr>
        <w:noBreakHyphen/>
        <w:t>glukuronidációját 58,5 mikromol/l Ki</w:t>
      </w:r>
      <w:r w:rsidRPr="00D045B3">
        <w:rPr>
          <w:rFonts w:ascii="Times New Roman" w:hAnsi="Times New Roman"/>
        </w:rPr>
        <w:noBreakHyphen/>
        <w:t xml:space="preserve">érték mellett. Ez a gátló hatás </w:t>
      </w:r>
      <w:r w:rsidRPr="00D045B3">
        <w:rPr>
          <w:rFonts w:ascii="Times New Roman" w:hAnsi="Times New Roman"/>
          <w:i/>
          <w:iCs/>
        </w:rPr>
        <w:t>in vivo</w:t>
      </w:r>
      <w:r w:rsidRPr="00D045B3">
        <w:rPr>
          <w:rFonts w:ascii="Times New Roman" w:hAnsi="Times New Roman"/>
        </w:rPr>
        <w:t>, 400 mg imatinib és 1000 mg paracetamol beadása után nem volt tapasztalható. Magasabb imatinib</w:t>
      </w:r>
      <w:r w:rsidR="0078378D" w:rsidRPr="00D045B3">
        <w:rPr>
          <w:rFonts w:ascii="Times New Roman" w:hAnsi="Times New Roman"/>
        </w:rPr>
        <w:t>-</w:t>
      </w:r>
      <w:r w:rsidRPr="00D045B3">
        <w:rPr>
          <w:rFonts w:ascii="Times New Roman" w:hAnsi="Times New Roman"/>
        </w:rPr>
        <w:t xml:space="preserve"> és paracetamol dózis egyidejű alkalmazását nem vizsgálták. </w:t>
      </w:r>
    </w:p>
    <w:p w14:paraId="1E927102" w14:textId="77777777" w:rsidR="009E12FC" w:rsidRPr="00D045B3" w:rsidRDefault="009E12FC" w:rsidP="009E12FC">
      <w:pPr>
        <w:pStyle w:val="KeinLeerraum"/>
        <w:rPr>
          <w:rFonts w:ascii="Times New Roman" w:hAnsi="Times New Roman"/>
        </w:rPr>
      </w:pPr>
    </w:p>
    <w:p w14:paraId="1E927103"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Ezért imatinib és paracetamol egyidejű, nagy dózisokban történő alkalmazása során óvatosságra van szükség. </w:t>
      </w:r>
    </w:p>
    <w:p w14:paraId="1E927104" w14:textId="77777777" w:rsidR="00C7083C" w:rsidRPr="00D045B3" w:rsidRDefault="00C7083C" w:rsidP="009E12FC">
      <w:pPr>
        <w:pStyle w:val="KeinLeerraum"/>
        <w:rPr>
          <w:rFonts w:ascii="Times New Roman" w:hAnsi="Times New Roman"/>
        </w:rPr>
      </w:pPr>
    </w:p>
    <w:p w14:paraId="1E927105"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Levotiroxin kezelésben részesülő, thyreoidectomián átesett betegeknél imatinib egyidejű alkalmazása esetén a levotiroxin plazma expozíciója csökkenhet (lásd 4.4 pont). Ezért ilyen esetben óvatosság javasolt. A megfigyelt interakció mechanizmusa azonban jelenleg nem ismert. </w:t>
      </w:r>
    </w:p>
    <w:p w14:paraId="1E927106" w14:textId="77777777" w:rsidR="009E12FC" w:rsidRPr="00D045B3" w:rsidRDefault="009E12FC" w:rsidP="009E12FC">
      <w:pPr>
        <w:pStyle w:val="KeinLeerraum"/>
        <w:rPr>
          <w:rFonts w:ascii="Times New Roman" w:hAnsi="Times New Roman"/>
        </w:rPr>
      </w:pPr>
    </w:p>
    <w:p w14:paraId="1E927107" w14:textId="77777777" w:rsidR="009E12FC" w:rsidRPr="00D045B3" w:rsidRDefault="009E12FC" w:rsidP="009E12FC">
      <w:pPr>
        <w:pStyle w:val="KeinLeerraum"/>
        <w:rPr>
          <w:rFonts w:ascii="Times New Roman" w:hAnsi="Times New Roman"/>
        </w:rPr>
      </w:pPr>
      <w:r w:rsidRPr="00D045B3">
        <w:rPr>
          <w:rFonts w:ascii="Times New Roman" w:hAnsi="Times New Roman"/>
        </w:rPr>
        <w:t>Ph+ ALL</w:t>
      </w:r>
      <w:r w:rsidRPr="00D045B3">
        <w:rPr>
          <w:rFonts w:ascii="Times New Roman" w:hAnsi="Times New Roman"/>
        </w:rPr>
        <w:noBreakHyphen/>
        <w:t>es betegek esetében rendelkezésre áll az imatinib kemoterápiával történő egyidejű alkalmazására vonatkozó klinikai tapasztalat (lásd 5.1 pont), bár az imatinib és a kemoterápiás szerek közötti gyógyszerkölcsönhatást még nem határozták meg pontosan. Az imatinib által kiváltott mellékhatások (pl. hepatotoxicitás, myelosuppressio, stb) előfordulási gyakorisága megnövekedhet, valamint beszámoltak arról, hogy az imatinib L</w:t>
      </w:r>
      <w:r w:rsidRPr="00D045B3">
        <w:rPr>
          <w:rFonts w:ascii="Times New Roman" w:hAnsi="Times New Roman"/>
        </w:rPr>
        <w:noBreakHyphen/>
        <w:t xml:space="preserve">aszparaginázzal történő egyidejű alkalmazása fokozott hepatotoxicitással járhat (lásd 4.8 pont). Ezért az imatinib kombinációban történő alkalmazása fokozott körültekintést igényel. </w:t>
      </w:r>
    </w:p>
    <w:p w14:paraId="1E927108" w14:textId="77777777" w:rsidR="009E12FC" w:rsidRPr="00D045B3" w:rsidRDefault="009E12FC" w:rsidP="009E12FC">
      <w:pPr>
        <w:pStyle w:val="KeinLeerraum"/>
        <w:rPr>
          <w:rFonts w:ascii="Times New Roman" w:hAnsi="Times New Roman"/>
          <w:b/>
        </w:rPr>
      </w:pPr>
    </w:p>
    <w:p w14:paraId="1E927109" w14:textId="77777777" w:rsidR="009E12FC" w:rsidRPr="00D045B3" w:rsidRDefault="009E12FC" w:rsidP="00E04170">
      <w:pPr>
        <w:pStyle w:val="KeinLeerraum"/>
        <w:keepNext/>
        <w:tabs>
          <w:tab w:val="left" w:pos="567"/>
        </w:tabs>
        <w:rPr>
          <w:rFonts w:ascii="Times New Roman" w:hAnsi="Times New Roman"/>
          <w:b/>
        </w:rPr>
      </w:pPr>
      <w:r w:rsidRPr="00D045B3">
        <w:rPr>
          <w:rFonts w:ascii="Times New Roman" w:hAnsi="Times New Roman"/>
          <w:b/>
        </w:rPr>
        <w:t>4.6</w:t>
      </w:r>
      <w:r w:rsidR="00E04170" w:rsidRPr="00D045B3">
        <w:rPr>
          <w:rFonts w:ascii="Times New Roman" w:hAnsi="Times New Roman"/>
          <w:b/>
        </w:rPr>
        <w:tab/>
      </w:r>
      <w:r w:rsidRPr="00D045B3">
        <w:rPr>
          <w:rFonts w:ascii="Times New Roman" w:hAnsi="Times New Roman"/>
          <w:b/>
        </w:rPr>
        <w:t xml:space="preserve">Termékenység, terhesség és szoptatás </w:t>
      </w:r>
    </w:p>
    <w:p w14:paraId="1E92710A" w14:textId="77777777" w:rsidR="009E12FC" w:rsidRPr="00D045B3" w:rsidRDefault="009E12FC" w:rsidP="00E04170">
      <w:pPr>
        <w:pStyle w:val="KeinLeerraum"/>
        <w:keepNext/>
        <w:rPr>
          <w:rFonts w:ascii="Times New Roman" w:hAnsi="Times New Roman"/>
        </w:rPr>
      </w:pPr>
    </w:p>
    <w:p w14:paraId="1E92710B" w14:textId="77777777" w:rsidR="00662FA2" w:rsidRPr="00D045B3" w:rsidRDefault="00662FA2" w:rsidP="00CA41FD">
      <w:pPr>
        <w:pStyle w:val="KeinLeerraum"/>
        <w:keepNext/>
        <w:rPr>
          <w:rFonts w:ascii="Times New Roman" w:hAnsi="Times New Roman"/>
          <w:u w:val="single"/>
        </w:rPr>
      </w:pPr>
      <w:r w:rsidRPr="00D045B3">
        <w:rPr>
          <w:rFonts w:ascii="Times New Roman" w:hAnsi="Times New Roman"/>
          <w:u w:val="single"/>
        </w:rPr>
        <w:t>Fogamzóképes korú nők</w:t>
      </w:r>
    </w:p>
    <w:p w14:paraId="1E92710C" w14:textId="299EBB0C" w:rsidR="00662FA2" w:rsidRPr="00D045B3" w:rsidRDefault="00662FA2" w:rsidP="00662FA2">
      <w:pPr>
        <w:pStyle w:val="KeinLeerraum"/>
        <w:rPr>
          <w:rFonts w:ascii="Times New Roman" w:hAnsi="Times New Roman"/>
        </w:rPr>
      </w:pPr>
      <w:r w:rsidRPr="00D045B3">
        <w:rPr>
          <w:rFonts w:ascii="Times New Roman" w:hAnsi="Times New Roman"/>
        </w:rPr>
        <w:t xml:space="preserve">A fogamzóképes korban lévő nőknek azt kell javasolni, hogy </w:t>
      </w:r>
      <w:r w:rsidR="00D55BD8" w:rsidRPr="00D045B3">
        <w:rPr>
          <w:rFonts w:ascii="Times New Roman" w:hAnsi="Times New Roman"/>
        </w:rPr>
        <w:t>alkalmazzanak</w:t>
      </w:r>
      <w:r w:rsidRPr="00D045B3">
        <w:rPr>
          <w:rFonts w:ascii="Times New Roman" w:hAnsi="Times New Roman"/>
        </w:rPr>
        <w:t xml:space="preserve"> hatékony fogamzásgátlás</w:t>
      </w:r>
      <w:r w:rsidR="00D55BD8" w:rsidRPr="00D045B3">
        <w:rPr>
          <w:rFonts w:ascii="Times New Roman" w:hAnsi="Times New Roman"/>
        </w:rPr>
        <w:t>t</w:t>
      </w:r>
      <w:r w:rsidRPr="00D045B3">
        <w:rPr>
          <w:rFonts w:ascii="Times New Roman" w:hAnsi="Times New Roman"/>
        </w:rPr>
        <w:t xml:space="preserve"> a kezelés ideje alatt</w:t>
      </w:r>
      <w:r w:rsidR="00371E88" w:rsidRPr="00D045B3">
        <w:rPr>
          <w:rFonts w:ascii="Times New Roman" w:hAnsi="Times New Roman"/>
        </w:rPr>
        <w:t>, és még legalább 15 </w:t>
      </w:r>
      <w:r w:rsidR="0098458C" w:rsidRPr="00F67173">
        <w:rPr>
          <w:rFonts w:ascii="Times New Roman" w:hAnsi="Times New Roman"/>
        </w:rPr>
        <w:t xml:space="preserve">napig az Imatinib </w:t>
      </w:r>
      <w:r w:rsidR="000A6320" w:rsidRPr="00D045B3">
        <w:rPr>
          <w:rFonts w:ascii="Times New Roman" w:hAnsi="Times New Roman"/>
        </w:rPr>
        <w:t>Actavis</w:t>
      </w:r>
      <w:r w:rsidR="0098458C" w:rsidRPr="00F67173">
        <w:rPr>
          <w:rFonts w:ascii="Times New Roman" w:hAnsi="Times New Roman"/>
        </w:rPr>
        <w:t>-kezelés befejezését követően</w:t>
      </w:r>
      <w:r w:rsidRPr="00D045B3">
        <w:rPr>
          <w:rFonts w:ascii="Times New Roman" w:hAnsi="Times New Roman"/>
        </w:rPr>
        <w:t xml:space="preserve">. </w:t>
      </w:r>
    </w:p>
    <w:p w14:paraId="1E92710D" w14:textId="77777777" w:rsidR="00662FA2" w:rsidRPr="00D045B3" w:rsidRDefault="00662FA2" w:rsidP="00CA41FD">
      <w:pPr>
        <w:pStyle w:val="KeinLeerraum"/>
        <w:rPr>
          <w:rFonts w:ascii="Times New Roman" w:hAnsi="Times New Roman"/>
        </w:rPr>
      </w:pPr>
    </w:p>
    <w:p w14:paraId="1E92710E" w14:textId="77777777" w:rsidR="009E12FC" w:rsidRPr="00D045B3" w:rsidRDefault="009E12FC" w:rsidP="00E04170">
      <w:pPr>
        <w:pStyle w:val="KeinLeerraum"/>
        <w:keepNext/>
        <w:rPr>
          <w:rFonts w:ascii="Times New Roman" w:hAnsi="Times New Roman"/>
          <w:u w:val="single"/>
        </w:rPr>
      </w:pPr>
      <w:r w:rsidRPr="00D045B3">
        <w:rPr>
          <w:rFonts w:ascii="Times New Roman" w:hAnsi="Times New Roman"/>
          <w:u w:val="single"/>
        </w:rPr>
        <w:t xml:space="preserve">Terhesség </w:t>
      </w:r>
    </w:p>
    <w:p w14:paraId="1E92710F" w14:textId="1D43FF2A" w:rsidR="009E12FC" w:rsidRPr="00D045B3" w:rsidRDefault="009E12FC" w:rsidP="00CA41FD">
      <w:pPr>
        <w:pStyle w:val="KeinLeerraum"/>
        <w:rPr>
          <w:rFonts w:ascii="Times New Roman" w:hAnsi="Times New Roman"/>
        </w:rPr>
      </w:pPr>
      <w:r w:rsidRPr="00D045B3">
        <w:rPr>
          <w:rFonts w:ascii="Times New Roman" w:hAnsi="Times New Roman"/>
        </w:rPr>
        <w:t xml:space="preserve">Az imatinib terhes nőknél történő alkalmazása tekintetében korlátozott mennyiségű információ áll rendelkezésre. </w:t>
      </w:r>
      <w:r w:rsidR="005C5100" w:rsidRPr="00D045B3">
        <w:rPr>
          <w:rFonts w:ascii="Times New Roman" w:hAnsi="Times New Roman"/>
        </w:rPr>
        <w:t>Az i</w:t>
      </w:r>
      <w:r w:rsidR="001D54E1" w:rsidRPr="00D045B3">
        <w:rPr>
          <w:rFonts w:ascii="Times New Roman" w:hAnsi="Times New Roman"/>
        </w:rPr>
        <w:t>matinibe</w:t>
      </w:r>
      <w:r w:rsidR="00C50360" w:rsidRPr="00D045B3">
        <w:rPr>
          <w:rFonts w:ascii="Times New Roman" w:hAnsi="Times New Roman"/>
        </w:rPr>
        <w:t>t szedő nők</w:t>
      </w:r>
      <w:r w:rsidR="0078378D" w:rsidRPr="00D045B3">
        <w:rPr>
          <w:rFonts w:ascii="Times New Roman" w:hAnsi="Times New Roman"/>
        </w:rPr>
        <w:t xml:space="preserve"> </w:t>
      </w:r>
      <w:r w:rsidR="0078378D" w:rsidRPr="00F67173">
        <w:rPr>
          <w:rFonts w:ascii="Times New Roman" w:hAnsi="Times New Roman"/>
        </w:rPr>
        <w:t>esetében a forgalomba hozatalt követően beszámoltak</w:t>
      </w:r>
      <w:r w:rsidR="00C50360" w:rsidRPr="00D045B3">
        <w:rPr>
          <w:rFonts w:ascii="Times New Roman" w:hAnsi="Times New Roman"/>
        </w:rPr>
        <w:t xml:space="preserve"> spontán abortuszról és fejlődési rendellenességekkel született </w:t>
      </w:r>
      <w:r w:rsidR="0078378D" w:rsidRPr="00D045B3">
        <w:rPr>
          <w:rFonts w:ascii="Times New Roman" w:hAnsi="Times New Roman"/>
        </w:rPr>
        <w:t>újszülöttekről</w:t>
      </w:r>
      <w:r w:rsidR="00C50360" w:rsidRPr="00D045B3">
        <w:rPr>
          <w:rFonts w:ascii="Times New Roman" w:hAnsi="Times New Roman"/>
        </w:rPr>
        <w:t xml:space="preserve">. </w:t>
      </w:r>
      <w:r w:rsidR="0078378D" w:rsidRPr="00D045B3">
        <w:rPr>
          <w:rFonts w:ascii="Times New Roman" w:hAnsi="Times New Roman"/>
        </w:rPr>
        <w:t>Továbbá</w:t>
      </w:r>
      <w:r w:rsidRPr="00D045B3">
        <w:rPr>
          <w:rFonts w:ascii="Times New Roman" w:hAnsi="Times New Roman"/>
        </w:rPr>
        <w:t xml:space="preserve">, az állatkísérletek során reproduktív toxicitást igazoltak (lásd 5.3 pont), továbbá a magzatra gyakorolt potenciális </w:t>
      </w:r>
      <w:r w:rsidR="0078378D" w:rsidRPr="00D045B3">
        <w:rPr>
          <w:rFonts w:ascii="Times New Roman" w:hAnsi="Times New Roman"/>
        </w:rPr>
        <w:t xml:space="preserve">kockázat </w:t>
      </w:r>
      <w:r w:rsidRPr="00D045B3">
        <w:rPr>
          <w:rFonts w:ascii="Times New Roman" w:hAnsi="Times New Roman"/>
        </w:rPr>
        <w:t>nem ismert. Az imatinib nem alkalmazható a terhesség alatt, kivéve, ha erre egyértelműen szükség van. Amennyiben terhesség során alkalmazzák, a beteg</w:t>
      </w:r>
      <w:r w:rsidR="0078378D" w:rsidRPr="00D045B3">
        <w:rPr>
          <w:rFonts w:ascii="Times New Roman" w:hAnsi="Times New Roman"/>
        </w:rPr>
        <w:t>et tájékoztatni</w:t>
      </w:r>
      <w:r w:rsidRPr="00D045B3">
        <w:rPr>
          <w:rFonts w:ascii="Times New Roman" w:hAnsi="Times New Roman"/>
        </w:rPr>
        <w:t xml:space="preserve"> kell a foetusra gyakorolt potenciális kockázat</w:t>
      </w:r>
      <w:r w:rsidR="0078378D" w:rsidRPr="00D045B3">
        <w:rPr>
          <w:rFonts w:ascii="Times New Roman" w:hAnsi="Times New Roman"/>
        </w:rPr>
        <w:t>ról</w:t>
      </w:r>
      <w:r w:rsidRPr="00D045B3">
        <w:rPr>
          <w:rFonts w:ascii="Times New Roman" w:hAnsi="Times New Roman"/>
        </w:rPr>
        <w:t>.</w:t>
      </w:r>
    </w:p>
    <w:p w14:paraId="1E927110" w14:textId="77777777" w:rsidR="009E12FC" w:rsidRPr="00D045B3" w:rsidRDefault="009E12FC" w:rsidP="009E12FC">
      <w:pPr>
        <w:pStyle w:val="KeinLeerraum"/>
        <w:rPr>
          <w:rFonts w:ascii="Times New Roman" w:hAnsi="Times New Roman"/>
        </w:rPr>
      </w:pPr>
    </w:p>
    <w:p w14:paraId="1E927111" w14:textId="77777777" w:rsidR="009E12FC" w:rsidRPr="00D045B3" w:rsidRDefault="009E12FC" w:rsidP="00E04170">
      <w:pPr>
        <w:pStyle w:val="KeinLeerraum"/>
        <w:keepNext/>
        <w:rPr>
          <w:rFonts w:ascii="Times New Roman" w:hAnsi="Times New Roman"/>
          <w:u w:val="single"/>
        </w:rPr>
      </w:pPr>
      <w:r w:rsidRPr="00D045B3">
        <w:rPr>
          <w:rFonts w:ascii="Times New Roman" w:hAnsi="Times New Roman"/>
          <w:u w:val="single"/>
        </w:rPr>
        <w:t xml:space="preserve">Szoptatás </w:t>
      </w:r>
    </w:p>
    <w:p w14:paraId="1E927112" w14:textId="54A0B630" w:rsidR="009E12FC" w:rsidRPr="00D045B3" w:rsidRDefault="009E12FC" w:rsidP="00CA41FD">
      <w:pPr>
        <w:pStyle w:val="KeinLeerraum"/>
        <w:rPr>
          <w:rFonts w:ascii="Times New Roman" w:hAnsi="Times New Roman"/>
        </w:rPr>
      </w:pPr>
      <w:r w:rsidRPr="00D045B3">
        <w:rPr>
          <w:rFonts w:ascii="Times New Roman" w:hAnsi="Times New Roman"/>
        </w:rPr>
        <w:t>Korlátozott információ áll rendelkezésre arról, hogy az imatinib bejut</w:t>
      </w:r>
      <w:r w:rsidRPr="00D045B3">
        <w:rPr>
          <w:rFonts w:ascii="Times New Roman" w:hAnsi="Times New Roman"/>
        </w:rPr>
        <w:noBreakHyphen/>
        <w:t>e az emberi anyatejbe. Két szoptató nő bevonásával végzett vizsgálatban kimutatták, hogy mind az imatinib, mind annak aktív metabolitja bejuthat az emberi anyatejbe. A meghatározott tej – plazma arány - melyet egyetlen betegnél vizsgáltak – 0,5 volt az imatinibre és 0,9 a metabolitra vonatkozóan, ami arra utal, hogy a metabolit nagyobb mértékben jut be a tejbe. Tekintettel az imatinib és a metabolit együttes koncentrációjára és a csecsemők napi maximális tejfogyasztására, a teljes expozíció várhatóan alacsony lesz (a terápiás dózis kb. 10%</w:t>
      </w:r>
      <w:r w:rsidRPr="00D045B3">
        <w:rPr>
          <w:rFonts w:ascii="Times New Roman" w:hAnsi="Times New Roman"/>
        </w:rPr>
        <w:noBreakHyphen/>
        <w:t xml:space="preserve">a). Mivel azonban a csecsemőket érő alacsony dózisú imatinib expozíció hatása nem ismert, az </w:t>
      </w:r>
      <w:r w:rsidR="0098458C" w:rsidRPr="00F67173">
        <w:rPr>
          <w:rFonts w:ascii="Times New Roman" w:hAnsi="Times New Roman"/>
        </w:rPr>
        <w:t>any</w:t>
      </w:r>
      <w:r w:rsidR="00565B6E" w:rsidRPr="00D045B3">
        <w:rPr>
          <w:rFonts w:ascii="Times New Roman" w:hAnsi="Times New Roman"/>
        </w:rPr>
        <w:t>a a kezelés alatt és az Imatinib Actavis</w:t>
      </w:r>
      <w:r w:rsidR="0098458C" w:rsidRPr="00F67173">
        <w:rPr>
          <w:rFonts w:ascii="Times New Roman" w:hAnsi="Times New Roman"/>
        </w:rPr>
        <w:t>-kezelés befej</w:t>
      </w:r>
      <w:r w:rsidR="00371E88" w:rsidRPr="00D045B3">
        <w:rPr>
          <w:rFonts w:ascii="Times New Roman" w:hAnsi="Times New Roman"/>
        </w:rPr>
        <w:t>ezését követően még legalább 15 </w:t>
      </w:r>
      <w:r w:rsidR="0098458C" w:rsidRPr="00F67173">
        <w:rPr>
          <w:rFonts w:ascii="Times New Roman" w:hAnsi="Times New Roman"/>
        </w:rPr>
        <w:t>napig nem szoptathat</w:t>
      </w:r>
      <w:r w:rsidRPr="00D045B3">
        <w:rPr>
          <w:rFonts w:ascii="Times New Roman" w:hAnsi="Times New Roman"/>
        </w:rPr>
        <w:t xml:space="preserve">. </w:t>
      </w:r>
    </w:p>
    <w:p w14:paraId="1E927113" w14:textId="77777777" w:rsidR="009E12FC" w:rsidRPr="00D045B3" w:rsidRDefault="009E12FC" w:rsidP="009E12FC">
      <w:pPr>
        <w:pStyle w:val="KeinLeerraum"/>
        <w:rPr>
          <w:rFonts w:ascii="Times New Roman" w:hAnsi="Times New Roman"/>
        </w:rPr>
      </w:pPr>
    </w:p>
    <w:p w14:paraId="1E927114"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u w:val="single"/>
        </w:rPr>
        <w:t xml:space="preserve">Termékenység </w:t>
      </w:r>
    </w:p>
    <w:p w14:paraId="1E927115" w14:textId="6B9A05A0" w:rsidR="009E12FC" w:rsidRPr="00D045B3" w:rsidRDefault="009E12FC" w:rsidP="00CA41FD">
      <w:pPr>
        <w:pStyle w:val="KeinLeerraum"/>
        <w:rPr>
          <w:rFonts w:ascii="Times New Roman" w:hAnsi="Times New Roman"/>
        </w:rPr>
      </w:pPr>
      <w:r w:rsidRPr="00D045B3">
        <w:rPr>
          <w:rFonts w:ascii="Times New Roman" w:hAnsi="Times New Roman"/>
        </w:rPr>
        <w:t>Nem klinikai vizsgálatokban a hím és nőstény patkányok termékenységét a gyógyszer nem befolyásolta</w:t>
      </w:r>
      <w:r w:rsidR="0098458C" w:rsidRPr="00D045B3">
        <w:rPr>
          <w:rFonts w:ascii="Times New Roman" w:hAnsi="Times New Roman"/>
        </w:rPr>
        <w:t>, bár tapasztaltak a reproduktív paraméterekre kifejtett hatásokat</w:t>
      </w:r>
      <w:r w:rsidRPr="00D045B3">
        <w:rPr>
          <w:rFonts w:ascii="Times New Roman" w:hAnsi="Times New Roman"/>
        </w:rPr>
        <w:t xml:space="preserve"> (lásd 5.3 pont). Imatinibet szedő betegeknél nem végeztek a fertilitásra és a gametogenesisre gyakorolt hatásokat értékelő vizsgálatokat. Az imatinib</w:t>
      </w:r>
      <w:r w:rsidR="00E04170" w:rsidRPr="00D045B3">
        <w:rPr>
          <w:rFonts w:ascii="Times New Roman" w:hAnsi="Times New Roman"/>
        </w:rPr>
        <w:noBreakHyphen/>
      </w:r>
      <w:r w:rsidRPr="00D045B3">
        <w:rPr>
          <w:rFonts w:ascii="Times New Roman" w:hAnsi="Times New Roman"/>
        </w:rPr>
        <w:t xml:space="preserve">kezelést kapó, a termékenységük miatt aggódó betegeknek beszélniük kell kezelőorvosukkal. </w:t>
      </w:r>
    </w:p>
    <w:p w14:paraId="1E927116" w14:textId="77777777" w:rsidR="009E12FC" w:rsidRPr="00D045B3" w:rsidRDefault="009E12FC" w:rsidP="002A5FCC">
      <w:pPr>
        <w:pStyle w:val="KeinLeerraum"/>
        <w:widowControl w:val="0"/>
        <w:rPr>
          <w:rFonts w:ascii="Times New Roman" w:hAnsi="Times New Roman"/>
        </w:rPr>
      </w:pPr>
    </w:p>
    <w:p w14:paraId="1E927117" w14:textId="77777777" w:rsidR="009E12FC" w:rsidRPr="00D045B3" w:rsidRDefault="009E12FC" w:rsidP="00686EB8">
      <w:pPr>
        <w:pStyle w:val="KeinLeerraum"/>
        <w:keepNext/>
        <w:tabs>
          <w:tab w:val="left" w:pos="567"/>
        </w:tabs>
        <w:rPr>
          <w:rFonts w:ascii="Times New Roman" w:hAnsi="Times New Roman"/>
          <w:b/>
        </w:rPr>
      </w:pPr>
      <w:r w:rsidRPr="00D045B3">
        <w:rPr>
          <w:rFonts w:ascii="Times New Roman" w:hAnsi="Times New Roman"/>
          <w:b/>
        </w:rPr>
        <w:t>4.7</w:t>
      </w:r>
      <w:r w:rsidRPr="00D045B3">
        <w:rPr>
          <w:rFonts w:ascii="Times New Roman" w:hAnsi="Times New Roman"/>
          <w:b/>
        </w:rPr>
        <w:tab/>
        <w:t xml:space="preserve">A készítmény hatásai a gépjárművezetéshez és </w:t>
      </w:r>
      <w:r w:rsidR="002C2D12" w:rsidRPr="00D045B3">
        <w:rPr>
          <w:rFonts w:ascii="Times New Roman" w:hAnsi="Times New Roman"/>
          <w:b/>
        </w:rPr>
        <w:t xml:space="preserve">a </w:t>
      </w:r>
      <w:r w:rsidRPr="00D045B3">
        <w:rPr>
          <w:rFonts w:ascii="Times New Roman" w:hAnsi="Times New Roman"/>
          <w:b/>
        </w:rPr>
        <w:t xml:space="preserve">gépek kezeléséhez szükséges képességekre </w:t>
      </w:r>
    </w:p>
    <w:p w14:paraId="1E927118" w14:textId="77777777" w:rsidR="009E12FC" w:rsidRPr="00D045B3" w:rsidRDefault="009E12FC" w:rsidP="00686EB8">
      <w:pPr>
        <w:pStyle w:val="KeinLeerraum"/>
        <w:keepNext/>
        <w:rPr>
          <w:rFonts w:ascii="Times New Roman" w:hAnsi="Times New Roman"/>
        </w:rPr>
      </w:pPr>
    </w:p>
    <w:p w14:paraId="1E927119" w14:textId="1CA647DD" w:rsidR="009E12FC" w:rsidRPr="00D045B3" w:rsidRDefault="009E12FC" w:rsidP="00CA41FD">
      <w:pPr>
        <w:pStyle w:val="KeinLeerraum"/>
        <w:rPr>
          <w:rFonts w:ascii="Times New Roman" w:hAnsi="Times New Roman"/>
        </w:rPr>
      </w:pPr>
      <w:r w:rsidRPr="00D045B3">
        <w:rPr>
          <w:rFonts w:ascii="Times New Roman" w:hAnsi="Times New Roman"/>
        </w:rPr>
        <w:t>A betegeket figyelmeztetni kell, hogy az imatinib</w:t>
      </w:r>
      <w:r w:rsidR="00E04170" w:rsidRPr="00D045B3">
        <w:rPr>
          <w:rFonts w:ascii="Times New Roman" w:hAnsi="Times New Roman"/>
        </w:rPr>
        <w:noBreakHyphen/>
      </w:r>
      <w:r w:rsidRPr="00D045B3">
        <w:rPr>
          <w:rFonts w:ascii="Times New Roman" w:hAnsi="Times New Roman"/>
        </w:rPr>
        <w:t xml:space="preserve">terápia ideje alatt előfordulhatnak olyan mellékhatások, mint a szédülés, homályos látás és aluszékonyság. Ezért óvatosság javasolt gépjárművezetés és gépkezelés ideje alatt. </w:t>
      </w:r>
    </w:p>
    <w:p w14:paraId="1E92711A" w14:textId="77777777" w:rsidR="009E12FC" w:rsidRPr="00D045B3" w:rsidRDefault="009E12FC" w:rsidP="009E12FC">
      <w:pPr>
        <w:pStyle w:val="KeinLeerraum"/>
        <w:rPr>
          <w:rFonts w:ascii="Times New Roman" w:hAnsi="Times New Roman"/>
        </w:rPr>
      </w:pPr>
    </w:p>
    <w:p w14:paraId="1E92711B" w14:textId="77777777" w:rsidR="009E12FC" w:rsidRPr="00D045B3" w:rsidRDefault="009E12FC" w:rsidP="00686EB8">
      <w:pPr>
        <w:pStyle w:val="KeinLeerraum"/>
        <w:keepNext/>
        <w:tabs>
          <w:tab w:val="left" w:pos="567"/>
        </w:tabs>
        <w:rPr>
          <w:rFonts w:ascii="Times New Roman" w:hAnsi="Times New Roman"/>
          <w:b/>
        </w:rPr>
      </w:pPr>
      <w:r w:rsidRPr="00D045B3">
        <w:rPr>
          <w:rFonts w:ascii="Times New Roman" w:hAnsi="Times New Roman"/>
          <w:b/>
        </w:rPr>
        <w:t>4.8</w:t>
      </w:r>
      <w:r w:rsidRPr="00D045B3">
        <w:rPr>
          <w:rFonts w:ascii="Times New Roman" w:hAnsi="Times New Roman"/>
          <w:b/>
        </w:rPr>
        <w:tab/>
        <w:t xml:space="preserve">Nemkívánatos hatások, mellékhatások </w:t>
      </w:r>
    </w:p>
    <w:p w14:paraId="1E92711C" w14:textId="77777777" w:rsidR="009E12FC" w:rsidRPr="00D045B3" w:rsidRDefault="009E12FC" w:rsidP="00686EB8">
      <w:pPr>
        <w:pStyle w:val="KeinLeerraum"/>
        <w:keepNext/>
        <w:rPr>
          <w:rFonts w:ascii="Times New Roman" w:hAnsi="Times New Roman"/>
        </w:rPr>
      </w:pPr>
    </w:p>
    <w:p w14:paraId="1E92711D" w14:textId="77777777" w:rsidR="00D55BD8" w:rsidRPr="00D045B3" w:rsidRDefault="00D55BD8" w:rsidP="00686EB8">
      <w:pPr>
        <w:pStyle w:val="KeinLeerraum"/>
        <w:keepNext/>
        <w:rPr>
          <w:rFonts w:ascii="Times New Roman" w:hAnsi="Times New Roman"/>
          <w:u w:val="single"/>
        </w:rPr>
      </w:pPr>
      <w:r w:rsidRPr="00D045B3">
        <w:rPr>
          <w:rFonts w:ascii="Times New Roman" w:hAnsi="Times New Roman"/>
          <w:u w:val="single"/>
        </w:rPr>
        <w:t>A biztonságossági profil összefoglalása</w:t>
      </w:r>
    </w:p>
    <w:p w14:paraId="1E92711E" w14:textId="456CFF9F" w:rsidR="009E12FC" w:rsidRPr="00D045B3" w:rsidRDefault="009E12FC" w:rsidP="00CA41FD">
      <w:pPr>
        <w:pStyle w:val="KeinLeerraum"/>
        <w:rPr>
          <w:rFonts w:ascii="Times New Roman" w:hAnsi="Times New Roman"/>
        </w:rPr>
      </w:pPr>
      <w:r w:rsidRPr="00D045B3">
        <w:rPr>
          <w:rFonts w:ascii="Times New Roman" w:hAnsi="Times New Roman"/>
        </w:rPr>
        <w:t>Az előrehaladott stádiumú rosszindulatú betegségben szenvedő betegek</w:t>
      </w:r>
      <w:r w:rsidR="0078378D" w:rsidRPr="00D045B3">
        <w:rPr>
          <w:rFonts w:ascii="Times New Roman" w:hAnsi="Times New Roman"/>
        </w:rPr>
        <w:t>nél</w:t>
      </w:r>
      <w:r w:rsidRPr="00D045B3">
        <w:rPr>
          <w:rFonts w:ascii="Times New Roman" w:hAnsi="Times New Roman"/>
        </w:rPr>
        <w:t xml:space="preserve"> számos </w:t>
      </w:r>
      <w:r w:rsidR="0078378D" w:rsidRPr="00D045B3">
        <w:rPr>
          <w:rFonts w:ascii="Times New Roman" w:hAnsi="Times New Roman"/>
        </w:rPr>
        <w:t>olyan</w:t>
      </w:r>
      <w:r w:rsidRPr="00D045B3">
        <w:rPr>
          <w:rFonts w:ascii="Times New Roman" w:hAnsi="Times New Roman"/>
        </w:rPr>
        <w:t xml:space="preserve"> orvosi kezelést igénylő probléma </w:t>
      </w:r>
      <w:r w:rsidR="0078378D" w:rsidRPr="00D045B3">
        <w:rPr>
          <w:rFonts w:ascii="Times New Roman" w:hAnsi="Times New Roman"/>
        </w:rPr>
        <w:t>jeletnkezhet</w:t>
      </w:r>
      <w:r w:rsidRPr="00D045B3">
        <w:rPr>
          <w:rFonts w:ascii="Times New Roman" w:hAnsi="Times New Roman"/>
        </w:rPr>
        <w:t xml:space="preserve">, amelyek </w:t>
      </w:r>
      <w:r w:rsidR="0078378D" w:rsidRPr="00D045B3">
        <w:rPr>
          <w:rFonts w:ascii="Times New Roman" w:hAnsi="Times New Roman"/>
        </w:rPr>
        <w:t xml:space="preserve">megtévesztőek lehetnek, illetve </w:t>
      </w:r>
      <w:r w:rsidRPr="00D045B3">
        <w:rPr>
          <w:rFonts w:ascii="Times New Roman" w:hAnsi="Times New Roman"/>
        </w:rPr>
        <w:t>megnehezítik a mellékhatások ok</w:t>
      </w:r>
      <w:r w:rsidRPr="00D045B3">
        <w:rPr>
          <w:rFonts w:ascii="Times New Roman" w:hAnsi="Times New Roman"/>
        </w:rPr>
        <w:noBreakHyphen/>
        <w:t>okozati összefüggéseinek megállapítását, mivel a különböző tünetek</w:t>
      </w:r>
      <w:r w:rsidR="005C5100" w:rsidRPr="00D045B3">
        <w:rPr>
          <w:rFonts w:ascii="Times New Roman" w:hAnsi="Times New Roman"/>
        </w:rPr>
        <w:t>e</w:t>
      </w:r>
      <w:r w:rsidR="00F46A43" w:rsidRPr="00D045B3">
        <w:rPr>
          <w:rFonts w:ascii="Times New Roman" w:hAnsi="Times New Roman"/>
        </w:rPr>
        <w:t>t</w:t>
      </w:r>
      <w:r w:rsidRPr="00D045B3">
        <w:rPr>
          <w:rFonts w:ascii="Times New Roman" w:hAnsi="Times New Roman"/>
        </w:rPr>
        <w:t xml:space="preserve"> az alapbetegség, a betegség progressziója, illetve az egyidejűleg</w:t>
      </w:r>
      <w:r w:rsidR="005C5100" w:rsidRPr="00D045B3">
        <w:rPr>
          <w:rFonts w:ascii="Times New Roman" w:hAnsi="Times New Roman"/>
        </w:rPr>
        <w:t xml:space="preserve"> kapott</w:t>
      </w:r>
      <w:r w:rsidRPr="00D045B3">
        <w:rPr>
          <w:rFonts w:ascii="Times New Roman" w:hAnsi="Times New Roman"/>
        </w:rPr>
        <w:t xml:space="preserve"> adott számos más gyógyszer is </w:t>
      </w:r>
      <w:r w:rsidR="0078378D" w:rsidRPr="00D045B3">
        <w:rPr>
          <w:rFonts w:ascii="Times New Roman" w:hAnsi="Times New Roman"/>
        </w:rPr>
        <w:t>okozhat</w:t>
      </w:r>
      <w:r w:rsidRPr="00D045B3">
        <w:rPr>
          <w:rFonts w:ascii="Times New Roman" w:hAnsi="Times New Roman"/>
        </w:rPr>
        <w:t xml:space="preserve">. </w:t>
      </w:r>
    </w:p>
    <w:p w14:paraId="1E92711F" w14:textId="77777777" w:rsidR="009E12FC" w:rsidRPr="00D045B3" w:rsidRDefault="009E12FC" w:rsidP="009E12FC">
      <w:pPr>
        <w:pStyle w:val="KeinLeerraum"/>
        <w:rPr>
          <w:rFonts w:ascii="Times New Roman" w:hAnsi="Times New Roman"/>
        </w:rPr>
      </w:pPr>
    </w:p>
    <w:p w14:paraId="1E927120" w14:textId="27299C88" w:rsidR="009E12FC" w:rsidRPr="00D045B3" w:rsidRDefault="009E12FC" w:rsidP="009E12FC">
      <w:pPr>
        <w:pStyle w:val="KeinLeerraum"/>
        <w:rPr>
          <w:rFonts w:ascii="Times New Roman" w:hAnsi="Times New Roman"/>
        </w:rPr>
      </w:pPr>
      <w:r w:rsidRPr="00D045B3">
        <w:rPr>
          <w:rFonts w:ascii="Times New Roman" w:hAnsi="Times New Roman"/>
        </w:rPr>
        <w:t>CML</w:t>
      </w:r>
      <w:r w:rsidRPr="00D045B3">
        <w:rPr>
          <w:rFonts w:ascii="Times New Roman" w:hAnsi="Times New Roman"/>
        </w:rPr>
        <w:noBreakHyphen/>
        <w:t xml:space="preserve">es betegek bevonásával végzett klinikai vizsgálatokban a gyógyszerszedést </w:t>
      </w:r>
      <w:r w:rsidR="00A342BB" w:rsidRPr="00D045B3">
        <w:rPr>
          <w:rFonts w:ascii="Times New Roman" w:hAnsi="Times New Roman"/>
        </w:rPr>
        <w:t>gyógyszer</w:t>
      </w:r>
      <w:r w:rsidR="0078378D" w:rsidRPr="00D045B3">
        <w:rPr>
          <w:rFonts w:ascii="Times New Roman" w:hAnsi="Times New Roman"/>
        </w:rPr>
        <w:t>rel össze</w:t>
      </w:r>
      <w:r w:rsidR="00A342BB" w:rsidRPr="00D045B3">
        <w:rPr>
          <w:rFonts w:ascii="Times New Roman" w:hAnsi="Times New Roman"/>
        </w:rPr>
        <w:t xml:space="preserve">függő </w:t>
      </w:r>
      <w:r w:rsidRPr="00D045B3">
        <w:rPr>
          <w:rFonts w:ascii="Times New Roman" w:hAnsi="Times New Roman"/>
        </w:rPr>
        <w:t>mellékhatások miatt felfüggesz</w:t>
      </w:r>
      <w:r w:rsidR="0078378D" w:rsidRPr="00D045B3">
        <w:rPr>
          <w:rFonts w:ascii="Times New Roman" w:hAnsi="Times New Roman"/>
        </w:rPr>
        <w:t>tették</w:t>
      </w:r>
      <w:r w:rsidRPr="00D045B3">
        <w:rPr>
          <w:rFonts w:ascii="Times New Roman" w:hAnsi="Times New Roman"/>
        </w:rPr>
        <w:t xml:space="preserve"> az újonnan diagnosztizált betegek 2,4%</w:t>
      </w:r>
      <w:r w:rsidRPr="00D045B3">
        <w:rPr>
          <w:rFonts w:ascii="Times New Roman" w:hAnsi="Times New Roman"/>
        </w:rPr>
        <w:noBreakHyphen/>
        <w:t>ánál, a késői krónikus fázisban sikertelen interferon</w:t>
      </w:r>
      <w:r w:rsidR="00E04170" w:rsidRPr="00D045B3">
        <w:rPr>
          <w:rFonts w:ascii="Times New Roman" w:hAnsi="Times New Roman"/>
        </w:rPr>
        <w:noBreakHyphen/>
      </w:r>
      <w:r w:rsidR="00E04170" w:rsidRPr="00D045B3">
        <w:rPr>
          <w:rFonts w:ascii="Times New Roman" w:hAnsi="Times New Roman"/>
        </w:rPr>
        <w:noBreakHyphen/>
      </w:r>
      <w:r w:rsidRPr="00D045B3">
        <w:rPr>
          <w:rFonts w:ascii="Times New Roman" w:hAnsi="Times New Roman"/>
        </w:rPr>
        <w:t>kezelést követően a betegek 4%</w:t>
      </w:r>
      <w:r w:rsidRPr="00D045B3">
        <w:rPr>
          <w:rFonts w:ascii="Times New Roman" w:hAnsi="Times New Roman"/>
        </w:rPr>
        <w:noBreakHyphen/>
        <w:t>ánál, akcelerált fázisban sikertelen interferon</w:t>
      </w:r>
      <w:r w:rsidR="00E04170" w:rsidRPr="00D045B3">
        <w:rPr>
          <w:rFonts w:ascii="Times New Roman" w:hAnsi="Times New Roman"/>
        </w:rPr>
        <w:noBreakHyphen/>
      </w:r>
      <w:r w:rsidRPr="00D045B3">
        <w:rPr>
          <w:rFonts w:ascii="Times New Roman" w:hAnsi="Times New Roman"/>
        </w:rPr>
        <w:t>kezelést követően a betegek 4%</w:t>
      </w:r>
      <w:r w:rsidRPr="00D045B3">
        <w:rPr>
          <w:rFonts w:ascii="Times New Roman" w:hAnsi="Times New Roman"/>
        </w:rPr>
        <w:noBreakHyphen/>
        <w:t>ánál, és sikertelen inetrferon</w:t>
      </w:r>
      <w:r w:rsidR="00E04170" w:rsidRPr="00D045B3">
        <w:rPr>
          <w:rFonts w:ascii="Times New Roman" w:hAnsi="Times New Roman"/>
        </w:rPr>
        <w:noBreakHyphen/>
      </w:r>
      <w:r w:rsidRPr="00D045B3">
        <w:rPr>
          <w:rFonts w:ascii="Times New Roman" w:hAnsi="Times New Roman"/>
        </w:rPr>
        <w:t>kezelést követően a blasztos krízisben szenvedő betegek 5%</w:t>
      </w:r>
      <w:r w:rsidRPr="00D045B3">
        <w:rPr>
          <w:rFonts w:ascii="Times New Roman" w:hAnsi="Times New Roman"/>
        </w:rPr>
        <w:noBreakHyphen/>
        <w:t>ánál. A GIST vizsgálatban a betegek 4%</w:t>
      </w:r>
      <w:r w:rsidRPr="00D045B3">
        <w:rPr>
          <w:rFonts w:ascii="Times New Roman" w:hAnsi="Times New Roman"/>
        </w:rPr>
        <w:noBreakHyphen/>
        <w:t xml:space="preserve">ánál kellett a gyógyszerszedést felfüggeszteni a </w:t>
      </w:r>
      <w:r w:rsidR="00A342BB" w:rsidRPr="00D045B3">
        <w:rPr>
          <w:rFonts w:ascii="Times New Roman" w:hAnsi="Times New Roman"/>
        </w:rPr>
        <w:t xml:space="preserve">gyógyszerfüggő </w:t>
      </w:r>
      <w:r w:rsidRPr="00D045B3">
        <w:rPr>
          <w:rFonts w:ascii="Times New Roman" w:hAnsi="Times New Roman"/>
        </w:rPr>
        <w:t xml:space="preserve">mellékhatások miatt. </w:t>
      </w:r>
    </w:p>
    <w:p w14:paraId="1E927121" w14:textId="77777777" w:rsidR="009E12FC" w:rsidRPr="00D045B3" w:rsidRDefault="009E12FC" w:rsidP="009E12FC">
      <w:pPr>
        <w:pStyle w:val="KeinLeerraum"/>
        <w:rPr>
          <w:rFonts w:ascii="Times New Roman" w:hAnsi="Times New Roman"/>
        </w:rPr>
      </w:pPr>
    </w:p>
    <w:p w14:paraId="1E927122" w14:textId="0266C695" w:rsidR="009E12FC" w:rsidRPr="00D045B3" w:rsidRDefault="009E12FC" w:rsidP="009E12FC">
      <w:pPr>
        <w:pStyle w:val="KeinLeerraum"/>
        <w:rPr>
          <w:rFonts w:ascii="Times New Roman" w:hAnsi="Times New Roman"/>
        </w:rPr>
      </w:pPr>
      <w:r w:rsidRPr="00D045B3">
        <w:rPr>
          <w:rFonts w:ascii="Times New Roman" w:hAnsi="Times New Roman"/>
        </w:rPr>
        <w:t>A mellékhatások két kivételtől eltekintve, minden indikáció esetén hasonlóak voltak. Több myelosuppressio volt megfigyelhető a CML</w:t>
      </w:r>
      <w:r w:rsidRPr="00D045B3">
        <w:rPr>
          <w:rFonts w:ascii="Times New Roman" w:hAnsi="Times New Roman"/>
        </w:rPr>
        <w:noBreakHyphen/>
        <w:t>es, mint a GIST betegeknél, valószínűleg az alapbetegség miatt. A nem reszekábilis és/vagy metasztatikus GIST</w:t>
      </w:r>
      <w:r w:rsidRPr="00D045B3">
        <w:rPr>
          <w:rFonts w:ascii="Times New Roman" w:hAnsi="Times New Roman"/>
        </w:rPr>
        <w:noBreakHyphen/>
        <w:t>ben szenvedő betegekkel végzett vizsgálatban 7 beteg</w:t>
      </w:r>
      <w:r w:rsidR="0078378D" w:rsidRPr="00D045B3">
        <w:rPr>
          <w:rFonts w:ascii="Times New Roman" w:hAnsi="Times New Roman"/>
        </w:rPr>
        <w:t>nél</w:t>
      </w:r>
      <w:r w:rsidRPr="00D045B3">
        <w:rPr>
          <w:rFonts w:ascii="Times New Roman" w:hAnsi="Times New Roman"/>
        </w:rPr>
        <w:t xml:space="preserve"> (5%) jelentkezett ¾ CTC fokú vérzés: gastrointestinalis vérzés 3 betegnél, intratumoralis vérzés 3 betegnél és mindkettő 1 betegnél. A gastrointestinalis vérzés forrása a gastrointestinalis tumor lehetett (lásd 4.4 pont). A gastrointestinalis, ill. tumoralis vérzés súlyos és esetenként halálos kimenetelű is lehet. A leggyakrabban (</w:t>
      </w:r>
      <w:r w:rsidRPr="00D045B3">
        <w:rPr>
          <w:rFonts w:ascii="Times New Roman" w:eastAsia="Symbol" w:hAnsi="Times New Roman"/>
          <w:u w:val="single"/>
        </w:rPr>
        <w:t>&gt;</w:t>
      </w:r>
      <w:r w:rsidRPr="00D045B3">
        <w:rPr>
          <w:rFonts w:ascii="Times New Roman" w:hAnsi="Times New Roman"/>
        </w:rPr>
        <w:t xml:space="preserve"> 10%) észlelt </w:t>
      </w:r>
      <w:r w:rsidR="002E1526" w:rsidRPr="00D045B3">
        <w:rPr>
          <w:rFonts w:ascii="Times New Roman" w:hAnsi="Times New Roman"/>
        </w:rPr>
        <w:t>készítmény</w:t>
      </w:r>
      <w:r w:rsidRPr="00D045B3">
        <w:rPr>
          <w:rFonts w:ascii="Times New Roman" w:hAnsi="Times New Roman"/>
        </w:rPr>
        <w:t>függő mellékhatások mindkét betegségben</w:t>
      </w:r>
      <w:r w:rsidR="002E1526" w:rsidRPr="00D045B3">
        <w:rPr>
          <w:rFonts w:ascii="Times New Roman" w:hAnsi="Times New Roman"/>
        </w:rPr>
        <w:t>:</w:t>
      </w:r>
      <w:r w:rsidRPr="00D045B3">
        <w:rPr>
          <w:rFonts w:ascii="Times New Roman" w:hAnsi="Times New Roman"/>
        </w:rPr>
        <w:t xml:space="preserve"> enyhe hányinger, hányás, hasmenés, hasi fájdalom, fáradékonyság, myalgia és izomgörcsök, valamint bőrkiütés voltak. Valamennyi vizsgálatban gyakori jelenség volt a felületes oedema, amit elsősorban periorbitálisan vagy az alsó végtagokon lehetett észlelni. Ezek az oedemák azonban csak ritkán voltak súlyosak, és diuretikummal vagy egyéb szupportív módon, ill. az imatinib dózisának csökkentésével kezelhetők voltak. </w:t>
      </w:r>
    </w:p>
    <w:p w14:paraId="1E927123" w14:textId="77777777" w:rsidR="009E12FC" w:rsidRPr="00D045B3" w:rsidRDefault="009E12FC" w:rsidP="009E12FC">
      <w:pPr>
        <w:pStyle w:val="KeinLeerraum"/>
        <w:rPr>
          <w:rFonts w:ascii="Times New Roman" w:hAnsi="Times New Roman"/>
        </w:rPr>
      </w:pPr>
    </w:p>
    <w:p w14:paraId="1E927124" w14:textId="77777777" w:rsidR="006C65ED" w:rsidRPr="00D045B3" w:rsidRDefault="009E12FC" w:rsidP="006C65ED">
      <w:pPr>
        <w:spacing w:line="240" w:lineRule="auto"/>
        <w:rPr>
          <w:color w:val="000000"/>
          <w:lang w:val="hu-HU"/>
        </w:rPr>
      </w:pPr>
      <w:r w:rsidRPr="00D045B3">
        <w:rPr>
          <w:lang w:val="hu-HU"/>
        </w:rPr>
        <w:t>Amikor Ph+ALL</w:t>
      </w:r>
      <w:r w:rsidRPr="00D045B3">
        <w:rPr>
          <w:lang w:val="hu-HU"/>
        </w:rPr>
        <w:noBreakHyphen/>
        <w:t>es betegeknél az imatinibet nagy dózisú kemoterápiával kombinációban alkalmazták, átmeneti hepatotoxicitást figyeltek meg, ami a transzamináz</w:t>
      </w:r>
      <w:r w:rsidR="00E04170" w:rsidRPr="00D045B3">
        <w:rPr>
          <w:lang w:val="hu-HU"/>
        </w:rPr>
        <w:noBreakHyphen/>
      </w:r>
      <w:r w:rsidRPr="00D045B3">
        <w:rPr>
          <w:lang w:val="hu-HU"/>
        </w:rPr>
        <w:t>szintek emelkedésével és hyperbilirubinaemiával jelentkezett.</w:t>
      </w:r>
      <w:r w:rsidR="006C65ED" w:rsidRPr="00D045B3">
        <w:rPr>
          <w:lang w:val="hu-HU"/>
        </w:rPr>
        <w:t xml:space="preserve"> </w:t>
      </w:r>
      <w:r w:rsidR="006C65ED" w:rsidRPr="00D045B3">
        <w:rPr>
          <w:color w:val="000000"/>
          <w:lang w:val="hu-HU" w:eastAsia="hu-HU"/>
        </w:rPr>
        <w:t>A korlátozott biztonsági adatbázis alapján az eddig gyermekeknél jelentett nemkívánatos események a Ph+ALL</w:t>
      </w:r>
      <w:r w:rsidR="006C65ED" w:rsidRPr="00D045B3">
        <w:rPr>
          <w:color w:val="000000"/>
          <w:lang w:val="hu-HU"/>
        </w:rPr>
        <w:noBreakHyphen/>
      </w:r>
      <w:r w:rsidR="006C65ED" w:rsidRPr="00D045B3">
        <w:rPr>
          <w:color w:val="000000"/>
          <w:lang w:val="hu-HU" w:eastAsia="hu-HU"/>
        </w:rPr>
        <w:t>ben szenvedő felnőtt betegek ismert biztonságossági profiljához hasonlók. A Ph+ALL</w:t>
      </w:r>
      <w:r w:rsidR="006C65ED" w:rsidRPr="00D045B3">
        <w:rPr>
          <w:color w:val="000000"/>
          <w:lang w:val="hu-HU"/>
        </w:rPr>
        <w:noBreakHyphen/>
      </w:r>
      <w:r w:rsidR="006C65ED" w:rsidRPr="00D045B3">
        <w:rPr>
          <w:color w:val="000000"/>
          <w:lang w:val="hu-HU" w:eastAsia="hu-HU"/>
        </w:rPr>
        <w:t>ben szenvedő gyermekek biztonsági adatbázisa nagyon korlátozott, bár új biztonságossági aggályokat nem azonosítottak.</w:t>
      </w:r>
    </w:p>
    <w:p w14:paraId="1E927125" w14:textId="77777777" w:rsidR="009E12FC" w:rsidRPr="00D045B3" w:rsidRDefault="009E12FC" w:rsidP="009E12FC">
      <w:pPr>
        <w:pStyle w:val="KeinLeerraum"/>
        <w:rPr>
          <w:rFonts w:ascii="Times New Roman" w:hAnsi="Times New Roman"/>
        </w:rPr>
      </w:pPr>
    </w:p>
    <w:p w14:paraId="1E927126" w14:textId="5505F49B" w:rsidR="009E12FC" w:rsidRPr="00D045B3" w:rsidRDefault="009E12FC" w:rsidP="009E12FC">
      <w:pPr>
        <w:pStyle w:val="KeinLeerraum"/>
        <w:rPr>
          <w:rFonts w:ascii="Times New Roman" w:hAnsi="Times New Roman"/>
        </w:rPr>
      </w:pPr>
      <w:r w:rsidRPr="00D045B3">
        <w:rPr>
          <w:rFonts w:ascii="Times New Roman" w:hAnsi="Times New Roman"/>
        </w:rPr>
        <w:t>Az egyéb mellékhatások, mint a pleuralis folyadék, ascites, tüdőoedema és a gyors testtömeg</w:t>
      </w:r>
      <w:r w:rsidR="00E04170" w:rsidRPr="00D045B3">
        <w:rPr>
          <w:rFonts w:ascii="Times New Roman" w:hAnsi="Times New Roman"/>
        </w:rPr>
        <w:noBreakHyphen/>
      </w:r>
      <w:r w:rsidRPr="00D045B3">
        <w:rPr>
          <w:rFonts w:ascii="Times New Roman" w:hAnsi="Times New Roman"/>
        </w:rPr>
        <w:t>gyarapodás felszíni oedemával vagy anélkül, a „folyadékretenciós szindróma” gyűjtőnévvel jellemezhetők. Ezen mellékhatások általában az imatinib alkalmazásának átmeneti felfüggesztésével és diuretikummal, valamint egyéb megfelelő szupportív ellátással kezelhetők. Mindazonáltal ezen mellékhatások némelyike súlyos, életet veszélyeztető is lehet és számos blasztos krízisben lévő beteg halt meg pleurális folyadékgyülem, pangásos szívelégtelenség és veseelégtelenség komplex klinikai képe kíséretben. A gyermek</w:t>
      </w:r>
      <w:r w:rsidR="0078378D" w:rsidRPr="00D045B3">
        <w:rPr>
          <w:rFonts w:ascii="Times New Roman" w:hAnsi="Times New Roman"/>
        </w:rPr>
        <w:t>- és serdülőkorú betegek bevonásával végzett</w:t>
      </w:r>
      <w:r w:rsidRPr="00D045B3">
        <w:rPr>
          <w:rFonts w:ascii="Times New Roman" w:hAnsi="Times New Roman"/>
        </w:rPr>
        <w:t xml:space="preserve"> klinikai vizsgálatok nem </w:t>
      </w:r>
      <w:r w:rsidR="0078378D" w:rsidRPr="00D045B3">
        <w:rPr>
          <w:rFonts w:ascii="Times New Roman" w:hAnsi="Times New Roman"/>
        </w:rPr>
        <w:t>eredményeztek</w:t>
      </w:r>
      <w:r w:rsidRPr="00D045B3">
        <w:rPr>
          <w:rFonts w:ascii="Times New Roman" w:hAnsi="Times New Roman"/>
        </w:rPr>
        <w:t xml:space="preserve"> speciális gyógyszerbiztonságossági </w:t>
      </w:r>
      <w:r w:rsidR="0078378D" w:rsidRPr="00D045B3">
        <w:rPr>
          <w:rFonts w:ascii="Times New Roman" w:hAnsi="Times New Roman"/>
        </w:rPr>
        <w:t>megállapításokat</w:t>
      </w:r>
      <w:r w:rsidRPr="00D045B3">
        <w:rPr>
          <w:rFonts w:ascii="Times New Roman" w:hAnsi="Times New Roman"/>
        </w:rPr>
        <w:t xml:space="preserve">. </w:t>
      </w:r>
    </w:p>
    <w:p w14:paraId="1E927127" w14:textId="77777777" w:rsidR="009E12FC" w:rsidRPr="00D045B3" w:rsidRDefault="009E12FC" w:rsidP="009E12FC">
      <w:pPr>
        <w:pStyle w:val="KeinLeerraum"/>
        <w:rPr>
          <w:rFonts w:ascii="Times New Roman" w:hAnsi="Times New Roman"/>
        </w:rPr>
      </w:pPr>
    </w:p>
    <w:p w14:paraId="1E927128"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u w:val="single"/>
        </w:rPr>
        <w:t xml:space="preserve">Mellékhatások </w:t>
      </w:r>
    </w:p>
    <w:p w14:paraId="1E927129" w14:textId="77777777" w:rsidR="009E12FC" w:rsidRPr="00D045B3" w:rsidRDefault="009E12FC" w:rsidP="00CA41FD">
      <w:pPr>
        <w:pStyle w:val="KeinLeerraum"/>
        <w:rPr>
          <w:rFonts w:ascii="Times New Roman" w:hAnsi="Times New Roman"/>
        </w:rPr>
      </w:pPr>
      <w:r w:rsidRPr="00D045B3">
        <w:rPr>
          <w:rFonts w:ascii="Times New Roman" w:hAnsi="Times New Roman"/>
        </w:rPr>
        <w:t>Az elszigetelt eseteknél gyakrabban észlelt mellékhatások az alábbi táblázatban, szervrendszerek és gyakoriság szerint kerülnek felsorolásra. A gyakorisági kategóriák meghatározása a következő konvenciók szerint történt: nagyon gyakori (</w:t>
      </w:r>
      <w:r w:rsidRPr="00D045B3">
        <w:rPr>
          <w:rFonts w:ascii="Times New Roman" w:hAnsi="Times New Roman"/>
          <w:spacing w:val="1"/>
        </w:rPr>
        <w:t>≥</w:t>
      </w:r>
      <w:r w:rsidRPr="00D045B3">
        <w:rPr>
          <w:rFonts w:ascii="Times New Roman" w:hAnsi="Times New Roman"/>
        </w:rPr>
        <w:t>1/10), gyakori (</w:t>
      </w:r>
      <w:r w:rsidRPr="00D045B3">
        <w:rPr>
          <w:rFonts w:ascii="Times New Roman" w:hAnsi="Times New Roman"/>
          <w:spacing w:val="1"/>
        </w:rPr>
        <w:t>≥</w:t>
      </w:r>
      <w:r w:rsidRPr="00D045B3">
        <w:rPr>
          <w:rFonts w:ascii="Times New Roman" w:hAnsi="Times New Roman"/>
        </w:rPr>
        <w:t>1/100</w:t>
      </w:r>
      <w:r w:rsidRPr="00D045B3">
        <w:rPr>
          <w:rFonts w:ascii="Times New Roman" w:hAnsi="Times New Roman"/>
        </w:rPr>
        <w:noBreakHyphen/>
        <w:t>&lt;1/10), nem gyakori (</w:t>
      </w:r>
      <w:r w:rsidRPr="00D045B3">
        <w:rPr>
          <w:rFonts w:ascii="Times New Roman" w:hAnsi="Times New Roman"/>
          <w:spacing w:val="1"/>
        </w:rPr>
        <w:t>≥</w:t>
      </w:r>
      <w:r w:rsidRPr="00D045B3">
        <w:rPr>
          <w:rFonts w:ascii="Times New Roman" w:hAnsi="Times New Roman"/>
        </w:rPr>
        <w:t>1/1000</w:t>
      </w:r>
      <w:r w:rsidRPr="00D045B3">
        <w:rPr>
          <w:rFonts w:ascii="Times New Roman" w:hAnsi="Times New Roman"/>
        </w:rPr>
        <w:noBreakHyphen/>
        <w:t>&lt;1/100), ritka (</w:t>
      </w:r>
      <w:r w:rsidRPr="00D045B3">
        <w:rPr>
          <w:rFonts w:ascii="Times New Roman" w:hAnsi="Times New Roman"/>
          <w:spacing w:val="1"/>
        </w:rPr>
        <w:t>≥</w:t>
      </w:r>
      <w:r w:rsidRPr="00D045B3">
        <w:rPr>
          <w:rFonts w:ascii="Times New Roman" w:hAnsi="Times New Roman"/>
        </w:rPr>
        <w:t>1/10 000</w:t>
      </w:r>
      <w:r w:rsidRPr="00D045B3">
        <w:rPr>
          <w:rFonts w:ascii="Times New Roman" w:hAnsi="Times New Roman"/>
        </w:rPr>
        <w:noBreakHyphen/>
        <w:t xml:space="preserve">&lt;1/1000), nagyon ritka (&lt;1/10 000), nem ismert (a gyakoriság a rendelkezésre álló adatokból nem állapítható meg). </w:t>
      </w:r>
    </w:p>
    <w:p w14:paraId="1E92712A" w14:textId="77777777" w:rsidR="009E12FC" w:rsidRPr="00D045B3" w:rsidRDefault="009E12FC" w:rsidP="009E12FC">
      <w:pPr>
        <w:pStyle w:val="KeinLeerraum"/>
        <w:rPr>
          <w:rFonts w:ascii="Times New Roman" w:hAnsi="Times New Roman"/>
        </w:rPr>
      </w:pPr>
    </w:p>
    <w:p w14:paraId="1E92712B" w14:textId="77777777" w:rsidR="009E12FC" w:rsidRPr="00D045B3" w:rsidRDefault="009E12FC" w:rsidP="009E12FC">
      <w:pPr>
        <w:rPr>
          <w:lang w:val="hu-HU"/>
        </w:rPr>
      </w:pPr>
      <w:r w:rsidRPr="00D045B3">
        <w:rPr>
          <w:lang w:val="hu-HU"/>
        </w:rPr>
        <w:t>Az egyes gyakorisági kategóriákon belül a mellékhatások csökkenő súlyosság szerint kerülnek megadásra</w:t>
      </w:r>
      <w:r w:rsidRPr="00D045B3">
        <w:rPr>
          <w:i/>
          <w:lang w:val="hu-HU"/>
        </w:rPr>
        <w:t xml:space="preserve">, </w:t>
      </w:r>
      <w:r w:rsidRPr="00D045B3">
        <w:rPr>
          <w:lang w:val="hu-HU"/>
        </w:rPr>
        <w:t>elsőként a leggyakoribb mellékhatás szerepel.</w:t>
      </w:r>
    </w:p>
    <w:p w14:paraId="1E92712C" w14:textId="77777777" w:rsidR="009E12FC" w:rsidRPr="00D045B3" w:rsidRDefault="009E12FC" w:rsidP="009E12FC">
      <w:pPr>
        <w:rPr>
          <w:szCs w:val="22"/>
          <w:lang w:val="hu-HU"/>
        </w:rPr>
      </w:pPr>
    </w:p>
    <w:p w14:paraId="1E92712D" w14:textId="77777777" w:rsidR="00CA7A20" w:rsidRPr="00D045B3" w:rsidRDefault="00CA7A20" w:rsidP="00190CF7">
      <w:pPr>
        <w:pStyle w:val="KeinLeerraum"/>
        <w:rPr>
          <w:rFonts w:ascii="Times New Roman" w:hAnsi="Times New Roman"/>
        </w:rPr>
      </w:pPr>
    </w:p>
    <w:p w14:paraId="1E92712E" w14:textId="77777777" w:rsidR="00CA7A20" w:rsidRPr="00D045B3" w:rsidRDefault="00CA7A20" w:rsidP="00CA7A20">
      <w:pPr>
        <w:pStyle w:val="KeinLeerraum"/>
        <w:rPr>
          <w:rFonts w:ascii="Times New Roman" w:hAnsi="Times New Roman"/>
        </w:rPr>
      </w:pPr>
      <w:r w:rsidRPr="00D045B3">
        <w:rPr>
          <w:rFonts w:ascii="Times New Roman" w:hAnsi="Times New Roman"/>
        </w:rPr>
        <w:t>A  mellékhatásokat, illetve azok gyakoriságát az 1. táblázat ismerteti.</w:t>
      </w:r>
    </w:p>
    <w:p w14:paraId="1E92712F" w14:textId="77777777" w:rsidR="00CA7A20" w:rsidRPr="00D045B3" w:rsidRDefault="00CA7A20" w:rsidP="00190CF7">
      <w:pPr>
        <w:pStyle w:val="KeinLeerraum"/>
        <w:rPr>
          <w:rFonts w:ascii="Times New Roman" w:hAnsi="Times New Roman"/>
        </w:rPr>
      </w:pPr>
    </w:p>
    <w:p w14:paraId="1E927130" w14:textId="77777777" w:rsidR="00CA7A20" w:rsidRPr="00D045B3" w:rsidRDefault="00CA7A20" w:rsidP="0059709C">
      <w:pPr>
        <w:pStyle w:val="KeinLeerraum"/>
        <w:keepNext/>
        <w:rPr>
          <w:rFonts w:ascii="Times New Roman" w:hAnsi="Times New Roman"/>
          <w:b/>
          <w:bCs/>
        </w:rPr>
      </w:pPr>
      <w:r w:rsidRPr="00D045B3">
        <w:rPr>
          <w:rFonts w:ascii="Times New Roman" w:hAnsi="Times New Roman"/>
          <w:b/>
        </w:rPr>
        <w:t xml:space="preserve">1. táblázat A mellékhatások </w:t>
      </w:r>
      <w:r w:rsidRPr="00D045B3">
        <w:rPr>
          <w:rFonts w:ascii="Times New Roman" w:hAnsi="Times New Roman"/>
          <w:b/>
          <w:bCs/>
        </w:rPr>
        <w:t>táblázatos összefoglalása</w:t>
      </w:r>
    </w:p>
    <w:p w14:paraId="1E927131" w14:textId="77777777" w:rsidR="00D0591D" w:rsidRPr="00D045B3" w:rsidRDefault="00D0591D" w:rsidP="0059709C">
      <w:pPr>
        <w:pStyle w:val="KeinLeerraum"/>
        <w:keepNext/>
        <w:rPr>
          <w:rFonts w:ascii="Times New Roman" w:hAnsi="Times New Roman"/>
          <w:b/>
        </w:rPr>
      </w:pPr>
    </w:p>
    <w:tbl>
      <w:tblPr>
        <w:tblW w:w="9072" w:type="dxa"/>
        <w:tblInd w:w="108" w:type="dxa"/>
        <w:tblBorders>
          <w:top w:val="nil"/>
          <w:left w:val="nil"/>
          <w:bottom w:val="nil"/>
          <w:right w:val="nil"/>
        </w:tblBorders>
        <w:tblLayout w:type="fixed"/>
        <w:tblLook w:val="0000" w:firstRow="0" w:lastRow="0" w:firstColumn="0" w:lastColumn="0" w:noHBand="0" w:noVBand="0"/>
      </w:tblPr>
      <w:tblGrid>
        <w:gridCol w:w="2552"/>
        <w:gridCol w:w="6520"/>
      </w:tblGrid>
      <w:tr w:rsidR="00D0591D" w:rsidRPr="00D045B3" w14:paraId="1E927133" w14:textId="77777777" w:rsidTr="00D0591D">
        <w:trPr>
          <w:trHeight w:val="204"/>
        </w:trPr>
        <w:tc>
          <w:tcPr>
            <w:tcW w:w="9072" w:type="dxa"/>
            <w:gridSpan w:val="2"/>
            <w:tcBorders>
              <w:top w:val="single" w:sz="4" w:space="0" w:color="auto"/>
              <w:left w:val="single" w:sz="4" w:space="0" w:color="auto"/>
              <w:bottom w:val="single" w:sz="4" w:space="0" w:color="auto"/>
              <w:right w:val="single" w:sz="4" w:space="0" w:color="auto"/>
            </w:tcBorders>
          </w:tcPr>
          <w:p w14:paraId="1E927132" w14:textId="77777777" w:rsidR="00D0591D" w:rsidRPr="00D045B3" w:rsidRDefault="00D0591D" w:rsidP="0059709C">
            <w:pPr>
              <w:pStyle w:val="KeinLeerraum"/>
              <w:keepNext/>
              <w:rPr>
                <w:rFonts w:ascii="Times New Roman" w:hAnsi="Times New Roman"/>
              </w:rPr>
            </w:pPr>
            <w:r w:rsidRPr="00D045B3">
              <w:rPr>
                <w:rFonts w:ascii="Times New Roman" w:hAnsi="Times New Roman"/>
                <w:b/>
              </w:rPr>
              <w:t>Fertőző betegségek és parazitafertőzések</w:t>
            </w:r>
          </w:p>
        </w:tc>
      </w:tr>
      <w:tr w:rsidR="00D0591D" w:rsidRPr="00D045B3" w14:paraId="1E927136" w14:textId="77777777" w:rsidTr="00D0591D">
        <w:trPr>
          <w:trHeight w:val="383"/>
        </w:trPr>
        <w:tc>
          <w:tcPr>
            <w:tcW w:w="2552" w:type="dxa"/>
            <w:tcBorders>
              <w:top w:val="single" w:sz="4" w:space="0" w:color="auto"/>
              <w:left w:val="single" w:sz="4" w:space="0" w:color="auto"/>
              <w:bottom w:val="single" w:sz="4" w:space="0" w:color="auto"/>
              <w:right w:val="single" w:sz="4" w:space="0" w:color="auto"/>
            </w:tcBorders>
          </w:tcPr>
          <w:p w14:paraId="1E927134" w14:textId="77777777" w:rsidR="00D0591D" w:rsidRPr="00D045B3" w:rsidRDefault="00D0591D" w:rsidP="0059709C">
            <w:pPr>
              <w:pStyle w:val="KeinLeerraum"/>
              <w:keepNext/>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35" w14:textId="77777777" w:rsidR="00D0591D" w:rsidRPr="00D045B3" w:rsidRDefault="00D0591D" w:rsidP="0059709C">
            <w:pPr>
              <w:pStyle w:val="KeinLeerraum"/>
              <w:keepNext/>
              <w:rPr>
                <w:rFonts w:ascii="Times New Roman" w:hAnsi="Times New Roman"/>
              </w:rPr>
            </w:pPr>
            <w:r w:rsidRPr="00D045B3">
              <w:rPr>
                <w:rFonts w:ascii="Times New Roman" w:hAnsi="Times New Roman"/>
              </w:rPr>
              <w:t>Herpes zoster, herpes simplex, nasopharyngitis, pneumonia</w:t>
            </w:r>
            <w:r w:rsidRPr="00D045B3">
              <w:rPr>
                <w:rFonts w:ascii="Times New Roman" w:hAnsi="Times New Roman"/>
                <w:vertAlign w:val="superscript"/>
              </w:rPr>
              <w:t>1</w:t>
            </w:r>
            <w:r w:rsidRPr="00D045B3">
              <w:rPr>
                <w:rFonts w:ascii="Times New Roman" w:hAnsi="Times New Roman"/>
              </w:rPr>
              <w:t xml:space="preserve">, sinusitis, cellulitis, felső légúti fertőzés, influenza, húgyúti fertőzés, gastroenteritis, sepsis </w:t>
            </w:r>
          </w:p>
        </w:tc>
      </w:tr>
      <w:tr w:rsidR="00D0591D" w:rsidRPr="00D045B3" w14:paraId="1E927139" w14:textId="77777777" w:rsidTr="00D0591D">
        <w:trPr>
          <w:trHeight w:val="100"/>
        </w:trPr>
        <w:tc>
          <w:tcPr>
            <w:tcW w:w="2552" w:type="dxa"/>
            <w:tcBorders>
              <w:top w:val="single" w:sz="4" w:space="0" w:color="auto"/>
              <w:left w:val="single" w:sz="4" w:space="0" w:color="auto"/>
              <w:bottom w:val="single" w:sz="4" w:space="0" w:color="auto"/>
              <w:right w:val="single" w:sz="4" w:space="0" w:color="auto"/>
            </w:tcBorders>
          </w:tcPr>
          <w:p w14:paraId="1E927137" w14:textId="77777777" w:rsidR="00D0591D" w:rsidRPr="00D045B3" w:rsidRDefault="00D0591D" w:rsidP="0059709C">
            <w:pPr>
              <w:pStyle w:val="KeinLeerraum"/>
              <w:keepNext/>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38" w14:textId="77777777" w:rsidR="00D0591D" w:rsidRPr="00D045B3" w:rsidRDefault="00D0591D" w:rsidP="0059709C">
            <w:pPr>
              <w:pStyle w:val="KeinLeerraum"/>
              <w:keepNext/>
              <w:rPr>
                <w:rFonts w:ascii="Times New Roman" w:hAnsi="Times New Roman"/>
              </w:rPr>
            </w:pPr>
            <w:r w:rsidRPr="00D045B3">
              <w:rPr>
                <w:rFonts w:ascii="Times New Roman" w:hAnsi="Times New Roman"/>
              </w:rPr>
              <w:t xml:space="preserve">Gombafertőzés </w:t>
            </w:r>
          </w:p>
        </w:tc>
      </w:tr>
      <w:tr w:rsidR="002E6DBA" w:rsidRPr="00D045B3" w14:paraId="1E92713C" w14:textId="77777777" w:rsidTr="002E6DBA">
        <w:trPr>
          <w:trHeight w:val="100"/>
        </w:trPr>
        <w:tc>
          <w:tcPr>
            <w:tcW w:w="2552" w:type="dxa"/>
            <w:tcBorders>
              <w:top w:val="single" w:sz="4" w:space="0" w:color="auto"/>
              <w:left w:val="single" w:sz="4" w:space="0" w:color="auto"/>
              <w:bottom w:val="single" w:sz="4" w:space="0" w:color="auto"/>
              <w:right w:val="single" w:sz="4" w:space="0" w:color="auto"/>
            </w:tcBorders>
          </w:tcPr>
          <w:p w14:paraId="1E92713A" w14:textId="77777777" w:rsidR="002E6DBA" w:rsidRPr="00D045B3" w:rsidRDefault="002E6DBA" w:rsidP="0059709C">
            <w:pPr>
              <w:pStyle w:val="KeinLeerraum"/>
              <w:keepNext/>
              <w:rPr>
                <w:rFonts w:ascii="Times New Roman" w:hAnsi="Times New Roman"/>
                <w:i/>
                <w:iCs/>
              </w:rPr>
            </w:pPr>
            <w:r w:rsidRPr="00D045B3">
              <w:rPr>
                <w:rFonts w:ascii="Times New Roman" w:hAnsi="Times New Roman"/>
                <w:i/>
                <w:iCs/>
              </w:rPr>
              <w:t xml:space="preserve">Nem ismert: </w:t>
            </w:r>
          </w:p>
        </w:tc>
        <w:tc>
          <w:tcPr>
            <w:tcW w:w="6520" w:type="dxa"/>
            <w:tcBorders>
              <w:top w:val="single" w:sz="4" w:space="0" w:color="auto"/>
              <w:left w:val="single" w:sz="4" w:space="0" w:color="auto"/>
              <w:bottom w:val="single" w:sz="4" w:space="0" w:color="auto"/>
              <w:right w:val="single" w:sz="4" w:space="0" w:color="auto"/>
            </w:tcBorders>
          </w:tcPr>
          <w:p w14:paraId="1E92713B" w14:textId="77777777" w:rsidR="002E6DBA" w:rsidRPr="00D045B3" w:rsidRDefault="002E6DBA" w:rsidP="0059709C">
            <w:pPr>
              <w:pStyle w:val="KeinLeerraum"/>
              <w:keepNext/>
              <w:rPr>
                <w:rFonts w:ascii="Times New Roman" w:hAnsi="Times New Roman"/>
              </w:rPr>
            </w:pPr>
            <w:r w:rsidRPr="00D045B3">
              <w:rPr>
                <w:rFonts w:ascii="Times New Roman" w:hAnsi="Times New Roman"/>
              </w:rPr>
              <w:t>Hepatitis B reaktiváció</w:t>
            </w:r>
            <w:r w:rsidR="00E558EC" w:rsidRPr="00D045B3">
              <w:rPr>
                <w:rFonts w:ascii="Times New Roman" w:hAnsi="Times New Roman"/>
              </w:rPr>
              <w:t>*</w:t>
            </w:r>
          </w:p>
        </w:tc>
      </w:tr>
      <w:tr w:rsidR="00CA7A20" w:rsidRPr="00D045B3" w14:paraId="1E92713E"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3D"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Jó-, rosszindulatú és nem meghatározott daganatok (beleértve a cisztákat és polipokat is) </w:t>
            </w:r>
          </w:p>
        </w:tc>
      </w:tr>
      <w:tr w:rsidR="00CA7A20" w:rsidRPr="00D045B3" w14:paraId="1E927141"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3F"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40"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Tumor lízis szindróma </w:t>
            </w:r>
          </w:p>
        </w:tc>
      </w:tr>
      <w:tr w:rsidR="00CA7A20" w:rsidRPr="00D045B3" w14:paraId="1E927144"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42" w14:textId="77777777" w:rsidR="00CA7A20" w:rsidRPr="00D045B3" w:rsidRDefault="00CA7A20" w:rsidP="001079FE">
            <w:pPr>
              <w:autoSpaceDE w:val="0"/>
              <w:autoSpaceDN w:val="0"/>
              <w:adjustRightInd w:val="0"/>
              <w:spacing w:line="240" w:lineRule="auto"/>
              <w:rPr>
                <w:i/>
                <w:iCs/>
                <w:szCs w:val="22"/>
                <w:lang w:val="hu-HU"/>
              </w:rPr>
            </w:pPr>
            <w:r w:rsidRPr="00D045B3">
              <w:rPr>
                <w:i/>
                <w:iCs/>
                <w:szCs w:val="22"/>
                <w:lang w:val="hu-HU"/>
              </w:rPr>
              <w:t>Nem ismert</w:t>
            </w:r>
          </w:p>
        </w:tc>
        <w:tc>
          <w:tcPr>
            <w:tcW w:w="6520" w:type="dxa"/>
          </w:tcPr>
          <w:p w14:paraId="1E927143"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Tumorvérzés/tumornecrosis*</w:t>
            </w:r>
          </w:p>
        </w:tc>
      </w:tr>
      <w:tr w:rsidR="00CA7A20" w:rsidRPr="00D045B3" w14:paraId="1E927146"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072" w:type="dxa"/>
            <w:gridSpan w:val="2"/>
          </w:tcPr>
          <w:p w14:paraId="1E927145" w14:textId="77777777" w:rsidR="00CA7A20" w:rsidRPr="00D045B3" w:rsidRDefault="00CA7A20" w:rsidP="001079FE">
            <w:pPr>
              <w:autoSpaceDE w:val="0"/>
              <w:autoSpaceDN w:val="0"/>
              <w:adjustRightInd w:val="0"/>
              <w:spacing w:line="240" w:lineRule="auto"/>
              <w:rPr>
                <w:szCs w:val="22"/>
                <w:lang w:val="hu-HU"/>
              </w:rPr>
            </w:pPr>
            <w:r w:rsidRPr="00D045B3">
              <w:rPr>
                <w:b/>
                <w:szCs w:val="22"/>
                <w:lang w:val="hu-HU"/>
              </w:rPr>
              <w:t>Immunrendszeri betegségek és tünetek</w:t>
            </w:r>
          </w:p>
        </w:tc>
      </w:tr>
      <w:tr w:rsidR="00CA7A20" w:rsidRPr="00D045B3" w14:paraId="1E927149"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47" w14:textId="77777777" w:rsidR="00CA7A20" w:rsidRPr="00D045B3" w:rsidRDefault="00CA7A20" w:rsidP="001079FE">
            <w:pPr>
              <w:autoSpaceDE w:val="0"/>
              <w:autoSpaceDN w:val="0"/>
              <w:adjustRightInd w:val="0"/>
              <w:spacing w:line="240" w:lineRule="auto"/>
              <w:rPr>
                <w:i/>
                <w:iCs/>
                <w:szCs w:val="22"/>
                <w:lang w:val="hu-HU"/>
              </w:rPr>
            </w:pPr>
            <w:r w:rsidRPr="00D045B3">
              <w:rPr>
                <w:i/>
                <w:iCs/>
                <w:szCs w:val="22"/>
                <w:lang w:val="hu-HU"/>
              </w:rPr>
              <w:t>Nem ismert</w:t>
            </w:r>
          </w:p>
        </w:tc>
        <w:tc>
          <w:tcPr>
            <w:tcW w:w="6520" w:type="dxa"/>
          </w:tcPr>
          <w:p w14:paraId="1E927148"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Anafilaxiás sokk*</w:t>
            </w:r>
          </w:p>
        </w:tc>
      </w:tr>
      <w:tr w:rsidR="00CA7A20" w:rsidRPr="00D045B3" w14:paraId="1E92714B"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4A"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Vérképzőszervi és nyirokrendszeri betegségek és tünetek </w:t>
            </w:r>
          </w:p>
        </w:tc>
      </w:tr>
      <w:tr w:rsidR="00CA7A20" w:rsidRPr="00D045B3" w14:paraId="1E92714E"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4C"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14D"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Neutropenia, thrombocytopenia, anaemia </w:t>
            </w:r>
          </w:p>
        </w:tc>
      </w:tr>
      <w:tr w:rsidR="00CA7A20" w:rsidRPr="00D045B3" w14:paraId="1E927151"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4F"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50"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Pancytopenia, febrilis neutropenia </w:t>
            </w:r>
          </w:p>
        </w:tc>
      </w:tr>
      <w:tr w:rsidR="00CA7A20" w:rsidRPr="00D045B3" w14:paraId="1E927154" w14:textId="77777777" w:rsidTr="001079FE">
        <w:trPr>
          <w:trHeight w:val="230"/>
        </w:trPr>
        <w:tc>
          <w:tcPr>
            <w:tcW w:w="2552" w:type="dxa"/>
            <w:tcBorders>
              <w:top w:val="single" w:sz="4" w:space="0" w:color="auto"/>
              <w:left w:val="single" w:sz="4" w:space="0" w:color="auto"/>
              <w:bottom w:val="single" w:sz="4" w:space="0" w:color="auto"/>
              <w:right w:val="single" w:sz="4" w:space="0" w:color="auto"/>
            </w:tcBorders>
          </w:tcPr>
          <w:p w14:paraId="1E927152"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53"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Thrombocythaemia, lymphopenia, csontvelő depressio, eosinophilia, lymphadenopathia </w:t>
            </w:r>
          </w:p>
        </w:tc>
      </w:tr>
      <w:tr w:rsidR="00CA7A20" w:rsidRPr="00D045B3" w14:paraId="1E927157"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55"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56" w14:textId="4BB33D00" w:rsidR="00CA7A20" w:rsidRPr="00D045B3" w:rsidRDefault="00CA7A20" w:rsidP="001079FE">
            <w:pPr>
              <w:pStyle w:val="KeinLeerraum"/>
              <w:rPr>
                <w:rFonts w:ascii="Times New Roman" w:hAnsi="Times New Roman"/>
              </w:rPr>
            </w:pPr>
            <w:r w:rsidRPr="00D045B3">
              <w:rPr>
                <w:rFonts w:ascii="Times New Roman" w:hAnsi="Times New Roman"/>
              </w:rPr>
              <w:t>Haemolyticus anaemia</w:t>
            </w:r>
            <w:r w:rsidR="00E3347E" w:rsidRPr="00D045B3">
              <w:rPr>
                <w:rFonts w:ascii="Times New Roman" w:hAnsi="Times New Roman"/>
              </w:rPr>
              <w:t>, thromboticus microangiopathia</w:t>
            </w:r>
          </w:p>
        </w:tc>
      </w:tr>
      <w:tr w:rsidR="00CA7A20" w:rsidRPr="00D045B3" w14:paraId="1E927159"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58"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Anyagcsere- és táplálkozási betegségek és tünetek </w:t>
            </w:r>
          </w:p>
        </w:tc>
      </w:tr>
      <w:tr w:rsidR="00CA7A20" w:rsidRPr="00D045B3" w14:paraId="1E92715C"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5A"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5B"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Anorexia </w:t>
            </w:r>
          </w:p>
        </w:tc>
      </w:tr>
      <w:tr w:rsidR="00CA7A20" w:rsidRPr="00D045B3" w14:paraId="1E92715F" w14:textId="77777777" w:rsidTr="001079FE">
        <w:trPr>
          <w:trHeight w:val="360"/>
        </w:trPr>
        <w:tc>
          <w:tcPr>
            <w:tcW w:w="2552" w:type="dxa"/>
            <w:tcBorders>
              <w:top w:val="single" w:sz="4" w:space="0" w:color="auto"/>
              <w:left w:val="single" w:sz="4" w:space="0" w:color="auto"/>
              <w:bottom w:val="single" w:sz="4" w:space="0" w:color="auto"/>
              <w:right w:val="single" w:sz="4" w:space="0" w:color="auto"/>
            </w:tcBorders>
          </w:tcPr>
          <w:p w14:paraId="1E92715D"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5E"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Hypokalaemia, étvágynövekedés, hypophosphataemia, étvágycsökkenés, dehydratio, köszvény, hyperuricaemia, hypercalcaemia, hyperglykaemia, hyponatraemia </w:t>
            </w:r>
          </w:p>
        </w:tc>
      </w:tr>
      <w:tr w:rsidR="00CA7A20" w:rsidRPr="00D045B3" w14:paraId="1E927162"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60"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61"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Hyperkalaemia, hypomagnesaemia </w:t>
            </w:r>
          </w:p>
        </w:tc>
      </w:tr>
      <w:tr w:rsidR="00CA7A20" w:rsidRPr="00D045B3" w14:paraId="1E927164"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63" w14:textId="77777777" w:rsidR="00CA7A20" w:rsidRPr="00D045B3" w:rsidRDefault="00CA7A20" w:rsidP="001079FE">
            <w:pPr>
              <w:pStyle w:val="KeinLeerraum"/>
              <w:keepNext/>
              <w:rPr>
                <w:rFonts w:ascii="Times New Roman" w:hAnsi="Times New Roman"/>
                <w:b/>
              </w:rPr>
            </w:pPr>
            <w:r w:rsidRPr="00D045B3">
              <w:rPr>
                <w:rFonts w:ascii="Times New Roman" w:hAnsi="Times New Roman"/>
                <w:b/>
              </w:rPr>
              <w:t xml:space="preserve">Pszichiátriai kórképek </w:t>
            </w:r>
          </w:p>
        </w:tc>
      </w:tr>
      <w:tr w:rsidR="00CA7A20" w:rsidRPr="00D045B3" w14:paraId="1E927167"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65"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66" w14:textId="77777777" w:rsidR="00CA7A20" w:rsidRPr="00D045B3" w:rsidRDefault="00CA7A20" w:rsidP="001079FE">
            <w:pPr>
              <w:pStyle w:val="KeinLeerraum"/>
              <w:keepNext/>
              <w:rPr>
                <w:rFonts w:ascii="Times New Roman" w:hAnsi="Times New Roman"/>
              </w:rPr>
            </w:pPr>
            <w:r w:rsidRPr="00D045B3">
              <w:rPr>
                <w:rFonts w:ascii="Times New Roman" w:hAnsi="Times New Roman"/>
              </w:rPr>
              <w:t xml:space="preserve">Insomnia </w:t>
            </w:r>
          </w:p>
        </w:tc>
      </w:tr>
      <w:tr w:rsidR="00CA7A20" w:rsidRPr="00D045B3" w14:paraId="1E92716A"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68"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69"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Depresszió, csökkent libidó, szorongás </w:t>
            </w:r>
          </w:p>
        </w:tc>
      </w:tr>
      <w:tr w:rsidR="00CA7A20" w:rsidRPr="00D045B3" w14:paraId="1E92716D"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6B"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6C"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Zavart állapot </w:t>
            </w:r>
          </w:p>
        </w:tc>
      </w:tr>
      <w:tr w:rsidR="00CA7A20" w:rsidRPr="00D045B3" w14:paraId="1E92716F"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6E"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Idegrendszeri betegségek és tünetek </w:t>
            </w:r>
          </w:p>
        </w:tc>
      </w:tr>
      <w:tr w:rsidR="00CA7A20" w:rsidRPr="00D045B3" w14:paraId="1E927172" w14:textId="77777777" w:rsidTr="001079FE">
        <w:trPr>
          <w:trHeight w:val="122"/>
        </w:trPr>
        <w:tc>
          <w:tcPr>
            <w:tcW w:w="2552" w:type="dxa"/>
            <w:tcBorders>
              <w:top w:val="single" w:sz="4" w:space="0" w:color="auto"/>
              <w:left w:val="single" w:sz="4" w:space="0" w:color="auto"/>
              <w:bottom w:val="single" w:sz="4" w:space="0" w:color="auto"/>
              <w:right w:val="single" w:sz="4" w:space="0" w:color="auto"/>
            </w:tcBorders>
          </w:tcPr>
          <w:p w14:paraId="1E927170"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171" w14:textId="77777777" w:rsidR="00CA7A20" w:rsidRPr="00D045B3" w:rsidRDefault="00CA7A20" w:rsidP="001079FE">
            <w:pPr>
              <w:pStyle w:val="KeinLeerraum"/>
              <w:rPr>
                <w:rFonts w:ascii="Times New Roman" w:hAnsi="Times New Roman"/>
              </w:rPr>
            </w:pPr>
            <w:r w:rsidRPr="00D045B3">
              <w:rPr>
                <w:rFonts w:ascii="Times New Roman" w:hAnsi="Times New Roman"/>
              </w:rPr>
              <w:t>Fejfájás</w:t>
            </w:r>
            <w:r w:rsidRPr="00D045B3">
              <w:rPr>
                <w:rFonts w:ascii="Times New Roman" w:hAnsi="Times New Roman"/>
                <w:vertAlign w:val="superscript"/>
              </w:rPr>
              <w:t>2</w:t>
            </w:r>
            <w:r w:rsidRPr="00D045B3">
              <w:rPr>
                <w:rFonts w:ascii="Times New Roman" w:hAnsi="Times New Roman"/>
              </w:rPr>
              <w:t xml:space="preserve"> </w:t>
            </w:r>
          </w:p>
        </w:tc>
      </w:tr>
      <w:tr w:rsidR="00CA7A20" w:rsidRPr="00D045B3" w14:paraId="1E927175"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73"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74"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Szédülés, paraesthesia, az ízérzés zavarai, hypaesthesia </w:t>
            </w:r>
          </w:p>
        </w:tc>
      </w:tr>
      <w:tr w:rsidR="00CA7A20" w:rsidRPr="00D045B3" w14:paraId="1E927178" w14:textId="77777777" w:rsidTr="001079FE">
        <w:trPr>
          <w:trHeight w:val="230"/>
        </w:trPr>
        <w:tc>
          <w:tcPr>
            <w:tcW w:w="2552" w:type="dxa"/>
            <w:tcBorders>
              <w:top w:val="single" w:sz="4" w:space="0" w:color="auto"/>
              <w:left w:val="single" w:sz="4" w:space="0" w:color="auto"/>
              <w:bottom w:val="single" w:sz="4" w:space="0" w:color="auto"/>
              <w:right w:val="single" w:sz="4" w:space="0" w:color="auto"/>
            </w:tcBorders>
          </w:tcPr>
          <w:p w14:paraId="1E927176"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77"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Migrén, aluszékonyság, ájulás, peripheriás neuropathia, memóriazavar, ischias, nyugtalan láb szindróma, tremor, agyvérzés </w:t>
            </w:r>
          </w:p>
        </w:tc>
      </w:tr>
      <w:tr w:rsidR="00CA7A20" w:rsidRPr="00D045B3" w14:paraId="1E92717B"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79"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7A"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A koponyaűri nyomásfokozódás, convulsio, opticus neuritis </w:t>
            </w:r>
          </w:p>
        </w:tc>
      </w:tr>
      <w:tr w:rsidR="00CA7A20" w:rsidRPr="00D045B3" w14:paraId="1E92717E"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7C"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7D"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Cerebralis oedema*</w:t>
            </w:r>
          </w:p>
        </w:tc>
      </w:tr>
      <w:tr w:rsidR="00CA7A20" w:rsidRPr="00D045B3" w14:paraId="1E927180"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7F"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Szembetegségek és szemészeti tünetek </w:t>
            </w:r>
          </w:p>
        </w:tc>
      </w:tr>
      <w:tr w:rsidR="00CA7A20" w:rsidRPr="00D045B3" w14:paraId="1E927183" w14:textId="77777777" w:rsidTr="001079FE">
        <w:trPr>
          <w:trHeight w:val="231"/>
        </w:trPr>
        <w:tc>
          <w:tcPr>
            <w:tcW w:w="2552" w:type="dxa"/>
            <w:tcBorders>
              <w:top w:val="single" w:sz="4" w:space="0" w:color="auto"/>
              <w:left w:val="single" w:sz="4" w:space="0" w:color="auto"/>
              <w:bottom w:val="single" w:sz="4" w:space="0" w:color="auto"/>
              <w:right w:val="single" w:sz="4" w:space="0" w:color="auto"/>
            </w:tcBorders>
          </w:tcPr>
          <w:p w14:paraId="1E927181"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82" w14:textId="77777777" w:rsidR="00CA7A20" w:rsidRPr="00D045B3" w:rsidRDefault="00CA7A20" w:rsidP="001079FE">
            <w:pPr>
              <w:pStyle w:val="KeinLeerraum"/>
              <w:rPr>
                <w:rFonts w:ascii="Times New Roman" w:hAnsi="Times New Roman"/>
              </w:rPr>
            </w:pPr>
            <w:r w:rsidRPr="00D045B3">
              <w:rPr>
                <w:rFonts w:ascii="Times New Roman" w:hAnsi="Times New Roman"/>
              </w:rPr>
              <w:t>Szemhéjödéma, könnyezés, kötőhártya</w:t>
            </w:r>
            <w:r w:rsidRPr="00D045B3">
              <w:rPr>
                <w:rFonts w:ascii="Times New Roman" w:hAnsi="Times New Roman"/>
              </w:rPr>
              <w:noBreakHyphen/>
              <w:t xml:space="preserve">bevérzés, conjunctivitis, szemszárazság, homályos látás </w:t>
            </w:r>
          </w:p>
        </w:tc>
      </w:tr>
      <w:tr w:rsidR="00CA7A20" w:rsidRPr="00D045B3" w14:paraId="1E927186" w14:textId="77777777" w:rsidTr="001079FE">
        <w:trPr>
          <w:trHeight w:val="231"/>
        </w:trPr>
        <w:tc>
          <w:tcPr>
            <w:tcW w:w="2552" w:type="dxa"/>
            <w:tcBorders>
              <w:top w:val="single" w:sz="4" w:space="0" w:color="auto"/>
              <w:left w:val="single" w:sz="4" w:space="0" w:color="auto"/>
              <w:bottom w:val="single" w:sz="4" w:space="0" w:color="auto"/>
              <w:right w:val="single" w:sz="4" w:space="0" w:color="auto"/>
            </w:tcBorders>
          </w:tcPr>
          <w:p w14:paraId="1E927184"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85"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A szem irritációja, a szem fájdalma, orbitaoedema, sclera-bevérzés, retina-bevérzés, blepharitis, maculaödéma </w:t>
            </w:r>
          </w:p>
        </w:tc>
      </w:tr>
      <w:tr w:rsidR="00CA7A20" w:rsidRPr="00D045B3" w14:paraId="1E927189"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87"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88"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Cataracta, glaucoma, papillaoedema </w:t>
            </w:r>
          </w:p>
        </w:tc>
      </w:tr>
      <w:tr w:rsidR="00CA7A20" w:rsidRPr="00D045B3" w14:paraId="1E92718C"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8A"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8B"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Üvegtesti vérzés *</w:t>
            </w:r>
          </w:p>
        </w:tc>
      </w:tr>
      <w:tr w:rsidR="00CA7A20" w:rsidRPr="00D045B3" w14:paraId="1E92718E"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8D"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A fül és az egyensúly-érzékelő szerv betegségei és tünetei </w:t>
            </w:r>
          </w:p>
        </w:tc>
      </w:tr>
      <w:tr w:rsidR="00CA7A20" w:rsidRPr="00D045B3" w14:paraId="1E927191"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8F"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90"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Vertigo, tinnitus, halláscsökkenés </w:t>
            </w:r>
          </w:p>
        </w:tc>
      </w:tr>
      <w:tr w:rsidR="00CA7A20" w:rsidRPr="00D045B3" w14:paraId="1E927193"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92"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Szívbetegségek és a szívvel kapcsolatos tünetek </w:t>
            </w:r>
          </w:p>
        </w:tc>
      </w:tr>
      <w:tr w:rsidR="00CA7A20" w:rsidRPr="00D045B3" w14:paraId="1E927196" w14:textId="77777777" w:rsidTr="001079FE">
        <w:trPr>
          <w:trHeight w:val="122"/>
        </w:trPr>
        <w:tc>
          <w:tcPr>
            <w:tcW w:w="2552" w:type="dxa"/>
            <w:tcBorders>
              <w:top w:val="single" w:sz="4" w:space="0" w:color="auto"/>
              <w:left w:val="single" w:sz="4" w:space="0" w:color="auto"/>
              <w:bottom w:val="single" w:sz="4" w:space="0" w:color="auto"/>
              <w:right w:val="single" w:sz="4" w:space="0" w:color="auto"/>
            </w:tcBorders>
          </w:tcPr>
          <w:p w14:paraId="1E927194"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95" w14:textId="77777777" w:rsidR="00CA7A20" w:rsidRPr="00D045B3" w:rsidRDefault="00CA7A20" w:rsidP="001079FE">
            <w:pPr>
              <w:pStyle w:val="KeinLeerraum"/>
              <w:rPr>
                <w:rFonts w:ascii="Times New Roman" w:hAnsi="Times New Roman"/>
              </w:rPr>
            </w:pPr>
            <w:r w:rsidRPr="00D045B3">
              <w:rPr>
                <w:rFonts w:ascii="Times New Roman" w:hAnsi="Times New Roman"/>
              </w:rPr>
              <w:t>Palpitatio, tachycardia, pangásos szívelégtelenség</w:t>
            </w:r>
            <w:r w:rsidRPr="00D045B3">
              <w:rPr>
                <w:rFonts w:ascii="Times New Roman" w:hAnsi="Times New Roman"/>
                <w:vertAlign w:val="superscript"/>
              </w:rPr>
              <w:t>3</w:t>
            </w:r>
            <w:r w:rsidRPr="00D045B3">
              <w:rPr>
                <w:rFonts w:ascii="Times New Roman" w:hAnsi="Times New Roman"/>
              </w:rPr>
              <w:t xml:space="preserve">, tüdőoedema </w:t>
            </w:r>
          </w:p>
        </w:tc>
      </w:tr>
      <w:tr w:rsidR="00CA7A20" w:rsidRPr="00D045B3" w14:paraId="1E927199" w14:textId="77777777" w:rsidTr="001079FE">
        <w:trPr>
          <w:trHeight w:val="230"/>
        </w:trPr>
        <w:tc>
          <w:tcPr>
            <w:tcW w:w="2552" w:type="dxa"/>
            <w:tcBorders>
              <w:top w:val="single" w:sz="4" w:space="0" w:color="auto"/>
              <w:left w:val="single" w:sz="4" w:space="0" w:color="auto"/>
              <w:bottom w:val="single" w:sz="4" w:space="0" w:color="auto"/>
              <w:right w:val="single" w:sz="4" w:space="0" w:color="auto"/>
            </w:tcBorders>
          </w:tcPr>
          <w:p w14:paraId="1E927197"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98"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Arrhythmia, pitvarfibrilláció, szívmegállás, szívinfarktus, angina pectoris, pericardialis folyadékgyülem </w:t>
            </w:r>
          </w:p>
        </w:tc>
      </w:tr>
      <w:tr w:rsidR="00CA7A20" w:rsidRPr="00D045B3" w14:paraId="1E92719C"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9A"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9B"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Pericarditis*, szívtamponád*</w:t>
            </w:r>
          </w:p>
        </w:tc>
      </w:tr>
      <w:tr w:rsidR="00CA7A20" w:rsidRPr="00D045B3" w14:paraId="1E92719E" w14:textId="77777777" w:rsidTr="001079FE">
        <w:trPr>
          <w:trHeight w:val="121"/>
        </w:trPr>
        <w:tc>
          <w:tcPr>
            <w:tcW w:w="9072" w:type="dxa"/>
            <w:gridSpan w:val="2"/>
            <w:tcBorders>
              <w:top w:val="single" w:sz="4" w:space="0" w:color="auto"/>
              <w:left w:val="single" w:sz="4" w:space="0" w:color="auto"/>
              <w:bottom w:val="single" w:sz="4" w:space="0" w:color="auto"/>
              <w:right w:val="single" w:sz="4" w:space="0" w:color="auto"/>
            </w:tcBorders>
          </w:tcPr>
          <w:p w14:paraId="1E92719D" w14:textId="77777777" w:rsidR="00CA7A20" w:rsidRPr="00D045B3" w:rsidRDefault="00CA7A20" w:rsidP="001079FE">
            <w:pPr>
              <w:pStyle w:val="KeinLeerraum"/>
              <w:rPr>
                <w:rFonts w:ascii="Times New Roman" w:hAnsi="Times New Roman"/>
                <w:b/>
              </w:rPr>
            </w:pPr>
            <w:r w:rsidRPr="00D045B3">
              <w:rPr>
                <w:rFonts w:ascii="Times New Roman" w:hAnsi="Times New Roman"/>
                <w:b/>
              </w:rPr>
              <w:t>Érbetegségek és tünetek</w:t>
            </w:r>
            <w:r w:rsidRPr="00D045B3">
              <w:rPr>
                <w:rFonts w:ascii="Times New Roman" w:hAnsi="Times New Roman"/>
                <w:b/>
                <w:vertAlign w:val="superscript"/>
              </w:rPr>
              <w:t>4</w:t>
            </w:r>
            <w:r w:rsidRPr="00D045B3">
              <w:rPr>
                <w:rFonts w:ascii="Times New Roman" w:hAnsi="Times New Roman"/>
                <w:b/>
              </w:rPr>
              <w:t xml:space="preserve"> </w:t>
            </w:r>
          </w:p>
        </w:tc>
      </w:tr>
      <w:tr w:rsidR="00CA7A20" w:rsidRPr="00D045B3" w14:paraId="1E9271A1"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9F"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A0"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Kipirulás, vérzés </w:t>
            </w:r>
          </w:p>
        </w:tc>
      </w:tr>
      <w:tr w:rsidR="00CA7A20" w:rsidRPr="00D045B3" w14:paraId="1E9271A4"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A2"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A3" w14:textId="77777777" w:rsidR="00CA7A20" w:rsidRPr="00D045B3" w:rsidRDefault="00CA7A20" w:rsidP="001079FE">
            <w:pPr>
              <w:pStyle w:val="KeinLeerraum"/>
              <w:rPr>
                <w:rFonts w:ascii="Times New Roman" w:hAnsi="Times New Roman"/>
              </w:rPr>
            </w:pPr>
            <w:r w:rsidRPr="00D045B3">
              <w:rPr>
                <w:rFonts w:ascii="Times New Roman" w:hAnsi="Times New Roman"/>
              </w:rPr>
              <w:t>Hypertonia, haematoma, subduralis haematoma, végtaghidegség, hypotonia, Raynaud</w:t>
            </w:r>
            <w:r w:rsidRPr="00D045B3">
              <w:rPr>
                <w:rFonts w:ascii="Times New Roman" w:hAnsi="Times New Roman"/>
              </w:rPr>
              <w:noBreakHyphen/>
              <w:t xml:space="preserve">jelenség </w:t>
            </w:r>
          </w:p>
        </w:tc>
      </w:tr>
      <w:tr w:rsidR="00CA7A20" w:rsidRPr="00D045B3" w14:paraId="1E9271A7"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A5"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A6"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Thrombosis/embolia*</w:t>
            </w:r>
          </w:p>
        </w:tc>
      </w:tr>
      <w:tr w:rsidR="00CA7A20" w:rsidRPr="00D045B3" w14:paraId="1E9271A9"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A8"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Légzőrendszeri, mellkasi és mediastinalis betegségek és tünetek </w:t>
            </w:r>
          </w:p>
        </w:tc>
      </w:tr>
      <w:tr w:rsidR="00CA7A20" w:rsidRPr="00D045B3" w14:paraId="1E9271AC"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AA"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AB"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Dyspnoe, orrvérzés, köhögés </w:t>
            </w:r>
          </w:p>
        </w:tc>
      </w:tr>
      <w:tr w:rsidR="00CA7A20" w:rsidRPr="00D045B3" w14:paraId="1E9271AF" w14:textId="77777777" w:rsidTr="001079FE">
        <w:trPr>
          <w:trHeight w:val="122"/>
        </w:trPr>
        <w:tc>
          <w:tcPr>
            <w:tcW w:w="2552" w:type="dxa"/>
            <w:tcBorders>
              <w:top w:val="single" w:sz="4" w:space="0" w:color="auto"/>
              <w:left w:val="single" w:sz="4" w:space="0" w:color="auto"/>
              <w:bottom w:val="single" w:sz="4" w:space="0" w:color="auto"/>
              <w:right w:val="single" w:sz="4" w:space="0" w:color="auto"/>
            </w:tcBorders>
          </w:tcPr>
          <w:p w14:paraId="1E9271AD"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AE" w14:textId="77777777" w:rsidR="00CA7A20" w:rsidRPr="00D045B3" w:rsidRDefault="00CA7A20" w:rsidP="001079FE">
            <w:pPr>
              <w:pStyle w:val="KeinLeerraum"/>
              <w:rPr>
                <w:rFonts w:ascii="Times New Roman" w:hAnsi="Times New Roman"/>
              </w:rPr>
            </w:pPr>
            <w:r w:rsidRPr="00D045B3">
              <w:rPr>
                <w:rFonts w:ascii="Times New Roman" w:hAnsi="Times New Roman"/>
              </w:rPr>
              <w:t>Pleuralis folyadékgyülem</w:t>
            </w:r>
            <w:r w:rsidRPr="00D045B3">
              <w:rPr>
                <w:rFonts w:ascii="Times New Roman" w:hAnsi="Times New Roman"/>
                <w:vertAlign w:val="superscript"/>
              </w:rPr>
              <w:t>5</w:t>
            </w:r>
            <w:r w:rsidRPr="00D045B3">
              <w:rPr>
                <w:rFonts w:ascii="Times New Roman" w:hAnsi="Times New Roman"/>
              </w:rPr>
              <w:t xml:space="preserve">, pharyngolaryngealis fájdalom, pharyngitis </w:t>
            </w:r>
          </w:p>
        </w:tc>
      </w:tr>
      <w:tr w:rsidR="00CA7A20" w:rsidRPr="00D045B3" w14:paraId="1E9271B2"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B0"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B1"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Pleuralis fájdalom, tüdőfibrosis, pulmonalis hypertonia, tüdővérzés </w:t>
            </w:r>
          </w:p>
        </w:tc>
      </w:tr>
      <w:tr w:rsidR="00CA7A20" w:rsidRPr="00D045B3" w14:paraId="1E9271B5"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B3" w14:textId="77777777" w:rsidR="00CA7A20" w:rsidRPr="00D045B3" w:rsidRDefault="00CA7A20" w:rsidP="001079FE">
            <w:pPr>
              <w:pStyle w:val="KeinLeerraum"/>
              <w:rPr>
                <w:rFonts w:ascii="Times New Roman" w:hAnsi="Times New Roman"/>
                <w:i/>
                <w:iCs/>
              </w:rPr>
            </w:pPr>
            <w:r w:rsidRPr="00D045B3">
              <w:rPr>
                <w:rFonts w:ascii="Times New Roman" w:hAnsi="Times New Roman"/>
                <w:i/>
                <w:iCs/>
              </w:rPr>
              <w:t>Nem ismert</w:t>
            </w:r>
          </w:p>
        </w:tc>
        <w:tc>
          <w:tcPr>
            <w:tcW w:w="6520" w:type="dxa"/>
            <w:tcBorders>
              <w:top w:val="single" w:sz="4" w:space="0" w:color="auto"/>
              <w:left w:val="single" w:sz="4" w:space="0" w:color="auto"/>
              <w:bottom w:val="single" w:sz="4" w:space="0" w:color="auto"/>
              <w:right w:val="single" w:sz="4" w:space="0" w:color="auto"/>
            </w:tcBorders>
          </w:tcPr>
          <w:p w14:paraId="1E9271B4" w14:textId="77777777" w:rsidR="00CA7A20" w:rsidRPr="00D045B3" w:rsidRDefault="00CA7A20" w:rsidP="00E558EC">
            <w:pPr>
              <w:pStyle w:val="KeinLeerraum"/>
              <w:rPr>
                <w:rFonts w:ascii="Times New Roman" w:hAnsi="Times New Roman"/>
              </w:rPr>
            </w:pPr>
            <w:r w:rsidRPr="00D045B3">
              <w:rPr>
                <w:rFonts w:ascii="Times New Roman" w:hAnsi="Times New Roman"/>
              </w:rPr>
              <w:t>Akut légzési elégtelenség</w:t>
            </w:r>
            <w:r w:rsidRPr="00D045B3">
              <w:rPr>
                <w:rFonts w:ascii="Times New Roman" w:hAnsi="Times New Roman"/>
                <w:vertAlign w:val="superscript"/>
              </w:rPr>
              <w:t>1</w:t>
            </w:r>
            <w:r w:rsidR="00E558EC" w:rsidRPr="00D045B3">
              <w:rPr>
                <w:rFonts w:ascii="Times New Roman" w:hAnsi="Times New Roman"/>
                <w:vertAlign w:val="superscript"/>
              </w:rPr>
              <w:t>1</w:t>
            </w:r>
            <w:r w:rsidRPr="00D045B3">
              <w:rPr>
                <w:rFonts w:ascii="Times New Roman" w:hAnsi="Times New Roman"/>
              </w:rPr>
              <w:t>*, interstitialis tüdőbetegség*</w:t>
            </w:r>
          </w:p>
        </w:tc>
      </w:tr>
      <w:tr w:rsidR="00CA7A20" w:rsidRPr="00D045B3" w14:paraId="1E9271B7"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B6"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Emésztőrendszeri betegségek és tünetek </w:t>
            </w:r>
          </w:p>
        </w:tc>
      </w:tr>
      <w:tr w:rsidR="00CA7A20" w:rsidRPr="00D045B3" w14:paraId="1E9271BA" w14:textId="77777777" w:rsidTr="001079FE">
        <w:trPr>
          <w:trHeight w:val="122"/>
        </w:trPr>
        <w:tc>
          <w:tcPr>
            <w:tcW w:w="2552" w:type="dxa"/>
            <w:tcBorders>
              <w:top w:val="single" w:sz="4" w:space="0" w:color="auto"/>
              <w:left w:val="single" w:sz="4" w:space="0" w:color="auto"/>
              <w:bottom w:val="single" w:sz="4" w:space="0" w:color="auto"/>
              <w:right w:val="single" w:sz="4" w:space="0" w:color="auto"/>
            </w:tcBorders>
          </w:tcPr>
          <w:p w14:paraId="1E9271B8"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1B9" w14:textId="77777777" w:rsidR="00CA7A20" w:rsidRPr="00D045B3" w:rsidRDefault="00CA7A20" w:rsidP="001079FE">
            <w:pPr>
              <w:pStyle w:val="KeinLeerraum"/>
              <w:rPr>
                <w:rFonts w:ascii="Times New Roman" w:hAnsi="Times New Roman"/>
              </w:rPr>
            </w:pPr>
            <w:r w:rsidRPr="00D045B3">
              <w:rPr>
                <w:rFonts w:ascii="Times New Roman" w:hAnsi="Times New Roman"/>
              </w:rPr>
              <w:t>Hányinger, hasmenés, hányás, dyspepsia, hasi fájdalom</w:t>
            </w:r>
            <w:r w:rsidRPr="00D045B3">
              <w:rPr>
                <w:rFonts w:ascii="Times New Roman" w:hAnsi="Times New Roman"/>
                <w:vertAlign w:val="superscript"/>
              </w:rPr>
              <w:t>6</w:t>
            </w:r>
            <w:r w:rsidRPr="00D045B3">
              <w:rPr>
                <w:rFonts w:ascii="Times New Roman" w:hAnsi="Times New Roman"/>
              </w:rPr>
              <w:t xml:space="preserve"> </w:t>
            </w:r>
          </w:p>
        </w:tc>
      </w:tr>
      <w:tr w:rsidR="00CA7A20" w:rsidRPr="00D045B3" w14:paraId="1E9271BD" w14:textId="77777777" w:rsidTr="001079FE">
        <w:trPr>
          <w:trHeight w:val="230"/>
        </w:trPr>
        <w:tc>
          <w:tcPr>
            <w:tcW w:w="2552" w:type="dxa"/>
            <w:tcBorders>
              <w:top w:val="single" w:sz="4" w:space="0" w:color="auto"/>
              <w:left w:val="single" w:sz="4" w:space="0" w:color="auto"/>
              <w:bottom w:val="single" w:sz="4" w:space="0" w:color="auto"/>
              <w:right w:val="single" w:sz="4" w:space="0" w:color="auto"/>
            </w:tcBorders>
          </w:tcPr>
          <w:p w14:paraId="1E9271BB"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BC" w14:textId="77777777" w:rsidR="00CA7A20" w:rsidRPr="00D045B3" w:rsidRDefault="00CA7A20" w:rsidP="001079FE">
            <w:pPr>
              <w:pStyle w:val="KeinLeerraum"/>
              <w:rPr>
                <w:rFonts w:ascii="Times New Roman" w:hAnsi="Times New Roman"/>
              </w:rPr>
            </w:pPr>
            <w:r w:rsidRPr="00D045B3">
              <w:rPr>
                <w:rFonts w:ascii="Times New Roman" w:hAnsi="Times New Roman"/>
              </w:rPr>
              <w:t>Flatulentia, haspuffadás, gastro</w:t>
            </w:r>
            <w:r w:rsidRPr="00D045B3">
              <w:rPr>
                <w:rFonts w:ascii="Times New Roman" w:hAnsi="Times New Roman"/>
              </w:rPr>
              <w:noBreakHyphen/>
              <w:t xml:space="preserve">oesophagealis reflux, obstipatio, szájszárazság, gastritis </w:t>
            </w:r>
          </w:p>
        </w:tc>
      </w:tr>
      <w:tr w:rsidR="00CA7A20" w:rsidRPr="00D045B3" w14:paraId="1E9271C0" w14:textId="77777777" w:rsidTr="001079FE">
        <w:trPr>
          <w:trHeight w:val="381"/>
        </w:trPr>
        <w:tc>
          <w:tcPr>
            <w:tcW w:w="2552" w:type="dxa"/>
            <w:tcBorders>
              <w:top w:val="single" w:sz="4" w:space="0" w:color="auto"/>
              <w:left w:val="single" w:sz="4" w:space="0" w:color="auto"/>
              <w:bottom w:val="single" w:sz="4" w:space="0" w:color="auto"/>
              <w:right w:val="single" w:sz="4" w:space="0" w:color="auto"/>
            </w:tcBorders>
          </w:tcPr>
          <w:p w14:paraId="1E9271BE"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BF" w14:textId="77777777" w:rsidR="00CA7A20" w:rsidRPr="00D045B3" w:rsidRDefault="00CA7A20" w:rsidP="001079FE">
            <w:pPr>
              <w:pStyle w:val="KeinLeerraum"/>
              <w:rPr>
                <w:rFonts w:ascii="Times New Roman" w:hAnsi="Times New Roman"/>
              </w:rPr>
            </w:pPr>
            <w:r w:rsidRPr="00D045B3">
              <w:rPr>
                <w:rFonts w:ascii="Times New Roman" w:hAnsi="Times New Roman"/>
              </w:rPr>
              <w:t>Stomatitis, szájüregi fekélyek, gastrointestinalis vérzés</w:t>
            </w:r>
            <w:r w:rsidRPr="00D045B3">
              <w:rPr>
                <w:rFonts w:ascii="Times New Roman" w:hAnsi="Times New Roman"/>
                <w:vertAlign w:val="superscript"/>
              </w:rPr>
              <w:t>7</w:t>
            </w:r>
            <w:r w:rsidRPr="00D045B3">
              <w:rPr>
                <w:rFonts w:ascii="Times New Roman" w:hAnsi="Times New Roman"/>
              </w:rPr>
              <w:t xml:space="preserve">, eructatio, melaena, oesophagitis, ascites, gyomorfekély, haematemesis, cheilitis, dysphagia, pancreatitis </w:t>
            </w:r>
          </w:p>
        </w:tc>
      </w:tr>
      <w:tr w:rsidR="00CA7A20" w:rsidRPr="00D045B3" w14:paraId="1E9271C3"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C1"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C2"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Colitis, ileus, gyulladásos bélbetegség </w:t>
            </w:r>
          </w:p>
        </w:tc>
      </w:tr>
      <w:tr w:rsidR="00CA7A20" w:rsidRPr="00D045B3" w14:paraId="1E9271C6"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C4"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C5"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Ileus/bélelzáródás*, gastrointestinalis perforáció*, diverticulitis*, gastricus antralis vascularis ectasia (GAVE)*</w:t>
            </w:r>
          </w:p>
        </w:tc>
      </w:tr>
      <w:tr w:rsidR="00CA7A20" w:rsidRPr="00D045B3" w14:paraId="1E9271C8"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C7"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Máj- és epebetegségek, illetve tünetek </w:t>
            </w:r>
          </w:p>
        </w:tc>
      </w:tr>
      <w:tr w:rsidR="00CA7A20" w:rsidRPr="00D045B3" w14:paraId="1E9271CB"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C9"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CA"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A májenzimek szintjének emelkedése </w:t>
            </w:r>
          </w:p>
        </w:tc>
      </w:tr>
      <w:tr w:rsidR="00CA7A20" w:rsidRPr="00D045B3" w14:paraId="1E9271CE"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CC"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CD"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Hyperbilirubinaemia, hepatitis, icterus </w:t>
            </w:r>
          </w:p>
        </w:tc>
      </w:tr>
      <w:tr w:rsidR="00CA7A20" w:rsidRPr="00D045B3" w14:paraId="1E9271D1" w14:textId="77777777" w:rsidTr="001079FE">
        <w:trPr>
          <w:trHeight w:val="122"/>
        </w:trPr>
        <w:tc>
          <w:tcPr>
            <w:tcW w:w="2552" w:type="dxa"/>
            <w:tcBorders>
              <w:top w:val="single" w:sz="4" w:space="0" w:color="auto"/>
              <w:left w:val="single" w:sz="4" w:space="0" w:color="auto"/>
              <w:bottom w:val="single" w:sz="4" w:space="0" w:color="auto"/>
              <w:right w:val="single" w:sz="4" w:space="0" w:color="auto"/>
            </w:tcBorders>
          </w:tcPr>
          <w:p w14:paraId="1E9271CF"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D0" w14:textId="77777777" w:rsidR="00CA7A20" w:rsidRPr="00D045B3" w:rsidRDefault="00CA7A20" w:rsidP="001079FE">
            <w:pPr>
              <w:pStyle w:val="KeinLeerraum"/>
              <w:rPr>
                <w:rFonts w:ascii="Times New Roman" w:hAnsi="Times New Roman"/>
              </w:rPr>
            </w:pPr>
            <w:r w:rsidRPr="00D045B3">
              <w:rPr>
                <w:rFonts w:ascii="Times New Roman" w:hAnsi="Times New Roman"/>
              </w:rPr>
              <w:t>Májelégtelenség</w:t>
            </w:r>
            <w:r w:rsidRPr="00D045B3">
              <w:rPr>
                <w:rFonts w:ascii="Times New Roman" w:hAnsi="Times New Roman"/>
                <w:vertAlign w:val="superscript"/>
              </w:rPr>
              <w:t>8</w:t>
            </w:r>
            <w:r w:rsidRPr="00D045B3">
              <w:rPr>
                <w:rFonts w:ascii="Times New Roman" w:hAnsi="Times New Roman"/>
              </w:rPr>
              <w:t xml:space="preserve">, májnecrosis </w:t>
            </w:r>
          </w:p>
        </w:tc>
      </w:tr>
      <w:tr w:rsidR="00CA7A20" w:rsidRPr="00D045B3" w14:paraId="1E9271D3"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D2"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A bőr és a bőr alatti szövet betegségei és tünetei </w:t>
            </w:r>
          </w:p>
        </w:tc>
      </w:tr>
      <w:tr w:rsidR="00CA7A20" w:rsidRPr="00D045B3" w14:paraId="1E9271D6"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D4"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1D5"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Periorbitalis oedema, dermatitis/ekzema/bőrkiütés </w:t>
            </w:r>
          </w:p>
        </w:tc>
      </w:tr>
      <w:tr w:rsidR="00CA7A20" w:rsidRPr="00D045B3" w14:paraId="1E9271D9" w14:textId="77777777" w:rsidTr="001079FE">
        <w:trPr>
          <w:trHeight w:val="231"/>
        </w:trPr>
        <w:tc>
          <w:tcPr>
            <w:tcW w:w="2552" w:type="dxa"/>
            <w:tcBorders>
              <w:top w:val="single" w:sz="4" w:space="0" w:color="auto"/>
              <w:left w:val="single" w:sz="4" w:space="0" w:color="auto"/>
              <w:bottom w:val="single" w:sz="4" w:space="0" w:color="auto"/>
              <w:right w:val="single" w:sz="4" w:space="0" w:color="auto"/>
            </w:tcBorders>
          </w:tcPr>
          <w:p w14:paraId="1E9271D7"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D8"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Pruritus, arcoedema, bőrszárazság, erythema, alopecia, éjszakai izzadás, fényérzékenységi reakció </w:t>
            </w:r>
          </w:p>
        </w:tc>
      </w:tr>
      <w:tr w:rsidR="00CA7A20" w:rsidRPr="00D045B3" w14:paraId="1E9271DC" w14:textId="77777777" w:rsidTr="001079FE">
        <w:trPr>
          <w:trHeight w:val="490"/>
        </w:trPr>
        <w:tc>
          <w:tcPr>
            <w:tcW w:w="2552" w:type="dxa"/>
            <w:tcBorders>
              <w:top w:val="single" w:sz="4" w:space="0" w:color="auto"/>
              <w:left w:val="single" w:sz="4" w:space="0" w:color="auto"/>
              <w:bottom w:val="single" w:sz="4" w:space="0" w:color="auto"/>
              <w:right w:val="single" w:sz="4" w:space="0" w:color="auto"/>
            </w:tcBorders>
          </w:tcPr>
          <w:p w14:paraId="1E9271DA"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DB"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Pustulosus bőrkiütés, véraláfutás, fokozott izzadás, urticaria, ecchymosis, bőrvérzések, hypotrichosis, bőr hypopigmentatio, exfoliatív dermatitis, onychoclasia, folliculitis, petechiák, psoriasis, purpura, bőr hyperpigmentatio, bullosus bőrkiütés </w:t>
            </w:r>
          </w:p>
        </w:tc>
      </w:tr>
      <w:tr w:rsidR="00CA7A20" w:rsidRPr="00D045B3" w14:paraId="1E9271DF" w14:textId="77777777" w:rsidTr="001079FE">
        <w:trPr>
          <w:trHeight w:val="490"/>
        </w:trPr>
        <w:tc>
          <w:tcPr>
            <w:tcW w:w="2552" w:type="dxa"/>
            <w:tcBorders>
              <w:top w:val="single" w:sz="4" w:space="0" w:color="auto"/>
              <w:left w:val="single" w:sz="4" w:space="0" w:color="auto"/>
              <w:bottom w:val="single" w:sz="4" w:space="0" w:color="auto"/>
              <w:right w:val="single" w:sz="4" w:space="0" w:color="auto"/>
            </w:tcBorders>
          </w:tcPr>
          <w:p w14:paraId="1E9271DD"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DE" w14:textId="6085C4BC" w:rsidR="00CA7A20" w:rsidRPr="00D045B3" w:rsidRDefault="00CA7A20" w:rsidP="0078378D">
            <w:pPr>
              <w:pStyle w:val="KeinLeerraum"/>
              <w:rPr>
                <w:rFonts w:ascii="Times New Roman" w:hAnsi="Times New Roman"/>
              </w:rPr>
            </w:pPr>
            <w:r w:rsidRPr="00D045B3">
              <w:rPr>
                <w:rFonts w:ascii="Times New Roman" w:hAnsi="Times New Roman"/>
              </w:rPr>
              <w:t>Akut lázas neutrophil dermatosis (Sweet</w:t>
            </w:r>
            <w:r w:rsidRPr="00D045B3">
              <w:rPr>
                <w:rFonts w:ascii="Times New Roman" w:hAnsi="Times New Roman"/>
              </w:rPr>
              <w:noBreakHyphen/>
              <w:t xml:space="preserve">szindróma), a körmök elszíneződése, angiooedema, </w:t>
            </w:r>
            <w:r w:rsidR="0078378D" w:rsidRPr="00D045B3">
              <w:rPr>
                <w:rFonts w:ascii="Times New Roman" w:hAnsi="Times New Roman"/>
              </w:rPr>
              <w:t xml:space="preserve">vesicularis </w:t>
            </w:r>
            <w:r w:rsidRPr="00D045B3">
              <w:rPr>
                <w:rFonts w:ascii="Times New Roman" w:hAnsi="Times New Roman"/>
              </w:rPr>
              <w:t>bőrkiütés, erythema multiforme, leukocytoclasticus vasculitis, Stevens</w:t>
            </w:r>
            <w:r w:rsidRPr="00D045B3">
              <w:rPr>
                <w:rFonts w:ascii="Times New Roman" w:hAnsi="Times New Roman"/>
              </w:rPr>
              <w:noBreakHyphen/>
              <w:t xml:space="preserve">Johnson-szindróma, akut, generalizált exanthematosus pustulosis (AGEP) </w:t>
            </w:r>
          </w:p>
        </w:tc>
      </w:tr>
      <w:tr w:rsidR="00CA7A20" w:rsidRPr="00D045B3" w14:paraId="1E9271E2"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E0"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E1" w14:textId="77777777" w:rsidR="00CA7A20" w:rsidRPr="00D045B3" w:rsidRDefault="00CA7A20" w:rsidP="00190CF7">
            <w:pPr>
              <w:pStyle w:val="Default"/>
              <w:rPr>
                <w:sz w:val="22"/>
                <w:szCs w:val="22"/>
              </w:rPr>
            </w:pPr>
            <w:r w:rsidRPr="00D045B3">
              <w:rPr>
                <w:sz w:val="22"/>
                <w:szCs w:val="22"/>
              </w:rPr>
              <w:t>Palmo</w:t>
            </w:r>
            <w:r w:rsidRPr="00D045B3">
              <w:rPr>
                <w:sz w:val="22"/>
                <w:szCs w:val="22"/>
              </w:rPr>
              <w:noBreakHyphen/>
              <w:t>plantaris erythrodysaesthesia szindróma*, lichenoid keratosis*, lichen planus*, toxicus epidermalis necrolysis*, eosinophiliával és szisztémás tünetekkel járó, gyógyszer okozta kiütés (DRESS)*</w:t>
            </w:r>
            <w:r w:rsidR="002E1526" w:rsidRPr="00D045B3">
              <w:rPr>
                <w:sz w:val="22"/>
                <w:szCs w:val="22"/>
              </w:rPr>
              <w:t>, pseudoporphyria*</w:t>
            </w:r>
            <w:r w:rsidRPr="00D045B3">
              <w:rPr>
                <w:sz w:val="22"/>
                <w:szCs w:val="22"/>
              </w:rPr>
              <w:t xml:space="preserve"> </w:t>
            </w:r>
          </w:p>
        </w:tc>
      </w:tr>
      <w:tr w:rsidR="00CA7A20" w:rsidRPr="00D045B3" w14:paraId="1E9271E4"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E3" w14:textId="77777777" w:rsidR="00CA7A20" w:rsidRPr="00D045B3" w:rsidRDefault="00CA7A20" w:rsidP="001079FE">
            <w:pPr>
              <w:pStyle w:val="KeinLeerraum"/>
              <w:keepNext/>
              <w:rPr>
                <w:rFonts w:ascii="Times New Roman" w:hAnsi="Times New Roman"/>
                <w:b/>
              </w:rPr>
            </w:pPr>
            <w:r w:rsidRPr="00D045B3">
              <w:rPr>
                <w:rFonts w:ascii="Times New Roman" w:hAnsi="Times New Roman"/>
                <w:b/>
              </w:rPr>
              <w:t xml:space="preserve">A csont- és izomrendszer, valamint a kötőszövet betegségei és tünetei </w:t>
            </w:r>
          </w:p>
        </w:tc>
      </w:tr>
      <w:tr w:rsidR="00CA7A20" w:rsidRPr="00D045B3" w14:paraId="1E9271E7" w14:textId="77777777" w:rsidTr="001079FE">
        <w:trPr>
          <w:trHeight w:val="230"/>
        </w:trPr>
        <w:tc>
          <w:tcPr>
            <w:tcW w:w="2552" w:type="dxa"/>
            <w:tcBorders>
              <w:top w:val="single" w:sz="4" w:space="0" w:color="auto"/>
              <w:left w:val="single" w:sz="4" w:space="0" w:color="auto"/>
              <w:bottom w:val="single" w:sz="4" w:space="0" w:color="auto"/>
              <w:right w:val="single" w:sz="4" w:space="0" w:color="auto"/>
            </w:tcBorders>
          </w:tcPr>
          <w:p w14:paraId="1E9271E5" w14:textId="77777777" w:rsidR="00CA7A20" w:rsidRPr="00D045B3" w:rsidRDefault="00CA7A20" w:rsidP="001079FE">
            <w:pPr>
              <w:pStyle w:val="KeinLeerraum"/>
              <w:keepNext/>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1E6" w14:textId="77777777" w:rsidR="00CA7A20" w:rsidRPr="00D045B3" w:rsidRDefault="00CA7A20" w:rsidP="00E558EC">
            <w:pPr>
              <w:pStyle w:val="KeinLeerraum"/>
              <w:keepNext/>
              <w:rPr>
                <w:rFonts w:ascii="Times New Roman" w:hAnsi="Times New Roman"/>
              </w:rPr>
            </w:pPr>
            <w:r w:rsidRPr="00D045B3">
              <w:rPr>
                <w:rFonts w:ascii="Times New Roman" w:hAnsi="Times New Roman"/>
              </w:rPr>
              <w:t>Izomspazmus és görcs, musculoskeletalis fájdalom beleértve a myalgiát</w:t>
            </w:r>
            <w:r w:rsidR="00E558EC" w:rsidRPr="00D045B3">
              <w:rPr>
                <w:rFonts w:ascii="Times New Roman" w:hAnsi="Times New Roman"/>
              </w:rPr>
              <w:t>9</w:t>
            </w:r>
            <w:r w:rsidRPr="00D045B3">
              <w:rPr>
                <w:rFonts w:ascii="Times New Roman" w:hAnsi="Times New Roman"/>
              </w:rPr>
              <w:t>, arthralgiát és a csontfájdalmat</w:t>
            </w:r>
            <w:r w:rsidR="00E558EC" w:rsidRPr="00D045B3">
              <w:rPr>
                <w:rFonts w:ascii="Times New Roman" w:hAnsi="Times New Roman"/>
                <w:vertAlign w:val="superscript"/>
              </w:rPr>
              <w:t>10</w:t>
            </w:r>
            <w:r w:rsidRPr="00D045B3">
              <w:rPr>
                <w:rFonts w:ascii="Times New Roman" w:hAnsi="Times New Roman"/>
              </w:rPr>
              <w:t xml:space="preserve"> </w:t>
            </w:r>
          </w:p>
        </w:tc>
      </w:tr>
      <w:tr w:rsidR="00CA7A20" w:rsidRPr="00D045B3" w14:paraId="1E9271EA"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E8"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1E9"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Ízületi duzzanat </w:t>
            </w:r>
          </w:p>
        </w:tc>
      </w:tr>
      <w:tr w:rsidR="00CA7A20" w:rsidRPr="00D045B3" w14:paraId="1E9271ED"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EB"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EC"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Izom- és ízületi merevség </w:t>
            </w:r>
          </w:p>
        </w:tc>
      </w:tr>
      <w:tr w:rsidR="00CA7A20" w:rsidRPr="00D045B3" w14:paraId="1E9271F0"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EE"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1EF"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Izomgyengeség, arthritis, rhabdomyolysis/myopathia </w:t>
            </w:r>
          </w:p>
        </w:tc>
      </w:tr>
      <w:tr w:rsidR="00CA7A20" w:rsidRPr="00D045B3" w14:paraId="1E9271F3"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F1"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F2"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Avascularis necrosis/csípő necrosis*, retardált növekedés gyermekeknél *</w:t>
            </w:r>
          </w:p>
        </w:tc>
      </w:tr>
      <w:tr w:rsidR="00CA7A20" w:rsidRPr="00D045B3" w14:paraId="1E9271F5"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F4"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Vese- és húgyúti betegségek és tünetek </w:t>
            </w:r>
          </w:p>
        </w:tc>
      </w:tr>
      <w:tr w:rsidR="00CA7A20" w:rsidRPr="00D045B3" w14:paraId="1E9271F8"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1F6"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F7"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Vesefájdalmak, haematuria, akut veseelégtelenség, gyakori vizelés </w:t>
            </w:r>
          </w:p>
        </w:tc>
      </w:tr>
      <w:tr w:rsidR="00CA7A20" w:rsidRPr="00D045B3" w14:paraId="1E9271FB" w14:textId="77777777" w:rsidTr="001079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1F9" w14:textId="77777777" w:rsidR="00CA7A20" w:rsidRPr="00D045B3" w:rsidRDefault="00CA7A20" w:rsidP="001079FE">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1FA" w14:textId="77777777" w:rsidR="00CA7A20" w:rsidRPr="00D045B3" w:rsidRDefault="00CA7A20" w:rsidP="001079FE">
            <w:pPr>
              <w:autoSpaceDE w:val="0"/>
              <w:autoSpaceDN w:val="0"/>
              <w:adjustRightInd w:val="0"/>
              <w:spacing w:line="240" w:lineRule="auto"/>
              <w:rPr>
                <w:szCs w:val="22"/>
                <w:lang w:val="hu-HU"/>
              </w:rPr>
            </w:pPr>
            <w:r w:rsidRPr="00D045B3">
              <w:rPr>
                <w:szCs w:val="22"/>
                <w:lang w:val="hu-HU"/>
              </w:rPr>
              <w:t>Krónikus veseelégtelenség</w:t>
            </w:r>
          </w:p>
        </w:tc>
      </w:tr>
      <w:tr w:rsidR="00CA7A20" w:rsidRPr="00D045B3" w14:paraId="1E9271FD"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1FC"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A nemi szervekkel és az emlőkkel kapcsolatos betegségek és tünetek </w:t>
            </w:r>
          </w:p>
        </w:tc>
      </w:tr>
      <w:tr w:rsidR="00CA7A20" w:rsidRPr="00D045B3" w14:paraId="1E927200" w14:textId="77777777" w:rsidTr="001079FE">
        <w:trPr>
          <w:trHeight w:val="360"/>
        </w:trPr>
        <w:tc>
          <w:tcPr>
            <w:tcW w:w="2552" w:type="dxa"/>
            <w:tcBorders>
              <w:top w:val="single" w:sz="4" w:space="0" w:color="auto"/>
              <w:left w:val="single" w:sz="4" w:space="0" w:color="auto"/>
              <w:bottom w:val="single" w:sz="4" w:space="0" w:color="auto"/>
              <w:right w:val="single" w:sz="4" w:space="0" w:color="auto"/>
            </w:tcBorders>
          </w:tcPr>
          <w:p w14:paraId="1E9271FE"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1FF"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Gynaecomastia, erectilis dysfunctio, menorrhagia, rendszertelen menstruáció, szexuális dysfunctio, emlőbimbó fájdalom, emlő megnagyobbodás, scrotalis oedema </w:t>
            </w:r>
          </w:p>
        </w:tc>
      </w:tr>
      <w:tr w:rsidR="00CA7A20" w:rsidRPr="00D045B3" w14:paraId="1E927203"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01"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202"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Corpus luteum haemorrhagicum/cysta ovarii haemorrhagicum </w:t>
            </w:r>
          </w:p>
        </w:tc>
      </w:tr>
      <w:tr w:rsidR="00CA7A20" w:rsidRPr="00D045B3" w14:paraId="1E927205"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204"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Általános tünetek, az alkalmazás helyén fellépő reakciók </w:t>
            </w:r>
          </w:p>
        </w:tc>
      </w:tr>
      <w:tr w:rsidR="00CA7A20" w:rsidRPr="00D045B3" w14:paraId="1E927208"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06"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207"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Folyadékretenció és oedema, fáradékonyság </w:t>
            </w:r>
          </w:p>
        </w:tc>
      </w:tr>
      <w:tr w:rsidR="00CA7A20" w:rsidRPr="00D045B3" w14:paraId="1E92720B"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09"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20A"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Gyengeség, láz, anasarca, hidegrázás, borzongás </w:t>
            </w:r>
          </w:p>
        </w:tc>
      </w:tr>
      <w:tr w:rsidR="00CA7A20" w:rsidRPr="00D045B3" w14:paraId="1E92720E"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0C"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20D"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Mellkasi fájdalom, rossz közérzet </w:t>
            </w:r>
          </w:p>
        </w:tc>
      </w:tr>
      <w:tr w:rsidR="00CA7A20" w:rsidRPr="00D045B3" w14:paraId="1E927210" w14:textId="77777777" w:rsidTr="001079FE">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20F" w14:textId="77777777" w:rsidR="00CA7A20" w:rsidRPr="00D045B3" w:rsidRDefault="00CA7A20" w:rsidP="001079FE">
            <w:pPr>
              <w:pStyle w:val="KeinLeerraum"/>
              <w:rPr>
                <w:rFonts w:ascii="Times New Roman" w:hAnsi="Times New Roman"/>
                <w:b/>
              </w:rPr>
            </w:pPr>
            <w:r w:rsidRPr="00D045B3">
              <w:rPr>
                <w:rFonts w:ascii="Times New Roman" w:hAnsi="Times New Roman"/>
                <w:b/>
              </w:rPr>
              <w:t xml:space="preserve">Laboratóriumi és egyéb vizsgálatok eredményei </w:t>
            </w:r>
          </w:p>
        </w:tc>
      </w:tr>
      <w:tr w:rsidR="00CA7A20" w:rsidRPr="00D045B3" w14:paraId="1E927213"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11"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212" w14:textId="77777777" w:rsidR="00CA7A20" w:rsidRPr="00D045B3" w:rsidRDefault="00CA7A20" w:rsidP="001079FE">
            <w:pPr>
              <w:pStyle w:val="KeinLeerraum"/>
              <w:rPr>
                <w:rFonts w:ascii="Times New Roman" w:hAnsi="Times New Roman"/>
              </w:rPr>
            </w:pPr>
            <w:r w:rsidRPr="00D045B3">
              <w:rPr>
                <w:rFonts w:ascii="Times New Roman" w:hAnsi="Times New Roman"/>
              </w:rPr>
              <w:t>Testtömeg</w:t>
            </w:r>
            <w:r w:rsidRPr="00D045B3">
              <w:rPr>
                <w:rFonts w:ascii="Times New Roman" w:hAnsi="Times New Roman"/>
              </w:rPr>
              <w:noBreakHyphen/>
              <w:t xml:space="preserve">növekedés </w:t>
            </w:r>
          </w:p>
        </w:tc>
      </w:tr>
      <w:tr w:rsidR="00CA7A20" w:rsidRPr="00D045B3" w14:paraId="1E927216"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14"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215" w14:textId="77777777" w:rsidR="00CA7A20" w:rsidRPr="00D045B3" w:rsidRDefault="00CA7A20" w:rsidP="001079FE">
            <w:pPr>
              <w:pStyle w:val="KeinLeerraum"/>
              <w:rPr>
                <w:rFonts w:ascii="Times New Roman" w:hAnsi="Times New Roman"/>
              </w:rPr>
            </w:pPr>
            <w:r w:rsidRPr="00D045B3">
              <w:rPr>
                <w:rFonts w:ascii="Times New Roman" w:hAnsi="Times New Roman"/>
              </w:rPr>
              <w:t>Testtömeg</w:t>
            </w:r>
            <w:r w:rsidRPr="00D045B3">
              <w:rPr>
                <w:rFonts w:ascii="Times New Roman" w:hAnsi="Times New Roman"/>
              </w:rPr>
              <w:noBreakHyphen/>
              <w:t xml:space="preserve">csökkenés </w:t>
            </w:r>
          </w:p>
        </w:tc>
      </w:tr>
      <w:tr w:rsidR="00CA7A20" w:rsidRPr="00D045B3" w14:paraId="1E927219" w14:textId="77777777" w:rsidTr="001079FE">
        <w:trPr>
          <w:trHeight w:val="359"/>
        </w:trPr>
        <w:tc>
          <w:tcPr>
            <w:tcW w:w="2552" w:type="dxa"/>
            <w:tcBorders>
              <w:top w:val="single" w:sz="4" w:space="0" w:color="auto"/>
              <w:left w:val="single" w:sz="4" w:space="0" w:color="auto"/>
              <w:bottom w:val="single" w:sz="4" w:space="0" w:color="auto"/>
              <w:right w:val="single" w:sz="4" w:space="0" w:color="auto"/>
            </w:tcBorders>
          </w:tcPr>
          <w:p w14:paraId="1E927217"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218" w14:textId="77777777" w:rsidR="00CA7A20" w:rsidRPr="00D045B3" w:rsidRDefault="00CA7A20" w:rsidP="001079FE">
            <w:pPr>
              <w:pStyle w:val="KeinLeerraum"/>
              <w:rPr>
                <w:rFonts w:ascii="Times New Roman" w:hAnsi="Times New Roman"/>
              </w:rPr>
            </w:pPr>
            <w:r w:rsidRPr="00D045B3">
              <w:rPr>
                <w:rFonts w:ascii="Times New Roman" w:hAnsi="Times New Roman"/>
              </w:rPr>
              <w:t>A vér kreatininszint emelkedése, a vér kreatinfoszfokináz</w:t>
            </w:r>
            <w:r w:rsidRPr="00D045B3">
              <w:rPr>
                <w:rFonts w:ascii="Times New Roman" w:hAnsi="Times New Roman"/>
              </w:rPr>
              <w:noBreakHyphen/>
              <w:t>szint emelkedése, a vér laktátdehidrogenáz</w:t>
            </w:r>
            <w:r w:rsidRPr="00D045B3">
              <w:rPr>
                <w:rFonts w:ascii="Times New Roman" w:hAnsi="Times New Roman"/>
              </w:rPr>
              <w:noBreakHyphen/>
              <w:t>szint emelkedése, a vér alkalikus</w:t>
            </w:r>
            <w:r w:rsidRPr="00D045B3">
              <w:rPr>
                <w:rFonts w:ascii="Times New Roman" w:hAnsi="Times New Roman"/>
              </w:rPr>
              <w:noBreakHyphen/>
              <w:t xml:space="preserve">foszfatázszint emelkedése </w:t>
            </w:r>
          </w:p>
        </w:tc>
      </w:tr>
      <w:tr w:rsidR="00CA7A20" w:rsidRPr="00D045B3" w14:paraId="1E92721C" w14:textId="77777777" w:rsidTr="001079FE">
        <w:trPr>
          <w:trHeight w:val="100"/>
        </w:trPr>
        <w:tc>
          <w:tcPr>
            <w:tcW w:w="2552" w:type="dxa"/>
            <w:tcBorders>
              <w:top w:val="single" w:sz="4" w:space="0" w:color="auto"/>
              <w:left w:val="single" w:sz="4" w:space="0" w:color="auto"/>
              <w:bottom w:val="single" w:sz="4" w:space="0" w:color="auto"/>
              <w:right w:val="single" w:sz="4" w:space="0" w:color="auto"/>
            </w:tcBorders>
          </w:tcPr>
          <w:p w14:paraId="1E92721A" w14:textId="77777777" w:rsidR="00CA7A20" w:rsidRPr="00D045B3" w:rsidRDefault="00CA7A20" w:rsidP="001079FE">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21B" w14:textId="77777777" w:rsidR="00CA7A20" w:rsidRPr="00D045B3" w:rsidRDefault="00CA7A20" w:rsidP="001079FE">
            <w:pPr>
              <w:pStyle w:val="KeinLeerraum"/>
              <w:rPr>
                <w:rFonts w:ascii="Times New Roman" w:hAnsi="Times New Roman"/>
              </w:rPr>
            </w:pPr>
            <w:r w:rsidRPr="00D045B3">
              <w:rPr>
                <w:rFonts w:ascii="Times New Roman" w:hAnsi="Times New Roman"/>
              </w:rPr>
              <w:t xml:space="preserve">A vér amilázszint emelkedése </w:t>
            </w:r>
          </w:p>
        </w:tc>
      </w:tr>
    </w:tbl>
    <w:p w14:paraId="1E92721D" w14:textId="77777777" w:rsidR="00CA7A20" w:rsidRPr="00D045B3" w:rsidRDefault="00CA7A20" w:rsidP="00CA7A20">
      <w:pPr>
        <w:pStyle w:val="KeinLeerraum"/>
        <w:tabs>
          <w:tab w:val="left" w:pos="567"/>
        </w:tabs>
        <w:ind w:left="567" w:hanging="567"/>
        <w:rPr>
          <w:rFonts w:ascii="Times New Roman" w:hAnsi="Times New Roman"/>
        </w:rPr>
      </w:pPr>
      <w:r w:rsidRPr="00D045B3">
        <w:rPr>
          <w:rFonts w:ascii="Times New Roman" w:hAnsi="Times New Roman"/>
        </w:rPr>
        <w:t>*</w:t>
      </w:r>
      <w:r w:rsidRPr="00D045B3">
        <w:rPr>
          <w:rFonts w:ascii="Times New Roman" w:hAnsi="Times New Roman"/>
        </w:rPr>
        <w:tab/>
        <w:t>Ezeket a típusú reakciókat elsősorban az imatinibbel a forgalomba hozatalt követően szerzett tapasztalatok alapján jelentették. Ezek közé spontán esetismertetések, valamint folyamatban lévő vizsgálatokból, kiterjesztett gyógyszer</w:t>
      </w:r>
      <w:r w:rsidRPr="00D045B3">
        <w:rPr>
          <w:rFonts w:ascii="Times New Roman" w:hAnsi="Times New Roman"/>
        </w:rPr>
        <w:noBreakHyphen/>
        <w:t>hozzáférési programokból, klinikai farmakológiai vizsgálatokból és nem engedélyezett indikációkban folytatott, feltáró jellegű vizsgálatokból jelentett súlyos mellékhatások tartoznak. Mivel ezeket a reakciókat egy bizonytalan méretű populációból jelentették, a gyakoriságukat nem mindig lehet megbízhatóan megbecsülni vagy az imatinib-expozícióval való oki összefüggést megállapítani.</w:t>
      </w:r>
    </w:p>
    <w:p w14:paraId="1E92721E" w14:textId="77777777" w:rsidR="00CA7A20" w:rsidRPr="00D045B3" w:rsidRDefault="00CA7A20" w:rsidP="00E95370">
      <w:pPr>
        <w:pStyle w:val="KeinLeerraum"/>
        <w:numPr>
          <w:ilvl w:val="0"/>
          <w:numId w:val="1"/>
        </w:numPr>
        <w:ind w:left="567" w:hanging="567"/>
        <w:rPr>
          <w:rFonts w:ascii="Times New Roman" w:hAnsi="Times New Roman"/>
        </w:rPr>
      </w:pPr>
      <w:r w:rsidRPr="00D045B3">
        <w:rPr>
          <w:rFonts w:ascii="Times New Roman" w:hAnsi="Times New Roman"/>
        </w:rPr>
        <w:t>Pneumoniáról a leggyakrabban transzformált CML</w:t>
      </w:r>
      <w:r w:rsidRPr="00D045B3">
        <w:rPr>
          <w:rFonts w:ascii="Times New Roman" w:hAnsi="Times New Roman"/>
        </w:rPr>
        <w:noBreakHyphen/>
        <w:t>ben, valamint GIST</w:t>
      </w:r>
      <w:r w:rsidRPr="00D045B3">
        <w:rPr>
          <w:rFonts w:ascii="Times New Roman" w:hAnsi="Times New Roman"/>
        </w:rPr>
        <w:noBreakHyphen/>
        <w:t xml:space="preserve">ben szenvedő betegeknél számoltak be. </w:t>
      </w:r>
    </w:p>
    <w:p w14:paraId="1E92721F" w14:textId="77777777" w:rsidR="00CA7A20" w:rsidRPr="00D045B3" w:rsidRDefault="00CA7A20" w:rsidP="00CA7A20">
      <w:pPr>
        <w:pStyle w:val="KeinLeerraum"/>
        <w:tabs>
          <w:tab w:val="left" w:pos="567"/>
        </w:tabs>
        <w:rPr>
          <w:rFonts w:ascii="Times New Roman" w:hAnsi="Times New Roman"/>
        </w:rPr>
      </w:pPr>
      <w:r w:rsidRPr="00D045B3">
        <w:rPr>
          <w:rFonts w:ascii="Times New Roman" w:hAnsi="Times New Roman"/>
        </w:rPr>
        <w:t>2</w:t>
      </w:r>
      <w:r w:rsidRPr="00D045B3">
        <w:rPr>
          <w:rFonts w:ascii="Times New Roman" w:hAnsi="Times New Roman"/>
        </w:rPr>
        <w:tab/>
        <w:t>A fejfájás a GIST</w:t>
      </w:r>
      <w:r w:rsidRPr="00D045B3">
        <w:rPr>
          <w:rFonts w:ascii="Times New Roman" w:hAnsi="Times New Roman"/>
        </w:rPr>
        <w:noBreakHyphen/>
        <w:t xml:space="preserve">ben szenvedő betegek esetében volt a leggyakoribb. </w:t>
      </w:r>
    </w:p>
    <w:p w14:paraId="1E927220" w14:textId="06D945C1" w:rsidR="00CA7A20" w:rsidRPr="00D045B3" w:rsidRDefault="00CA7A20" w:rsidP="00CA7A20">
      <w:pPr>
        <w:pStyle w:val="KeinLeerraum"/>
        <w:tabs>
          <w:tab w:val="left" w:pos="567"/>
        </w:tabs>
        <w:ind w:left="567" w:hanging="567"/>
        <w:rPr>
          <w:rFonts w:ascii="Times New Roman" w:hAnsi="Times New Roman"/>
        </w:rPr>
      </w:pPr>
      <w:r w:rsidRPr="00D045B3">
        <w:rPr>
          <w:rFonts w:ascii="Times New Roman" w:hAnsi="Times New Roman"/>
        </w:rPr>
        <w:t>3</w:t>
      </w:r>
      <w:r w:rsidRPr="00D045B3">
        <w:rPr>
          <w:rFonts w:ascii="Times New Roman" w:hAnsi="Times New Roman"/>
        </w:rPr>
        <w:tab/>
        <w:t>Betegévre vetítve gyakrabban figyeltek meg cardialis eseményeket, beleértve a pangásos szívelégtelenséget transzformált CML</w:t>
      </w:r>
      <w:r w:rsidRPr="00D045B3">
        <w:rPr>
          <w:rFonts w:ascii="Times New Roman" w:hAnsi="Times New Roman"/>
        </w:rPr>
        <w:noBreakHyphen/>
        <w:t>ben szenvedő betegeknél, mint krónikus CML-ben szenvedő betegek</w:t>
      </w:r>
      <w:r w:rsidR="0078378D" w:rsidRPr="00D045B3">
        <w:rPr>
          <w:rFonts w:ascii="Times New Roman" w:hAnsi="Times New Roman"/>
        </w:rPr>
        <w:t>nél</w:t>
      </w:r>
      <w:r w:rsidRPr="00D045B3">
        <w:rPr>
          <w:rFonts w:ascii="Times New Roman" w:hAnsi="Times New Roman"/>
        </w:rPr>
        <w:t xml:space="preserve">. </w:t>
      </w:r>
    </w:p>
    <w:p w14:paraId="1E927221" w14:textId="77777777" w:rsidR="00CA7A20" w:rsidRPr="00D045B3" w:rsidRDefault="00CA7A20" w:rsidP="00CA7A20">
      <w:pPr>
        <w:pStyle w:val="KeinLeerraum"/>
        <w:tabs>
          <w:tab w:val="left" w:pos="567"/>
        </w:tabs>
        <w:ind w:left="567" w:hanging="567"/>
        <w:rPr>
          <w:rFonts w:ascii="Times New Roman" w:hAnsi="Times New Roman"/>
        </w:rPr>
      </w:pPr>
      <w:r w:rsidRPr="00D045B3">
        <w:rPr>
          <w:rFonts w:ascii="Times New Roman" w:hAnsi="Times New Roman"/>
        </w:rPr>
        <w:t>4</w:t>
      </w:r>
      <w:r w:rsidRPr="00D045B3">
        <w:rPr>
          <w:rFonts w:ascii="Times New Roman" w:hAnsi="Times New Roman"/>
        </w:rPr>
        <w:tab/>
        <w:t>A kipirulás a GIST</w:t>
      </w:r>
      <w:r w:rsidRPr="00D045B3">
        <w:rPr>
          <w:rFonts w:ascii="Times New Roman" w:hAnsi="Times New Roman"/>
        </w:rPr>
        <w:noBreakHyphen/>
        <w:t>ben, míg a vérzés (haematoma, haemorrhagia) a GIST-ben és a transzformált CML</w:t>
      </w:r>
      <w:r w:rsidRPr="00D045B3">
        <w:rPr>
          <w:rFonts w:ascii="Times New Roman" w:hAnsi="Times New Roman"/>
        </w:rPr>
        <w:noBreakHyphen/>
        <w:t>ben (CML</w:t>
      </w:r>
      <w:r w:rsidRPr="00D045B3">
        <w:rPr>
          <w:rFonts w:ascii="Times New Roman" w:hAnsi="Times New Roman"/>
        </w:rPr>
        <w:noBreakHyphen/>
        <w:t>AP és CML</w:t>
      </w:r>
      <w:r w:rsidRPr="00D045B3">
        <w:rPr>
          <w:rFonts w:ascii="Times New Roman" w:hAnsi="Times New Roman"/>
        </w:rPr>
        <w:noBreakHyphen/>
        <w:t xml:space="preserve">BC) szenvedő betegeknél volt a leggyakoribb. </w:t>
      </w:r>
    </w:p>
    <w:p w14:paraId="1E927222" w14:textId="77777777" w:rsidR="00CA7A20" w:rsidRPr="00D045B3" w:rsidRDefault="00CA7A20" w:rsidP="00CA7A20">
      <w:pPr>
        <w:pStyle w:val="KeinLeerraum"/>
        <w:ind w:left="567" w:hanging="567"/>
        <w:rPr>
          <w:rFonts w:ascii="Times New Roman" w:hAnsi="Times New Roman"/>
        </w:rPr>
      </w:pPr>
      <w:r w:rsidRPr="00D045B3">
        <w:rPr>
          <w:rFonts w:ascii="Times New Roman" w:hAnsi="Times New Roman"/>
        </w:rPr>
        <w:t>5</w:t>
      </w:r>
      <w:r w:rsidRPr="00D045B3">
        <w:rPr>
          <w:rFonts w:ascii="Times New Roman" w:hAnsi="Times New Roman"/>
        </w:rPr>
        <w:tab/>
        <w:t>Pleuralis folyadékgyülemről gyakrabban számoltak be GIST</w:t>
      </w:r>
      <w:r w:rsidRPr="00D045B3">
        <w:rPr>
          <w:rFonts w:ascii="Times New Roman" w:hAnsi="Times New Roman"/>
        </w:rPr>
        <w:noBreakHyphen/>
        <w:t>ben, illetve transzformált CML</w:t>
      </w:r>
      <w:r w:rsidRPr="00D045B3">
        <w:rPr>
          <w:rFonts w:ascii="Times New Roman" w:hAnsi="Times New Roman"/>
        </w:rPr>
        <w:noBreakHyphen/>
        <w:t>ben (CML</w:t>
      </w:r>
      <w:r w:rsidRPr="00D045B3">
        <w:rPr>
          <w:rFonts w:ascii="Times New Roman" w:hAnsi="Times New Roman"/>
        </w:rPr>
        <w:noBreakHyphen/>
        <w:t>AP és CML</w:t>
      </w:r>
      <w:r w:rsidRPr="00D045B3">
        <w:rPr>
          <w:rFonts w:ascii="Times New Roman" w:hAnsi="Times New Roman"/>
        </w:rPr>
        <w:noBreakHyphen/>
        <w:t>BC), mint krónikus CML</w:t>
      </w:r>
      <w:r w:rsidRPr="00D045B3">
        <w:rPr>
          <w:rFonts w:ascii="Times New Roman" w:hAnsi="Times New Roman"/>
        </w:rPr>
        <w:noBreakHyphen/>
        <w:t xml:space="preserve">ben szenvedő betegeknél. </w:t>
      </w:r>
    </w:p>
    <w:p w14:paraId="1E927223" w14:textId="77777777" w:rsidR="00CA7A20" w:rsidRPr="00D045B3" w:rsidRDefault="00CA7A20" w:rsidP="00CA7A20">
      <w:pPr>
        <w:pStyle w:val="KeinLeerraum"/>
        <w:ind w:left="567" w:hanging="567"/>
        <w:rPr>
          <w:rFonts w:ascii="Times New Roman" w:hAnsi="Times New Roman"/>
        </w:rPr>
      </w:pPr>
      <w:r w:rsidRPr="00D045B3">
        <w:rPr>
          <w:rFonts w:ascii="Times New Roman" w:hAnsi="Times New Roman"/>
        </w:rPr>
        <w:t xml:space="preserve">6+7 </w:t>
      </w:r>
      <w:r w:rsidRPr="00D045B3">
        <w:rPr>
          <w:rFonts w:ascii="Times New Roman" w:hAnsi="Times New Roman"/>
        </w:rPr>
        <w:tab/>
        <w:t>Hasfájást és gastrointestinalis vérzést a leggyakrabban GIST</w:t>
      </w:r>
      <w:r w:rsidRPr="00D045B3">
        <w:rPr>
          <w:rFonts w:ascii="Times New Roman" w:hAnsi="Times New Roman"/>
        </w:rPr>
        <w:noBreakHyphen/>
        <w:t xml:space="preserve">ben szenvedő betegeknél figyeltek meg. </w:t>
      </w:r>
    </w:p>
    <w:p w14:paraId="1E927224" w14:textId="77777777" w:rsidR="00CA7A20" w:rsidRPr="00D045B3" w:rsidRDefault="00CA7A20" w:rsidP="00CA7A20">
      <w:pPr>
        <w:pStyle w:val="KeinLeerraum"/>
        <w:tabs>
          <w:tab w:val="left" w:pos="567"/>
        </w:tabs>
        <w:rPr>
          <w:rFonts w:ascii="Times New Roman" w:hAnsi="Times New Roman"/>
        </w:rPr>
      </w:pPr>
      <w:r w:rsidRPr="00D045B3">
        <w:rPr>
          <w:rFonts w:ascii="Times New Roman" w:hAnsi="Times New Roman"/>
        </w:rPr>
        <w:t>8</w:t>
      </w:r>
      <w:r w:rsidRPr="00D045B3">
        <w:rPr>
          <w:rFonts w:ascii="Times New Roman" w:hAnsi="Times New Roman"/>
        </w:rPr>
        <w:tab/>
        <w:t xml:space="preserve">Beszámoltak néhány halálos kimenetelű májelégtelenségről, illetve májnecrosisról. </w:t>
      </w:r>
    </w:p>
    <w:p w14:paraId="1E927225" w14:textId="77777777" w:rsidR="00E558EC" w:rsidRPr="00D045B3" w:rsidRDefault="00CA7A20" w:rsidP="00E558EC">
      <w:pPr>
        <w:spacing w:line="240" w:lineRule="auto"/>
        <w:ind w:left="567" w:hanging="567"/>
        <w:rPr>
          <w:color w:val="000000"/>
          <w:lang w:val="hu-HU"/>
        </w:rPr>
      </w:pPr>
      <w:r w:rsidRPr="00D045B3">
        <w:rPr>
          <w:lang w:val="hu-HU"/>
        </w:rPr>
        <w:t>9</w:t>
      </w:r>
      <w:r w:rsidRPr="00D045B3">
        <w:rPr>
          <w:lang w:val="hu-HU"/>
        </w:rPr>
        <w:tab/>
      </w:r>
      <w:r w:rsidR="00E558EC" w:rsidRPr="00D045B3">
        <w:rPr>
          <w:color w:val="000000"/>
          <w:lang w:val="hu-HU"/>
        </w:rPr>
        <w:t xml:space="preserve">A forgalomba hozatalt követően imatinib terápia ideje alatt vagy a kezelés felfüggesztése után </w:t>
      </w:r>
      <w:r w:rsidR="00E558EC" w:rsidRPr="00D045B3">
        <w:rPr>
          <w:color w:val="000000"/>
          <w:szCs w:val="22"/>
          <w:lang w:val="hu-HU"/>
        </w:rPr>
        <w:t>musculoskeletalis</w:t>
      </w:r>
      <w:r w:rsidR="00E558EC" w:rsidRPr="00D045B3">
        <w:rPr>
          <w:color w:val="000000"/>
          <w:lang w:val="hu-HU"/>
        </w:rPr>
        <w:t xml:space="preserve"> fájdalmat figyeltek meg.</w:t>
      </w:r>
    </w:p>
    <w:p w14:paraId="1E927226" w14:textId="77777777" w:rsidR="00CA7A20" w:rsidRPr="00D045B3" w:rsidRDefault="00E558EC" w:rsidP="00CA7A20">
      <w:pPr>
        <w:pStyle w:val="KeinLeerraum"/>
        <w:tabs>
          <w:tab w:val="left" w:pos="567"/>
        </w:tabs>
        <w:ind w:left="567" w:hanging="567"/>
        <w:rPr>
          <w:rFonts w:ascii="Times New Roman" w:hAnsi="Times New Roman"/>
        </w:rPr>
      </w:pPr>
      <w:r w:rsidRPr="00D045B3">
        <w:rPr>
          <w:rFonts w:ascii="Times New Roman" w:hAnsi="Times New Roman"/>
        </w:rPr>
        <w:t>10</w:t>
      </w:r>
      <w:r w:rsidRPr="00D045B3">
        <w:rPr>
          <w:rFonts w:ascii="Times New Roman" w:hAnsi="Times New Roman"/>
        </w:rPr>
        <w:tab/>
      </w:r>
      <w:r w:rsidR="00CA7A20" w:rsidRPr="00D045B3">
        <w:rPr>
          <w:rFonts w:ascii="Times New Roman" w:hAnsi="Times New Roman"/>
        </w:rPr>
        <w:t>A vázizomzat és a csontrendszer fájdalmát, és ezzel kapcsolatos eseményeket gyakrabban figyeltek meg CML</w:t>
      </w:r>
      <w:r w:rsidR="00CA7A20" w:rsidRPr="00D045B3">
        <w:rPr>
          <w:rFonts w:ascii="Times New Roman" w:hAnsi="Times New Roman"/>
        </w:rPr>
        <w:noBreakHyphen/>
        <w:t>ben, mint GIST</w:t>
      </w:r>
      <w:r w:rsidR="00CA7A20" w:rsidRPr="00D045B3">
        <w:rPr>
          <w:rFonts w:ascii="Times New Roman" w:hAnsi="Times New Roman"/>
        </w:rPr>
        <w:noBreakHyphen/>
        <w:t>ben szenvedő betegeknél.</w:t>
      </w:r>
    </w:p>
    <w:p w14:paraId="1E927227" w14:textId="77777777" w:rsidR="00CA7A20" w:rsidRPr="00D045B3" w:rsidRDefault="00CA7A20" w:rsidP="00190CF7">
      <w:pPr>
        <w:pStyle w:val="KeinLeerraum"/>
        <w:ind w:left="567" w:hanging="567"/>
        <w:rPr>
          <w:rFonts w:ascii="Times New Roman" w:hAnsi="Times New Roman"/>
        </w:rPr>
      </w:pPr>
      <w:r w:rsidRPr="00D045B3">
        <w:rPr>
          <w:rFonts w:ascii="Times New Roman" w:hAnsi="Times New Roman"/>
        </w:rPr>
        <w:t>1</w:t>
      </w:r>
      <w:r w:rsidR="00E558EC" w:rsidRPr="00D045B3">
        <w:rPr>
          <w:rFonts w:ascii="Times New Roman" w:hAnsi="Times New Roman"/>
        </w:rPr>
        <w:t>1</w:t>
      </w:r>
      <w:r w:rsidRPr="00D045B3">
        <w:rPr>
          <w:rFonts w:ascii="Times New Roman" w:hAnsi="Times New Roman"/>
        </w:rPr>
        <w:tab/>
        <w:t>Az előrehaladott betegségben, súlyos fertőzésekben, súlyos neutropeniában és egyéb súlyos kísérőbetegségekben szenvedő betegeknél végzetes kimenetelű esetekről számoltak be.</w:t>
      </w:r>
    </w:p>
    <w:p w14:paraId="1E927228" w14:textId="77777777" w:rsidR="00A868A2" w:rsidRPr="00D045B3" w:rsidRDefault="00A868A2" w:rsidP="00CA41FD">
      <w:pPr>
        <w:pStyle w:val="KeinLeerraum"/>
        <w:rPr>
          <w:rFonts w:ascii="Times New Roman" w:hAnsi="Times New Roman"/>
          <w:u w:val="single"/>
        </w:rPr>
      </w:pPr>
    </w:p>
    <w:p w14:paraId="1E927229" w14:textId="77777777" w:rsidR="009E12FC" w:rsidRPr="00D045B3" w:rsidRDefault="009E12FC" w:rsidP="00E04170">
      <w:pPr>
        <w:pStyle w:val="KeinLeerraum"/>
        <w:keepNext/>
        <w:rPr>
          <w:rFonts w:ascii="Times New Roman" w:hAnsi="Times New Roman"/>
          <w:i/>
          <w:u w:val="single"/>
        </w:rPr>
      </w:pPr>
      <w:r w:rsidRPr="00D045B3">
        <w:rPr>
          <w:rFonts w:ascii="Times New Roman" w:hAnsi="Times New Roman"/>
          <w:i/>
          <w:u w:val="single"/>
        </w:rPr>
        <w:t xml:space="preserve">Laboratóriumi eltérések </w:t>
      </w:r>
    </w:p>
    <w:p w14:paraId="1E92722A" w14:textId="77777777" w:rsidR="009E12FC" w:rsidRPr="00D045B3" w:rsidRDefault="009E12FC" w:rsidP="00E04170">
      <w:pPr>
        <w:pStyle w:val="KeinLeerraum"/>
        <w:keepNext/>
        <w:rPr>
          <w:rFonts w:ascii="Times New Roman" w:hAnsi="Times New Roman"/>
        </w:rPr>
      </w:pPr>
      <w:r w:rsidRPr="00D045B3">
        <w:rPr>
          <w:rFonts w:ascii="Times New Roman" w:hAnsi="Times New Roman"/>
          <w:i/>
          <w:iCs/>
        </w:rPr>
        <w:t xml:space="preserve">Hematológia </w:t>
      </w:r>
    </w:p>
    <w:p w14:paraId="1E92722B" w14:textId="5855AE57" w:rsidR="009E12FC" w:rsidRPr="00D045B3" w:rsidRDefault="009E12FC" w:rsidP="00CA41FD">
      <w:pPr>
        <w:rPr>
          <w:lang w:val="hu-HU"/>
        </w:rPr>
      </w:pPr>
      <w:r w:rsidRPr="00D045B3">
        <w:rPr>
          <w:lang w:val="hu-HU"/>
        </w:rPr>
        <w:t>CML</w:t>
      </w:r>
      <w:r w:rsidRPr="00D045B3">
        <w:rPr>
          <w:lang w:val="hu-HU"/>
        </w:rPr>
        <w:noBreakHyphen/>
        <w:t xml:space="preserve">ben a cytopenia (főképp a neutropenia és thrombocytopenia) valamennyi vizsgálatban folyamatosan jelen volt, és gyakoribbnak tűnt a magas, </w:t>
      </w:r>
      <w:r w:rsidRPr="00D045B3">
        <w:rPr>
          <w:spacing w:val="4"/>
          <w:szCs w:val="22"/>
          <w:u w:val="single"/>
          <w:lang w:val="hu-HU"/>
        </w:rPr>
        <w:t>&gt;</w:t>
      </w:r>
      <w:r w:rsidRPr="00D045B3">
        <w:rPr>
          <w:lang w:val="hu-HU"/>
        </w:rPr>
        <w:t xml:space="preserve"> 750 mg dózisok mellett (I</w:t>
      </w:r>
      <w:r w:rsidR="00622575" w:rsidRPr="00D045B3">
        <w:rPr>
          <w:lang w:val="hu-HU"/>
        </w:rPr>
        <w:t xml:space="preserve">. </w:t>
      </w:r>
      <w:r w:rsidR="00622575" w:rsidRPr="00D045B3">
        <w:rPr>
          <w:rFonts w:eastAsia="Times New Roman"/>
          <w:noProof/>
          <w:snapToGrid/>
          <w:szCs w:val="22"/>
          <w:lang w:val="hu-HU" w:eastAsia="en-US"/>
        </w:rPr>
        <w:t>fázisú</w:t>
      </w:r>
      <w:r w:rsidRPr="00D045B3">
        <w:rPr>
          <w:lang w:val="hu-HU"/>
        </w:rPr>
        <w:t xml:space="preserve"> vizsgálat). A cytopeniák előfordulása azonban egyértelműen függött a betegség stádiumától, mivel 3. vagy 4. fokú neutropenia (ANC </w:t>
      </w:r>
      <w:r w:rsidRPr="00D045B3">
        <w:rPr>
          <w:spacing w:val="4"/>
          <w:szCs w:val="22"/>
          <w:u w:val="single"/>
          <w:lang w:val="hu-HU"/>
        </w:rPr>
        <w:t>&gt;</w:t>
      </w:r>
      <w:r w:rsidRPr="00D045B3">
        <w:rPr>
          <w:lang w:val="hu-HU"/>
        </w:rPr>
        <w:t xml:space="preserve"> 1,0</w:t>
      </w:r>
      <w:r w:rsidRPr="00D045B3">
        <w:rPr>
          <w:szCs w:val="22"/>
          <w:lang w:val="hu-HU"/>
        </w:rPr>
        <w:t> × </w:t>
      </w:r>
      <w:r w:rsidRPr="00D045B3">
        <w:rPr>
          <w:lang w:val="hu-HU"/>
        </w:rPr>
        <w:t>10</w:t>
      </w:r>
      <w:r w:rsidRPr="00D045B3">
        <w:rPr>
          <w:vertAlign w:val="superscript"/>
          <w:lang w:val="hu-HU"/>
        </w:rPr>
        <w:t>9</w:t>
      </w:r>
      <w:r w:rsidRPr="00D045B3">
        <w:rPr>
          <w:lang w:val="hu-HU"/>
        </w:rPr>
        <w:t>/l) és thrombocytopenia (thrombocytaszám &lt; 50</w:t>
      </w:r>
      <w:r w:rsidRPr="00D045B3">
        <w:rPr>
          <w:szCs w:val="22"/>
          <w:lang w:val="hu-HU"/>
        </w:rPr>
        <w:t> × </w:t>
      </w:r>
      <w:r w:rsidRPr="00D045B3">
        <w:rPr>
          <w:lang w:val="hu-HU"/>
        </w:rPr>
        <w:t>10</w:t>
      </w:r>
      <w:r w:rsidRPr="00D045B3">
        <w:rPr>
          <w:vertAlign w:val="superscript"/>
          <w:lang w:val="hu-HU"/>
        </w:rPr>
        <w:t>9</w:t>
      </w:r>
      <w:r w:rsidRPr="00D045B3">
        <w:rPr>
          <w:lang w:val="hu-HU"/>
        </w:rPr>
        <w:t>/l) 4–6</w:t>
      </w:r>
      <w:r w:rsidRPr="00D045B3">
        <w:rPr>
          <w:lang w:val="hu-HU"/>
        </w:rPr>
        <w:noBreakHyphen/>
        <w:t>szor gyakrabban fordult elő blasztos krízisben és akcelerált fázisban (sorrendben 59%</w:t>
      </w:r>
      <w:r w:rsidRPr="00D045B3">
        <w:rPr>
          <w:lang w:val="hu-HU"/>
        </w:rPr>
        <w:noBreakHyphen/>
        <w:t>64%, ill. 44%</w:t>
      </w:r>
      <w:r w:rsidRPr="00D045B3">
        <w:rPr>
          <w:lang w:val="hu-HU"/>
        </w:rPr>
        <w:noBreakHyphen/>
        <w:t>63% a neutropenia, ill. a thrombocytopenia vonatkozásában), összehasonlítva az újonnan diagnosztizált krónikus fázisú CML</w:t>
      </w:r>
      <w:r w:rsidRPr="00D045B3">
        <w:rPr>
          <w:lang w:val="hu-HU"/>
        </w:rPr>
        <w:noBreakHyphen/>
        <w:t>es betegekkel (16,7% neutropenia, ill. 8,9% thrombocytopenia). Újonnan diagnosztizált krónikus fázisú CML</w:t>
      </w:r>
      <w:r w:rsidRPr="00D045B3">
        <w:rPr>
          <w:lang w:val="hu-HU"/>
        </w:rPr>
        <w:noBreakHyphen/>
        <w:t>ben a 4. fokú neutropenia (ANC &lt; 0,5</w:t>
      </w:r>
      <w:r w:rsidRPr="00D045B3">
        <w:rPr>
          <w:szCs w:val="22"/>
          <w:lang w:val="hu-HU"/>
        </w:rPr>
        <w:t> × 1</w:t>
      </w:r>
      <w:r w:rsidRPr="00D045B3">
        <w:rPr>
          <w:lang w:val="hu-HU"/>
        </w:rPr>
        <w:t>0</w:t>
      </w:r>
      <w:r w:rsidRPr="00D045B3">
        <w:rPr>
          <w:vertAlign w:val="superscript"/>
          <w:lang w:val="hu-HU"/>
        </w:rPr>
        <w:t>9</w:t>
      </w:r>
      <w:r w:rsidRPr="00D045B3">
        <w:rPr>
          <w:lang w:val="hu-HU"/>
        </w:rPr>
        <w:t>/l) és thrombocytopenia (thrombocytaszám &lt; 10</w:t>
      </w:r>
      <w:r w:rsidRPr="00D045B3">
        <w:rPr>
          <w:szCs w:val="22"/>
          <w:lang w:val="hu-HU"/>
        </w:rPr>
        <w:t> × </w:t>
      </w:r>
      <w:r w:rsidRPr="00D045B3">
        <w:rPr>
          <w:lang w:val="hu-HU"/>
        </w:rPr>
        <w:t>10</w:t>
      </w:r>
      <w:r w:rsidRPr="00D045B3">
        <w:rPr>
          <w:vertAlign w:val="superscript"/>
          <w:lang w:val="hu-HU"/>
        </w:rPr>
        <w:t>9</w:t>
      </w:r>
      <w:r w:rsidRPr="00D045B3">
        <w:rPr>
          <w:lang w:val="hu-HU"/>
        </w:rPr>
        <w:t>/l) a betegek sorrendben 3,6%</w:t>
      </w:r>
      <w:r w:rsidRPr="00D045B3">
        <w:rPr>
          <w:lang w:val="hu-HU"/>
        </w:rPr>
        <w:noBreakHyphen/>
        <w:t xml:space="preserve">ánál, illetve </w:t>
      </w:r>
      <w:r w:rsidRPr="00D045B3">
        <w:rPr>
          <w:spacing w:val="4"/>
          <w:szCs w:val="22"/>
          <w:u w:val="single"/>
          <w:lang w:val="hu-HU"/>
        </w:rPr>
        <w:t>&gt;</w:t>
      </w:r>
      <w:r w:rsidRPr="00D045B3">
        <w:rPr>
          <w:lang w:val="hu-HU"/>
        </w:rPr>
        <w:t>1%</w:t>
      </w:r>
      <w:r w:rsidRPr="00D045B3">
        <w:rPr>
          <w:lang w:val="hu-HU"/>
        </w:rPr>
        <w:noBreakHyphen/>
        <w:t>ánál volt megfigyelhető. A neutropeniás, ill. thrombocytopeniás időszak medián tartama sorrendben 2–3, ill. 3–4 hét között mozgott. Ezek az események általában a dózis csökkentésével, vagy az imatinib</w:t>
      </w:r>
      <w:r w:rsidR="00E04170" w:rsidRPr="00D045B3">
        <w:rPr>
          <w:lang w:val="hu-HU"/>
        </w:rPr>
        <w:noBreakHyphen/>
      </w:r>
      <w:r w:rsidRPr="00D045B3">
        <w:rPr>
          <w:lang w:val="hu-HU"/>
        </w:rPr>
        <w:t>kezelés megszakításával rendezhetők, de néhány esetben a kezelés végleges elhagyását teszik szükségessé. CML</w:t>
      </w:r>
      <w:r w:rsidRPr="00D045B3">
        <w:rPr>
          <w:lang w:val="hu-HU"/>
        </w:rPr>
        <w:noBreakHyphen/>
        <w:t>es gyermekek esetében a leggyakrabban észlelt toxicitások 3. és 4. fokú cytopeniák voltak, beleértve a neutropeniát, thrombocytopeniát és anaemiát, melyek általában a kezelés első néhány hónapjában alakultak ki.</w:t>
      </w:r>
    </w:p>
    <w:p w14:paraId="1E92722C" w14:textId="77777777" w:rsidR="009E12FC" w:rsidRPr="00D045B3" w:rsidRDefault="009E12FC" w:rsidP="009E12FC">
      <w:pPr>
        <w:pStyle w:val="KeinLeerraum"/>
        <w:rPr>
          <w:rFonts w:ascii="Times New Roman" w:hAnsi="Times New Roman"/>
        </w:rPr>
      </w:pPr>
    </w:p>
    <w:p w14:paraId="1E92722D" w14:textId="77777777" w:rsidR="009E12FC" w:rsidRPr="00D045B3" w:rsidRDefault="009E12FC" w:rsidP="009E12FC">
      <w:pPr>
        <w:pStyle w:val="KeinLeerraum"/>
        <w:rPr>
          <w:rFonts w:ascii="Times New Roman" w:hAnsi="Times New Roman"/>
        </w:rPr>
      </w:pPr>
      <w:r w:rsidRPr="00D045B3">
        <w:rPr>
          <w:rFonts w:ascii="Times New Roman" w:hAnsi="Times New Roman"/>
        </w:rPr>
        <w:t>A nem reszekábilis és/vagy metasztatikus GIST</w:t>
      </w:r>
      <w:r w:rsidRPr="00D045B3">
        <w:rPr>
          <w:rFonts w:ascii="Times New Roman" w:hAnsi="Times New Roman"/>
        </w:rPr>
        <w:noBreakHyphen/>
        <w:t>ben szenvedő betegekkel végzett vizsgálatban 3., ill. 4. fokú anaemiát a betegek 5,4%, ill. 0,7%</w:t>
      </w:r>
      <w:r w:rsidR="00E04170" w:rsidRPr="00D045B3">
        <w:rPr>
          <w:rFonts w:ascii="Times New Roman" w:hAnsi="Times New Roman"/>
        </w:rPr>
        <w:noBreakHyphen/>
      </w:r>
      <w:r w:rsidRPr="00D045B3">
        <w:rPr>
          <w:rFonts w:ascii="Times New Roman" w:hAnsi="Times New Roman"/>
        </w:rPr>
        <w:t>ban jelentettek, ami – legalábbis esetenként – a gastrointestinalis vagy intratumoralis vérzésnek lehetett a következménye. 3., ill. 4. fokú neutropeniát a betegek 7,5%, ill. 2,7%-ában, 3. fokú thrombocytopeniát pedig 0,7%</w:t>
      </w:r>
      <w:r w:rsidRPr="00D045B3">
        <w:rPr>
          <w:rFonts w:ascii="Times New Roman" w:hAnsi="Times New Roman"/>
        </w:rPr>
        <w:noBreakHyphen/>
        <w:t>ban figyeltek meg. Nem volt olyan beteg, akinél 4. fokú thrombocytopeniát észleltek volna. A fehérvérsejt</w:t>
      </w:r>
      <w:r w:rsidRPr="00D045B3">
        <w:rPr>
          <w:rFonts w:ascii="Times New Roman" w:hAnsi="Times New Roman"/>
        </w:rPr>
        <w:noBreakHyphen/>
        <w:t xml:space="preserve">, ill neutrophil sejtszám csökkenése elsősorban a kezelés első 6 hetében fordult elő, később az értékek relatíve stabilizálódtak. </w:t>
      </w:r>
    </w:p>
    <w:p w14:paraId="1E92722E" w14:textId="77777777" w:rsidR="009E12FC" w:rsidRPr="00D045B3" w:rsidRDefault="009E12FC" w:rsidP="009E12FC">
      <w:pPr>
        <w:pStyle w:val="KeinLeerraum"/>
        <w:rPr>
          <w:rFonts w:ascii="Times New Roman" w:hAnsi="Times New Roman"/>
          <w:i/>
          <w:iCs/>
        </w:rPr>
      </w:pPr>
    </w:p>
    <w:p w14:paraId="1E92722F" w14:textId="77777777" w:rsidR="009E12FC" w:rsidRPr="00D045B3" w:rsidRDefault="009E12FC" w:rsidP="009E12FC">
      <w:pPr>
        <w:pStyle w:val="KeinLeerraum"/>
        <w:keepNext/>
        <w:rPr>
          <w:rFonts w:ascii="Times New Roman" w:hAnsi="Times New Roman"/>
        </w:rPr>
      </w:pPr>
      <w:r w:rsidRPr="00D045B3">
        <w:rPr>
          <w:rFonts w:ascii="Times New Roman" w:hAnsi="Times New Roman"/>
          <w:i/>
          <w:iCs/>
        </w:rPr>
        <w:t xml:space="preserve">Biokémia </w:t>
      </w:r>
    </w:p>
    <w:p w14:paraId="1E927230" w14:textId="77777777" w:rsidR="009E12FC" w:rsidRPr="00D045B3" w:rsidRDefault="009E12FC" w:rsidP="00CA41FD">
      <w:pPr>
        <w:pStyle w:val="KeinLeerraum"/>
        <w:rPr>
          <w:rFonts w:ascii="Times New Roman" w:hAnsi="Times New Roman"/>
        </w:rPr>
      </w:pPr>
      <w:r w:rsidRPr="00D045B3">
        <w:rPr>
          <w:rFonts w:ascii="Times New Roman" w:hAnsi="Times New Roman"/>
        </w:rPr>
        <w:t>A transzaminázok (&lt; 5%) vagy a bilirubinszint (&lt; 1%) súlyos fokú emelkedését figyelték meg CML</w:t>
      </w:r>
      <w:r w:rsidRPr="00D045B3">
        <w:rPr>
          <w:rFonts w:ascii="Times New Roman" w:hAnsi="Times New Roman"/>
        </w:rPr>
        <w:noBreakHyphen/>
        <w:t>es betegeknél, ami a dózis csökkentésével vagy a kezelés megszakításával (ezen epizódok medián időtartama egy hét körül volt) általában kezelhető volt. A terápia végleges felfüggesztése (a májfunkciós laboratóriumi eltérések miatt) a CML</w:t>
      </w:r>
      <w:r w:rsidRPr="00D045B3">
        <w:rPr>
          <w:rFonts w:ascii="Times New Roman" w:hAnsi="Times New Roman"/>
        </w:rPr>
        <w:noBreakHyphen/>
        <w:t>es betegek kevesebb mint 1%-ánál következett be. GIST</w:t>
      </w:r>
      <w:r w:rsidRPr="00D045B3">
        <w:rPr>
          <w:rFonts w:ascii="Times New Roman" w:hAnsi="Times New Roman"/>
        </w:rPr>
        <w:noBreakHyphen/>
        <w:t>ben szenvedő betegek (B2222 vizsgálat) 6,8%</w:t>
      </w:r>
      <w:r w:rsidRPr="00D045B3">
        <w:rPr>
          <w:rFonts w:ascii="Times New Roman" w:hAnsi="Times New Roman"/>
        </w:rPr>
        <w:noBreakHyphen/>
        <w:t>ánál figyelték meg a GPT (glutamát</w:t>
      </w:r>
      <w:r w:rsidRPr="00D045B3">
        <w:rPr>
          <w:rFonts w:ascii="Times New Roman" w:hAnsi="Times New Roman"/>
        </w:rPr>
        <w:noBreakHyphen/>
        <w:t>piruvát transzamináz) szint 3. vagy 4. fokú, és 4,8%</w:t>
      </w:r>
      <w:r w:rsidRPr="00D045B3">
        <w:rPr>
          <w:rFonts w:ascii="Times New Roman" w:hAnsi="Times New Roman"/>
        </w:rPr>
        <w:noBreakHyphen/>
        <w:t>nál a GOT (glutaminsav</w:t>
      </w:r>
      <w:r w:rsidRPr="00D045B3">
        <w:rPr>
          <w:rFonts w:ascii="Times New Roman" w:hAnsi="Times New Roman"/>
        </w:rPr>
        <w:noBreakHyphen/>
        <w:t xml:space="preserve">oxálecetsav transzamináz) szint 3. vagy 4. fokú emelkedését. </w:t>
      </w:r>
    </w:p>
    <w:p w14:paraId="1E927231" w14:textId="77777777" w:rsidR="009E12FC" w:rsidRPr="00D045B3" w:rsidRDefault="009E12FC" w:rsidP="009E12FC">
      <w:pPr>
        <w:pStyle w:val="KeinLeerraum"/>
        <w:rPr>
          <w:rFonts w:ascii="Times New Roman" w:hAnsi="Times New Roman"/>
        </w:rPr>
      </w:pPr>
    </w:p>
    <w:p w14:paraId="1E927232"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Előfordult cytolytikus és cholestatikus hepatitis, illetve májelégtelenség, némelyik halálos kimenetellel, közöttük egy betegnél, aki nagy dózisban szedett paracetamolt is. </w:t>
      </w:r>
    </w:p>
    <w:p w14:paraId="1E927233" w14:textId="77777777" w:rsidR="009E12FC" w:rsidRPr="00D045B3" w:rsidRDefault="009E12FC" w:rsidP="009E12FC">
      <w:pPr>
        <w:pStyle w:val="KeinLeerraum"/>
        <w:rPr>
          <w:rFonts w:ascii="Times New Roman" w:hAnsi="Times New Roman"/>
        </w:rPr>
      </w:pPr>
    </w:p>
    <w:p w14:paraId="1E927234" w14:textId="77777777" w:rsidR="0082182F" w:rsidRPr="00D045B3" w:rsidRDefault="0082182F" w:rsidP="0082182F">
      <w:pPr>
        <w:spacing w:line="240" w:lineRule="auto"/>
        <w:rPr>
          <w:color w:val="000000"/>
          <w:u w:val="single"/>
          <w:lang w:val="hu-HU"/>
        </w:rPr>
      </w:pPr>
      <w:r w:rsidRPr="00D045B3">
        <w:rPr>
          <w:color w:val="000000"/>
          <w:u w:val="single"/>
          <w:lang w:val="hu-HU"/>
        </w:rPr>
        <w:t>Néhány kiválasztott mellékhatás leírása</w:t>
      </w:r>
    </w:p>
    <w:p w14:paraId="1E927235" w14:textId="77777777" w:rsidR="0082182F" w:rsidRPr="00D045B3" w:rsidRDefault="0082182F" w:rsidP="0082182F">
      <w:pPr>
        <w:spacing w:line="240" w:lineRule="auto"/>
        <w:rPr>
          <w:i/>
          <w:color w:val="000000"/>
          <w:szCs w:val="22"/>
          <w:u w:val="single"/>
          <w:lang w:val="hu-HU"/>
        </w:rPr>
      </w:pPr>
      <w:r w:rsidRPr="00D045B3">
        <w:rPr>
          <w:i/>
          <w:color w:val="000000"/>
          <w:u w:val="single"/>
          <w:lang w:val="hu-HU"/>
        </w:rPr>
        <w:t>Hepatitis </w:t>
      </w:r>
      <w:r w:rsidRPr="00D045B3">
        <w:rPr>
          <w:i/>
          <w:color w:val="000000"/>
          <w:szCs w:val="22"/>
          <w:u w:val="single"/>
          <w:lang w:val="hu-HU"/>
        </w:rPr>
        <w:t>B reaktiváció</w:t>
      </w:r>
    </w:p>
    <w:p w14:paraId="1E927236" w14:textId="6A0E2668" w:rsidR="0082182F" w:rsidRPr="00D045B3" w:rsidRDefault="0082182F" w:rsidP="0082182F">
      <w:pPr>
        <w:spacing w:line="240" w:lineRule="auto"/>
        <w:rPr>
          <w:szCs w:val="22"/>
          <w:lang w:val="hu-HU"/>
        </w:rPr>
      </w:pPr>
      <w:r w:rsidRPr="00D045B3">
        <w:rPr>
          <w:szCs w:val="22"/>
          <w:lang w:val="hu-HU"/>
        </w:rPr>
        <w:t>A BCR</w:t>
      </w:r>
      <w:r w:rsidRPr="00D045B3">
        <w:rPr>
          <w:szCs w:val="22"/>
          <w:lang w:val="hu-HU"/>
        </w:rPr>
        <w:noBreakHyphen/>
        <w:t>ABL tirozin</w:t>
      </w:r>
      <w:r w:rsidRPr="00D045B3">
        <w:rPr>
          <w:szCs w:val="22"/>
          <w:lang w:val="hu-HU"/>
        </w:rPr>
        <w:noBreakHyphen/>
        <w:t>kináz inhibitorok alkalmazásával kapcsolatban a hepatitis B reaktivációjáról számoltak be Egyes esetekben akut májelégtelenség vagy fulmináns hepatitis alakult ki, amely májtranszplantáció</w:t>
      </w:r>
      <w:r w:rsidR="0078378D" w:rsidRPr="00D045B3">
        <w:rPr>
          <w:szCs w:val="22"/>
          <w:lang w:val="hu-HU"/>
        </w:rPr>
        <w:t>t tett szükségessé</w:t>
      </w:r>
      <w:r w:rsidRPr="00D045B3">
        <w:rPr>
          <w:szCs w:val="22"/>
          <w:lang w:val="hu-HU"/>
        </w:rPr>
        <w:t xml:space="preserve"> vagy halálos kimenetelhez vezetett (lásd 4.4 pont).</w:t>
      </w:r>
    </w:p>
    <w:p w14:paraId="1E927237" w14:textId="77777777" w:rsidR="0082182F" w:rsidRPr="00D045B3" w:rsidRDefault="0082182F" w:rsidP="009E12FC">
      <w:pPr>
        <w:pStyle w:val="KeinLeerraum"/>
        <w:rPr>
          <w:rFonts w:ascii="Times New Roman" w:hAnsi="Times New Roman"/>
        </w:rPr>
      </w:pPr>
    </w:p>
    <w:p w14:paraId="1E927238" w14:textId="77777777" w:rsidR="007E3115" w:rsidRPr="00D045B3" w:rsidRDefault="007E3115" w:rsidP="00CA41FD">
      <w:pPr>
        <w:keepNext/>
        <w:spacing w:line="240" w:lineRule="auto"/>
        <w:rPr>
          <w:u w:val="single"/>
          <w:lang w:val="hu-HU"/>
        </w:rPr>
      </w:pPr>
      <w:r w:rsidRPr="00D045B3">
        <w:rPr>
          <w:u w:val="single"/>
          <w:lang w:val="hu-HU"/>
        </w:rPr>
        <w:t>Feltételezett mellékhatások bejelentése</w:t>
      </w:r>
    </w:p>
    <w:p w14:paraId="1E927239" w14:textId="77777777" w:rsidR="007E3115" w:rsidRPr="00D045B3" w:rsidRDefault="007E3115" w:rsidP="00C52208">
      <w:pPr>
        <w:spacing w:line="240" w:lineRule="auto"/>
        <w:rPr>
          <w:rFonts w:eastAsia="Calibri"/>
          <w:lang w:val="hu-HU"/>
        </w:rPr>
      </w:pPr>
      <w:r w:rsidRPr="00D045B3">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1" w:history="1">
        <w:r w:rsidR="00D277F3" w:rsidRPr="00D045B3">
          <w:rPr>
            <w:rStyle w:val="Hyperlink"/>
            <w:highlight w:val="lightGray"/>
            <w:lang w:val="hu-HU"/>
          </w:rPr>
          <w:t>V. függelékben</w:t>
        </w:r>
      </w:hyperlink>
      <w:r w:rsidR="00D277F3" w:rsidRPr="00D045B3">
        <w:rPr>
          <w:highlight w:val="lightGray"/>
          <w:lang w:val="hu-HU"/>
        </w:rPr>
        <w:t xml:space="preserve"> található </w:t>
      </w:r>
      <w:r w:rsidRPr="00D045B3">
        <w:rPr>
          <w:lang w:val="hu-HU"/>
        </w:rPr>
        <w:t>elérhetőségek valamelyikén keresztül.</w:t>
      </w:r>
    </w:p>
    <w:p w14:paraId="1E92723A" w14:textId="77777777" w:rsidR="007E3115" w:rsidRPr="00D045B3" w:rsidRDefault="007E3115" w:rsidP="009E12FC">
      <w:pPr>
        <w:pStyle w:val="KeinLeerraum"/>
        <w:rPr>
          <w:rFonts w:ascii="Times New Roman" w:hAnsi="Times New Roman"/>
        </w:rPr>
      </w:pPr>
    </w:p>
    <w:p w14:paraId="1E92723B" w14:textId="77777777" w:rsidR="009E12FC" w:rsidRPr="00D045B3" w:rsidRDefault="009E12FC" w:rsidP="00686EB8">
      <w:pPr>
        <w:pStyle w:val="KeinLeerraum"/>
        <w:keepNext/>
        <w:tabs>
          <w:tab w:val="left" w:pos="567"/>
        </w:tabs>
        <w:rPr>
          <w:rFonts w:ascii="Times New Roman" w:hAnsi="Times New Roman"/>
          <w:b/>
        </w:rPr>
      </w:pPr>
      <w:r w:rsidRPr="00D045B3">
        <w:rPr>
          <w:rFonts w:ascii="Times New Roman" w:hAnsi="Times New Roman"/>
          <w:b/>
        </w:rPr>
        <w:t>4.9</w:t>
      </w:r>
      <w:r w:rsidRPr="00D045B3">
        <w:rPr>
          <w:rFonts w:ascii="Times New Roman" w:hAnsi="Times New Roman"/>
          <w:b/>
        </w:rPr>
        <w:tab/>
        <w:t xml:space="preserve">Túladagolás </w:t>
      </w:r>
    </w:p>
    <w:p w14:paraId="1E92723C" w14:textId="77777777" w:rsidR="009E12FC" w:rsidRPr="00D045B3" w:rsidRDefault="009E12FC" w:rsidP="00686EB8">
      <w:pPr>
        <w:pStyle w:val="KeinLeerraum"/>
        <w:keepNext/>
        <w:rPr>
          <w:rFonts w:ascii="Times New Roman" w:hAnsi="Times New Roman"/>
        </w:rPr>
      </w:pPr>
    </w:p>
    <w:p w14:paraId="1E92723D" w14:textId="77777777" w:rsidR="00A342BB" w:rsidRPr="00D045B3" w:rsidRDefault="009E12FC" w:rsidP="00CA41FD">
      <w:pPr>
        <w:pStyle w:val="KeinLeerraum"/>
        <w:rPr>
          <w:rFonts w:ascii="Times New Roman" w:hAnsi="Times New Roman"/>
        </w:rPr>
      </w:pPr>
      <w:r w:rsidRPr="00D045B3">
        <w:rPr>
          <w:rFonts w:ascii="Times New Roman" w:hAnsi="Times New Roman"/>
        </w:rPr>
        <w:t>A javasolt terápiás dózisnál nagyobb adagokkal szerzett tapasztalat korlátozott.</w:t>
      </w:r>
    </w:p>
    <w:p w14:paraId="1E92723E" w14:textId="77777777" w:rsidR="009E12FC" w:rsidRPr="00D045B3" w:rsidRDefault="009E12FC" w:rsidP="00CA41FD">
      <w:pPr>
        <w:pStyle w:val="KeinLeerraum"/>
        <w:rPr>
          <w:rFonts w:ascii="Times New Roman" w:hAnsi="Times New Roman"/>
        </w:rPr>
      </w:pPr>
      <w:r w:rsidRPr="00D045B3">
        <w:rPr>
          <w:rFonts w:ascii="Times New Roman" w:hAnsi="Times New Roman"/>
        </w:rPr>
        <w:t xml:space="preserve">Imatinib túladagolás elszigetelt eseteiről számoltak be spontán bejelentésekben, illetve a szakirodalomban. Túladagolás esetén a beteget megfigyelés alatt kell tartani, és megfelelő tüneti kezelésben kell részesíteni. Ezekben az esetekben a beszámolók szerint a kimenetel általában „javult” vagy „gyógyult” volt. A különböző dózistartományokban jelentett események a következők voltak: </w:t>
      </w:r>
    </w:p>
    <w:p w14:paraId="1E92723F" w14:textId="77777777" w:rsidR="009E12FC" w:rsidRPr="00D045B3" w:rsidRDefault="009E12FC" w:rsidP="009E12FC">
      <w:pPr>
        <w:pStyle w:val="KeinLeerraum"/>
        <w:rPr>
          <w:rFonts w:ascii="Times New Roman" w:hAnsi="Times New Roman"/>
          <w:i/>
          <w:iCs/>
        </w:rPr>
      </w:pPr>
    </w:p>
    <w:p w14:paraId="1E927240" w14:textId="3BE445B7" w:rsidR="009E12FC" w:rsidRPr="00D045B3" w:rsidRDefault="009E12FC" w:rsidP="00E04170">
      <w:pPr>
        <w:pStyle w:val="KeinLeerraum"/>
        <w:keepNext/>
        <w:rPr>
          <w:rFonts w:ascii="Times New Roman" w:hAnsi="Times New Roman"/>
          <w:u w:val="single"/>
        </w:rPr>
      </w:pPr>
      <w:r w:rsidRPr="00D045B3">
        <w:rPr>
          <w:rFonts w:ascii="Times New Roman" w:hAnsi="Times New Roman"/>
          <w:iCs/>
          <w:u w:val="single"/>
        </w:rPr>
        <w:t>Felnőtt</w:t>
      </w:r>
      <w:r w:rsidR="0078378D" w:rsidRPr="00D045B3">
        <w:rPr>
          <w:rFonts w:ascii="Times New Roman" w:hAnsi="Times New Roman"/>
          <w:iCs/>
          <w:u w:val="single"/>
        </w:rPr>
        <w:t>ek</w:t>
      </w:r>
    </w:p>
    <w:p w14:paraId="1E927241" w14:textId="77777777" w:rsidR="009E12FC" w:rsidRPr="00D045B3" w:rsidRDefault="009E12FC" w:rsidP="00CA41FD">
      <w:pPr>
        <w:pStyle w:val="KeinLeerraum"/>
        <w:rPr>
          <w:rFonts w:ascii="Times New Roman" w:hAnsi="Times New Roman"/>
        </w:rPr>
      </w:pPr>
      <w:r w:rsidRPr="00D045B3">
        <w:rPr>
          <w:rFonts w:ascii="Times New Roman" w:hAnsi="Times New Roman"/>
        </w:rPr>
        <w:t>1200</w:t>
      </w:r>
      <w:r w:rsidRPr="00D045B3">
        <w:rPr>
          <w:rFonts w:ascii="Times New Roman" w:hAnsi="Times New Roman"/>
        </w:rPr>
        <w:noBreakHyphen/>
        <w:t>1600 mg (az időtartam 1</w:t>
      </w:r>
      <w:r w:rsidRPr="00D045B3">
        <w:rPr>
          <w:rFonts w:ascii="Times New Roman" w:hAnsi="Times New Roman"/>
        </w:rPr>
        <w:noBreakHyphen/>
      </w:r>
      <w:r w:rsidR="00E04170" w:rsidRPr="00D045B3">
        <w:rPr>
          <w:rFonts w:ascii="Times New Roman" w:hAnsi="Times New Roman"/>
        </w:rPr>
        <w:t>10 </w:t>
      </w:r>
      <w:r w:rsidRPr="00D045B3">
        <w:rPr>
          <w:rFonts w:ascii="Times New Roman" w:hAnsi="Times New Roman"/>
        </w:rPr>
        <w:t xml:space="preserve">nap között változik): hányinger, hányás, hasmenés, bőrkiütés, erythema, oedema, duzzanat, fáradtság, izomspasmus, thrombocytopenia, pancytopenia, hasi fájdalom, fejfájás, étvágycsökkenés. </w:t>
      </w:r>
    </w:p>
    <w:p w14:paraId="1E927242" w14:textId="3F534077" w:rsidR="009E12FC" w:rsidRPr="00D045B3" w:rsidRDefault="009E12FC" w:rsidP="009E12FC">
      <w:pPr>
        <w:pStyle w:val="KeinLeerraum"/>
        <w:rPr>
          <w:rFonts w:ascii="Times New Roman" w:hAnsi="Times New Roman"/>
        </w:rPr>
      </w:pPr>
      <w:r w:rsidRPr="00D045B3">
        <w:rPr>
          <w:rFonts w:ascii="Times New Roman" w:hAnsi="Times New Roman"/>
        </w:rPr>
        <w:t>1800</w:t>
      </w:r>
      <w:r w:rsidRPr="00D045B3">
        <w:rPr>
          <w:rFonts w:ascii="Times New Roman" w:hAnsi="Times New Roman"/>
        </w:rPr>
        <w:noBreakHyphen/>
        <w:t>3200 mg (akár napi 3200 mg 6 napon keresztül): gyengeség, myalgia, emelkedett kreatin</w:t>
      </w:r>
      <w:r w:rsidRPr="00D045B3">
        <w:rPr>
          <w:rFonts w:ascii="Times New Roman" w:hAnsi="Times New Roman"/>
        </w:rPr>
        <w:noBreakHyphen/>
        <w:t>foszfokináz</w:t>
      </w:r>
      <w:r w:rsidR="00E04170" w:rsidRPr="00D045B3">
        <w:rPr>
          <w:rFonts w:ascii="Times New Roman" w:hAnsi="Times New Roman"/>
        </w:rPr>
        <w:noBreakHyphen/>
      </w:r>
      <w:r w:rsidRPr="00D045B3">
        <w:rPr>
          <w:rFonts w:ascii="Times New Roman" w:hAnsi="Times New Roman"/>
        </w:rPr>
        <w:t xml:space="preserve">szint, emelkedett bilirubinszint, gastrointestinalis fájdalom. </w:t>
      </w:r>
    </w:p>
    <w:p w14:paraId="1E927243" w14:textId="77DCFDE7" w:rsidR="009E12FC" w:rsidRPr="00D045B3" w:rsidRDefault="009E12FC" w:rsidP="009E12FC">
      <w:pPr>
        <w:pStyle w:val="KeinLeerraum"/>
        <w:rPr>
          <w:rFonts w:ascii="Times New Roman" w:hAnsi="Times New Roman"/>
        </w:rPr>
      </w:pPr>
      <w:r w:rsidRPr="00D045B3">
        <w:rPr>
          <w:rFonts w:ascii="Times New Roman" w:hAnsi="Times New Roman"/>
        </w:rPr>
        <w:t>6400 mg (egyetlen dózis): A szakirodalomban egy beteg esetéről számoltak be, akinél hányingert, hányást, hasi fájdalmat, lázat, arcdagadást, csökkent neutro</w:t>
      </w:r>
      <w:r w:rsidR="0078378D" w:rsidRPr="00D045B3">
        <w:rPr>
          <w:rFonts w:ascii="Times New Roman" w:hAnsi="Times New Roman"/>
        </w:rPr>
        <w:t>ph</w:t>
      </w:r>
      <w:r w:rsidRPr="00D045B3">
        <w:rPr>
          <w:rFonts w:ascii="Times New Roman" w:hAnsi="Times New Roman"/>
        </w:rPr>
        <w:t>il számot, emelkedett transzamináz</w:t>
      </w:r>
      <w:r w:rsidR="00E04170" w:rsidRPr="00D045B3">
        <w:rPr>
          <w:rFonts w:ascii="Times New Roman" w:hAnsi="Times New Roman"/>
        </w:rPr>
        <w:noBreakHyphen/>
      </w:r>
      <w:r w:rsidRPr="00D045B3">
        <w:rPr>
          <w:rFonts w:ascii="Times New Roman" w:hAnsi="Times New Roman"/>
        </w:rPr>
        <w:t xml:space="preserve">szinteket észleltek. </w:t>
      </w:r>
    </w:p>
    <w:p w14:paraId="1E927244" w14:textId="77777777" w:rsidR="009E12FC" w:rsidRPr="00D045B3" w:rsidRDefault="009E12FC" w:rsidP="009E12FC">
      <w:pPr>
        <w:pStyle w:val="KeinLeerraum"/>
        <w:rPr>
          <w:rFonts w:ascii="Times New Roman" w:hAnsi="Times New Roman"/>
        </w:rPr>
      </w:pPr>
      <w:r w:rsidRPr="00D045B3">
        <w:rPr>
          <w:rFonts w:ascii="Times New Roman" w:hAnsi="Times New Roman"/>
        </w:rPr>
        <w:t>8</w:t>
      </w:r>
      <w:r w:rsidRPr="00D045B3">
        <w:rPr>
          <w:rFonts w:ascii="Times New Roman" w:hAnsi="Times New Roman"/>
        </w:rPr>
        <w:noBreakHyphen/>
        <w:t xml:space="preserve">10 g (egyetlen adag): hányást és gastrointestinalis fájdalmat jelentettek. </w:t>
      </w:r>
    </w:p>
    <w:p w14:paraId="1E927245" w14:textId="77777777" w:rsidR="009E12FC" w:rsidRPr="00D045B3" w:rsidRDefault="009E12FC" w:rsidP="009E12FC">
      <w:pPr>
        <w:pStyle w:val="KeinLeerraum"/>
        <w:rPr>
          <w:rFonts w:ascii="Times New Roman" w:hAnsi="Times New Roman"/>
          <w:i/>
          <w:iCs/>
        </w:rPr>
      </w:pPr>
    </w:p>
    <w:p w14:paraId="1E927246"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iCs/>
          <w:u w:val="single"/>
        </w:rPr>
        <w:t xml:space="preserve">Gyermekek </w:t>
      </w:r>
      <w:r w:rsidR="00E6046F" w:rsidRPr="00D045B3">
        <w:rPr>
          <w:rFonts w:ascii="Times New Roman" w:hAnsi="Times New Roman"/>
          <w:iCs/>
          <w:u w:val="single"/>
        </w:rPr>
        <w:t>és serdülők</w:t>
      </w:r>
    </w:p>
    <w:p w14:paraId="1E927247" w14:textId="77777777" w:rsidR="009E12FC" w:rsidRPr="00D045B3" w:rsidRDefault="009E12FC" w:rsidP="00CA41FD">
      <w:pPr>
        <w:pStyle w:val="KeinLeerraum"/>
        <w:rPr>
          <w:rFonts w:ascii="Times New Roman" w:hAnsi="Times New Roman"/>
        </w:rPr>
      </w:pPr>
      <w:r w:rsidRPr="00D045B3">
        <w:rPr>
          <w:rFonts w:ascii="Times New Roman" w:hAnsi="Times New Roman"/>
        </w:rPr>
        <w:t>Egy 3 éves fiúnál, aki egyetlen 400 mg</w:t>
      </w:r>
      <w:r w:rsidRPr="00D045B3">
        <w:rPr>
          <w:rFonts w:ascii="Times New Roman" w:hAnsi="Times New Roman"/>
        </w:rPr>
        <w:noBreakHyphen/>
        <w:t>os dózist kapott, hányást, hasmenést és étvágytalanságot, egy másik 3 éves fiúnál, aki egyetlen 980 mg</w:t>
      </w:r>
      <w:r w:rsidRPr="00D045B3">
        <w:rPr>
          <w:rFonts w:ascii="Times New Roman" w:hAnsi="Times New Roman"/>
        </w:rPr>
        <w:noBreakHyphen/>
        <w:t xml:space="preserve">os adagot kapott, fehérvérsejtszám csökkenést és hasmenést észleltek. </w:t>
      </w:r>
    </w:p>
    <w:p w14:paraId="1E927248" w14:textId="77777777" w:rsidR="009E12FC" w:rsidRPr="00D045B3" w:rsidRDefault="009E12FC" w:rsidP="009E12FC">
      <w:pPr>
        <w:pStyle w:val="KeinLeerraum"/>
        <w:rPr>
          <w:rFonts w:ascii="Times New Roman" w:hAnsi="Times New Roman"/>
        </w:rPr>
      </w:pPr>
    </w:p>
    <w:p w14:paraId="1E927249"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Túladagolás esetén a beteget megfigyelés alatt kell tartani, és megfelelő szupportív kezelésben kell részesíteni. </w:t>
      </w:r>
    </w:p>
    <w:p w14:paraId="1E92724A" w14:textId="77777777" w:rsidR="009E12FC" w:rsidRPr="00D045B3" w:rsidRDefault="009E12FC" w:rsidP="009E12FC">
      <w:pPr>
        <w:pStyle w:val="KeinLeerraum"/>
        <w:rPr>
          <w:rFonts w:ascii="Times New Roman" w:hAnsi="Times New Roman"/>
        </w:rPr>
      </w:pPr>
    </w:p>
    <w:p w14:paraId="1E92724B" w14:textId="77777777" w:rsidR="009E12FC" w:rsidRPr="00D045B3" w:rsidRDefault="009E12FC" w:rsidP="009E12FC">
      <w:pPr>
        <w:pStyle w:val="KeinLeerraum"/>
        <w:rPr>
          <w:rFonts w:ascii="Times New Roman" w:hAnsi="Times New Roman"/>
        </w:rPr>
      </w:pPr>
    </w:p>
    <w:p w14:paraId="1E92724C" w14:textId="77777777" w:rsidR="009E12FC" w:rsidRPr="00D045B3" w:rsidRDefault="009E12FC" w:rsidP="00686EB8">
      <w:pPr>
        <w:pStyle w:val="KeinLeerraum"/>
        <w:keepNext/>
        <w:tabs>
          <w:tab w:val="left" w:pos="567"/>
        </w:tabs>
        <w:rPr>
          <w:rFonts w:ascii="Times New Roman" w:hAnsi="Times New Roman"/>
          <w:b/>
        </w:rPr>
      </w:pPr>
      <w:r w:rsidRPr="00D045B3">
        <w:rPr>
          <w:rFonts w:ascii="Times New Roman" w:hAnsi="Times New Roman"/>
          <w:b/>
        </w:rPr>
        <w:t>5.</w:t>
      </w:r>
      <w:r w:rsidRPr="00D045B3">
        <w:rPr>
          <w:rFonts w:ascii="Times New Roman" w:hAnsi="Times New Roman"/>
          <w:b/>
        </w:rPr>
        <w:tab/>
        <w:t xml:space="preserve">FARMAKOLÓGIAI TULAJDONSÁGOK </w:t>
      </w:r>
    </w:p>
    <w:p w14:paraId="1E92724D" w14:textId="77777777" w:rsidR="009E12FC" w:rsidRPr="00D045B3" w:rsidRDefault="009E12FC" w:rsidP="00686EB8">
      <w:pPr>
        <w:pStyle w:val="KeinLeerraum"/>
        <w:keepNext/>
        <w:rPr>
          <w:rFonts w:ascii="Times New Roman" w:hAnsi="Times New Roman"/>
        </w:rPr>
      </w:pPr>
    </w:p>
    <w:p w14:paraId="1E92724E" w14:textId="77777777" w:rsidR="009E12FC" w:rsidRPr="00D045B3" w:rsidRDefault="009E12FC" w:rsidP="00686EB8">
      <w:pPr>
        <w:pStyle w:val="KeinLeerraum"/>
        <w:keepNext/>
        <w:tabs>
          <w:tab w:val="left" w:pos="567"/>
        </w:tabs>
        <w:rPr>
          <w:rFonts w:ascii="Times New Roman" w:hAnsi="Times New Roman"/>
          <w:b/>
        </w:rPr>
      </w:pPr>
      <w:r w:rsidRPr="00D045B3">
        <w:rPr>
          <w:rFonts w:ascii="Times New Roman" w:hAnsi="Times New Roman"/>
          <w:b/>
        </w:rPr>
        <w:t>5.1</w:t>
      </w:r>
      <w:r w:rsidRPr="00D045B3">
        <w:rPr>
          <w:rFonts w:ascii="Times New Roman" w:hAnsi="Times New Roman"/>
          <w:b/>
        </w:rPr>
        <w:tab/>
        <w:t xml:space="preserve">Farmakodinámiás tulajdonságok </w:t>
      </w:r>
    </w:p>
    <w:p w14:paraId="1E92724F" w14:textId="77777777" w:rsidR="009E12FC" w:rsidRPr="00D045B3" w:rsidRDefault="009E12FC" w:rsidP="00686EB8">
      <w:pPr>
        <w:pStyle w:val="KeinLeerraum"/>
        <w:keepNext/>
        <w:rPr>
          <w:rFonts w:ascii="Times New Roman" w:hAnsi="Times New Roman"/>
        </w:rPr>
      </w:pPr>
    </w:p>
    <w:p w14:paraId="1E927250" w14:textId="77777777" w:rsidR="009E12FC" w:rsidRPr="00D045B3" w:rsidRDefault="009E12FC" w:rsidP="00686EB8">
      <w:pPr>
        <w:pStyle w:val="KeinLeerraum"/>
        <w:keepNext/>
        <w:rPr>
          <w:rFonts w:ascii="Times New Roman" w:hAnsi="Times New Roman"/>
        </w:rPr>
      </w:pPr>
      <w:r w:rsidRPr="00D045B3">
        <w:rPr>
          <w:rFonts w:ascii="Times New Roman" w:hAnsi="Times New Roman"/>
        </w:rPr>
        <w:t xml:space="preserve">Farmakoterápiás csoport: </w:t>
      </w:r>
      <w:r w:rsidR="00A342BB" w:rsidRPr="00D045B3">
        <w:rPr>
          <w:rFonts w:ascii="Times New Roman" w:hAnsi="Times New Roman"/>
        </w:rPr>
        <w:t xml:space="preserve">daganatellenes szerek, </w:t>
      </w:r>
      <w:r w:rsidRPr="00D045B3">
        <w:rPr>
          <w:rFonts w:ascii="Times New Roman" w:hAnsi="Times New Roman"/>
        </w:rPr>
        <w:t>protein</w:t>
      </w:r>
      <w:r w:rsidR="00B83CF2" w:rsidRPr="00D045B3">
        <w:rPr>
          <w:rFonts w:ascii="Times New Roman" w:hAnsi="Times New Roman"/>
        </w:rPr>
        <w:noBreakHyphen/>
      </w:r>
      <w:r w:rsidRPr="00D045B3">
        <w:rPr>
          <w:rFonts w:ascii="Times New Roman" w:hAnsi="Times New Roman"/>
        </w:rPr>
        <w:t xml:space="preserve">tirozinkináz inhibitor, ATC kód: L01XE01 </w:t>
      </w:r>
    </w:p>
    <w:p w14:paraId="1E927251" w14:textId="77777777" w:rsidR="009E12FC" w:rsidRPr="00D045B3" w:rsidRDefault="009E12FC" w:rsidP="009E12FC">
      <w:pPr>
        <w:pStyle w:val="KeinLeerraum"/>
        <w:rPr>
          <w:rFonts w:ascii="Times New Roman" w:hAnsi="Times New Roman"/>
        </w:rPr>
      </w:pPr>
    </w:p>
    <w:p w14:paraId="1E927252" w14:textId="77777777" w:rsidR="009E12FC" w:rsidRPr="00D045B3" w:rsidRDefault="009E12FC" w:rsidP="008A6837">
      <w:pPr>
        <w:pStyle w:val="KeinLeerraum"/>
        <w:keepNext/>
        <w:rPr>
          <w:rFonts w:ascii="Times New Roman" w:hAnsi="Times New Roman"/>
          <w:u w:val="single"/>
        </w:rPr>
      </w:pPr>
      <w:r w:rsidRPr="00D045B3">
        <w:rPr>
          <w:rFonts w:ascii="Times New Roman" w:hAnsi="Times New Roman"/>
          <w:u w:val="single"/>
        </w:rPr>
        <w:t xml:space="preserve">Hatásmechanizmus </w:t>
      </w:r>
    </w:p>
    <w:p w14:paraId="1E927253" w14:textId="77777777" w:rsidR="009E12FC" w:rsidRPr="00D045B3" w:rsidRDefault="009E12FC" w:rsidP="00CA41FD">
      <w:pPr>
        <w:pStyle w:val="KeinLeerraum"/>
        <w:rPr>
          <w:rFonts w:ascii="Times New Roman" w:hAnsi="Times New Roman"/>
        </w:rPr>
      </w:pPr>
      <w:r w:rsidRPr="00D045B3">
        <w:rPr>
          <w:rFonts w:ascii="Times New Roman" w:hAnsi="Times New Roman"/>
        </w:rPr>
        <w:t>Az imatinib egy kis molekulájú protein</w:t>
      </w:r>
      <w:r w:rsidRPr="00D045B3">
        <w:rPr>
          <w:rFonts w:ascii="Times New Roman" w:hAnsi="Times New Roman"/>
        </w:rPr>
        <w:noBreakHyphen/>
        <w:t>tirozinkináz inhibitor, ami hatékonyan gátolja a Bcr</w:t>
      </w:r>
      <w:r w:rsidRPr="00D045B3">
        <w:rPr>
          <w:rFonts w:ascii="Times New Roman" w:hAnsi="Times New Roman"/>
        </w:rPr>
        <w:noBreakHyphen/>
        <w:t>Abl tirozinkináz (TK), valamint több TK</w:t>
      </w:r>
      <w:r w:rsidRPr="00D045B3">
        <w:rPr>
          <w:rFonts w:ascii="Times New Roman" w:hAnsi="Times New Roman"/>
        </w:rPr>
        <w:noBreakHyphen/>
        <w:t>receptor aktivitását: a Kit</w:t>
      </w:r>
      <w:r w:rsidRPr="00D045B3">
        <w:rPr>
          <w:rFonts w:ascii="Times New Roman" w:hAnsi="Times New Roman"/>
        </w:rPr>
        <w:noBreakHyphen/>
        <w:t>et, az őssejt faktor (SCF) receptorát, amit a c</w:t>
      </w:r>
      <w:r w:rsidRPr="00D045B3">
        <w:rPr>
          <w:rFonts w:ascii="Times New Roman" w:hAnsi="Times New Roman"/>
        </w:rPr>
        <w:noBreakHyphen/>
        <w:t>Kit protoonkogén kódol, a diszkoidin domén receptorokat (DDR1 és DDR2), a kolónia stimuláló faktor receptort (CSF</w:t>
      </w:r>
      <w:r w:rsidRPr="00D045B3">
        <w:rPr>
          <w:rFonts w:ascii="Times New Roman" w:hAnsi="Times New Roman"/>
        </w:rPr>
        <w:noBreakHyphen/>
        <w:t>1R) és a thrombocyta-eredetű növekedési faktor receptor-alfát és -bétát (PDGFR-alfa és PDGFR-béta). Az imatinib ugyancsak képes gátolni az ezen receptor</w:t>
      </w:r>
      <w:r w:rsidRPr="00D045B3">
        <w:rPr>
          <w:rFonts w:ascii="Times New Roman" w:hAnsi="Times New Roman"/>
        </w:rPr>
        <w:noBreakHyphen/>
        <w:t xml:space="preserve">kinázok aktiválódása által mediált celluláris történéseket. </w:t>
      </w:r>
    </w:p>
    <w:p w14:paraId="1E927254" w14:textId="77777777" w:rsidR="009E12FC" w:rsidRPr="00D045B3" w:rsidRDefault="009E12FC" w:rsidP="009E12FC">
      <w:pPr>
        <w:pStyle w:val="KeinLeerraum"/>
        <w:rPr>
          <w:rFonts w:ascii="Times New Roman" w:hAnsi="Times New Roman"/>
        </w:rPr>
      </w:pPr>
    </w:p>
    <w:p w14:paraId="1E927255" w14:textId="77777777" w:rsidR="009E12FC" w:rsidRPr="00D045B3" w:rsidRDefault="009E12FC" w:rsidP="009E12FC">
      <w:pPr>
        <w:pStyle w:val="KeinLeerraum"/>
        <w:keepNext/>
        <w:rPr>
          <w:rFonts w:ascii="Times New Roman" w:hAnsi="Times New Roman"/>
          <w:u w:val="single"/>
        </w:rPr>
      </w:pPr>
      <w:r w:rsidRPr="00D045B3">
        <w:rPr>
          <w:rFonts w:ascii="Times New Roman" w:hAnsi="Times New Roman"/>
          <w:u w:val="single"/>
        </w:rPr>
        <w:t xml:space="preserve">Farmakodinámiás hatások </w:t>
      </w:r>
    </w:p>
    <w:p w14:paraId="1E927256" w14:textId="77777777" w:rsidR="009E12FC" w:rsidRPr="00D045B3" w:rsidRDefault="009E12FC" w:rsidP="00CA41FD">
      <w:pPr>
        <w:pStyle w:val="KeinLeerraum"/>
        <w:rPr>
          <w:rFonts w:ascii="Times New Roman" w:hAnsi="Times New Roman"/>
        </w:rPr>
      </w:pPr>
      <w:r w:rsidRPr="00D045B3">
        <w:rPr>
          <w:rFonts w:ascii="Times New Roman" w:hAnsi="Times New Roman"/>
        </w:rPr>
        <w:t>Az imatinib protein</w:t>
      </w:r>
      <w:r w:rsidR="00FC0667" w:rsidRPr="00D045B3">
        <w:rPr>
          <w:rFonts w:ascii="Times New Roman" w:hAnsi="Times New Roman"/>
        </w:rPr>
        <w:noBreakHyphen/>
      </w:r>
      <w:r w:rsidRPr="00D045B3">
        <w:rPr>
          <w:rFonts w:ascii="Times New Roman" w:hAnsi="Times New Roman"/>
        </w:rPr>
        <w:t>tirozinkináz inhibitor, hatékonyan gátolja a Bcr</w:t>
      </w:r>
      <w:r w:rsidR="00FC0667" w:rsidRPr="00D045B3">
        <w:rPr>
          <w:rFonts w:ascii="Times New Roman" w:hAnsi="Times New Roman"/>
        </w:rPr>
        <w:noBreakHyphen/>
      </w:r>
      <w:r w:rsidRPr="00D045B3">
        <w:rPr>
          <w:rFonts w:ascii="Times New Roman" w:hAnsi="Times New Roman"/>
        </w:rPr>
        <w:t xml:space="preserve">Abl tirozinkinázt </w:t>
      </w:r>
      <w:r w:rsidRPr="00D045B3">
        <w:rPr>
          <w:rFonts w:ascii="Times New Roman" w:hAnsi="Times New Roman"/>
          <w:i/>
          <w:iCs/>
        </w:rPr>
        <w:t xml:space="preserve">in vitro, </w:t>
      </w:r>
      <w:r w:rsidRPr="00D045B3">
        <w:rPr>
          <w:rFonts w:ascii="Times New Roman" w:hAnsi="Times New Roman"/>
        </w:rPr>
        <w:t xml:space="preserve">celluláris szinten, és </w:t>
      </w:r>
      <w:r w:rsidRPr="00D045B3">
        <w:rPr>
          <w:rFonts w:ascii="Times New Roman" w:hAnsi="Times New Roman"/>
          <w:i/>
          <w:iCs/>
        </w:rPr>
        <w:t>in vivo</w:t>
      </w:r>
      <w:r w:rsidRPr="00D045B3">
        <w:rPr>
          <w:rFonts w:ascii="Times New Roman" w:hAnsi="Times New Roman"/>
        </w:rPr>
        <w:t>. A vegyület a Bcr</w:t>
      </w:r>
      <w:r w:rsidRPr="00D045B3">
        <w:rPr>
          <w:rFonts w:ascii="Times New Roman" w:hAnsi="Times New Roman"/>
        </w:rPr>
        <w:noBreakHyphen/>
        <w:t>Abl pozitív sejtvonalak és a Philadelphia kromoszóma pozitív CML</w:t>
      </w:r>
      <w:r w:rsidR="00FC0667" w:rsidRPr="00D045B3">
        <w:rPr>
          <w:rFonts w:ascii="Times New Roman" w:hAnsi="Times New Roman"/>
        </w:rPr>
        <w:noBreakHyphen/>
        <w:t>es</w:t>
      </w:r>
      <w:r w:rsidRPr="00D045B3">
        <w:rPr>
          <w:rFonts w:ascii="Times New Roman" w:hAnsi="Times New Roman"/>
        </w:rPr>
        <w:t xml:space="preserve"> és akut lymphob</w:t>
      </w:r>
      <w:r w:rsidR="00FC56A8" w:rsidRPr="00D045B3">
        <w:rPr>
          <w:rFonts w:ascii="Times New Roman" w:hAnsi="Times New Roman"/>
        </w:rPr>
        <w:t>l</w:t>
      </w:r>
      <w:r w:rsidRPr="00D045B3">
        <w:rPr>
          <w:rFonts w:ascii="Times New Roman" w:hAnsi="Times New Roman"/>
        </w:rPr>
        <w:t>astos leukaemiás (A</w:t>
      </w:r>
      <w:r w:rsidR="005F5522" w:rsidRPr="00D045B3">
        <w:rPr>
          <w:rFonts w:ascii="Times New Roman" w:hAnsi="Times New Roman"/>
        </w:rPr>
        <w:t>L</w:t>
      </w:r>
      <w:r w:rsidRPr="00D045B3">
        <w:rPr>
          <w:rFonts w:ascii="Times New Roman" w:hAnsi="Times New Roman"/>
        </w:rPr>
        <w:t xml:space="preserve">L) betegekből frissen izolált leukaemiás sejtek proliferációját szelektíven gátolja, és azokban apoptózist indukál. </w:t>
      </w:r>
    </w:p>
    <w:p w14:paraId="1E927257" w14:textId="77777777" w:rsidR="009E12FC" w:rsidRPr="00D045B3" w:rsidRDefault="009E12FC" w:rsidP="009E12FC">
      <w:pPr>
        <w:pStyle w:val="KeinLeerraum"/>
        <w:rPr>
          <w:rFonts w:ascii="Times New Roman" w:hAnsi="Times New Roman"/>
        </w:rPr>
      </w:pPr>
    </w:p>
    <w:p w14:paraId="1E927258" w14:textId="77777777" w:rsidR="009E12FC" w:rsidRPr="00D045B3" w:rsidRDefault="009E12FC" w:rsidP="009E12FC">
      <w:pPr>
        <w:pStyle w:val="KeinLeerraum"/>
        <w:rPr>
          <w:rFonts w:ascii="Times New Roman" w:hAnsi="Times New Roman"/>
        </w:rPr>
      </w:pPr>
      <w:r w:rsidRPr="00D045B3">
        <w:rPr>
          <w:rFonts w:ascii="Times New Roman" w:hAnsi="Times New Roman"/>
        </w:rPr>
        <w:t>Állatmodellekben, Bcr</w:t>
      </w:r>
      <w:r w:rsidR="00FC0667" w:rsidRPr="00D045B3">
        <w:rPr>
          <w:rFonts w:ascii="Times New Roman" w:hAnsi="Times New Roman"/>
        </w:rPr>
        <w:noBreakHyphen/>
      </w:r>
      <w:r w:rsidRPr="00D045B3">
        <w:rPr>
          <w:rFonts w:ascii="Times New Roman" w:hAnsi="Times New Roman"/>
        </w:rPr>
        <w:t xml:space="preserve">Abl pozitív tumorsejteket használva, a vegyület egyedülálló anyagként mutat </w:t>
      </w:r>
      <w:r w:rsidRPr="00D045B3">
        <w:rPr>
          <w:rFonts w:ascii="Times New Roman" w:hAnsi="Times New Roman"/>
          <w:i/>
          <w:iCs/>
        </w:rPr>
        <w:t xml:space="preserve">in vivo </w:t>
      </w:r>
      <w:r w:rsidRPr="00D045B3">
        <w:rPr>
          <w:rFonts w:ascii="Times New Roman" w:hAnsi="Times New Roman"/>
        </w:rPr>
        <w:t xml:space="preserve">antitumor aktivitást. </w:t>
      </w:r>
    </w:p>
    <w:p w14:paraId="1E927259" w14:textId="77777777" w:rsidR="009E12FC" w:rsidRPr="00D045B3" w:rsidRDefault="009E12FC" w:rsidP="009E12FC">
      <w:pPr>
        <w:pStyle w:val="KeinLeerraum"/>
        <w:rPr>
          <w:rFonts w:ascii="Times New Roman" w:hAnsi="Times New Roman"/>
        </w:rPr>
      </w:pPr>
    </w:p>
    <w:p w14:paraId="1E92725A" w14:textId="77777777" w:rsidR="005F5522" w:rsidRPr="00D045B3" w:rsidRDefault="005F5522" w:rsidP="009E12FC">
      <w:pPr>
        <w:pStyle w:val="KeinLeerraum"/>
        <w:rPr>
          <w:rFonts w:ascii="Times New Roman" w:hAnsi="Times New Roman"/>
        </w:rPr>
      </w:pPr>
      <w:r w:rsidRPr="00D045B3">
        <w:rPr>
          <w:rFonts w:ascii="Times New Roman" w:hAnsi="Times New Roman"/>
        </w:rPr>
        <w:t xml:space="preserve">Az imatinib </w:t>
      </w:r>
      <w:r w:rsidR="00FC0667" w:rsidRPr="00D045B3">
        <w:rPr>
          <w:rFonts w:ascii="Times New Roman" w:hAnsi="Times New Roman"/>
        </w:rPr>
        <w:t xml:space="preserve">inhibitora </w:t>
      </w:r>
      <w:r w:rsidRPr="00D045B3">
        <w:rPr>
          <w:rFonts w:ascii="Times New Roman" w:hAnsi="Times New Roman"/>
        </w:rPr>
        <w:t>a thrombocyta</w:t>
      </w:r>
      <w:r w:rsidRPr="00D045B3">
        <w:rPr>
          <w:rFonts w:ascii="Times New Roman" w:hAnsi="Times New Roman"/>
        </w:rPr>
        <w:noBreakHyphen/>
        <w:t>eredetű növekedési faktor (PDGF), PDGF</w:t>
      </w:r>
      <w:r w:rsidR="00FC0667" w:rsidRPr="00D045B3">
        <w:rPr>
          <w:rFonts w:ascii="Times New Roman" w:hAnsi="Times New Roman"/>
        </w:rPr>
        <w:noBreakHyphen/>
      </w:r>
      <w:r w:rsidRPr="00D045B3">
        <w:rPr>
          <w:rFonts w:ascii="Times New Roman" w:hAnsi="Times New Roman"/>
        </w:rPr>
        <w:t>R tirozinkináz receptorai</w:t>
      </w:r>
      <w:r w:rsidR="00FC0667" w:rsidRPr="00D045B3">
        <w:rPr>
          <w:rFonts w:ascii="Times New Roman" w:hAnsi="Times New Roman"/>
        </w:rPr>
        <w:t xml:space="preserve">nak </w:t>
      </w:r>
      <w:r w:rsidR="0020036A" w:rsidRPr="00D045B3">
        <w:rPr>
          <w:rFonts w:ascii="Times New Roman" w:hAnsi="Times New Roman"/>
        </w:rPr>
        <w:t>is</w:t>
      </w:r>
      <w:r w:rsidRPr="00D045B3">
        <w:rPr>
          <w:rFonts w:ascii="Times New Roman" w:hAnsi="Times New Roman"/>
        </w:rPr>
        <w:t xml:space="preserve">, </w:t>
      </w:r>
      <w:r w:rsidR="0020036A" w:rsidRPr="00D045B3">
        <w:rPr>
          <w:rFonts w:ascii="Times New Roman" w:hAnsi="Times New Roman"/>
        </w:rPr>
        <w:t xml:space="preserve">továbbá </w:t>
      </w:r>
      <w:r w:rsidRPr="00D045B3">
        <w:rPr>
          <w:rFonts w:ascii="Times New Roman" w:hAnsi="Times New Roman"/>
        </w:rPr>
        <w:t>gátolja a PDGF által közvetített celluláris folyamatokat. Az MDS/MPD,</w:t>
      </w:r>
      <w:r w:rsidR="00010A36" w:rsidRPr="00D045B3">
        <w:rPr>
          <w:rFonts w:ascii="Times New Roman" w:hAnsi="Times New Roman"/>
        </w:rPr>
        <w:t xml:space="preserve"> </w:t>
      </w:r>
      <w:r w:rsidRPr="00D045B3">
        <w:rPr>
          <w:rFonts w:ascii="Times New Roman" w:hAnsi="Times New Roman"/>
        </w:rPr>
        <w:t>a HES/CEL, valamint a DFSP patogenezise kapcsán felmerült a PDGF</w:t>
      </w:r>
      <w:r w:rsidR="00FC0667" w:rsidRPr="00D045B3">
        <w:rPr>
          <w:rFonts w:ascii="Times New Roman" w:hAnsi="Times New Roman"/>
        </w:rPr>
        <w:noBreakHyphen/>
      </w:r>
      <w:r w:rsidRPr="00D045B3">
        <w:rPr>
          <w:rFonts w:ascii="Times New Roman" w:hAnsi="Times New Roman"/>
        </w:rPr>
        <w:t>receptor vagy az Abl</w:t>
      </w:r>
      <w:r w:rsidR="00FC0667" w:rsidRPr="00D045B3">
        <w:rPr>
          <w:rFonts w:ascii="Times New Roman" w:hAnsi="Times New Roman"/>
        </w:rPr>
        <w:noBreakHyphen/>
      </w:r>
      <w:r w:rsidRPr="00D045B3">
        <w:rPr>
          <w:rFonts w:ascii="Times New Roman" w:hAnsi="Times New Roman"/>
        </w:rPr>
        <w:t>protein</w:t>
      </w:r>
      <w:r w:rsidR="00FC0667" w:rsidRPr="00D045B3">
        <w:rPr>
          <w:rFonts w:ascii="Times New Roman" w:hAnsi="Times New Roman"/>
        </w:rPr>
        <w:noBreakHyphen/>
      </w:r>
      <w:r w:rsidRPr="00D045B3">
        <w:rPr>
          <w:rFonts w:ascii="Times New Roman" w:hAnsi="Times New Roman"/>
        </w:rPr>
        <w:t>tirozinkinázok konstitutív aktivációja, amely a különböző partnerfehérjékkel való fúzió, illetve a PDGF konstitutív termelődésének következménye. Az imatinib gátolja a PDGFR és Abl</w:t>
      </w:r>
      <w:r w:rsidR="00010A36" w:rsidRPr="00D045B3">
        <w:rPr>
          <w:rFonts w:ascii="Times New Roman" w:hAnsi="Times New Roman"/>
        </w:rPr>
        <w:noBreakHyphen/>
      </w:r>
      <w:r w:rsidRPr="00D045B3">
        <w:rPr>
          <w:rFonts w:ascii="Times New Roman" w:hAnsi="Times New Roman"/>
        </w:rPr>
        <w:t>kináz kóros regulációja által okozott sejtproliferációt és jelátvitelt.</w:t>
      </w:r>
    </w:p>
    <w:p w14:paraId="1E92725B" w14:textId="77777777" w:rsidR="005F5522" w:rsidRPr="00D045B3" w:rsidRDefault="005F5522" w:rsidP="009E12FC">
      <w:pPr>
        <w:pStyle w:val="KeinLeerraum"/>
        <w:rPr>
          <w:rFonts w:ascii="Times New Roman" w:hAnsi="Times New Roman"/>
        </w:rPr>
      </w:pPr>
    </w:p>
    <w:p w14:paraId="1E92725C" w14:textId="77777777" w:rsidR="009E12FC" w:rsidRPr="00D045B3" w:rsidRDefault="009E12FC" w:rsidP="00470ABB">
      <w:pPr>
        <w:pStyle w:val="KeinLeerraum"/>
        <w:keepNext/>
        <w:rPr>
          <w:rFonts w:ascii="Times New Roman" w:hAnsi="Times New Roman"/>
          <w:u w:val="single"/>
        </w:rPr>
      </w:pPr>
      <w:r w:rsidRPr="00D045B3">
        <w:rPr>
          <w:rFonts w:ascii="Times New Roman" w:hAnsi="Times New Roman"/>
          <w:u w:val="single"/>
        </w:rPr>
        <w:t xml:space="preserve">Klinikai vizsgálatok krónikus myeloid leukaemiában </w:t>
      </w:r>
    </w:p>
    <w:p w14:paraId="1E92725D" w14:textId="3B988571" w:rsidR="009E12FC" w:rsidRPr="00D045B3" w:rsidRDefault="009E12FC" w:rsidP="00CA41FD">
      <w:pPr>
        <w:pStyle w:val="KeinLeerraum"/>
        <w:rPr>
          <w:rFonts w:ascii="Times New Roman" w:hAnsi="Times New Roman"/>
        </w:rPr>
      </w:pPr>
      <w:r w:rsidRPr="00D045B3">
        <w:rPr>
          <w:rFonts w:ascii="Times New Roman" w:hAnsi="Times New Roman"/>
        </w:rPr>
        <w:t xml:space="preserve">Az imatinib hatásosságát a teljes hematológiai és cytogenetikai válaszarány, valamint a progressziómentes túlélés határozza meg. </w:t>
      </w:r>
      <w:r w:rsidR="00E04170" w:rsidRPr="00D045B3">
        <w:rPr>
          <w:rFonts w:ascii="Times New Roman" w:hAnsi="Times New Roman"/>
        </w:rPr>
        <w:t>N</w:t>
      </w:r>
      <w:r w:rsidRPr="00D045B3">
        <w:rPr>
          <w:rFonts w:ascii="Times New Roman" w:hAnsi="Times New Roman"/>
        </w:rPr>
        <w:t xml:space="preserve">em végeztek kontrollos vizsgálatokat a kezelés klinikai előnyeit (pl. a betegséggel összefüggő tünetek javulását vagy a túlélési arány növekedését) illetően. </w:t>
      </w:r>
    </w:p>
    <w:p w14:paraId="1E92725E" w14:textId="77777777" w:rsidR="009E12FC" w:rsidRPr="00D045B3" w:rsidRDefault="009E12FC" w:rsidP="009E12FC">
      <w:pPr>
        <w:pStyle w:val="KeinLeerraum"/>
        <w:rPr>
          <w:rFonts w:ascii="Times New Roman" w:hAnsi="Times New Roman"/>
        </w:rPr>
      </w:pPr>
    </w:p>
    <w:p w14:paraId="1E92725F" w14:textId="391FFF2D" w:rsidR="009E12FC" w:rsidRPr="00D045B3" w:rsidRDefault="009E12FC" w:rsidP="009E12FC">
      <w:pPr>
        <w:pStyle w:val="KeinLeerraum"/>
        <w:rPr>
          <w:rFonts w:ascii="Times New Roman" w:hAnsi="Times New Roman"/>
        </w:rPr>
      </w:pPr>
      <w:r w:rsidRPr="00D045B3">
        <w:rPr>
          <w:rFonts w:ascii="Times New Roman" w:hAnsi="Times New Roman"/>
        </w:rPr>
        <w:t>Egy nagy, nemzetközi, nyílt, nem kontrollos, II</w:t>
      </w:r>
      <w:r w:rsidR="000D1381" w:rsidRPr="00D045B3">
        <w:rPr>
          <w:rFonts w:ascii="Times New Roman" w:hAnsi="Times New Roman"/>
        </w:rPr>
        <w:t>. fázisú</w:t>
      </w:r>
      <w:r w:rsidRPr="00D045B3">
        <w:rPr>
          <w:rFonts w:ascii="Times New Roman" w:hAnsi="Times New Roman"/>
        </w:rPr>
        <w:t xml:space="preserve"> vizsgálatot folytattak le Philadelphia kromoszóma pozitív (Ph+), blasztos krízis fázisban levő CML</w:t>
      </w:r>
      <w:r w:rsidRPr="00D045B3">
        <w:rPr>
          <w:rFonts w:ascii="Times New Roman" w:hAnsi="Times New Roman"/>
        </w:rPr>
        <w:noBreakHyphen/>
        <w:t>es betegekkel</w:t>
      </w:r>
      <w:r w:rsidR="00470ABB" w:rsidRPr="00D045B3">
        <w:rPr>
          <w:rFonts w:ascii="Times New Roman" w:hAnsi="Times New Roman"/>
        </w:rPr>
        <w:t>.</w:t>
      </w:r>
      <w:r w:rsidRPr="00D045B3">
        <w:rPr>
          <w:rFonts w:ascii="Times New Roman" w:hAnsi="Times New Roman"/>
        </w:rPr>
        <w:t xml:space="preserve"> Ezen felül két I, valamint egy II vizsgálatban kezeltek </w:t>
      </w:r>
      <w:r w:rsidR="00470ABB" w:rsidRPr="00D045B3">
        <w:rPr>
          <w:rFonts w:ascii="Times New Roman" w:hAnsi="Times New Roman"/>
        </w:rPr>
        <w:t>(CML</w:t>
      </w:r>
      <w:r w:rsidR="00470ABB" w:rsidRPr="00D045B3">
        <w:rPr>
          <w:rFonts w:ascii="Times New Roman" w:hAnsi="Times New Roman"/>
        </w:rPr>
        <w:noBreakHyphen/>
        <w:t xml:space="preserve">es vagy Ph+ akut leukaemiás) </w:t>
      </w:r>
      <w:r w:rsidRPr="00D045B3">
        <w:rPr>
          <w:rFonts w:ascii="Times New Roman" w:hAnsi="Times New Roman"/>
        </w:rPr>
        <w:t xml:space="preserve">gyermekeket. </w:t>
      </w:r>
    </w:p>
    <w:p w14:paraId="1E927260" w14:textId="77777777" w:rsidR="009E12FC" w:rsidRPr="00D045B3" w:rsidRDefault="009E12FC" w:rsidP="009E12FC">
      <w:pPr>
        <w:pStyle w:val="KeinLeerraum"/>
        <w:rPr>
          <w:rFonts w:ascii="Times New Roman" w:hAnsi="Times New Roman"/>
        </w:rPr>
      </w:pPr>
    </w:p>
    <w:p w14:paraId="1E927261" w14:textId="0F703451" w:rsidR="009E12FC" w:rsidRPr="00D045B3" w:rsidRDefault="009E12FC" w:rsidP="009E12FC">
      <w:pPr>
        <w:pStyle w:val="KeinLeerraum"/>
        <w:rPr>
          <w:rFonts w:ascii="Times New Roman" w:hAnsi="Times New Roman"/>
        </w:rPr>
      </w:pPr>
      <w:r w:rsidRPr="00D045B3">
        <w:rPr>
          <w:rFonts w:ascii="Times New Roman" w:hAnsi="Times New Roman"/>
        </w:rPr>
        <w:t>A klinikai vizsgálatban a betegek 38</w:t>
      </w:r>
      <w:r w:rsidR="00470ABB" w:rsidRPr="00D045B3">
        <w:rPr>
          <w:rFonts w:ascii="Times New Roman" w:hAnsi="Times New Roman"/>
        </w:rPr>
        <w:t>%</w:t>
      </w:r>
      <w:r w:rsidRPr="00D045B3">
        <w:rPr>
          <w:rFonts w:ascii="Times New Roman" w:hAnsi="Times New Roman"/>
        </w:rPr>
        <w:noBreakHyphen/>
        <w:t xml:space="preserve">a volt 60 éves vagy ennél idősebb, </w:t>
      </w:r>
      <w:r w:rsidR="00470ABB" w:rsidRPr="00D045B3">
        <w:rPr>
          <w:rFonts w:ascii="Times New Roman" w:hAnsi="Times New Roman"/>
        </w:rPr>
        <w:t>1</w:t>
      </w:r>
      <w:r w:rsidRPr="00D045B3">
        <w:rPr>
          <w:rFonts w:ascii="Times New Roman" w:hAnsi="Times New Roman"/>
        </w:rPr>
        <w:t>2%</w:t>
      </w:r>
      <w:r w:rsidRPr="00D045B3">
        <w:rPr>
          <w:rFonts w:ascii="Times New Roman" w:hAnsi="Times New Roman"/>
        </w:rPr>
        <w:noBreakHyphen/>
        <w:t xml:space="preserve">uk pedig 70 éves vagy idősebb. </w:t>
      </w:r>
    </w:p>
    <w:p w14:paraId="1E9272C4" w14:textId="77777777" w:rsidR="009765BA" w:rsidRPr="00D045B3" w:rsidRDefault="009765BA" w:rsidP="009E12FC">
      <w:pPr>
        <w:pStyle w:val="KeinLeerraum"/>
        <w:rPr>
          <w:rFonts w:ascii="Times New Roman" w:hAnsi="Times New Roman"/>
          <w:iCs/>
        </w:rPr>
      </w:pPr>
    </w:p>
    <w:p w14:paraId="1E9272C5" w14:textId="1210AA0A" w:rsidR="009E12FC" w:rsidRPr="00D045B3" w:rsidRDefault="009E12FC" w:rsidP="009E12FC">
      <w:pPr>
        <w:pStyle w:val="KeinLeerraum"/>
        <w:rPr>
          <w:rFonts w:ascii="Times New Roman" w:hAnsi="Times New Roman"/>
        </w:rPr>
      </w:pPr>
      <w:r w:rsidRPr="00D045B3">
        <w:rPr>
          <w:rFonts w:ascii="Times New Roman" w:hAnsi="Times New Roman"/>
          <w:i/>
          <w:iCs/>
        </w:rPr>
        <w:t>Myeloid blastos krízis</w:t>
      </w:r>
      <w:r w:rsidRPr="00D045B3">
        <w:rPr>
          <w:rFonts w:ascii="Times New Roman" w:hAnsi="Times New Roman"/>
        </w:rPr>
        <w:t xml:space="preserve">: 260, myeloid blastos krízis fázisban levő beteget vontak be a vizsgálatba. 95 (37%) beteg részesült korábban kemoterápiában az akcelerált fázis vagy a blasztos krízis kezelésére („előkezelt betegek”), míg 165 (63%) beteg nem kapott kezelést („kezeletlen betegek”). Az első 37 beteg kezdő dózisa 400 mg volt, a protokollt később módosították a magasabb dózisok engedélyezése érdekében, így a további 223 beteg kezdő adagja 600 mg lett. </w:t>
      </w:r>
    </w:p>
    <w:p w14:paraId="1E9272C6" w14:textId="77777777" w:rsidR="009E12FC" w:rsidRPr="00D045B3" w:rsidRDefault="009E12FC" w:rsidP="009E12FC">
      <w:pPr>
        <w:pStyle w:val="KeinLeerraum"/>
        <w:rPr>
          <w:rFonts w:ascii="Times New Roman" w:hAnsi="Times New Roman"/>
        </w:rPr>
      </w:pPr>
    </w:p>
    <w:p w14:paraId="1E9272C7" w14:textId="50A9A2E4" w:rsidR="009E12FC" w:rsidRPr="00D045B3" w:rsidRDefault="009E12FC" w:rsidP="00B124B7">
      <w:pPr>
        <w:pStyle w:val="KeinLeerraum"/>
        <w:rPr>
          <w:rFonts w:ascii="Times New Roman" w:hAnsi="Times New Roman"/>
        </w:rPr>
      </w:pPr>
      <w:r w:rsidRPr="00D045B3">
        <w:rPr>
          <w:rFonts w:ascii="Times New Roman" w:hAnsi="Times New Roman"/>
        </w:rPr>
        <w:t>A primer hatékonysági mutató a hematológiai válaszarány volt</w:t>
      </w:r>
      <w:r w:rsidR="009B5B97" w:rsidRPr="00D045B3">
        <w:rPr>
          <w:rFonts w:ascii="Times New Roman" w:hAnsi="Times New Roman"/>
        </w:rPr>
        <w:t>:</w:t>
      </w:r>
      <w:r w:rsidRPr="00D045B3">
        <w:rPr>
          <w:rFonts w:ascii="Times New Roman" w:hAnsi="Times New Roman"/>
        </w:rPr>
        <w:t xml:space="preserve"> melyet vagy a komplett hematológiai válasz, a leukaemia hiánya</w:t>
      </w:r>
      <w:r w:rsidR="00470ABB" w:rsidRPr="00D045B3">
        <w:rPr>
          <w:rFonts w:ascii="Times New Roman" w:hAnsi="Times New Roman"/>
        </w:rPr>
        <w:t xml:space="preserve"> (pl. a blasztok eltávolítása a csontvelőből és a vérből</w:t>
      </w:r>
      <w:r w:rsidRPr="00D045B3">
        <w:rPr>
          <w:rFonts w:ascii="Times New Roman" w:hAnsi="Times New Roman"/>
        </w:rPr>
        <w:t xml:space="preserve">, </w:t>
      </w:r>
      <w:r w:rsidR="0041254C" w:rsidRPr="00D045B3">
        <w:rPr>
          <w:rFonts w:ascii="Times New Roman" w:hAnsi="Times New Roman"/>
        </w:rPr>
        <w:t xml:space="preserve">de </w:t>
      </w:r>
      <w:r w:rsidR="00470ABB" w:rsidRPr="00D045B3">
        <w:rPr>
          <w:rFonts w:ascii="Times New Roman" w:hAnsi="Times New Roman"/>
        </w:rPr>
        <w:t xml:space="preserve">a perifériás vér teljes </w:t>
      </w:r>
      <w:r w:rsidR="0041254C" w:rsidRPr="00D045B3">
        <w:rPr>
          <w:rFonts w:ascii="Times New Roman" w:hAnsi="Times New Roman"/>
        </w:rPr>
        <w:t>normalizálódása, mint teljes válasz nélkül)</w:t>
      </w:r>
      <w:r w:rsidR="009B5B97" w:rsidRPr="00D045B3">
        <w:rPr>
          <w:rFonts w:ascii="Times New Roman" w:hAnsi="Times New Roman"/>
        </w:rPr>
        <w:t>,</w:t>
      </w:r>
      <w:r w:rsidR="0041254C" w:rsidRPr="00D045B3">
        <w:rPr>
          <w:rFonts w:ascii="Times New Roman" w:hAnsi="Times New Roman"/>
        </w:rPr>
        <w:t xml:space="preserve"> </w:t>
      </w:r>
      <w:r w:rsidRPr="00D045B3">
        <w:rPr>
          <w:rFonts w:ascii="Times New Roman" w:hAnsi="Times New Roman"/>
        </w:rPr>
        <w:t>vagy a krónikus CML</w:t>
      </w:r>
      <w:r w:rsidRPr="00D045B3">
        <w:rPr>
          <w:rFonts w:ascii="Times New Roman" w:hAnsi="Times New Roman"/>
        </w:rPr>
        <w:noBreakHyphen/>
        <w:t>fázisba való visszatérés jelentett. Ebben a vizsgálatban a betegek 31%</w:t>
      </w:r>
      <w:r w:rsidRPr="00D045B3">
        <w:rPr>
          <w:rFonts w:ascii="Times New Roman" w:hAnsi="Times New Roman"/>
        </w:rPr>
        <w:noBreakHyphen/>
        <w:t>a ért el hematológiai választ (a kezeletlen betegek 36%</w:t>
      </w:r>
      <w:r w:rsidRPr="00D045B3">
        <w:rPr>
          <w:rFonts w:ascii="Times New Roman" w:hAnsi="Times New Roman"/>
        </w:rPr>
        <w:noBreakHyphen/>
        <w:t>a, az előkezeltek 22%-a)</w:t>
      </w:r>
      <w:r w:rsidR="007B38BE" w:rsidRPr="00D045B3">
        <w:rPr>
          <w:rFonts w:ascii="Times New Roman" w:hAnsi="Times New Roman"/>
        </w:rPr>
        <w:t xml:space="preserve"> (</w:t>
      </w:r>
      <w:r w:rsidR="00B124B7" w:rsidRPr="00D045B3">
        <w:rPr>
          <w:rFonts w:ascii="Times New Roman" w:hAnsi="Times New Roman"/>
        </w:rPr>
        <w:t>2</w:t>
      </w:r>
      <w:r w:rsidR="007B38BE" w:rsidRPr="00D045B3">
        <w:rPr>
          <w:rFonts w:ascii="Times New Roman" w:hAnsi="Times New Roman"/>
        </w:rPr>
        <w:t>. táblázat)</w:t>
      </w:r>
      <w:r w:rsidRPr="00D045B3">
        <w:rPr>
          <w:rFonts w:ascii="Times New Roman" w:hAnsi="Times New Roman"/>
        </w:rPr>
        <w:t>. A válaszarány a 600 mg dózissal kezelt betegek körében magasabb (33%) volt, mint a 400 mg</w:t>
      </w:r>
      <w:r w:rsidRPr="00D045B3">
        <w:rPr>
          <w:rFonts w:ascii="Times New Roman" w:hAnsi="Times New Roman"/>
        </w:rPr>
        <w:noBreakHyphen/>
        <w:t xml:space="preserve">mal kezelteknél (16%, p = 0,0220). A jelenleg becsült átlagos túlélés 7,7, ill. 4,7 hónap volt a korábban kezeletlen, ill. előkezelt betegek esetében. </w:t>
      </w:r>
    </w:p>
    <w:p w14:paraId="1E9272C8" w14:textId="77777777" w:rsidR="009E12FC" w:rsidRPr="00D045B3" w:rsidRDefault="009E12FC" w:rsidP="009E12FC">
      <w:pPr>
        <w:pStyle w:val="KeinLeerraum"/>
        <w:rPr>
          <w:rFonts w:ascii="Times New Roman" w:hAnsi="Times New Roman"/>
          <w:i/>
          <w:iCs/>
        </w:rPr>
      </w:pPr>
    </w:p>
    <w:p w14:paraId="1E9272C9" w14:textId="5C96EE06" w:rsidR="009E12FC" w:rsidRPr="00D045B3" w:rsidRDefault="009E12FC" w:rsidP="009E12FC">
      <w:pPr>
        <w:pStyle w:val="KeinLeerraum"/>
        <w:rPr>
          <w:rFonts w:ascii="Times New Roman" w:hAnsi="Times New Roman"/>
        </w:rPr>
      </w:pPr>
      <w:r w:rsidRPr="00D045B3">
        <w:rPr>
          <w:rFonts w:ascii="Times New Roman" w:hAnsi="Times New Roman"/>
          <w:i/>
          <w:iCs/>
        </w:rPr>
        <w:t>Lymphoid blastos krízis</w:t>
      </w:r>
      <w:r w:rsidRPr="00D045B3">
        <w:rPr>
          <w:rFonts w:ascii="Times New Roman" w:hAnsi="Times New Roman"/>
        </w:rPr>
        <w:t>: korlátozott számú beteget vontak be I</w:t>
      </w:r>
      <w:r w:rsidR="00622575" w:rsidRPr="00D045B3">
        <w:rPr>
          <w:rFonts w:ascii="Times New Roman" w:hAnsi="Times New Roman"/>
        </w:rPr>
        <w:t>. fázisú</w:t>
      </w:r>
      <w:r w:rsidRPr="00D045B3">
        <w:rPr>
          <w:rFonts w:ascii="Times New Roman" w:hAnsi="Times New Roman"/>
        </w:rPr>
        <w:t xml:space="preserve"> vizsgálatokba (n = 10). A hematológiai válaszarány 70%, időtartama pedig 2–3 hónap volt.</w:t>
      </w:r>
    </w:p>
    <w:p w14:paraId="1E9272CA" w14:textId="77777777" w:rsidR="0041254C" w:rsidRPr="00D045B3" w:rsidRDefault="0041254C" w:rsidP="0041254C">
      <w:pPr>
        <w:pStyle w:val="KeinLeerraum"/>
        <w:rPr>
          <w:rFonts w:ascii="Times New Roman" w:hAnsi="Times New Roman"/>
        </w:rPr>
      </w:pPr>
    </w:p>
    <w:p w14:paraId="1E9272CB" w14:textId="6FE406DA" w:rsidR="0041254C" w:rsidRPr="00D045B3" w:rsidRDefault="001079FE" w:rsidP="0041254C">
      <w:pPr>
        <w:pStyle w:val="KeinLeerraum"/>
        <w:rPr>
          <w:rFonts w:ascii="Times New Roman" w:hAnsi="Times New Roman"/>
          <w:b/>
        </w:rPr>
      </w:pPr>
      <w:r w:rsidRPr="00D045B3">
        <w:rPr>
          <w:rFonts w:ascii="Times New Roman" w:hAnsi="Times New Roman"/>
          <w:b/>
        </w:rPr>
        <w:t>2</w:t>
      </w:r>
      <w:r w:rsidR="0041254C" w:rsidRPr="00D045B3">
        <w:rPr>
          <w:rFonts w:ascii="Times New Roman" w:hAnsi="Times New Roman"/>
          <w:b/>
        </w:rPr>
        <w:t>. táblázat Terápiás válasz a felnőttek bevonásával végzett CML vizsgálatban</w:t>
      </w:r>
    </w:p>
    <w:p w14:paraId="1E92730E" w14:textId="77777777" w:rsidR="0041254C" w:rsidRPr="00D045B3" w:rsidRDefault="0041254C" w:rsidP="0041254C">
      <w:pPr>
        <w:pStyle w:val="KeinLeerraum"/>
        <w:rPr>
          <w:rFonts w:ascii="Times New Roman" w:hAnsi="Times New Roman"/>
          <w:b/>
          <w:highlight w:val="yellow"/>
        </w:rPr>
      </w:pPr>
    </w:p>
    <w:tbl>
      <w:tblPr>
        <w:tblW w:w="9074" w:type="dxa"/>
        <w:tblInd w:w="108" w:type="dxa"/>
        <w:tblLayout w:type="fixed"/>
        <w:tblLook w:val="0000" w:firstRow="0" w:lastRow="0" w:firstColumn="0" w:lastColumn="0" w:noHBand="0" w:noVBand="0"/>
      </w:tblPr>
      <w:tblGrid>
        <w:gridCol w:w="4410"/>
        <w:gridCol w:w="4664"/>
      </w:tblGrid>
      <w:tr w:rsidR="0041254C" w:rsidRPr="00D045B3" w14:paraId="1E927313" w14:textId="77777777" w:rsidTr="006B783B">
        <w:trPr>
          <w:trHeight w:val="608"/>
        </w:trPr>
        <w:tc>
          <w:tcPr>
            <w:tcW w:w="4410" w:type="dxa"/>
            <w:tcBorders>
              <w:top w:val="single" w:sz="4" w:space="0" w:color="auto"/>
              <w:left w:val="single" w:sz="4" w:space="0" w:color="auto"/>
              <w:bottom w:val="single" w:sz="4" w:space="0" w:color="auto"/>
              <w:right w:val="single" w:sz="4" w:space="0" w:color="auto"/>
            </w:tcBorders>
          </w:tcPr>
          <w:p w14:paraId="1E92730F" w14:textId="77777777" w:rsidR="0041254C" w:rsidRPr="00D045B3" w:rsidRDefault="0041254C" w:rsidP="006B783B">
            <w:pPr>
              <w:pStyle w:val="Default"/>
              <w:rPr>
                <w:sz w:val="22"/>
                <w:szCs w:val="22"/>
                <w:highlight w:val="yellow"/>
              </w:rPr>
            </w:pPr>
          </w:p>
        </w:tc>
        <w:tc>
          <w:tcPr>
            <w:tcW w:w="4664" w:type="dxa"/>
            <w:tcBorders>
              <w:top w:val="single" w:sz="4" w:space="0" w:color="auto"/>
              <w:left w:val="single" w:sz="4" w:space="0" w:color="auto"/>
              <w:bottom w:val="single" w:sz="4" w:space="0" w:color="auto"/>
              <w:right w:val="single" w:sz="4" w:space="0" w:color="auto"/>
            </w:tcBorders>
          </w:tcPr>
          <w:p w14:paraId="1E927310" w14:textId="77777777" w:rsidR="0041254C" w:rsidRPr="00D045B3" w:rsidRDefault="0041254C" w:rsidP="008A6837">
            <w:pPr>
              <w:pStyle w:val="Default"/>
              <w:jc w:val="center"/>
              <w:rPr>
                <w:sz w:val="22"/>
                <w:szCs w:val="22"/>
              </w:rPr>
            </w:pPr>
            <w:r w:rsidRPr="00D045B3">
              <w:rPr>
                <w:sz w:val="22"/>
                <w:szCs w:val="22"/>
              </w:rPr>
              <w:t>0102 vizsgálat 38 hónapot felölelő adatai</w:t>
            </w:r>
          </w:p>
          <w:p w14:paraId="1E927311" w14:textId="77777777" w:rsidR="0041254C" w:rsidRPr="00D045B3" w:rsidRDefault="0041254C" w:rsidP="008A6837">
            <w:pPr>
              <w:pStyle w:val="Default"/>
              <w:jc w:val="center"/>
              <w:rPr>
                <w:sz w:val="22"/>
                <w:szCs w:val="22"/>
              </w:rPr>
            </w:pPr>
            <w:r w:rsidRPr="00D045B3">
              <w:rPr>
                <w:sz w:val="22"/>
                <w:szCs w:val="22"/>
              </w:rPr>
              <w:t>Myeloid blasztos krízis</w:t>
            </w:r>
          </w:p>
          <w:p w14:paraId="1E927312" w14:textId="77777777" w:rsidR="0041254C" w:rsidRPr="00D045B3" w:rsidRDefault="0041254C" w:rsidP="008A6837">
            <w:pPr>
              <w:pStyle w:val="Default"/>
              <w:jc w:val="center"/>
              <w:rPr>
                <w:sz w:val="22"/>
                <w:szCs w:val="22"/>
              </w:rPr>
            </w:pPr>
            <w:r w:rsidRPr="00D045B3">
              <w:rPr>
                <w:sz w:val="22"/>
                <w:szCs w:val="22"/>
              </w:rPr>
              <w:t>(n=260)</w:t>
            </w:r>
          </w:p>
        </w:tc>
      </w:tr>
      <w:tr w:rsidR="0041254C" w:rsidRPr="00D045B3" w14:paraId="1E927316" w14:textId="77777777" w:rsidTr="006B783B">
        <w:trPr>
          <w:trHeight w:val="442"/>
        </w:trPr>
        <w:tc>
          <w:tcPr>
            <w:tcW w:w="4410" w:type="dxa"/>
            <w:tcBorders>
              <w:top w:val="single" w:sz="4" w:space="0" w:color="auto"/>
              <w:left w:val="single" w:sz="4" w:space="0" w:color="auto"/>
              <w:bottom w:val="single" w:sz="4" w:space="0" w:color="auto"/>
              <w:right w:val="single" w:sz="4" w:space="0" w:color="auto"/>
            </w:tcBorders>
          </w:tcPr>
          <w:p w14:paraId="1E927314" w14:textId="77777777" w:rsidR="0041254C" w:rsidRPr="00D045B3" w:rsidRDefault="0041254C" w:rsidP="006B783B">
            <w:pPr>
              <w:pStyle w:val="Default"/>
              <w:jc w:val="center"/>
              <w:rPr>
                <w:sz w:val="22"/>
                <w:szCs w:val="22"/>
                <w:highlight w:val="yellow"/>
              </w:rPr>
            </w:pPr>
          </w:p>
        </w:tc>
        <w:tc>
          <w:tcPr>
            <w:tcW w:w="4664" w:type="dxa"/>
            <w:tcBorders>
              <w:top w:val="single" w:sz="4" w:space="0" w:color="auto"/>
              <w:left w:val="single" w:sz="4" w:space="0" w:color="auto"/>
              <w:bottom w:val="single" w:sz="4" w:space="0" w:color="auto"/>
              <w:right w:val="single" w:sz="4" w:space="0" w:color="auto"/>
            </w:tcBorders>
          </w:tcPr>
          <w:p w14:paraId="1E927315" w14:textId="77777777" w:rsidR="0041254C" w:rsidRPr="00D045B3" w:rsidRDefault="0041254C" w:rsidP="008A6837">
            <w:pPr>
              <w:pStyle w:val="Default"/>
              <w:jc w:val="center"/>
              <w:rPr>
                <w:sz w:val="22"/>
                <w:szCs w:val="22"/>
              </w:rPr>
            </w:pPr>
            <w:r w:rsidRPr="00D045B3">
              <w:rPr>
                <w:sz w:val="22"/>
                <w:szCs w:val="22"/>
              </w:rPr>
              <w:t>a betegek %</w:t>
            </w:r>
            <w:r w:rsidRPr="00D045B3">
              <w:rPr>
                <w:sz w:val="22"/>
                <w:szCs w:val="22"/>
              </w:rPr>
              <w:noBreakHyphen/>
              <w:t>a (CI 95%)</w:t>
            </w:r>
          </w:p>
        </w:tc>
      </w:tr>
      <w:tr w:rsidR="0041254C" w:rsidRPr="00D045B3" w14:paraId="1E927323" w14:textId="77777777" w:rsidTr="006B783B">
        <w:trPr>
          <w:trHeight w:val="1244"/>
        </w:trPr>
        <w:tc>
          <w:tcPr>
            <w:tcW w:w="4410" w:type="dxa"/>
            <w:tcBorders>
              <w:top w:val="single" w:sz="4" w:space="0" w:color="auto"/>
              <w:left w:val="single" w:sz="4" w:space="0" w:color="auto"/>
              <w:bottom w:val="single" w:sz="4" w:space="0" w:color="auto"/>
              <w:right w:val="single" w:sz="4" w:space="0" w:color="auto"/>
            </w:tcBorders>
          </w:tcPr>
          <w:p w14:paraId="1E927317" w14:textId="77777777" w:rsidR="0041254C" w:rsidRPr="00D045B3" w:rsidRDefault="0041254C" w:rsidP="006B783B">
            <w:pPr>
              <w:pStyle w:val="Default"/>
              <w:rPr>
                <w:sz w:val="22"/>
                <w:szCs w:val="22"/>
              </w:rPr>
            </w:pPr>
            <w:r w:rsidRPr="00D045B3">
              <w:rPr>
                <w:sz w:val="22"/>
                <w:szCs w:val="22"/>
              </w:rPr>
              <w:t>Hematológiai válasz</w:t>
            </w:r>
            <w:r w:rsidRPr="00D045B3">
              <w:rPr>
                <w:sz w:val="22"/>
                <w:szCs w:val="22"/>
                <w:vertAlign w:val="superscript"/>
              </w:rPr>
              <w:t>1</w:t>
            </w:r>
            <w:r w:rsidRPr="00D045B3">
              <w:rPr>
                <w:sz w:val="22"/>
                <w:szCs w:val="22"/>
              </w:rPr>
              <w:t xml:space="preserve"> </w:t>
            </w:r>
          </w:p>
          <w:p w14:paraId="1E927318" w14:textId="77777777" w:rsidR="0041254C" w:rsidRPr="00D045B3" w:rsidRDefault="0041254C" w:rsidP="006B783B">
            <w:pPr>
              <w:pStyle w:val="Default"/>
              <w:ind w:left="284"/>
              <w:rPr>
                <w:sz w:val="22"/>
                <w:szCs w:val="22"/>
              </w:rPr>
            </w:pPr>
            <w:r w:rsidRPr="00D045B3">
              <w:rPr>
                <w:sz w:val="22"/>
                <w:szCs w:val="22"/>
              </w:rPr>
              <w:t>Teljes hematológiai válasz (CHR)</w:t>
            </w:r>
          </w:p>
          <w:p w14:paraId="1E927319" w14:textId="77777777" w:rsidR="0041254C" w:rsidRPr="00D045B3" w:rsidRDefault="0041254C" w:rsidP="008A6837">
            <w:pPr>
              <w:pStyle w:val="Default"/>
              <w:ind w:left="567" w:hanging="533"/>
              <w:jc w:val="both"/>
              <w:rPr>
                <w:sz w:val="22"/>
                <w:szCs w:val="22"/>
              </w:rPr>
            </w:pPr>
          </w:p>
          <w:p w14:paraId="1E92731A" w14:textId="77777777" w:rsidR="0041254C" w:rsidRPr="00D045B3" w:rsidRDefault="0041254C" w:rsidP="006B783B">
            <w:pPr>
              <w:pStyle w:val="Default"/>
              <w:ind w:left="284"/>
              <w:rPr>
                <w:sz w:val="22"/>
                <w:szCs w:val="22"/>
              </w:rPr>
            </w:pPr>
            <w:r w:rsidRPr="00D045B3">
              <w:rPr>
                <w:sz w:val="22"/>
                <w:szCs w:val="22"/>
              </w:rPr>
              <w:t>Nincs leukaemiára utaló bizonyíték (NEL)</w:t>
            </w:r>
          </w:p>
          <w:p w14:paraId="1E92731B" w14:textId="77777777" w:rsidR="0041254C" w:rsidRPr="00D045B3" w:rsidRDefault="0041254C" w:rsidP="008A6837">
            <w:pPr>
              <w:pStyle w:val="Default"/>
              <w:ind w:left="284" w:hanging="250"/>
              <w:rPr>
                <w:sz w:val="22"/>
                <w:szCs w:val="22"/>
              </w:rPr>
            </w:pPr>
          </w:p>
          <w:p w14:paraId="1E92731C" w14:textId="77777777" w:rsidR="0041254C" w:rsidRPr="00D045B3" w:rsidRDefault="0041254C" w:rsidP="006B783B">
            <w:pPr>
              <w:pStyle w:val="Default"/>
              <w:ind w:left="284"/>
              <w:rPr>
                <w:sz w:val="22"/>
                <w:szCs w:val="22"/>
              </w:rPr>
            </w:pPr>
            <w:r w:rsidRPr="00D045B3">
              <w:rPr>
                <w:sz w:val="22"/>
                <w:szCs w:val="22"/>
              </w:rPr>
              <w:t>Visszatérés a krónikus fázisba (</w:t>
            </w:r>
            <w:smartTag w:uri="urn:schemas-microsoft-com:office:smarttags" w:element="stockticker">
              <w:r w:rsidRPr="00D045B3">
                <w:rPr>
                  <w:sz w:val="22"/>
                  <w:szCs w:val="22"/>
                </w:rPr>
                <w:t>RTC</w:t>
              </w:r>
            </w:smartTag>
            <w:r w:rsidRPr="00D045B3">
              <w:rPr>
                <w:sz w:val="22"/>
                <w:szCs w:val="22"/>
              </w:rPr>
              <w:t xml:space="preserve">) </w:t>
            </w:r>
          </w:p>
        </w:tc>
        <w:tc>
          <w:tcPr>
            <w:tcW w:w="4664" w:type="dxa"/>
            <w:tcBorders>
              <w:top w:val="single" w:sz="4" w:space="0" w:color="auto"/>
              <w:left w:val="single" w:sz="4" w:space="0" w:color="auto"/>
              <w:bottom w:val="single" w:sz="4" w:space="0" w:color="auto"/>
              <w:right w:val="single" w:sz="4" w:space="0" w:color="auto"/>
            </w:tcBorders>
          </w:tcPr>
          <w:p w14:paraId="1E92731D" w14:textId="77777777" w:rsidR="0041254C" w:rsidRPr="00D045B3" w:rsidRDefault="0041254C" w:rsidP="008A6837">
            <w:pPr>
              <w:pStyle w:val="Default"/>
              <w:jc w:val="center"/>
              <w:rPr>
                <w:sz w:val="22"/>
                <w:szCs w:val="22"/>
              </w:rPr>
            </w:pPr>
            <w:r w:rsidRPr="00D045B3">
              <w:rPr>
                <w:sz w:val="22"/>
                <w:szCs w:val="22"/>
              </w:rPr>
              <w:t>31% (25,2</w:t>
            </w:r>
            <w:r w:rsidRPr="00D045B3">
              <w:rPr>
                <w:sz w:val="22"/>
                <w:szCs w:val="22"/>
              </w:rPr>
              <w:noBreakHyphen/>
              <w:t>36,8)</w:t>
            </w:r>
          </w:p>
          <w:p w14:paraId="1E92731E" w14:textId="77777777" w:rsidR="0041254C" w:rsidRPr="00D045B3" w:rsidRDefault="0041254C" w:rsidP="008A6837">
            <w:pPr>
              <w:pStyle w:val="Default"/>
              <w:jc w:val="center"/>
              <w:rPr>
                <w:sz w:val="22"/>
                <w:szCs w:val="22"/>
              </w:rPr>
            </w:pPr>
            <w:r w:rsidRPr="00D045B3">
              <w:rPr>
                <w:sz w:val="22"/>
                <w:szCs w:val="22"/>
              </w:rPr>
              <w:t>8%</w:t>
            </w:r>
          </w:p>
          <w:p w14:paraId="1E92731F" w14:textId="77777777" w:rsidR="0041254C" w:rsidRPr="00D045B3" w:rsidRDefault="0041254C" w:rsidP="008A6837">
            <w:pPr>
              <w:pStyle w:val="Default"/>
              <w:jc w:val="center"/>
              <w:rPr>
                <w:sz w:val="22"/>
                <w:szCs w:val="22"/>
              </w:rPr>
            </w:pPr>
          </w:p>
          <w:p w14:paraId="1E927320" w14:textId="77777777" w:rsidR="0041254C" w:rsidRPr="00D045B3" w:rsidRDefault="0041254C" w:rsidP="008A6837">
            <w:pPr>
              <w:pStyle w:val="Default"/>
              <w:jc w:val="center"/>
              <w:rPr>
                <w:sz w:val="22"/>
                <w:szCs w:val="22"/>
              </w:rPr>
            </w:pPr>
            <w:r w:rsidRPr="00D045B3">
              <w:rPr>
                <w:sz w:val="22"/>
                <w:szCs w:val="22"/>
              </w:rPr>
              <w:t>5%</w:t>
            </w:r>
          </w:p>
          <w:p w14:paraId="1E927321" w14:textId="77777777" w:rsidR="0041254C" w:rsidRPr="00D045B3" w:rsidRDefault="0041254C" w:rsidP="008A6837">
            <w:pPr>
              <w:pStyle w:val="Default"/>
              <w:jc w:val="center"/>
              <w:rPr>
                <w:sz w:val="22"/>
                <w:szCs w:val="22"/>
              </w:rPr>
            </w:pPr>
          </w:p>
          <w:p w14:paraId="1E927322" w14:textId="77777777" w:rsidR="0041254C" w:rsidRPr="00D045B3" w:rsidRDefault="0041254C" w:rsidP="008A6837">
            <w:pPr>
              <w:pStyle w:val="Default"/>
              <w:jc w:val="center"/>
              <w:rPr>
                <w:sz w:val="22"/>
                <w:szCs w:val="22"/>
              </w:rPr>
            </w:pPr>
            <w:r w:rsidRPr="00D045B3">
              <w:rPr>
                <w:sz w:val="22"/>
                <w:szCs w:val="22"/>
              </w:rPr>
              <w:t>18%</w:t>
            </w:r>
          </w:p>
        </w:tc>
      </w:tr>
      <w:tr w:rsidR="0041254C" w:rsidRPr="00D045B3" w14:paraId="1E927326" w14:textId="77777777" w:rsidTr="006B783B">
        <w:trPr>
          <w:trHeight w:val="122"/>
        </w:trPr>
        <w:tc>
          <w:tcPr>
            <w:tcW w:w="4410" w:type="dxa"/>
            <w:tcBorders>
              <w:top w:val="single" w:sz="4" w:space="0" w:color="auto"/>
              <w:left w:val="single" w:sz="4" w:space="0" w:color="auto"/>
              <w:bottom w:val="nil"/>
              <w:right w:val="single" w:sz="4" w:space="0" w:color="auto"/>
            </w:tcBorders>
          </w:tcPr>
          <w:p w14:paraId="1E927324" w14:textId="77777777" w:rsidR="0041254C" w:rsidRPr="00D045B3" w:rsidRDefault="0041254C" w:rsidP="006B783B">
            <w:pPr>
              <w:pStyle w:val="Default"/>
              <w:rPr>
                <w:sz w:val="22"/>
                <w:szCs w:val="22"/>
              </w:rPr>
            </w:pPr>
            <w:r w:rsidRPr="00D045B3">
              <w:rPr>
                <w:sz w:val="22"/>
                <w:szCs w:val="22"/>
              </w:rPr>
              <w:t>Jelentős citogenetikai válasz</w:t>
            </w:r>
            <w:r w:rsidRPr="00D045B3">
              <w:rPr>
                <w:sz w:val="22"/>
                <w:szCs w:val="22"/>
                <w:vertAlign w:val="superscript"/>
              </w:rPr>
              <w:t xml:space="preserve">2 </w:t>
            </w:r>
          </w:p>
        </w:tc>
        <w:tc>
          <w:tcPr>
            <w:tcW w:w="4664" w:type="dxa"/>
            <w:tcBorders>
              <w:top w:val="single" w:sz="4" w:space="0" w:color="auto"/>
              <w:left w:val="single" w:sz="4" w:space="0" w:color="auto"/>
              <w:bottom w:val="nil"/>
              <w:right w:val="single" w:sz="4" w:space="0" w:color="auto"/>
            </w:tcBorders>
          </w:tcPr>
          <w:p w14:paraId="1E927325" w14:textId="77777777" w:rsidR="0041254C" w:rsidRPr="00D045B3" w:rsidRDefault="0041254C" w:rsidP="008A6837">
            <w:pPr>
              <w:pStyle w:val="Default"/>
              <w:jc w:val="center"/>
              <w:rPr>
                <w:sz w:val="22"/>
                <w:szCs w:val="22"/>
              </w:rPr>
            </w:pPr>
            <w:r w:rsidRPr="00D045B3">
              <w:rPr>
                <w:sz w:val="22"/>
                <w:szCs w:val="22"/>
              </w:rPr>
              <w:t>15% (11,2</w:t>
            </w:r>
            <w:r w:rsidRPr="00D045B3">
              <w:rPr>
                <w:sz w:val="22"/>
                <w:szCs w:val="22"/>
              </w:rPr>
              <w:noBreakHyphen/>
              <w:t>20,4)</w:t>
            </w:r>
          </w:p>
        </w:tc>
      </w:tr>
      <w:tr w:rsidR="0041254C" w:rsidRPr="00D045B3" w14:paraId="1E927329" w14:textId="77777777" w:rsidTr="006B783B">
        <w:trPr>
          <w:trHeight w:val="99"/>
        </w:trPr>
        <w:tc>
          <w:tcPr>
            <w:tcW w:w="4410" w:type="dxa"/>
            <w:tcBorders>
              <w:top w:val="nil"/>
              <w:left w:val="single" w:sz="4" w:space="0" w:color="auto"/>
              <w:bottom w:val="nil"/>
              <w:right w:val="single" w:sz="4" w:space="0" w:color="auto"/>
            </w:tcBorders>
          </w:tcPr>
          <w:p w14:paraId="1E927327" w14:textId="77777777" w:rsidR="0041254C" w:rsidRPr="00D045B3" w:rsidRDefault="0041254C" w:rsidP="006B783B">
            <w:pPr>
              <w:pStyle w:val="Default"/>
              <w:ind w:left="284"/>
              <w:rPr>
                <w:sz w:val="22"/>
                <w:szCs w:val="22"/>
              </w:rPr>
            </w:pPr>
            <w:r w:rsidRPr="00D045B3">
              <w:rPr>
                <w:sz w:val="22"/>
                <w:szCs w:val="22"/>
              </w:rPr>
              <w:t xml:space="preserve">Teljes </w:t>
            </w:r>
          </w:p>
        </w:tc>
        <w:tc>
          <w:tcPr>
            <w:tcW w:w="4664" w:type="dxa"/>
            <w:tcBorders>
              <w:top w:val="nil"/>
              <w:left w:val="single" w:sz="4" w:space="0" w:color="auto"/>
              <w:bottom w:val="nil"/>
              <w:right w:val="single" w:sz="4" w:space="0" w:color="auto"/>
            </w:tcBorders>
          </w:tcPr>
          <w:p w14:paraId="1E927328" w14:textId="77777777" w:rsidR="0041254C" w:rsidRPr="00D045B3" w:rsidRDefault="0041254C" w:rsidP="008A6837">
            <w:pPr>
              <w:pStyle w:val="Default"/>
              <w:jc w:val="center"/>
              <w:rPr>
                <w:sz w:val="22"/>
                <w:szCs w:val="22"/>
              </w:rPr>
            </w:pPr>
            <w:r w:rsidRPr="00D045B3">
              <w:rPr>
                <w:sz w:val="22"/>
                <w:szCs w:val="22"/>
              </w:rPr>
              <w:t>7%</w:t>
            </w:r>
          </w:p>
        </w:tc>
      </w:tr>
      <w:tr w:rsidR="0041254C" w:rsidRPr="00D045B3" w14:paraId="1E92732C" w14:textId="77777777" w:rsidTr="006B783B">
        <w:trPr>
          <w:trHeight w:val="122"/>
        </w:trPr>
        <w:tc>
          <w:tcPr>
            <w:tcW w:w="4410" w:type="dxa"/>
            <w:tcBorders>
              <w:top w:val="nil"/>
              <w:left w:val="single" w:sz="4" w:space="0" w:color="auto"/>
              <w:bottom w:val="nil"/>
              <w:right w:val="single" w:sz="4" w:space="0" w:color="auto"/>
            </w:tcBorders>
          </w:tcPr>
          <w:p w14:paraId="1E92732A" w14:textId="77777777" w:rsidR="0041254C" w:rsidRPr="00D045B3" w:rsidRDefault="0041254C" w:rsidP="006B783B">
            <w:pPr>
              <w:pStyle w:val="Default"/>
              <w:ind w:left="284"/>
              <w:rPr>
                <w:sz w:val="22"/>
                <w:szCs w:val="22"/>
              </w:rPr>
            </w:pPr>
            <w:r w:rsidRPr="00D045B3">
              <w:rPr>
                <w:sz w:val="22"/>
                <w:szCs w:val="22"/>
              </w:rPr>
              <w:t>(Igazolt</w:t>
            </w:r>
            <w:r w:rsidRPr="00D045B3">
              <w:rPr>
                <w:sz w:val="22"/>
                <w:szCs w:val="22"/>
                <w:vertAlign w:val="superscript"/>
              </w:rPr>
              <w:t>3</w:t>
            </w:r>
            <w:r w:rsidRPr="00D045B3">
              <w:rPr>
                <w:sz w:val="22"/>
                <w:szCs w:val="22"/>
              </w:rPr>
              <w:t xml:space="preserve">) [95% CI] </w:t>
            </w:r>
          </w:p>
        </w:tc>
        <w:tc>
          <w:tcPr>
            <w:tcW w:w="4664" w:type="dxa"/>
            <w:tcBorders>
              <w:top w:val="nil"/>
              <w:left w:val="single" w:sz="4" w:space="0" w:color="auto"/>
              <w:bottom w:val="nil"/>
              <w:right w:val="single" w:sz="4" w:space="0" w:color="auto"/>
            </w:tcBorders>
          </w:tcPr>
          <w:p w14:paraId="1E92732B" w14:textId="77777777" w:rsidR="0041254C" w:rsidRPr="00D045B3" w:rsidRDefault="0041254C" w:rsidP="008A6837">
            <w:pPr>
              <w:pStyle w:val="Default"/>
              <w:jc w:val="center"/>
              <w:rPr>
                <w:sz w:val="22"/>
                <w:szCs w:val="22"/>
              </w:rPr>
            </w:pPr>
            <w:r w:rsidRPr="00D045B3">
              <w:rPr>
                <w:sz w:val="22"/>
                <w:szCs w:val="22"/>
              </w:rPr>
              <w:t>(2%) [0,6</w:t>
            </w:r>
            <w:r w:rsidRPr="00D045B3">
              <w:rPr>
                <w:sz w:val="22"/>
                <w:szCs w:val="22"/>
              </w:rPr>
              <w:noBreakHyphen/>
              <w:t>4,4]</w:t>
            </w:r>
          </w:p>
        </w:tc>
      </w:tr>
      <w:tr w:rsidR="0041254C" w:rsidRPr="00D045B3" w14:paraId="1E92732F" w14:textId="77777777" w:rsidTr="006B783B">
        <w:trPr>
          <w:trHeight w:val="99"/>
        </w:trPr>
        <w:tc>
          <w:tcPr>
            <w:tcW w:w="4410" w:type="dxa"/>
            <w:tcBorders>
              <w:top w:val="nil"/>
              <w:left w:val="single" w:sz="4" w:space="0" w:color="auto"/>
              <w:bottom w:val="single" w:sz="4" w:space="0" w:color="auto"/>
              <w:right w:val="single" w:sz="4" w:space="0" w:color="auto"/>
            </w:tcBorders>
          </w:tcPr>
          <w:p w14:paraId="1E92732D" w14:textId="77777777" w:rsidR="0041254C" w:rsidRPr="00D045B3" w:rsidRDefault="0041254C" w:rsidP="006B783B">
            <w:pPr>
              <w:pStyle w:val="Default"/>
              <w:ind w:left="284"/>
              <w:rPr>
                <w:sz w:val="22"/>
                <w:szCs w:val="22"/>
              </w:rPr>
            </w:pPr>
            <w:r w:rsidRPr="00D045B3">
              <w:rPr>
                <w:sz w:val="22"/>
                <w:szCs w:val="22"/>
              </w:rPr>
              <w:t xml:space="preserve">Részleges </w:t>
            </w:r>
          </w:p>
        </w:tc>
        <w:tc>
          <w:tcPr>
            <w:tcW w:w="4664" w:type="dxa"/>
            <w:tcBorders>
              <w:top w:val="nil"/>
              <w:left w:val="single" w:sz="4" w:space="0" w:color="auto"/>
              <w:bottom w:val="single" w:sz="4" w:space="0" w:color="auto"/>
              <w:right w:val="single" w:sz="4" w:space="0" w:color="auto"/>
            </w:tcBorders>
          </w:tcPr>
          <w:p w14:paraId="1E92732E" w14:textId="77777777" w:rsidR="0041254C" w:rsidRPr="00D045B3" w:rsidRDefault="0041254C" w:rsidP="008A6837">
            <w:pPr>
              <w:pStyle w:val="Default"/>
              <w:jc w:val="center"/>
              <w:rPr>
                <w:sz w:val="22"/>
                <w:szCs w:val="22"/>
              </w:rPr>
            </w:pPr>
            <w:r w:rsidRPr="00D045B3">
              <w:rPr>
                <w:sz w:val="22"/>
                <w:szCs w:val="22"/>
              </w:rPr>
              <w:t>8%</w:t>
            </w:r>
          </w:p>
        </w:tc>
      </w:tr>
      <w:tr w:rsidR="0041254C" w:rsidRPr="00D045B3" w14:paraId="1E927338" w14:textId="77777777" w:rsidTr="006B783B">
        <w:trPr>
          <w:trHeight w:val="888"/>
        </w:trPr>
        <w:tc>
          <w:tcPr>
            <w:tcW w:w="9074" w:type="dxa"/>
            <w:gridSpan w:val="2"/>
            <w:tcBorders>
              <w:top w:val="single" w:sz="4" w:space="0" w:color="auto"/>
              <w:left w:val="single" w:sz="4" w:space="0" w:color="auto"/>
              <w:bottom w:val="single" w:sz="4" w:space="0" w:color="auto"/>
              <w:right w:val="single" w:sz="4" w:space="0" w:color="auto"/>
            </w:tcBorders>
          </w:tcPr>
          <w:p w14:paraId="1E927330" w14:textId="77777777" w:rsidR="0041254C" w:rsidRPr="00D045B3" w:rsidRDefault="0041254C" w:rsidP="006B783B">
            <w:pPr>
              <w:pStyle w:val="Default"/>
              <w:rPr>
                <w:sz w:val="22"/>
                <w:szCs w:val="22"/>
              </w:rPr>
            </w:pPr>
            <w:r w:rsidRPr="00D045B3">
              <w:rPr>
                <w:b/>
                <w:bCs/>
                <w:sz w:val="22"/>
                <w:szCs w:val="22"/>
                <w:vertAlign w:val="superscript"/>
              </w:rPr>
              <w:t>1</w:t>
            </w:r>
            <w:r w:rsidRPr="00D045B3">
              <w:rPr>
                <w:b/>
                <w:bCs/>
                <w:sz w:val="22"/>
                <w:szCs w:val="22"/>
              </w:rPr>
              <w:t xml:space="preserve"> A hematológiai válasz kritériumai (minden választ igazolni kell </w:t>
            </w:r>
            <w:r w:rsidRPr="00D045B3">
              <w:rPr>
                <w:sz w:val="22"/>
                <w:szCs w:val="22"/>
              </w:rPr>
              <w:t xml:space="preserve">≥ </w:t>
            </w:r>
            <w:r w:rsidRPr="00D045B3">
              <w:rPr>
                <w:b/>
                <w:bCs/>
                <w:sz w:val="22"/>
                <w:szCs w:val="22"/>
              </w:rPr>
              <w:t xml:space="preserve">4 hét után): </w:t>
            </w:r>
          </w:p>
          <w:p w14:paraId="1E927331" w14:textId="77777777" w:rsidR="0041254C" w:rsidRPr="00D045B3" w:rsidRDefault="0041254C" w:rsidP="008A6837">
            <w:pPr>
              <w:ind w:left="601" w:hanging="601"/>
              <w:rPr>
                <w:szCs w:val="22"/>
                <w:lang w:val="hu-HU"/>
              </w:rPr>
            </w:pPr>
            <w:smartTag w:uri="urn:schemas-microsoft-com:office:smarttags" w:element="stockticker">
              <w:r w:rsidRPr="00D045B3">
                <w:rPr>
                  <w:szCs w:val="22"/>
                  <w:lang w:val="hu-HU"/>
                </w:rPr>
                <w:t>CHR</w:t>
              </w:r>
            </w:smartTag>
            <w:r w:rsidRPr="00D045B3">
              <w:rPr>
                <w:szCs w:val="22"/>
                <w:lang w:val="hu-HU"/>
              </w:rPr>
              <w:t>: A 0102 számú vizsgálatban [ANC ≥ 1,5 × 10</w:t>
            </w:r>
            <w:r w:rsidRPr="00D045B3">
              <w:rPr>
                <w:szCs w:val="22"/>
                <w:vertAlign w:val="superscript"/>
                <w:lang w:val="hu-HU"/>
              </w:rPr>
              <w:t>9</w:t>
            </w:r>
            <w:r w:rsidRPr="00D045B3">
              <w:rPr>
                <w:szCs w:val="22"/>
                <w:lang w:val="hu-HU"/>
              </w:rPr>
              <w:t>/l, thrombocyták ≥ 100 × 10</w:t>
            </w:r>
            <w:r w:rsidRPr="00D045B3">
              <w:rPr>
                <w:szCs w:val="22"/>
                <w:vertAlign w:val="superscript"/>
                <w:lang w:val="hu-HU"/>
              </w:rPr>
              <w:t>9</w:t>
            </w:r>
            <w:r w:rsidRPr="00D045B3">
              <w:rPr>
                <w:szCs w:val="22"/>
                <w:lang w:val="hu-HU"/>
              </w:rPr>
              <w:t xml:space="preserve">/l, nincsenek blasztok a vérben, BM blasztok száma &lt; 5% és nincs extramedullaris betegség] </w:t>
            </w:r>
          </w:p>
          <w:p w14:paraId="1E927332" w14:textId="77777777" w:rsidR="0041254C" w:rsidRPr="00D045B3" w:rsidRDefault="0041254C" w:rsidP="008A6837">
            <w:pPr>
              <w:ind w:left="601" w:hanging="601"/>
              <w:rPr>
                <w:szCs w:val="22"/>
                <w:lang w:val="hu-HU"/>
              </w:rPr>
            </w:pPr>
            <w:r w:rsidRPr="00D045B3">
              <w:rPr>
                <w:szCs w:val="22"/>
                <w:lang w:val="hu-HU"/>
              </w:rPr>
              <w:t xml:space="preserve">NEL Ugyanazok a kritériumok, mint a </w:t>
            </w:r>
            <w:smartTag w:uri="urn:schemas-microsoft-com:office:smarttags" w:element="stockticker">
              <w:r w:rsidRPr="00D045B3">
                <w:rPr>
                  <w:szCs w:val="22"/>
                  <w:lang w:val="hu-HU"/>
                </w:rPr>
                <w:t>CHR</w:t>
              </w:r>
            </w:smartTag>
            <w:r w:rsidRPr="00D045B3">
              <w:rPr>
                <w:szCs w:val="22"/>
                <w:lang w:val="hu-HU"/>
              </w:rPr>
              <w:t xml:space="preserve"> esetében, de ANC ≥ 1 × 10</w:t>
            </w:r>
            <w:r w:rsidRPr="00D045B3">
              <w:rPr>
                <w:szCs w:val="22"/>
                <w:vertAlign w:val="superscript"/>
                <w:lang w:val="hu-HU"/>
              </w:rPr>
              <w:t>9</w:t>
            </w:r>
            <w:r w:rsidRPr="00D045B3">
              <w:rPr>
                <w:szCs w:val="22"/>
                <w:lang w:val="hu-HU"/>
              </w:rPr>
              <w:t>/l és thrombocyták  ≥ 20 × 10</w:t>
            </w:r>
            <w:r w:rsidRPr="00D045B3">
              <w:rPr>
                <w:szCs w:val="22"/>
                <w:vertAlign w:val="superscript"/>
                <w:lang w:val="hu-HU"/>
              </w:rPr>
              <w:t>9</w:t>
            </w:r>
            <w:r w:rsidRPr="00D045B3">
              <w:rPr>
                <w:szCs w:val="22"/>
                <w:lang w:val="hu-HU"/>
              </w:rPr>
              <w:t xml:space="preserve">/l </w:t>
            </w:r>
          </w:p>
          <w:p w14:paraId="1E927333" w14:textId="77777777" w:rsidR="0041254C" w:rsidRPr="00D045B3" w:rsidRDefault="0041254C" w:rsidP="006300BE">
            <w:pPr>
              <w:pStyle w:val="Default"/>
              <w:ind w:left="601" w:hanging="601"/>
              <w:rPr>
                <w:sz w:val="22"/>
                <w:szCs w:val="22"/>
              </w:rPr>
            </w:pPr>
            <w:r w:rsidRPr="00D045B3">
              <w:rPr>
                <w:sz w:val="22"/>
                <w:szCs w:val="22"/>
              </w:rPr>
              <w:t>RTC &lt; 15% BM és PB blasztok &lt; 30% blasztok+promyelocyták BM</w:t>
            </w:r>
            <w:r w:rsidRPr="00D045B3">
              <w:rPr>
                <w:sz w:val="22"/>
                <w:szCs w:val="22"/>
              </w:rPr>
              <w:noBreakHyphen/>
              <w:t>ben és PB</w:t>
            </w:r>
            <w:r w:rsidRPr="00D045B3">
              <w:rPr>
                <w:sz w:val="22"/>
                <w:szCs w:val="22"/>
              </w:rPr>
              <w:noBreakHyphen/>
              <w:t>ben &lt; 20% bazofilek PB</w:t>
            </w:r>
            <w:r w:rsidRPr="00D045B3">
              <w:rPr>
                <w:sz w:val="22"/>
                <w:szCs w:val="22"/>
              </w:rPr>
              <w:noBreakHyphen/>
              <w:t xml:space="preserve">ben, a lépet és a májat érintő elváltozásokon kívül nincs jelen extramedullaris betegség. </w:t>
            </w:r>
          </w:p>
          <w:p w14:paraId="1E927334" w14:textId="77777777" w:rsidR="0041254C" w:rsidRPr="00D045B3" w:rsidRDefault="0041254C" w:rsidP="006B783B">
            <w:pPr>
              <w:pStyle w:val="Default"/>
              <w:rPr>
                <w:sz w:val="22"/>
                <w:szCs w:val="22"/>
              </w:rPr>
            </w:pPr>
            <w:r w:rsidRPr="00D045B3">
              <w:rPr>
                <w:sz w:val="22"/>
                <w:szCs w:val="22"/>
              </w:rPr>
              <w:t xml:space="preserve">BM = csontvelő, PB = perifériás vér </w:t>
            </w:r>
          </w:p>
          <w:p w14:paraId="1E927335" w14:textId="77777777" w:rsidR="0041254C" w:rsidRPr="00D045B3" w:rsidRDefault="0041254C" w:rsidP="006B783B">
            <w:pPr>
              <w:pStyle w:val="Default"/>
              <w:rPr>
                <w:sz w:val="22"/>
                <w:szCs w:val="22"/>
              </w:rPr>
            </w:pPr>
            <w:r w:rsidRPr="00D045B3">
              <w:rPr>
                <w:b/>
                <w:bCs/>
                <w:sz w:val="22"/>
                <w:szCs w:val="22"/>
                <w:vertAlign w:val="superscript"/>
              </w:rPr>
              <w:t>2</w:t>
            </w:r>
            <w:r w:rsidRPr="00D045B3">
              <w:rPr>
                <w:b/>
                <w:bCs/>
                <w:sz w:val="22"/>
                <w:szCs w:val="22"/>
              </w:rPr>
              <w:t xml:space="preserve"> Citogenetikai válasz kritériumai: </w:t>
            </w:r>
          </w:p>
          <w:p w14:paraId="1E927336" w14:textId="77777777" w:rsidR="0041254C" w:rsidRPr="00D045B3" w:rsidRDefault="0041254C" w:rsidP="006B783B">
            <w:pPr>
              <w:pStyle w:val="Default"/>
              <w:rPr>
                <w:sz w:val="22"/>
                <w:szCs w:val="22"/>
              </w:rPr>
            </w:pPr>
            <w:r w:rsidRPr="00D045B3">
              <w:rPr>
                <w:sz w:val="22"/>
                <w:szCs w:val="22"/>
              </w:rPr>
              <w:t>A legfőbb válasz mind a teljes, mind a részleges válaszok kombinációja: teljes (0% Ph+ metafázisok), részleges (1</w:t>
            </w:r>
            <w:r w:rsidRPr="00D045B3">
              <w:rPr>
                <w:sz w:val="22"/>
                <w:szCs w:val="22"/>
              </w:rPr>
              <w:noBreakHyphen/>
              <w:t xml:space="preserve">35%) </w:t>
            </w:r>
          </w:p>
          <w:p w14:paraId="1E927337" w14:textId="77777777" w:rsidR="0041254C" w:rsidRPr="00D045B3" w:rsidRDefault="0041254C" w:rsidP="006B783B">
            <w:pPr>
              <w:pStyle w:val="Default"/>
              <w:rPr>
                <w:sz w:val="22"/>
                <w:szCs w:val="22"/>
              </w:rPr>
            </w:pPr>
            <w:r w:rsidRPr="00D045B3">
              <w:rPr>
                <w:sz w:val="22"/>
                <w:szCs w:val="22"/>
                <w:vertAlign w:val="superscript"/>
              </w:rPr>
              <w:t>3</w:t>
            </w:r>
            <w:r w:rsidRPr="00D045B3">
              <w:rPr>
                <w:sz w:val="22"/>
                <w:szCs w:val="22"/>
              </w:rPr>
              <w:t xml:space="preserve"> Teljes citogenetikai válasz, amit az első csontvelő vizsgálat után legalább egy hónappal elvégzett második csontvelő citogenetikai értékelés igazol. </w:t>
            </w:r>
          </w:p>
        </w:tc>
      </w:tr>
    </w:tbl>
    <w:p w14:paraId="1E927339" w14:textId="77777777" w:rsidR="0041254C" w:rsidRPr="00D045B3" w:rsidRDefault="0041254C" w:rsidP="009E12FC">
      <w:pPr>
        <w:pStyle w:val="KeinLeerraum"/>
        <w:rPr>
          <w:rFonts w:ascii="Times New Roman" w:hAnsi="Times New Roman"/>
        </w:rPr>
      </w:pPr>
    </w:p>
    <w:p w14:paraId="1E92733A" w14:textId="2F4CA6C0" w:rsidR="009E12FC" w:rsidRPr="00D045B3" w:rsidRDefault="009E12FC" w:rsidP="009116FD">
      <w:pPr>
        <w:pStyle w:val="KeinLeerraum"/>
        <w:keepNext/>
        <w:rPr>
          <w:rFonts w:ascii="Times New Roman" w:hAnsi="Times New Roman"/>
        </w:rPr>
      </w:pPr>
      <w:r w:rsidRPr="00D045B3">
        <w:rPr>
          <w:rFonts w:ascii="Times New Roman" w:hAnsi="Times New Roman"/>
          <w:i/>
          <w:iCs/>
        </w:rPr>
        <w:t>Gyermekek</w:t>
      </w:r>
      <w:r w:rsidR="000D1381" w:rsidRPr="00D045B3">
        <w:rPr>
          <w:rFonts w:ascii="Times New Roman" w:hAnsi="Times New Roman"/>
          <w:i/>
          <w:iCs/>
        </w:rPr>
        <w:t xml:space="preserve"> és serdülők</w:t>
      </w:r>
      <w:r w:rsidRPr="00D045B3">
        <w:rPr>
          <w:rFonts w:ascii="Times New Roman" w:hAnsi="Times New Roman"/>
          <w:i/>
          <w:iCs/>
        </w:rPr>
        <w:t xml:space="preserve">: </w:t>
      </w:r>
      <w:r w:rsidRPr="00D045B3">
        <w:rPr>
          <w:rFonts w:ascii="Times New Roman" w:hAnsi="Times New Roman"/>
        </w:rPr>
        <w:t>összesen 26, 18 év alatti krónikus fázisú (n = 11) vagy blastos krízisben lévő CML</w:t>
      </w:r>
      <w:r w:rsidRPr="00D045B3">
        <w:rPr>
          <w:rFonts w:ascii="Times New Roman" w:hAnsi="Times New Roman"/>
        </w:rPr>
        <w:noBreakHyphen/>
        <w:t>es, illetve Ph+ akut leukaemiás (n = 15) gyermek</w:t>
      </w:r>
      <w:r w:rsidR="007423BA" w:rsidRPr="00D045B3">
        <w:rPr>
          <w:rFonts w:ascii="Times New Roman" w:hAnsi="Times New Roman"/>
        </w:rPr>
        <w:t>- és serdülő</w:t>
      </w:r>
      <w:r w:rsidRPr="00D045B3">
        <w:rPr>
          <w:rFonts w:ascii="Times New Roman" w:hAnsi="Times New Roman"/>
        </w:rPr>
        <w:t>korú beteget vontak be a dóziseszkalációs I</w:t>
      </w:r>
      <w:r w:rsidR="007423BA" w:rsidRPr="00D045B3">
        <w:rPr>
          <w:rFonts w:ascii="Times New Roman" w:hAnsi="Times New Roman"/>
        </w:rPr>
        <w:t>. fázisú</w:t>
      </w:r>
      <w:r w:rsidRPr="00D045B3">
        <w:rPr>
          <w:rFonts w:ascii="Times New Roman" w:hAnsi="Times New Roman"/>
        </w:rPr>
        <w:t xml:space="preserve"> vizsgálatba. Nagymértékben előkezelt betegek voltak, 46%</w:t>
      </w:r>
      <w:r w:rsidRPr="00D045B3">
        <w:rPr>
          <w:rFonts w:ascii="Times New Roman" w:hAnsi="Times New Roman"/>
        </w:rPr>
        <w:noBreakHyphen/>
        <w:t>uk átesett már csontvelő</w:t>
      </w:r>
      <w:r w:rsidRPr="00D045B3">
        <w:rPr>
          <w:rFonts w:ascii="Times New Roman" w:hAnsi="Times New Roman"/>
        </w:rPr>
        <w:noBreakHyphen/>
        <w:t>transzplantáción, illetve 73%</w:t>
      </w:r>
      <w:r w:rsidRPr="00D045B3">
        <w:rPr>
          <w:rFonts w:ascii="Times New Roman" w:hAnsi="Times New Roman"/>
        </w:rPr>
        <w:noBreakHyphen/>
        <w:t>uk előzetesen kombinált kemoterápiát kapott. A betegeket 260 mg/m</w:t>
      </w:r>
      <w:r w:rsidRPr="00D045B3">
        <w:rPr>
          <w:rFonts w:ascii="Times New Roman" w:hAnsi="Times New Roman"/>
          <w:vertAlign w:val="superscript"/>
        </w:rPr>
        <w:t>2</w:t>
      </w:r>
      <w:r w:rsidRPr="00D045B3">
        <w:rPr>
          <w:rFonts w:ascii="Times New Roman" w:hAnsi="Times New Roman"/>
        </w:rPr>
        <w:t>/nap (n=5), 340 mg/m</w:t>
      </w:r>
      <w:r w:rsidRPr="00D045B3">
        <w:rPr>
          <w:rFonts w:ascii="Times New Roman" w:hAnsi="Times New Roman"/>
          <w:vertAlign w:val="superscript"/>
        </w:rPr>
        <w:t>2</w:t>
      </w:r>
      <w:r w:rsidRPr="00D045B3">
        <w:rPr>
          <w:rFonts w:ascii="Times New Roman" w:hAnsi="Times New Roman"/>
        </w:rPr>
        <w:t>/nap (n=9), 440 mg/m</w:t>
      </w:r>
      <w:r w:rsidRPr="00D045B3">
        <w:rPr>
          <w:rFonts w:ascii="Times New Roman" w:hAnsi="Times New Roman"/>
          <w:vertAlign w:val="superscript"/>
        </w:rPr>
        <w:t>2</w:t>
      </w:r>
      <w:r w:rsidRPr="00D045B3">
        <w:rPr>
          <w:rFonts w:ascii="Times New Roman" w:hAnsi="Times New Roman"/>
        </w:rPr>
        <w:t>/nap (n=7), ill. 570 mg/m</w:t>
      </w:r>
      <w:r w:rsidRPr="00D045B3">
        <w:rPr>
          <w:rFonts w:ascii="Times New Roman" w:hAnsi="Times New Roman"/>
          <w:vertAlign w:val="superscript"/>
        </w:rPr>
        <w:t>2</w:t>
      </w:r>
      <w:r w:rsidRPr="00D045B3">
        <w:rPr>
          <w:rFonts w:ascii="Times New Roman" w:hAnsi="Times New Roman"/>
        </w:rPr>
        <w:t>/nap (n=5) dózissal kezelték. A krónikus fázisú CML</w:t>
      </w:r>
      <w:r w:rsidR="007423BA" w:rsidRPr="00D045B3">
        <w:rPr>
          <w:rFonts w:ascii="Times New Roman" w:hAnsi="Times New Roman"/>
        </w:rPr>
        <w:t>-es</w:t>
      </w:r>
      <w:r w:rsidRPr="00D045B3">
        <w:rPr>
          <w:rFonts w:ascii="Times New Roman" w:hAnsi="Times New Roman"/>
        </w:rPr>
        <w:t xml:space="preserve"> betegek közül 9</w:t>
      </w:r>
      <w:r w:rsidRPr="00D045B3">
        <w:rPr>
          <w:rFonts w:ascii="Times New Roman" w:hAnsi="Times New Roman"/>
        </w:rPr>
        <w:noBreakHyphen/>
        <w:t>nek állnak rendelkezésre a cytogenetikai adatai: közülük 4 (44%) ért el komplett, és 3 (33%) részleges cytogenetikai választ; ez 77% MCyR</w:t>
      </w:r>
      <w:r w:rsidRPr="00D045B3">
        <w:rPr>
          <w:rFonts w:ascii="Times New Roman" w:hAnsi="Times New Roman"/>
        </w:rPr>
        <w:noBreakHyphen/>
        <w:t xml:space="preserve">nek felel meg. </w:t>
      </w:r>
    </w:p>
    <w:p w14:paraId="1E92733B" w14:textId="77777777" w:rsidR="009E12FC" w:rsidRPr="00D045B3" w:rsidRDefault="009E12FC" w:rsidP="009E12FC">
      <w:pPr>
        <w:pStyle w:val="KeinLeerraum"/>
        <w:rPr>
          <w:rFonts w:ascii="Times New Roman" w:hAnsi="Times New Roman"/>
        </w:rPr>
      </w:pPr>
    </w:p>
    <w:p w14:paraId="1E92733C" w14:textId="3B75E192" w:rsidR="009E12FC" w:rsidRPr="00D045B3" w:rsidRDefault="009E12FC" w:rsidP="009E12FC">
      <w:pPr>
        <w:pStyle w:val="KeinLeerraum"/>
        <w:rPr>
          <w:rFonts w:ascii="Times New Roman" w:hAnsi="Times New Roman"/>
        </w:rPr>
      </w:pPr>
      <w:r w:rsidRPr="00D045B3">
        <w:rPr>
          <w:rFonts w:ascii="Times New Roman" w:hAnsi="Times New Roman"/>
        </w:rPr>
        <w:t>Összesen 51, újonnan diagnosztizált és kezeletlen krónikus fázisú CML</w:t>
      </w:r>
      <w:r w:rsidRPr="00D045B3">
        <w:rPr>
          <w:rFonts w:ascii="Times New Roman" w:hAnsi="Times New Roman"/>
        </w:rPr>
        <w:noBreakHyphen/>
        <w:t>es gyermekgyógyászati beteget vontak be egy nyílt, multicenteres, egy vizsgálati karos, II</w:t>
      </w:r>
      <w:r w:rsidR="007423BA" w:rsidRPr="00D045B3">
        <w:rPr>
          <w:rFonts w:ascii="Times New Roman" w:hAnsi="Times New Roman"/>
        </w:rPr>
        <w:t>. fázisú</w:t>
      </w:r>
      <w:r w:rsidRPr="00D045B3">
        <w:rPr>
          <w:rFonts w:ascii="Times New Roman" w:hAnsi="Times New Roman"/>
        </w:rPr>
        <w:t xml:space="preserve"> vizsgálatba. Az imatinib dózisa 340 mg/m</w:t>
      </w:r>
      <w:r w:rsidRPr="00D045B3">
        <w:rPr>
          <w:rFonts w:ascii="Times New Roman" w:hAnsi="Times New Roman"/>
          <w:vertAlign w:val="superscript"/>
        </w:rPr>
        <w:t>2</w:t>
      </w:r>
      <w:r w:rsidRPr="00D045B3">
        <w:rPr>
          <w:rFonts w:ascii="Times New Roman" w:hAnsi="Times New Roman"/>
        </w:rPr>
        <w:t>/nap volt, dózislimitáló toxicitás hiányában a kezelést nem szakították meg. Az imatinib kezelés gyors választ indukál az újonnan diagnosztizált gyermekgyógyászati CML</w:t>
      </w:r>
      <w:r w:rsidRPr="00D045B3">
        <w:rPr>
          <w:rFonts w:ascii="Times New Roman" w:hAnsi="Times New Roman"/>
        </w:rPr>
        <w:noBreakHyphen/>
        <w:t>es betegeknél. 8 hetes kezelés után a CHR 78%. A CHR magas arányához 65%</w:t>
      </w:r>
      <w:r w:rsidRPr="00D045B3">
        <w:rPr>
          <w:rFonts w:ascii="Times New Roman" w:hAnsi="Times New Roman"/>
        </w:rPr>
        <w:noBreakHyphen/>
        <w:t>os komplett cytogenetikai válasz (CCyR) társul, ami hasonló a felnőtteknél tapasztalt eredményekhez. Ezenkívül 16%</w:t>
      </w:r>
      <w:r w:rsidRPr="00D045B3">
        <w:rPr>
          <w:rFonts w:ascii="Times New Roman" w:hAnsi="Times New Roman"/>
        </w:rPr>
        <w:noBreakHyphen/>
        <w:t>ban figyeltek meg részleges cytogenetikai választ (PCyR); ez 81% MCyR</w:t>
      </w:r>
      <w:r w:rsidRPr="00D045B3">
        <w:rPr>
          <w:rFonts w:ascii="Times New Roman" w:hAnsi="Times New Roman"/>
        </w:rPr>
        <w:noBreakHyphen/>
        <w:t>nek felel meg. A CCyR</w:t>
      </w:r>
      <w:r w:rsidRPr="00D045B3">
        <w:rPr>
          <w:rFonts w:ascii="Times New Roman" w:hAnsi="Times New Roman"/>
        </w:rPr>
        <w:noBreakHyphen/>
        <w:t>t elérő betegek többségében a 3. és a 10. hónap között alakult ki a CCyR, és a válaszig eltelt idő mediánértéke a Kaplan</w:t>
      </w:r>
      <w:r w:rsidRPr="00D045B3">
        <w:rPr>
          <w:rFonts w:ascii="Times New Roman" w:hAnsi="Times New Roman"/>
        </w:rPr>
        <w:noBreakHyphen/>
        <w:t xml:space="preserve">Meier becslés szerint 5,6 hónap. </w:t>
      </w:r>
    </w:p>
    <w:p w14:paraId="1E92733D" w14:textId="77777777" w:rsidR="009E12FC" w:rsidRPr="00D045B3" w:rsidRDefault="009E12FC" w:rsidP="009E12FC">
      <w:pPr>
        <w:pStyle w:val="KeinLeerraum"/>
        <w:rPr>
          <w:rFonts w:ascii="Times New Roman" w:hAnsi="Times New Roman"/>
        </w:rPr>
      </w:pPr>
    </w:p>
    <w:p w14:paraId="1E92733E" w14:textId="77777777" w:rsidR="009E12FC" w:rsidRPr="00D045B3" w:rsidRDefault="009E12FC" w:rsidP="009E12FC">
      <w:pPr>
        <w:pStyle w:val="KeinLeerraum"/>
        <w:rPr>
          <w:rFonts w:ascii="Times New Roman" w:hAnsi="Times New Roman"/>
        </w:rPr>
      </w:pPr>
      <w:r w:rsidRPr="00D045B3">
        <w:rPr>
          <w:rFonts w:ascii="Times New Roman" w:hAnsi="Times New Roman"/>
        </w:rPr>
        <w:t>Az Európai Gyógyszerügynökség a gyermek</w:t>
      </w:r>
      <w:r w:rsidR="009116FD" w:rsidRPr="00D045B3">
        <w:rPr>
          <w:rFonts w:ascii="Times New Roman" w:hAnsi="Times New Roman"/>
        </w:rPr>
        <w:t>ek esetén</w:t>
      </w:r>
      <w:r w:rsidRPr="00D045B3">
        <w:rPr>
          <w:rFonts w:ascii="Times New Roman" w:hAnsi="Times New Roman"/>
        </w:rPr>
        <w:t xml:space="preserve"> minden </w:t>
      </w:r>
      <w:r w:rsidR="009116FD" w:rsidRPr="00D045B3">
        <w:rPr>
          <w:rFonts w:ascii="Times New Roman" w:hAnsi="Times New Roman"/>
        </w:rPr>
        <w:t xml:space="preserve">korosztálynál </w:t>
      </w:r>
      <w:r w:rsidRPr="00D045B3">
        <w:rPr>
          <w:rFonts w:ascii="Times New Roman" w:hAnsi="Times New Roman"/>
        </w:rPr>
        <w:t>eltekint az imatinib vizsgálati eredményeinek benyújtási kötelezettségétől Philadelphia kromoszóma (bcr</w:t>
      </w:r>
      <w:r w:rsidRPr="00D045B3">
        <w:rPr>
          <w:rFonts w:ascii="Times New Roman" w:hAnsi="Times New Roman"/>
        </w:rPr>
        <w:noBreakHyphen/>
        <w:t>abl transzlokáció)</w:t>
      </w:r>
      <w:r w:rsidRPr="00D045B3">
        <w:rPr>
          <w:rFonts w:ascii="Times New Roman" w:hAnsi="Times New Roman"/>
        </w:rPr>
        <w:noBreakHyphen/>
        <w:t>pozitív (Ph+) krónikus myeloid leukaemiában (lásd 4.2 pont, gyermekgyógyászati alkalmazásra vonatkozó információk).</w:t>
      </w:r>
    </w:p>
    <w:p w14:paraId="1E92733F" w14:textId="77777777" w:rsidR="009E12FC" w:rsidRPr="00D045B3" w:rsidRDefault="009E12FC" w:rsidP="008A6837">
      <w:pPr>
        <w:pStyle w:val="KeinLeerraum"/>
        <w:rPr>
          <w:rFonts w:ascii="Times New Roman" w:hAnsi="Times New Roman"/>
          <w:b/>
        </w:rPr>
      </w:pPr>
    </w:p>
    <w:p w14:paraId="1E927340" w14:textId="77777777" w:rsidR="00AD2797" w:rsidRPr="00D045B3" w:rsidRDefault="00AD2797" w:rsidP="008A6837">
      <w:pPr>
        <w:pStyle w:val="Default"/>
        <w:keepNext/>
        <w:rPr>
          <w:sz w:val="22"/>
          <w:szCs w:val="22"/>
          <w:u w:val="single"/>
        </w:rPr>
      </w:pPr>
      <w:r w:rsidRPr="00D045B3">
        <w:rPr>
          <w:sz w:val="22"/>
          <w:szCs w:val="22"/>
          <w:u w:val="single"/>
        </w:rPr>
        <w:t>Klinikai vizsgálatok Ph+ ALL</w:t>
      </w:r>
      <w:r w:rsidR="00144618" w:rsidRPr="00D045B3">
        <w:rPr>
          <w:sz w:val="22"/>
          <w:szCs w:val="22"/>
          <w:u w:val="single"/>
        </w:rPr>
        <w:noBreakHyphen/>
      </w:r>
      <w:r w:rsidRPr="00D045B3">
        <w:rPr>
          <w:sz w:val="22"/>
          <w:szCs w:val="22"/>
          <w:u w:val="single"/>
        </w:rPr>
        <w:t xml:space="preserve">ben </w:t>
      </w:r>
    </w:p>
    <w:p w14:paraId="1E927341" w14:textId="77777777" w:rsidR="00AD2797" w:rsidRPr="00D045B3" w:rsidRDefault="00AD2797" w:rsidP="008A6837">
      <w:pPr>
        <w:pStyle w:val="Default"/>
        <w:keepNext/>
        <w:rPr>
          <w:color w:val="auto"/>
          <w:sz w:val="22"/>
          <w:szCs w:val="22"/>
        </w:rPr>
      </w:pPr>
      <w:r w:rsidRPr="00D045B3">
        <w:rPr>
          <w:i/>
          <w:iCs/>
          <w:sz w:val="22"/>
          <w:szCs w:val="22"/>
        </w:rPr>
        <w:t xml:space="preserve">Újonnan diagnosztizált Ph+ ALL: </w:t>
      </w:r>
      <w:r w:rsidRPr="00D045B3">
        <w:rPr>
          <w:sz w:val="22"/>
          <w:szCs w:val="22"/>
        </w:rPr>
        <w:t>Egy kontroll</w:t>
      </w:r>
      <w:r w:rsidR="00144618" w:rsidRPr="00D045B3">
        <w:rPr>
          <w:sz w:val="22"/>
          <w:szCs w:val="22"/>
        </w:rPr>
        <w:t>os</w:t>
      </w:r>
      <w:r w:rsidRPr="00D045B3">
        <w:rPr>
          <w:sz w:val="22"/>
          <w:szCs w:val="22"/>
        </w:rPr>
        <w:t xml:space="preserve"> vizsgálatban (ADE10) 55</w:t>
      </w:r>
      <w:r w:rsidR="00144618" w:rsidRPr="00D045B3">
        <w:rPr>
          <w:sz w:val="22"/>
          <w:szCs w:val="22"/>
        </w:rPr>
        <w:t>,</w:t>
      </w:r>
      <w:r w:rsidRPr="00D045B3">
        <w:rPr>
          <w:sz w:val="22"/>
          <w:szCs w:val="22"/>
        </w:rPr>
        <w:t xml:space="preserve"> újonnan </w:t>
      </w:r>
      <w:r w:rsidR="00144618" w:rsidRPr="00D045B3">
        <w:rPr>
          <w:sz w:val="22"/>
          <w:szCs w:val="22"/>
        </w:rPr>
        <w:t>diagnosztizált, 55 </w:t>
      </w:r>
      <w:r w:rsidRPr="00D045B3">
        <w:rPr>
          <w:sz w:val="22"/>
          <w:szCs w:val="22"/>
        </w:rPr>
        <w:t>éves vagy idősebb beteg</w:t>
      </w:r>
      <w:r w:rsidR="00547F5E" w:rsidRPr="00D045B3">
        <w:rPr>
          <w:sz w:val="22"/>
          <w:szCs w:val="22"/>
        </w:rPr>
        <w:t>nél</w:t>
      </w:r>
      <w:r w:rsidRPr="00D045B3">
        <w:rPr>
          <w:sz w:val="22"/>
          <w:szCs w:val="22"/>
        </w:rPr>
        <w:t xml:space="preserve"> hasonlították össze az imatinib</w:t>
      </w:r>
      <w:r w:rsidR="00BB7D27" w:rsidRPr="00D045B3">
        <w:rPr>
          <w:sz w:val="22"/>
          <w:szCs w:val="22"/>
        </w:rPr>
        <w:noBreakHyphen/>
      </w:r>
      <w:r w:rsidRPr="00D045B3">
        <w:rPr>
          <w:sz w:val="22"/>
          <w:szCs w:val="22"/>
        </w:rPr>
        <w:t>, illetve a</w:t>
      </w:r>
      <w:r w:rsidR="00BC044E" w:rsidRPr="00D045B3">
        <w:rPr>
          <w:sz w:val="22"/>
          <w:szCs w:val="22"/>
        </w:rPr>
        <w:t>z</w:t>
      </w:r>
      <w:r w:rsidRPr="00D045B3">
        <w:rPr>
          <w:sz w:val="22"/>
          <w:szCs w:val="22"/>
        </w:rPr>
        <w:t xml:space="preserve"> </w:t>
      </w:r>
      <w:r w:rsidR="00BC044E" w:rsidRPr="00D045B3">
        <w:rPr>
          <w:sz w:val="22"/>
          <w:szCs w:val="22"/>
        </w:rPr>
        <w:t xml:space="preserve">indukciós </w:t>
      </w:r>
      <w:r w:rsidRPr="00D045B3">
        <w:rPr>
          <w:sz w:val="22"/>
          <w:szCs w:val="22"/>
        </w:rPr>
        <w:t>kemoterápi</w:t>
      </w:r>
      <w:r w:rsidR="00BC044E" w:rsidRPr="00D045B3">
        <w:rPr>
          <w:sz w:val="22"/>
          <w:szCs w:val="22"/>
        </w:rPr>
        <w:t>a</w:t>
      </w:r>
      <w:r w:rsidRPr="00D045B3">
        <w:rPr>
          <w:sz w:val="22"/>
          <w:szCs w:val="22"/>
        </w:rPr>
        <w:t xml:space="preserve"> kezelést. Az imatinib monoterápia szignifikánsan magasabb arányban indukált komplett hematológiai választ, mint a kemoterápia (96,3% vs. 50%; p = 0,0001). Amikor a kemoterápiára nem vagy rosszul reagáló betegeknek „salvage” k</w:t>
      </w:r>
      <w:r w:rsidR="00364F0F" w:rsidRPr="00D045B3">
        <w:rPr>
          <w:sz w:val="22"/>
          <w:szCs w:val="22"/>
        </w:rPr>
        <w:t>ezelésként imatinibet adtak, 11 </w:t>
      </w:r>
      <w:r w:rsidRPr="00D045B3">
        <w:rPr>
          <w:sz w:val="22"/>
          <w:szCs w:val="22"/>
        </w:rPr>
        <w:t>betegbő</w:t>
      </w:r>
      <w:r w:rsidR="00364F0F" w:rsidRPr="00D045B3">
        <w:rPr>
          <w:sz w:val="22"/>
          <w:szCs w:val="22"/>
        </w:rPr>
        <w:t>l 9 </w:t>
      </w:r>
      <w:r w:rsidRPr="00D045B3">
        <w:rPr>
          <w:sz w:val="22"/>
          <w:szCs w:val="22"/>
        </w:rPr>
        <w:t>esetében (81,8%) komplett hematológiai választ értek el. Ezen klinikai hatáshoz a bcr</w:t>
      </w:r>
      <w:r w:rsidR="00364F0F" w:rsidRPr="00D045B3">
        <w:rPr>
          <w:sz w:val="22"/>
          <w:szCs w:val="22"/>
        </w:rPr>
        <w:noBreakHyphen/>
      </w:r>
      <w:r w:rsidRPr="00D045B3">
        <w:rPr>
          <w:sz w:val="22"/>
          <w:szCs w:val="22"/>
        </w:rPr>
        <w:t>abl transzkripció nagyobb mértékű csökkenése társult az imatinibbel kezelt betegek</w:t>
      </w:r>
      <w:r w:rsidR="00364F0F" w:rsidRPr="00D045B3">
        <w:rPr>
          <w:sz w:val="22"/>
          <w:szCs w:val="22"/>
        </w:rPr>
        <w:t>nél</w:t>
      </w:r>
      <w:r w:rsidRPr="00D045B3">
        <w:rPr>
          <w:sz w:val="22"/>
          <w:szCs w:val="22"/>
        </w:rPr>
        <w:t>, mint a kemoterápiás vizsgálati karban a 2</w:t>
      </w:r>
      <w:r w:rsidR="00364F0F" w:rsidRPr="00D045B3">
        <w:rPr>
          <w:sz w:val="22"/>
          <w:szCs w:val="22"/>
        </w:rPr>
        <w:t> </w:t>
      </w:r>
      <w:r w:rsidRPr="00D045B3">
        <w:rPr>
          <w:sz w:val="22"/>
          <w:szCs w:val="22"/>
        </w:rPr>
        <w:t>hetes kezelés után (p = 0,02). Az indukciót követően minden beteg imatinibet és konszolidációs kemoterápiát (lásd 5. táblázat) kapott, és a 8. héten a bcr</w:t>
      </w:r>
      <w:r w:rsidR="00364F0F" w:rsidRPr="00D045B3">
        <w:rPr>
          <w:sz w:val="22"/>
          <w:szCs w:val="22"/>
        </w:rPr>
        <w:noBreakHyphen/>
      </w:r>
      <w:r w:rsidRPr="00D045B3">
        <w:rPr>
          <w:sz w:val="22"/>
          <w:szCs w:val="22"/>
        </w:rPr>
        <w:t>abl transzkriptum szintje mindkét vizsgálati karban azonos volt. Amint az a vizsgálat elrendezése alapján várható volt, nem figyeltek meg különbséget a remisszió időtartam</w:t>
      </w:r>
      <w:r w:rsidR="002445EB" w:rsidRPr="00D045B3">
        <w:rPr>
          <w:sz w:val="22"/>
          <w:szCs w:val="22"/>
        </w:rPr>
        <w:t>ában</w:t>
      </w:r>
      <w:r w:rsidRPr="00D045B3">
        <w:rPr>
          <w:sz w:val="22"/>
          <w:szCs w:val="22"/>
        </w:rPr>
        <w:t>, a betegségmentes túlélés</w:t>
      </w:r>
      <w:r w:rsidR="002445EB" w:rsidRPr="00D045B3">
        <w:rPr>
          <w:sz w:val="22"/>
          <w:szCs w:val="22"/>
        </w:rPr>
        <w:t>ben</w:t>
      </w:r>
      <w:r w:rsidRPr="00D045B3">
        <w:rPr>
          <w:sz w:val="22"/>
          <w:szCs w:val="22"/>
        </w:rPr>
        <w:t xml:space="preserve"> vagy a</w:t>
      </w:r>
      <w:r w:rsidR="00364F0F" w:rsidRPr="00D045B3">
        <w:rPr>
          <w:sz w:val="22"/>
          <w:szCs w:val="22"/>
        </w:rPr>
        <w:t>z össz</w:t>
      </w:r>
      <w:r w:rsidR="00364F0F" w:rsidRPr="00D045B3">
        <w:rPr>
          <w:sz w:val="22"/>
          <w:szCs w:val="22"/>
        </w:rPr>
        <w:noBreakHyphen/>
      </w:r>
      <w:r w:rsidRPr="00D045B3">
        <w:rPr>
          <w:sz w:val="22"/>
          <w:szCs w:val="22"/>
        </w:rPr>
        <w:t>túlélés</w:t>
      </w:r>
      <w:r w:rsidR="002445EB" w:rsidRPr="00D045B3">
        <w:rPr>
          <w:sz w:val="22"/>
          <w:szCs w:val="22"/>
        </w:rPr>
        <w:t>ben</w:t>
      </w:r>
      <w:r w:rsidRPr="00D045B3">
        <w:rPr>
          <w:sz w:val="22"/>
          <w:szCs w:val="22"/>
        </w:rPr>
        <w:t xml:space="preserve">, </w:t>
      </w:r>
      <w:r w:rsidRPr="00D045B3">
        <w:rPr>
          <w:color w:val="auto"/>
          <w:sz w:val="22"/>
          <w:szCs w:val="22"/>
        </w:rPr>
        <w:t xml:space="preserve">bár a teljes molekuláris választ mutató és minimális reziduális betegségben szenvedő betegeknél jobb kimenetet láttak mind a remisszió időtartama (p = 0,01), mind a betegségmentes túlélés (p = 0,02) terén. </w:t>
      </w:r>
    </w:p>
    <w:p w14:paraId="1E927342" w14:textId="77777777" w:rsidR="002445EB" w:rsidRPr="00D045B3" w:rsidRDefault="002445EB" w:rsidP="00AD2797">
      <w:pPr>
        <w:pStyle w:val="Default"/>
        <w:rPr>
          <w:color w:val="auto"/>
          <w:sz w:val="22"/>
          <w:szCs w:val="22"/>
        </w:rPr>
      </w:pPr>
    </w:p>
    <w:p w14:paraId="1E927343" w14:textId="77777777" w:rsidR="00AD2797" w:rsidRPr="00D045B3" w:rsidRDefault="00AD2797" w:rsidP="00AD2797">
      <w:pPr>
        <w:pStyle w:val="Default"/>
        <w:rPr>
          <w:color w:val="auto"/>
          <w:sz w:val="22"/>
          <w:szCs w:val="22"/>
        </w:rPr>
      </w:pPr>
      <w:r w:rsidRPr="00D045B3">
        <w:rPr>
          <w:color w:val="auto"/>
          <w:sz w:val="22"/>
          <w:szCs w:val="22"/>
        </w:rPr>
        <w:t>211</w:t>
      </w:r>
      <w:r w:rsidR="002445EB" w:rsidRPr="00D045B3">
        <w:rPr>
          <w:color w:val="auto"/>
          <w:sz w:val="22"/>
          <w:szCs w:val="22"/>
        </w:rPr>
        <w:t>,</w:t>
      </w:r>
      <w:r w:rsidRPr="00D045B3">
        <w:rPr>
          <w:color w:val="auto"/>
          <w:sz w:val="22"/>
          <w:szCs w:val="22"/>
        </w:rPr>
        <w:t xml:space="preserve"> újonnan diagnosztizált Ph+ ALL</w:t>
      </w:r>
      <w:r w:rsidR="002445EB" w:rsidRPr="00D045B3">
        <w:rPr>
          <w:color w:val="auto"/>
          <w:sz w:val="22"/>
          <w:szCs w:val="22"/>
        </w:rPr>
        <w:noBreakHyphen/>
        <w:t>ben szenvedő</w:t>
      </w:r>
      <w:r w:rsidRPr="00D045B3">
        <w:rPr>
          <w:color w:val="auto"/>
          <w:sz w:val="22"/>
          <w:szCs w:val="22"/>
        </w:rPr>
        <w:t xml:space="preserve"> betegből álló </w:t>
      </w:r>
      <w:r w:rsidR="00BB7D27" w:rsidRPr="00D045B3">
        <w:rPr>
          <w:color w:val="auto"/>
          <w:sz w:val="22"/>
          <w:szCs w:val="22"/>
        </w:rPr>
        <w:t>populációval</w:t>
      </w:r>
      <w:r w:rsidRPr="00D045B3">
        <w:rPr>
          <w:color w:val="auto"/>
          <w:sz w:val="22"/>
          <w:szCs w:val="22"/>
        </w:rPr>
        <w:t xml:space="preserve"> végzett négy, nem kontroll</w:t>
      </w:r>
      <w:r w:rsidR="00B402F0" w:rsidRPr="00D045B3">
        <w:rPr>
          <w:color w:val="auto"/>
          <w:sz w:val="22"/>
          <w:szCs w:val="22"/>
        </w:rPr>
        <w:t>os</w:t>
      </w:r>
      <w:r w:rsidRPr="00D045B3">
        <w:rPr>
          <w:color w:val="auto"/>
          <w:sz w:val="22"/>
          <w:szCs w:val="22"/>
        </w:rPr>
        <w:t xml:space="preserve"> klinikai vizsgálat (AAU02, ADE04, AJP01 és AUS01) eredményei összhangban vannak a fent ismertetett eredményekkel. Az </w:t>
      </w:r>
      <w:r w:rsidR="00382C5C" w:rsidRPr="00D045B3">
        <w:rPr>
          <w:color w:val="auto"/>
          <w:sz w:val="22"/>
          <w:szCs w:val="22"/>
        </w:rPr>
        <w:t xml:space="preserve">indukciós kemoterápiával együtt adott </w:t>
      </w:r>
      <w:r w:rsidRPr="00D045B3">
        <w:rPr>
          <w:color w:val="auto"/>
          <w:sz w:val="22"/>
          <w:szCs w:val="22"/>
        </w:rPr>
        <w:t xml:space="preserve">imatinib </w:t>
      </w:r>
      <w:r w:rsidR="00382C5C" w:rsidRPr="00D045B3">
        <w:rPr>
          <w:color w:val="auto"/>
          <w:sz w:val="22"/>
          <w:szCs w:val="22"/>
        </w:rPr>
        <w:t>(lásd 4</w:t>
      </w:r>
      <w:r w:rsidRPr="00D045B3">
        <w:rPr>
          <w:color w:val="auto"/>
          <w:sz w:val="22"/>
          <w:szCs w:val="22"/>
        </w:rPr>
        <w:t>. táblázat) 93%</w:t>
      </w:r>
      <w:r w:rsidR="00382C5C" w:rsidRPr="00D045B3">
        <w:rPr>
          <w:color w:val="auto"/>
          <w:sz w:val="22"/>
          <w:szCs w:val="22"/>
        </w:rPr>
        <w:noBreakHyphen/>
      </w:r>
      <w:r w:rsidRPr="00D045B3">
        <w:rPr>
          <w:color w:val="auto"/>
          <w:sz w:val="22"/>
          <w:szCs w:val="22"/>
        </w:rPr>
        <w:t>os komplett hematológiai válaszarányt (a 158</w:t>
      </w:r>
      <w:r w:rsidR="00382C5C" w:rsidRPr="00D045B3">
        <w:rPr>
          <w:color w:val="auto"/>
          <w:sz w:val="22"/>
          <w:szCs w:val="22"/>
        </w:rPr>
        <w:t> </w:t>
      </w:r>
      <w:r w:rsidRPr="00D045B3">
        <w:rPr>
          <w:color w:val="auto"/>
          <w:sz w:val="22"/>
          <w:szCs w:val="22"/>
        </w:rPr>
        <w:t>értékelhető betegből 147) és 90%</w:t>
      </w:r>
      <w:r w:rsidR="00382C5C" w:rsidRPr="00D045B3">
        <w:rPr>
          <w:color w:val="auto"/>
          <w:sz w:val="22"/>
          <w:szCs w:val="22"/>
        </w:rPr>
        <w:noBreakHyphen/>
      </w:r>
      <w:r w:rsidRPr="00D045B3">
        <w:rPr>
          <w:color w:val="auto"/>
          <w:sz w:val="22"/>
          <w:szCs w:val="22"/>
        </w:rPr>
        <w:t>os nagyfokú cytogenetikai válaszarányt (a 21</w:t>
      </w:r>
      <w:r w:rsidR="00382C5C" w:rsidRPr="00D045B3">
        <w:rPr>
          <w:color w:val="auto"/>
          <w:sz w:val="22"/>
          <w:szCs w:val="22"/>
        </w:rPr>
        <w:t> </w:t>
      </w:r>
      <w:r w:rsidRPr="00D045B3">
        <w:rPr>
          <w:color w:val="auto"/>
          <w:sz w:val="22"/>
          <w:szCs w:val="22"/>
        </w:rPr>
        <w:t>értékelhető betegből 19) eredményezett. A komplett molekuláris válaszarány 48% volt (a 102</w:t>
      </w:r>
      <w:r w:rsidR="00382C5C" w:rsidRPr="00D045B3">
        <w:rPr>
          <w:color w:val="auto"/>
          <w:sz w:val="22"/>
          <w:szCs w:val="22"/>
        </w:rPr>
        <w:t> </w:t>
      </w:r>
      <w:r w:rsidRPr="00D045B3">
        <w:rPr>
          <w:color w:val="auto"/>
          <w:sz w:val="22"/>
          <w:szCs w:val="22"/>
        </w:rPr>
        <w:t>értékelhető betegből 49). Két vizsgálatban (AJP01 és AUS01) a betegségmentes túlélés (DFS) és a</w:t>
      </w:r>
      <w:r w:rsidR="00382C5C" w:rsidRPr="00D045B3">
        <w:rPr>
          <w:color w:val="auto"/>
          <w:sz w:val="22"/>
          <w:szCs w:val="22"/>
        </w:rPr>
        <w:t>z össz</w:t>
      </w:r>
      <w:r w:rsidR="00382C5C" w:rsidRPr="00D045B3">
        <w:rPr>
          <w:color w:val="auto"/>
          <w:sz w:val="22"/>
          <w:szCs w:val="22"/>
        </w:rPr>
        <w:noBreakHyphen/>
      </w:r>
      <w:r w:rsidRPr="00D045B3">
        <w:rPr>
          <w:color w:val="auto"/>
          <w:sz w:val="22"/>
          <w:szCs w:val="22"/>
        </w:rPr>
        <w:t>túlélés (O</w:t>
      </w:r>
      <w:r w:rsidR="00382C5C" w:rsidRPr="00D045B3">
        <w:rPr>
          <w:color w:val="auto"/>
          <w:sz w:val="22"/>
          <w:szCs w:val="22"/>
        </w:rPr>
        <w:t>S) folyamatosan meghaladta az 1 </w:t>
      </w:r>
      <w:r w:rsidRPr="00D045B3">
        <w:rPr>
          <w:color w:val="auto"/>
          <w:sz w:val="22"/>
          <w:szCs w:val="22"/>
        </w:rPr>
        <w:t xml:space="preserve">évet, és jobb volt a történeti kontrollhoz (DFS p &lt; 0,001; OS p &lt; 0,0001) viszonyítva. </w:t>
      </w:r>
    </w:p>
    <w:p w14:paraId="1E927344" w14:textId="77777777" w:rsidR="002445EB" w:rsidRPr="00D045B3" w:rsidRDefault="002445EB" w:rsidP="00AD2797">
      <w:pPr>
        <w:pStyle w:val="Default"/>
        <w:rPr>
          <w:color w:val="auto"/>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9180"/>
      </w:tblGrid>
      <w:tr w:rsidR="00AD2797" w:rsidRPr="00D045B3" w14:paraId="1E927389" w14:textId="77777777" w:rsidTr="008A6837">
        <w:trPr>
          <w:trHeight w:val="98"/>
        </w:trPr>
        <w:tc>
          <w:tcPr>
            <w:tcW w:w="9180" w:type="dxa"/>
          </w:tcPr>
          <w:p w14:paraId="1E927345" w14:textId="1C85D756" w:rsidR="004B2274" w:rsidRPr="00D045B3" w:rsidRDefault="001079FE" w:rsidP="00CA41FD">
            <w:pPr>
              <w:pStyle w:val="Default"/>
              <w:keepNext/>
              <w:rPr>
                <w:b/>
                <w:bCs/>
                <w:color w:val="auto"/>
                <w:sz w:val="22"/>
                <w:szCs w:val="22"/>
              </w:rPr>
            </w:pPr>
            <w:r w:rsidRPr="00D045B3">
              <w:rPr>
                <w:b/>
                <w:bCs/>
                <w:color w:val="auto"/>
                <w:sz w:val="22"/>
                <w:szCs w:val="22"/>
              </w:rPr>
              <w:t>3</w:t>
            </w:r>
            <w:r w:rsidR="00AD2797" w:rsidRPr="00D045B3">
              <w:rPr>
                <w:b/>
                <w:bCs/>
                <w:color w:val="auto"/>
                <w:sz w:val="22"/>
                <w:szCs w:val="22"/>
              </w:rPr>
              <w:t xml:space="preserve">. táblázat </w:t>
            </w:r>
            <w:r w:rsidR="00382C5C" w:rsidRPr="00D045B3">
              <w:rPr>
                <w:b/>
                <w:bCs/>
                <w:color w:val="auto"/>
                <w:sz w:val="22"/>
                <w:szCs w:val="22"/>
              </w:rPr>
              <w:t>Az imatinibbel kombinációban alkalmazott k</w:t>
            </w:r>
            <w:r w:rsidR="00AD2797" w:rsidRPr="00D045B3">
              <w:rPr>
                <w:b/>
                <w:bCs/>
                <w:color w:val="auto"/>
                <w:sz w:val="22"/>
                <w:szCs w:val="22"/>
              </w:rPr>
              <w:t>emoterápiás kezelési protokollok</w:t>
            </w:r>
          </w:p>
          <w:p w14:paraId="1E927346" w14:textId="77777777" w:rsidR="004B2274" w:rsidRPr="00D045B3" w:rsidRDefault="004B2274" w:rsidP="00CA41FD">
            <w:pPr>
              <w:pStyle w:val="Default"/>
              <w:keepNext/>
              <w:rPr>
                <w:b/>
                <w:bCs/>
                <w:color w:val="auto"/>
                <w:sz w:val="22"/>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4B2274" w:rsidRPr="00D045B3" w14:paraId="1E927348" w14:textId="77777777" w:rsidTr="004B2274">
              <w:trPr>
                <w:trHeight w:hRule="exact" w:val="329"/>
              </w:trPr>
              <w:tc>
                <w:tcPr>
                  <w:tcW w:w="8931" w:type="dxa"/>
                  <w:gridSpan w:val="2"/>
                  <w:shd w:val="clear" w:color="auto" w:fill="auto"/>
                  <w:tcMar>
                    <w:top w:w="57" w:type="dxa"/>
                    <w:bottom w:w="57" w:type="dxa"/>
                  </w:tcMar>
                </w:tcPr>
                <w:p w14:paraId="1E927347" w14:textId="77777777" w:rsidR="004B2274" w:rsidRPr="00D045B3" w:rsidRDefault="004B2274" w:rsidP="004B2274">
                  <w:pPr>
                    <w:keepNext/>
                    <w:spacing w:line="240" w:lineRule="auto"/>
                    <w:ind w:right="-23"/>
                    <w:rPr>
                      <w:rFonts w:eastAsia="Times New Roman"/>
                      <w:lang w:val="hu-HU"/>
                    </w:rPr>
                  </w:pPr>
                  <w:r w:rsidRPr="00D045B3">
                    <w:rPr>
                      <w:rFonts w:eastAsia="Times New Roman"/>
                      <w:b/>
                      <w:bCs/>
                      <w:lang w:val="hu-HU"/>
                    </w:rPr>
                    <w:t>ADE10 vizsgálat</w:t>
                  </w:r>
                </w:p>
              </w:tc>
            </w:tr>
            <w:tr w:rsidR="004B2274" w:rsidRPr="00D045B3" w14:paraId="1E92734B" w14:textId="77777777" w:rsidTr="008A6837">
              <w:trPr>
                <w:trHeight w:hRule="exact" w:val="770"/>
              </w:trPr>
              <w:tc>
                <w:tcPr>
                  <w:tcW w:w="2133" w:type="dxa"/>
                  <w:tcBorders>
                    <w:right w:val="nil"/>
                  </w:tcBorders>
                  <w:shd w:val="clear" w:color="auto" w:fill="auto"/>
                  <w:tcMar>
                    <w:top w:w="57" w:type="dxa"/>
                    <w:bottom w:w="57" w:type="dxa"/>
                  </w:tcMar>
                </w:tcPr>
                <w:p w14:paraId="1E927349" w14:textId="77777777" w:rsidR="004B2274" w:rsidRPr="00D045B3" w:rsidRDefault="004B2274" w:rsidP="004B2274">
                  <w:pPr>
                    <w:spacing w:line="240" w:lineRule="auto"/>
                    <w:ind w:right="-20"/>
                    <w:rPr>
                      <w:rFonts w:eastAsia="Times New Roman"/>
                      <w:lang w:val="hu-HU"/>
                    </w:rPr>
                  </w:pPr>
                  <w:r w:rsidRPr="00D045B3">
                    <w:rPr>
                      <w:rFonts w:eastAsia="Times New Roman"/>
                      <w:lang w:val="hu-HU"/>
                    </w:rPr>
                    <w:t>Előfázis</w:t>
                  </w:r>
                </w:p>
              </w:tc>
              <w:tc>
                <w:tcPr>
                  <w:tcW w:w="6798" w:type="dxa"/>
                  <w:tcBorders>
                    <w:left w:val="nil"/>
                  </w:tcBorders>
                  <w:shd w:val="clear" w:color="auto" w:fill="auto"/>
                  <w:tcMar>
                    <w:top w:w="57" w:type="dxa"/>
                    <w:bottom w:w="57" w:type="dxa"/>
                  </w:tcMar>
                </w:tcPr>
                <w:p w14:paraId="1E92734A" w14:textId="77777777" w:rsidR="004B2274" w:rsidRPr="00D045B3" w:rsidRDefault="004B2274" w:rsidP="00FE64E1">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00D512B1" w:rsidRPr="00D045B3">
                    <w:rPr>
                      <w:rFonts w:eastAsia="Times New Roman"/>
                      <w:lang w:val="hu-HU"/>
                    </w:rPr>
                    <w:t>per os</w:t>
                  </w:r>
                  <w:r w:rsidRPr="00D045B3">
                    <w:rPr>
                      <w:rFonts w:eastAsia="Times New Roman"/>
                      <w:lang w:val="hu-HU"/>
                    </w:rPr>
                    <w:t xml:space="preserve">, </w:t>
                  </w:r>
                  <w:r w:rsidR="00D512B1" w:rsidRPr="00D045B3">
                    <w:rPr>
                      <w:rFonts w:eastAsia="Times New Roman"/>
                      <w:lang w:val="hu-HU"/>
                    </w:rPr>
                    <w:t>az</w:t>
                  </w:r>
                  <w:r w:rsidRPr="00D045B3">
                    <w:rPr>
                      <w:rFonts w:eastAsia="Times New Roman"/>
                      <w:lang w:val="hu-HU"/>
                    </w:rPr>
                    <w:t> 1</w:t>
                  </w:r>
                  <w:r w:rsidR="00D512B1" w:rsidRPr="00D045B3">
                    <w:rPr>
                      <w:rFonts w:eastAsia="Times New Roman"/>
                      <w:lang w:val="hu-HU"/>
                    </w:rPr>
                    <w:noBreakHyphen/>
                  </w:r>
                  <w:r w:rsidRPr="00D045B3">
                    <w:rPr>
                      <w:rFonts w:eastAsia="Times New Roman"/>
                      <w:lang w:val="hu-HU"/>
                    </w:rPr>
                    <w:t>5</w:t>
                  </w:r>
                  <w:r w:rsidR="00D512B1" w:rsidRPr="00D045B3">
                    <w:rPr>
                      <w:rFonts w:eastAsia="Times New Roman"/>
                      <w:lang w:val="hu-HU"/>
                    </w:rPr>
                    <w:t> napo</w:t>
                  </w:r>
                  <w:r w:rsidR="009036CA" w:rsidRPr="00D045B3">
                    <w:rPr>
                      <w:rFonts w:eastAsia="Times New Roman"/>
                      <w:lang w:val="hu-HU"/>
                    </w:rPr>
                    <w:t>ko</w:t>
                  </w:r>
                  <w:r w:rsidR="00D512B1" w:rsidRPr="00D045B3">
                    <w:rPr>
                      <w:rFonts w:eastAsia="Times New Roman"/>
                      <w:lang w:val="hu-HU"/>
                    </w:rPr>
                    <w:t>n</w:t>
                  </w:r>
                  <w:r w:rsidRPr="00D045B3">
                    <w:rPr>
                      <w:rFonts w:eastAsia="Times New Roman"/>
                      <w:lang w:val="hu-HU"/>
                    </w:rPr>
                    <w:t>; CP 200 mg/m</w:t>
                  </w:r>
                  <w:r w:rsidRPr="00D045B3">
                    <w:rPr>
                      <w:rFonts w:eastAsia="Times New Roman"/>
                      <w:vertAlign w:val="superscript"/>
                      <w:lang w:val="hu-HU"/>
                    </w:rPr>
                    <w:t>2</w:t>
                  </w:r>
                  <w:r w:rsidRPr="00D045B3">
                    <w:rPr>
                      <w:rFonts w:eastAsia="Times New Roman"/>
                      <w:lang w:val="hu-HU"/>
                    </w:rPr>
                    <w:t xml:space="preserve"> iv., </w:t>
                  </w:r>
                  <w:r w:rsidR="00D512B1" w:rsidRPr="00D045B3">
                    <w:rPr>
                      <w:rFonts w:eastAsia="Times New Roman"/>
                      <w:lang w:val="hu-HU"/>
                    </w:rPr>
                    <w:t xml:space="preserve">a </w:t>
                  </w:r>
                  <w:r w:rsidRPr="00D045B3">
                    <w:rPr>
                      <w:rFonts w:eastAsia="Times New Roman"/>
                      <w:lang w:val="hu-HU"/>
                    </w:rPr>
                    <w:t>3</w:t>
                  </w:r>
                  <w:r w:rsidR="00A11B30" w:rsidRPr="00D045B3">
                    <w:rPr>
                      <w:rFonts w:eastAsia="Times New Roman"/>
                      <w:lang w:val="hu-HU"/>
                    </w:rPr>
                    <w:t>.</w:t>
                  </w:r>
                  <w:r w:rsidRPr="00D045B3">
                    <w:rPr>
                      <w:rFonts w:eastAsia="Times New Roman"/>
                      <w:lang w:val="hu-HU"/>
                    </w:rPr>
                    <w:t>, 4</w:t>
                  </w:r>
                  <w:r w:rsidR="00A11B30" w:rsidRPr="00D045B3">
                    <w:rPr>
                      <w:rFonts w:eastAsia="Times New Roman"/>
                      <w:lang w:val="hu-HU"/>
                    </w:rPr>
                    <w:t>.</w:t>
                  </w:r>
                  <w:r w:rsidRPr="00D045B3">
                    <w:rPr>
                      <w:rFonts w:eastAsia="Times New Roman"/>
                      <w:lang w:val="hu-HU"/>
                    </w:rPr>
                    <w:t>, 5</w:t>
                  </w:r>
                  <w:r w:rsidR="00A11B30" w:rsidRPr="00D045B3">
                    <w:rPr>
                      <w:rFonts w:eastAsia="Times New Roman"/>
                      <w:lang w:val="hu-HU"/>
                    </w:rPr>
                    <w:t>.</w:t>
                  </w:r>
                  <w:r w:rsidR="00D512B1" w:rsidRPr="00D045B3">
                    <w:rPr>
                      <w:rFonts w:eastAsia="Times New Roman"/>
                      <w:lang w:val="hu-HU"/>
                    </w:rPr>
                    <w:t xml:space="preserve"> napon</w:t>
                  </w:r>
                  <w:r w:rsidRPr="00D045B3">
                    <w:rPr>
                      <w:rFonts w:eastAsia="Times New Roman"/>
                      <w:lang w:val="hu-HU"/>
                    </w:rPr>
                    <w:t>; MTX 12 mg intrathecal</w:t>
                  </w:r>
                  <w:r w:rsidR="00D512B1" w:rsidRPr="00D045B3">
                    <w:rPr>
                      <w:rFonts w:eastAsia="Times New Roman"/>
                      <w:lang w:val="hu-HU"/>
                    </w:rPr>
                    <w:t>isan az 1. napon</w:t>
                  </w:r>
                </w:p>
              </w:tc>
            </w:tr>
            <w:tr w:rsidR="004B2274" w:rsidRPr="00D045B3" w14:paraId="1E92734E" w14:textId="77777777" w:rsidTr="008A6837">
              <w:trPr>
                <w:trHeight w:hRule="exact" w:val="1221"/>
              </w:trPr>
              <w:tc>
                <w:tcPr>
                  <w:tcW w:w="2133" w:type="dxa"/>
                  <w:tcBorders>
                    <w:right w:val="nil"/>
                  </w:tcBorders>
                  <w:shd w:val="clear" w:color="auto" w:fill="auto"/>
                  <w:tcMar>
                    <w:top w:w="57" w:type="dxa"/>
                    <w:bottom w:w="57" w:type="dxa"/>
                  </w:tcMar>
                </w:tcPr>
                <w:p w14:paraId="1E92734C" w14:textId="77777777" w:rsidR="004B2274" w:rsidRPr="00D045B3" w:rsidRDefault="004B2274" w:rsidP="00A11B30">
                  <w:pPr>
                    <w:spacing w:line="240" w:lineRule="auto"/>
                    <w:ind w:right="-20"/>
                    <w:rPr>
                      <w:rFonts w:eastAsia="Times New Roman"/>
                      <w:lang w:val="hu-HU"/>
                    </w:rPr>
                  </w:pPr>
                  <w:r w:rsidRPr="00D045B3">
                    <w:rPr>
                      <w:rFonts w:eastAsia="Times New Roman"/>
                      <w:lang w:val="hu-HU"/>
                    </w:rPr>
                    <w:t>Remiss</w:t>
                  </w:r>
                  <w:r w:rsidR="00A11B30" w:rsidRPr="00D045B3">
                    <w:rPr>
                      <w:rFonts w:eastAsia="Times New Roman"/>
                      <w:lang w:val="hu-HU"/>
                    </w:rPr>
                    <w:t xml:space="preserve">zió </w:t>
                  </w:r>
                  <w:r w:rsidRPr="00D045B3">
                    <w:rPr>
                      <w:rFonts w:eastAsia="Times New Roman"/>
                      <w:lang w:val="hu-HU"/>
                    </w:rPr>
                    <w:t>indu</w:t>
                  </w:r>
                  <w:r w:rsidR="00A11B30" w:rsidRPr="00D045B3">
                    <w:rPr>
                      <w:rFonts w:eastAsia="Times New Roman"/>
                      <w:lang w:val="hu-HU"/>
                    </w:rPr>
                    <w:t>kció</w:t>
                  </w:r>
                </w:p>
              </w:tc>
              <w:tc>
                <w:tcPr>
                  <w:tcW w:w="6798" w:type="dxa"/>
                  <w:tcBorders>
                    <w:left w:val="nil"/>
                  </w:tcBorders>
                  <w:shd w:val="clear" w:color="auto" w:fill="auto"/>
                  <w:tcMar>
                    <w:top w:w="57" w:type="dxa"/>
                    <w:bottom w:w="57" w:type="dxa"/>
                  </w:tcMar>
                </w:tcPr>
                <w:p w14:paraId="1E92734D" w14:textId="77777777" w:rsidR="004B2274" w:rsidRPr="00D045B3" w:rsidRDefault="004B2274" w:rsidP="00CD4AFC">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00A11B30" w:rsidRPr="00D045B3">
                    <w:rPr>
                      <w:rFonts w:eastAsia="Times New Roman"/>
                      <w:lang w:val="hu-HU"/>
                    </w:rPr>
                    <w:t>per os</w:t>
                  </w:r>
                  <w:r w:rsidRPr="00D045B3">
                    <w:rPr>
                      <w:rFonts w:eastAsia="Times New Roman"/>
                      <w:lang w:val="hu-HU"/>
                    </w:rPr>
                    <w:t xml:space="preserve">, </w:t>
                  </w:r>
                  <w:r w:rsidR="00A11B30" w:rsidRPr="00D045B3">
                    <w:rPr>
                      <w:rFonts w:eastAsia="Times New Roman"/>
                      <w:lang w:val="hu-HU"/>
                    </w:rPr>
                    <w:t>a 6</w:t>
                  </w:r>
                  <w:r w:rsidR="00A11B30" w:rsidRPr="00D045B3">
                    <w:rPr>
                      <w:rFonts w:eastAsia="Times New Roman"/>
                      <w:lang w:val="hu-HU"/>
                    </w:rPr>
                    <w:noBreakHyphen/>
                    <w:t>7.</w:t>
                  </w:r>
                  <w:r w:rsidRPr="00D045B3">
                    <w:rPr>
                      <w:rFonts w:eastAsia="Times New Roman"/>
                      <w:lang w:val="hu-HU"/>
                    </w:rPr>
                    <w:t xml:space="preserve">, </w:t>
                  </w:r>
                  <w:r w:rsidR="00A11B30" w:rsidRPr="00D045B3">
                    <w:rPr>
                      <w:rFonts w:eastAsia="Times New Roman"/>
                      <w:lang w:val="hu-HU"/>
                    </w:rPr>
                    <w:t xml:space="preserve">és a </w:t>
                  </w:r>
                  <w:r w:rsidRPr="00D045B3">
                    <w:rPr>
                      <w:rFonts w:eastAsia="Times New Roman"/>
                      <w:lang w:val="hu-HU"/>
                    </w:rPr>
                    <w:t>13</w:t>
                  </w:r>
                  <w:r w:rsidR="00A11B30" w:rsidRPr="00D045B3">
                    <w:rPr>
                      <w:rFonts w:eastAsia="Times New Roman"/>
                      <w:lang w:val="hu-HU"/>
                    </w:rPr>
                    <w:noBreakHyphen/>
                  </w:r>
                  <w:r w:rsidRPr="00D045B3">
                    <w:rPr>
                      <w:rFonts w:eastAsia="Times New Roman"/>
                      <w:lang w:val="hu-HU"/>
                    </w:rPr>
                    <w:t>16</w:t>
                  </w:r>
                  <w:r w:rsidR="00A11B30" w:rsidRPr="00D045B3">
                    <w:rPr>
                      <w:rFonts w:eastAsia="Times New Roman"/>
                      <w:lang w:val="hu-HU"/>
                    </w:rPr>
                    <w:t>. napo</w:t>
                  </w:r>
                  <w:r w:rsidR="009036CA" w:rsidRPr="00D045B3">
                    <w:rPr>
                      <w:rFonts w:eastAsia="Times New Roman"/>
                      <w:lang w:val="hu-HU"/>
                    </w:rPr>
                    <w:t>ko</w:t>
                  </w:r>
                  <w:r w:rsidR="00A11B30" w:rsidRPr="00D045B3">
                    <w:rPr>
                      <w:rFonts w:eastAsia="Times New Roman"/>
                      <w:lang w:val="hu-HU"/>
                    </w:rPr>
                    <w:t>n; VCR 1 mg i</w:t>
                  </w:r>
                  <w:r w:rsidRPr="00D045B3">
                    <w:rPr>
                      <w:rFonts w:eastAsia="Times New Roman"/>
                      <w:lang w:val="hu-HU"/>
                    </w:rPr>
                    <w:t xml:space="preserve">v., </w:t>
                  </w:r>
                  <w:r w:rsidR="00A11B30" w:rsidRPr="00D045B3">
                    <w:rPr>
                      <w:rFonts w:eastAsia="Times New Roman"/>
                      <w:lang w:val="hu-HU"/>
                    </w:rPr>
                    <w:t>a</w:t>
                  </w:r>
                  <w:r w:rsidRPr="00D045B3">
                    <w:rPr>
                      <w:rFonts w:eastAsia="Times New Roman"/>
                      <w:lang w:val="hu-HU"/>
                    </w:rPr>
                    <w:t> 7</w:t>
                  </w:r>
                  <w:r w:rsidR="00A11B30" w:rsidRPr="00D045B3">
                    <w:rPr>
                      <w:rFonts w:eastAsia="Times New Roman"/>
                      <w:lang w:val="hu-HU"/>
                    </w:rPr>
                    <w:t>.</w:t>
                  </w:r>
                  <w:r w:rsidRPr="00D045B3">
                    <w:rPr>
                      <w:rFonts w:eastAsia="Times New Roman"/>
                      <w:lang w:val="hu-HU"/>
                    </w:rPr>
                    <w:t>, 14</w:t>
                  </w:r>
                  <w:r w:rsidR="00A11B30" w:rsidRPr="00D045B3">
                    <w:rPr>
                      <w:rFonts w:eastAsia="Times New Roman"/>
                      <w:lang w:val="hu-HU"/>
                    </w:rPr>
                    <w:t>. napon</w:t>
                  </w:r>
                  <w:r w:rsidRPr="00D045B3">
                    <w:rPr>
                      <w:rFonts w:eastAsia="Times New Roman"/>
                      <w:lang w:val="hu-HU"/>
                    </w:rPr>
                    <w:t>; IDA 8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A11B30" w:rsidRPr="00D045B3">
                    <w:rPr>
                      <w:rFonts w:eastAsia="Times New Roman"/>
                      <w:lang w:val="hu-HU"/>
                    </w:rPr>
                    <w:t>0,</w:t>
                  </w:r>
                  <w:r w:rsidRPr="00D045B3">
                    <w:rPr>
                      <w:rFonts w:eastAsia="Times New Roman"/>
                      <w:lang w:val="hu-HU"/>
                    </w:rPr>
                    <w:t>5 </w:t>
                  </w:r>
                  <w:r w:rsidR="00A11B30" w:rsidRPr="00D045B3">
                    <w:rPr>
                      <w:rFonts w:eastAsia="Times New Roman"/>
                      <w:lang w:val="hu-HU"/>
                    </w:rPr>
                    <w:t>órás</w:t>
                  </w:r>
                  <w:r w:rsidRPr="00D045B3">
                    <w:rPr>
                      <w:rFonts w:eastAsia="Times New Roman"/>
                      <w:lang w:val="hu-HU"/>
                    </w:rPr>
                    <w:t xml:space="preserve">), </w:t>
                  </w:r>
                  <w:r w:rsidR="00A11B30" w:rsidRPr="00D045B3">
                    <w:rPr>
                      <w:rFonts w:eastAsia="Times New Roman"/>
                      <w:lang w:val="hu-HU"/>
                    </w:rPr>
                    <w:t>a</w:t>
                  </w:r>
                  <w:r w:rsidRPr="00D045B3">
                    <w:rPr>
                      <w:rFonts w:eastAsia="Times New Roman"/>
                      <w:lang w:val="hu-HU"/>
                    </w:rPr>
                    <w:t> 7</w:t>
                  </w:r>
                  <w:r w:rsidR="00A11B30" w:rsidRPr="00D045B3">
                    <w:rPr>
                      <w:rFonts w:eastAsia="Times New Roman"/>
                      <w:lang w:val="hu-HU"/>
                    </w:rPr>
                    <w:t>.</w:t>
                  </w:r>
                  <w:r w:rsidRPr="00D045B3">
                    <w:rPr>
                      <w:rFonts w:eastAsia="Times New Roman"/>
                      <w:lang w:val="hu-HU"/>
                    </w:rPr>
                    <w:t>, 8</w:t>
                  </w:r>
                  <w:r w:rsidR="00A11B30" w:rsidRPr="00D045B3">
                    <w:rPr>
                      <w:rFonts w:eastAsia="Times New Roman"/>
                      <w:lang w:val="hu-HU"/>
                    </w:rPr>
                    <w:t>.</w:t>
                  </w:r>
                  <w:r w:rsidRPr="00D045B3">
                    <w:rPr>
                      <w:rFonts w:eastAsia="Times New Roman"/>
                      <w:lang w:val="hu-HU"/>
                    </w:rPr>
                    <w:t>, 14</w:t>
                  </w:r>
                  <w:r w:rsidR="00A11B30" w:rsidRPr="00D045B3">
                    <w:rPr>
                      <w:rFonts w:eastAsia="Times New Roman"/>
                      <w:lang w:val="hu-HU"/>
                    </w:rPr>
                    <w:t>.</w:t>
                  </w:r>
                  <w:r w:rsidRPr="00D045B3">
                    <w:rPr>
                      <w:rFonts w:eastAsia="Times New Roman"/>
                      <w:lang w:val="hu-HU"/>
                    </w:rPr>
                    <w:t>, 15</w:t>
                  </w:r>
                  <w:r w:rsidR="00A11B30" w:rsidRPr="00D045B3">
                    <w:rPr>
                      <w:rFonts w:eastAsia="Times New Roman"/>
                      <w:lang w:val="hu-HU"/>
                    </w:rPr>
                    <w:t>. napon</w:t>
                  </w:r>
                  <w:r w:rsidRPr="00D045B3">
                    <w:rPr>
                      <w:rFonts w:eastAsia="Times New Roman"/>
                      <w:lang w:val="hu-HU"/>
                    </w:rPr>
                    <w:t>; CP 500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(1 </w:t>
                  </w:r>
                  <w:r w:rsidR="002E5F98" w:rsidRPr="00D045B3">
                    <w:rPr>
                      <w:rFonts w:eastAsia="Times New Roman"/>
                      <w:lang w:val="hu-HU"/>
                    </w:rPr>
                    <w:t>órás</w:t>
                  </w:r>
                  <w:r w:rsidRPr="00D045B3">
                    <w:rPr>
                      <w:rFonts w:eastAsia="Times New Roman"/>
                      <w:lang w:val="hu-HU"/>
                    </w:rPr>
                    <w:t xml:space="preserve">) </w:t>
                  </w:r>
                  <w:r w:rsidR="002E5F98" w:rsidRPr="00D045B3">
                    <w:rPr>
                      <w:rFonts w:eastAsia="Times New Roman"/>
                      <w:lang w:val="hu-HU"/>
                    </w:rPr>
                    <w:t>az</w:t>
                  </w:r>
                  <w:r w:rsidRPr="00D045B3">
                    <w:rPr>
                      <w:rFonts w:eastAsia="Times New Roman"/>
                      <w:lang w:val="hu-HU"/>
                    </w:rPr>
                    <w:t> 1</w:t>
                  </w:r>
                  <w:r w:rsidR="002E5F98" w:rsidRPr="00D045B3">
                    <w:rPr>
                      <w:rFonts w:eastAsia="Times New Roman"/>
                      <w:lang w:val="hu-HU"/>
                    </w:rPr>
                    <w:t>. napon</w:t>
                  </w:r>
                  <w:r w:rsidRPr="00D045B3">
                    <w:rPr>
                      <w:rFonts w:eastAsia="Times New Roman"/>
                      <w:lang w:val="hu-HU"/>
                    </w:rPr>
                    <w:t>; Ara</w:t>
                  </w:r>
                  <w:r w:rsidR="002E5F98" w:rsidRPr="00D045B3">
                    <w:rPr>
                      <w:rFonts w:eastAsia="Times New Roman"/>
                      <w:lang w:val="hu-HU"/>
                    </w:rPr>
                    <w:noBreakHyphen/>
                  </w:r>
                  <w:r w:rsidRPr="00D045B3">
                    <w:rPr>
                      <w:rFonts w:eastAsia="Times New Roman"/>
                      <w:lang w:val="hu-HU"/>
                    </w:rPr>
                    <w:t xml:space="preserve"> C 60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2E5F98" w:rsidRPr="00D045B3">
                    <w:rPr>
                      <w:rFonts w:eastAsia="Times New Roman"/>
                      <w:lang w:val="hu-HU"/>
                    </w:rPr>
                    <w:t>a</w:t>
                  </w:r>
                  <w:r w:rsidRPr="00D045B3">
                    <w:rPr>
                      <w:rFonts w:eastAsia="Times New Roman"/>
                      <w:lang w:val="hu-HU"/>
                    </w:rPr>
                    <w:t> 22</w:t>
                  </w:r>
                  <w:r w:rsidR="002E5F98" w:rsidRPr="00D045B3">
                    <w:rPr>
                      <w:rFonts w:eastAsia="Times New Roman"/>
                      <w:lang w:val="hu-HU"/>
                    </w:rPr>
                    <w:noBreakHyphen/>
                  </w:r>
                  <w:r w:rsidRPr="00D045B3">
                    <w:rPr>
                      <w:rFonts w:eastAsia="Times New Roman"/>
                      <w:lang w:val="hu-HU"/>
                    </w:rPr>
                    <w:t xml:space="preserve">25, </w:t>
                  </w:r>
                  <w:r w:rsidR="002E5F98" w:rsidRPr="00D045B3">
                    <w:rPr>
                      <w:rFonts w:eastAsia="Times New Roman"/>
                      <w:lang w:val="hu-HU"/>
                    </w:rPr>
                    <w:t xml:space="preserve">és </w:t>
                  </w:r>
                  <w:r w:rsidRPr="00D045B3">
                    <w:rPr>
                      <w:rFonts w:eastAsia="Times New Roman"/>
                      <w:lang w:val="hu-HU"/>
                    </w:rPr>
                    <w:t>29</w:t>
                  </w:r>
                  <w:r w:rsidR="002E5F98" w:rsidRPr="00D045B3">
                    <w:rPr>
                      <w:rFonts w:eastAsia="Times New Roman"/>
                      <w:lang w:val="hu-HU"/>
                    </w:rPr>
                    <w:noBreakHyphen/>
                  </w:r>
                  <w:r w:rsidRPr="00D045B3">
                    <w:rPr>
                      <w:rFonts w:eastAsia="Times New Roman"/>
                      <w:lang w:val="hu-HU"/>
                    </w:rPr>
                    <w:t>32</w:t>
                  </w:r>
                  <w:r w:rsidR="002E5F98" w:rsidRPr="00D045B3">
                    <w:rPr>
                      <w:rFonts w:eastAsia="Times New Roman"/>
                      <w:lang w:val="hu-HU"/>
                    </w:rPr>
                    <w:t xml:space="preserve">. </w:t>
                  </w:r>
                  <w:r w:rsidR="00B119C9" w:rsidRPr="00D045B3">
                    <w:rPr>
                      <w:rFonts w:eastAsia="Times New Roman"/>
                      <w:lang w:val="hu-HU"/>
                    </w:rPr>
                    <w:t>N</w:t>
                  </w:r>
                  <w:r w:rsidR="002E5F98" w:rsidRPr="00D045B3">
                    <w:rPr>
                      <w:rFonts w:eastAsia="Times New Roman"/>
                      <w:lang w:val="hu-HU"/>
                    </w:rPr>
                    <w:t>apo</w:t>
                  </w:r>
                  <w:r w:rsidR="009036CA" w:rsidRPr="00D045B3">
                    <w:rPr>
                      <w:rFonts w:eastAsia="Times New Roman"/>
                      <w:lang w:val="hu-HU"/>
                    </w:rPr>
                    <w:t>ko</w:t>
                  </w:r>
                  <w:r w:rsidR="002E5F98" w:rsidRPr="00D045B3">
                    <w:rPr>
                      <w:rFonts w:eastAsia="Times New Roman"/>
                      <w:lang w:val="hu-HU"/>
                    </w:rPr>
                    <w:t>n</w:t>
                  </w:r>
                </w:p>
              </w:tc>
            </w:tr>
            <w:tr w:rsidR="004B2274" w:rsidRPr="00D045B3" w14:paraId="1E927351" w14:textId="77777777" w:rsidTr="004B2274">
              <w:trPr>
                <w:trHeight w:hRule="exact" w:val="567"/>
              </w:trPr>
              <w:tc>
                <w:tcPr>
                  <w:tcW w:w="2133" w:type="dxa"/>
                  <w:tcBorders>
                    <w:right w:val="nil"/>
                  </w:tcBorders>
                  <w:shd w:val="clear" w:color="auto" w:fill="auto"/>
                  <w:tcMar>
                    <w:top w:w="57" w:type="dxa"/>
                    <w:bottom w:w="57" w:type="dxa"/>
                  </w:tcMar>
                </w:tcPr>
                <w:p w14:paraId="1E92734F" w14:textId="77777777" w:rsidR="004B2274" w:rsidRPr="00D045B3" w:rsidRDefault="002E5F98" w:rsidP="002E5F98">
                  <w:pPr>
                    <w:spacing w:line="240" w:lineRule="auto"/>
                    <w:rPr>
                      <w:rFonts w:eastAsia="Times New Roman"/>
                      <w:lang w:val="hu-HU"/>
                    </w:rPr>
                  </w:pPr>
                  <w:r w:rsidRPr="00D045B3">
                    <w:rPr>
                      <w:rFonts w:eastAsia="Times New Roman"/>
                      <w:lang w:val="hu-HU"/>
                    </w:rPr>
                    <w:t>K</w:t>
                  </w:r>
                  <w:r w:rsidR="004B2274" w:rsidRPr="00D045B3">
                    <w:rPr>
                      <w:rFonts w:eastAsia="Times New Roman"/>
                      <w:lang w:val="hu-HU"/>
                    </w:rPr>
                    <w:t>ons</w:t>
                  </w:r>
                  <w:r w:rsidRPr="00D045B3">
                    <w:rPr>
                      <w:rFonts w:eastAsia="Times New Roman"/>
                      <w:lang w:val="hu-HU"/>
                    </w:rPr>
                    <w:t>z</w:t>
                  </w:r>
                  <w:r w:rsidR="004B2274" w:rsidRPr="00D045B3">
                    <w:rPr>
                      <w:rFonts w:eastAsia="Times New Roman"/>
                      <w:lang w:val="hu-HU"/>
                    </w:rPr>
                    <w:t>olid</w:t>
                  </w:r>
                  <w:r w:rsidRPr="00D045B3">
                    <w:rPr>
                      <w:rFonts w:eastAsia="Times New Roman"/>
                      <w:lang w:val="hu-HU"/>
                    </w:rPr>
                    <w:t xml:space="preserve">ációs terápia </w:t>
                  </w:r>
                  <w:r w:rsidR="004B2274" w:rsidRPr="00D045B3">
                    <w:rPr>
                      <w:rFonts w:eastAsia="Times New Roman"/>
                      <w:lang w:val="hu-HU"/>
                    </w:rPr>
                    <w:t>I, III, V</w:t>
                  </w:r>
                </w:p>
              </w:tc>
              <w:tc>
                <w:tcPr>
                  <w:tcW w:w="6798" w:type="dxa"/>
                  <w:tcBorders>
                    <w:left w:val="nil"/>
                  </w:tcBorders>
                  <w:shd w:val="clear" w:color="auto" w:fill="auto"/>
                  <w:tcMar>
                    <w:top w:w="57" w:type="dxa"/>
                    <w:bottom w:w="57" w:type="dxa"/>
                  </w:tcMar>
                </w:tcPr>
                <w:p w14:paraId="1E927350" w14:textId="77777777" w:rsidR="004B2274" w:rsidRPr="00D045B3" w:rsidRDefault="004B2274" w:rsidP="00FE64E1">
                  <w:pPr>
                    <w:spacing w:line="240" w:lineRule="auto"/>
                    <w:ind w:right="-20"/>
                    <w:rPr>
                      <w:rFonts w:eastAsia="Times New Roman"/>
                      <w:lang w:val="hu-HU"/>
                    </w:rPr>
                  </w:pPr>
                  <w:r w:rsidRPr="00D045B3">
                    <w:rPr>
                      <w:rFonts w:eastAsia="Times New Roman"/>
                      <w:lang w:val="hu-HU"/>
                    </w:rPr>
                    <w:t>MTX 500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(24 </w:t>
                  </w:r>
                  <w:r w:rsidR="002E5F98" w:rsidRPr="00D045B3">
                    <w:rPr>
                      <w:rFonts w:eastAsia="Times New Roman"/>
                      <w:lang w:val="hu-HU"/>
                    </w:rPr>
                    <w:t>órás</w:t>
                  </w:r>
                  <w:r w:rsidRPr="00D045B3">
                    <w:rPr>
                      <w:rFonts w:eastAsia="Times New Roman"/>
                      <w:lang w:val="hu-HU"/>
                    </w:rPr>
                    <w:t xml:space="preserve">), </w:t>
                  </w:r>
                  <w:r w:rsidR="002E5F98" w:rsidRPr="00D045B3">
                    <w:rPr>
                      <w:rFonts w:eastAsia="Times New Roman"/>
                      <w:lang w:val="hu-HU"/>
                    </w:rPr>
                    <w:t xml:space="preserve">az </w:t>
                  </w:r>
                  <w:r w:rsidRPr="00D045B3">
                    <w:rPr>
                      <w:rFonts w:eastAsia="Times New Roman"/>
                      <w:lang w:val="hu-HU"/>
                    </w:rPr>
                    <w:t>1</w:t>
                  </w:r>
                  <w:r w:rsidR="002E5F98" w:rsidRPr="00D045B3">
                    <w:rPr>
                      <w:rFonts w:eastAsia="Times New Roman"/>
                      <w:lang w:val="hu-HU"/>
                    </w:rPr>
                    <w:t xml:space="preserve">. és a </w:t>
                  </w:r>
                  <w:r w:rsidRPr="00D045B3">
                    <w:rPr>
                      <w:rFonts w:eastAsia="Times New Roman"/>
                      <w:lang w:val="hu-HU"/>
                    </w:rPr>
                    <w:t>15</w:t>
                  </w:r>
                  <w:r w:rsidR="002E5F98" w:rsidRPr="00D045B3">
                    <w:rPr>
                      <w:rFonts w:eastAsia="Times New Roman"/>
                      <w:lang w:val="hu-HU"/>
                    </w:rPr>
                    <w:t>. napon</w:t>
                  </w:r>
                  <w:r w:rsidRPr="00D045B3">
                    <w:rPr>
                      <w:rFonts w:eastAsia="Times New Roman"/>
                      <w:lang w:val="hu-HU"/>
                    </w:rPr>
                    <w:t>; 6</w:t>
                  </w:r>
                  <w:r w:rsidR="00CF2B50" w:rsidRPr="00D045B3">
                    <w:rPr>
                      <w:rFonts w:eastAsia="Times New Roman"/>
                      <w:lang w:val="hu-HU"/>
                    </w:rPr>
                    <w:noBreakHyphen/>
                  </w:r>
                  <w:r w:rsidRPr="00D045B3">
                    <w:rPr>
                      <w:rFonts w:eastAsia="Times New Roman"/>
                      <w:lang w:val="hu-HU"/>
                    </w:rPr>
                    <w:t>MP 25 mg/m</w:t>
                  </w:r>
                  <w:r w:rsidRPr="00D045B3">
                    <w:rPr>
                      <w:rFonts w:eastAsia="Times New Roman"/>
                      <w:vertAlign w:val="superscript"/>
                      <w:lang w:val="hu-HU"/>
                    </w:rPr>
                    <w:t>2 </w:t>
                  </w:r>
                  <w:r w:rsidR="00CF2B50" w:rsidRPr="00D045B3">
                    <w:rPr>
                      <w:rFonts w:eastAsia="Times New Roman"/>
                      <w:lang w:val="hu-HU"/>
                    </w:rPr>
                    <w:t>per os</w:t>
                  </w:r>
                  <w:r w:rsidRPr="00D045B3">
                    <w:rPr>
                      <w:rFonts w:eastAsia="Times New Roman"/>
                      <w:lang w:val="hu-HU"/>
                    </w:rPr>
                    <w:t xml:space="preserve">, </w:t>
                  </w:r>
                  <w:r w:rsidR="00CF2B50" w:rsidRPr="00D045B3">
                    <w:rPr>
                      <w:rFonts w:eastAsia="Times New Roman"/>
                      <w:lang w:val="hu-HU"/>
                    </w:rPr>
                    <w:t>az</w:t>
                  </w:r>
                  <w:r w:rsidRPr="00D045B3">
                    <w:rPr>
                      <w:rFonts w:eastAsia="Times New Roman"/>
                      <w:lang w:val="hu-HU"/>
                    </w:rPr>
                    <w:t> 1</w:t>
                  </w:r>
                  <w:r w:rsidR="00CF2B50" w:rsidRPr="00D045B3">
                    <w:rPr>
                      <w:rFonts w:eastAsia="Times New Roman"/>
                      <w:lang w:val="hu-HU"/>
                    </w:rPr>
                    <w:noBreakHyphen/>
                  </w:r>
                  <w:r w:rsidRPr="00D045B3">
                    <w:rPr>
                      <w:rFonts w:eastAsia="Times New Roman"/>
                      <w:lang w:val="hu-HU"/>
                    </w:rPr>
                    <w:t>20</w:t>
                  </w:r>
                  <w:r w:rsidR="00CF2B50" w:rsidRPr="00D045B3">
                    <w:rPr>
                      <w:rFonts w:eastAsia="Times New Roman"/>
                      <w:lang w:val="hu-HU"/>
                    </w:rPr>
                    <w:t xml:space="preserve">. </w:t>
                  </w:r>
                  <w:r w:rsidR="00B119C9" w:rsidRPr="00D045B3">
                    <w:rPr>
                      <w:rFonts w:eastAsia="Times New Roman"/>
                      <w:lang w:val="hu-HU"/>
                    </w:rPr>
                    <w:t>N</w:t>
                  </w:r>
                  <w:r w:rsidR="00CF2B50" w:rsidRPr="00D045B3">
                    <w:rPr>
                      <w:rFonts w:eastAsia="Times New Roman"/>
                      <w:lang w:val="hu-HU"/>
                    </w:rPr>
                    <w:t>apo</w:t>
                  </w:r>
                  <w:r w:rsidR="009036CA" w:rsidRPr="00D045B3">
                    <w:rPr>
                      <w:rFonts w:eastAsia="Times New Roman"/>
                      <w:lang w:val="hu-HU"/>
                    </w:rPr>
                    <w:t>ko</w:t>
                  </w:r>
                  <w:r w:rsidR="00CF2B50" w:rsidRPr="00D045B3">
                    <w:rPr>
                      <w:rFonts w:eastAsia="Times New Roman"/>
                      <w:lang w:val="hu-HU"/>
                    </w:rPr>
                    <w:t>n</w:t>
                  </w:r>
                </w:p>
              </w:tc>
            </w:tr>
            <w:tr w:rsidR="004B2274" w:rsidRPr="00D045B3" w14:paraId="1E927354" w14:textId="77777777" w:rsidTr="004B2274">
              <w:trPr>
                <w:trHeight w:hRule="exact" w:val="567"/>
              </w:trPr>
              <w:tc>
                <w:tcPr>
                  <w:tcW w:w="2133" w:type="dxa"/>
                  <w:tcBorders>
                    <w:right w:val="nil"/>
                  </w:tcBorders>
                  <w:shd w:val="clear" w:color="auto" w:fill="auto"/>
                  <w:tcMar>
                    <w:top w:w="57" w:type="dxa"/>
                    <w:bottom w:w="57" w:type="dxa"/>
                  </w:tcMar>
                </w:tcPr>
                <w:p w14:paraId="1E927352" w14:textId="77777777" w:rsidR="004B2274" w:rsidRPr="00D045B3" w:rsidRDefault="00CF2B50" w:rsidP="004B2274">
                  <w:pPr>
                    <w:spacing w:line="240" w:lineRule="auto"/>
                    <w:rPr>
                      <w:rFonts w:eastAsia="Times New Roman"/>
                      <w:lang w:val="hu-HU"/>
                    </w:rPr>
                  </w:pPr>
                  <w:r w:rsidRPr="00D045B3">
                    <w:rPr>
                      <w:rFonts w:eastAsia="Times New Roman"/>
                      <w:lang w:val="hu-HU"/>
                    </w:rPr>
                    <w:t xml:space="preserve">Konszolidációs terápia </w:t>
                  </w:r>
                  <w:r w:rsidR="004B2274" w:rsidRPr="00D045B3">
                    <w:rPr>
                      <w:rFonts w:eastAsia="Times New Roman"/>
                      <w:lang w:val="hu-HU"/>
                    </w:rPr>
                    <w:t>II, IV</w:t>
                  </w:r>
                </w:p>
              </w:tc>
              <w:tc>
                <w:tcPr>
                  <w:tcW w:w="6798" w:type="dxa"/>
                  <w:tcBorders>
                    <w:left w:val="nil"/>
                  </w:tcBorders>
                  <w:shd w:val="clear" w:color="auto" w:fill="auto"/>
                  <w:tcMar>
                    <w:top w:w="57" w:type="dxa"/>
                    <w:bottom w:w="57" w:type="dxa"/>
                  </w:tcMar>
                </w:tcPr>
                <w:p w14:paraId="1E927353" w14:textId="77777777" w:rsidR="004B2274" w:rsidRPr="00D045B3" w:rsidRDefault="004B2274" w:rsidP="00FE64E1">
                  <w:pPr>
                    <w:spacing w:line="240" w:lineRule="auto"/>
                    <w:ind w:right="-20"/>
                    <w:rPr>
                      <w:rFonts w:eastAsia="Times New Roman"/>
                      <w:lang w:val="hu-HU"/>
                    </w:rPr>
                  </w:pPr>
                  <w:r w:rsidRPr="00D045B3">
                    <w:rPr>
                      <w:rFonts w:eastAsia="Times New Roman"/>
                      <w:lang w:val="hu-HU"/>
                    </w:rPr>
                    <w:t>Ara</w:t>
                  </w:r>
                  <w:r w:rsidR="00CF2B50" w:rsidRPr="00D045B3">
                    <w:rPr>
                      <w:rFonts w:eastAsia="Times New Roman"/>
                      <w:lang w:val="hu-HU"/>
                    </w:rPr>
                    <w:noBreakHyphen/>
                  </w:r>
                  <w:r w:rsidRPr="00D045B3">
                    <w:rPr>
                      <w:rFonts w:eastAsia="Times New Roman"/>
                      <w:lang w:val="hu-HU"/>
                    </w:rPr>
                    <w:t>C 75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(1</w:t>
                  </w:r>
                  <w:r w:rsidR="00CF2B50" w:rsidRPr="00D045B3">
                    <w:rPr>
                      <w:rFonts w:eastAsia="Times New Roman"/>
                      <w:lang w:val="hu-HU"/>
                    </w:rPr>
                    <w:t> órás</w:t>
                  </w:r>
                  <w:r w:rsidRPr="00D045B3">
                    <w:rPr>
                      <w:rFonts w:eastAsia="Times New Roman"/>
                      <w:lang w:val="hu-HU"/>
                    </w:rPr>
                    <w:t xml:space="preserve">), </w:t>
                  </w:r>
                  <w:r w:rsidR="00CF2B50" w:rsidRPr="00D045B3">
                    <w:rPr>
                      <w:rFonts w:eastAsia="Times New Roman"/>
                      <w:lang w:val="hu-HU"/>
                    </w:rPr>
                    <w:t>az</w:t>
                  </w:r>
                  <w:r w:rsidRPr="00D045B3">
                    <w:rPr>
                      <w:rFonts w:eastAsia="Times New Roman"/>
                      <w:lang w:val="hu-HU"/>
                    </w:rPr>
                    <w:t> 1</w:t>
                  </w:r>
                  <w:r w:rsidR="00CF2B50" w:rsidRPr="00D045B3">
                    <w:rPr>
                      <w:rFonts w:eastAsia="Times New Roman"/>
                      <w:lang w:val="hu-HU"/>
                    </w:rPr>
                    <w:noBreakHyphen/>
                  </w:r>
                  <w:r w:rsidRPr="00D045B3">
                    <w:rPr>
                      <w:rFonts w:eastAsia="Times New Roman"/>
                      <w:lang w:val="hu-HU"/>
                    </w:rPr>
                    <w:t>5</w:t>
                  </w:r>
                  <w:r w:rsidR="00CF2B50" w:rsidRPr="00D045B3">
                    <w:rPr>
                      <w:rFonts w:eastAsia="Times New Roman"/>
                      <w:lang w:val="hu-HU"/>
                    </w:rPr>
                    <w:t>. napo</w:t>
                  </w:r>
                  <w:r w:rsidR="009036CA" w:rsidRPr="00D045B3">
                    <w:rPr>
                      <w:rFonts w:eastAsia="Times New Roman"/>
                      <w:lang w:val="hu-HU"/>
                    </w:rPr>
                    <w:t>ko</w:t>
                  </w:r>
                  <w:r w:rsidR="00CF2B50" w:rsidRPr="00D045B3">
                    <w:rPr>
                      <w:rFonts w:eastAsia="Times New Roman"/>
                      <w:lang w:val="hu-HU"/>
                    </w:rPr>
                    <w:t>n</w:t>
                  </w:r>
                  <w:r w:rsidRPr="00D045B3">
                    <w:rPr>
                      <w:rFonts w:eastAsia="Times New Roman"/>
                      <w:lang w:val="hu-HU"/>
                    </w:rPr>
                    <w:t>; VM26 60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(1</w:t>
                  </w:r>
                  <w:r w:rsidR="00CF2B50" w:rsidRPr="00D045B3">
                    <w:rPr>
                      <w:rFonts w:eastAsia="Times New Roman"/>
                      <w:lang w:val="hu-HU"/>
                    </w:rPr>
                    <w:t> órás</w:t>
                  </w:r>
                  <w:r w:rsidRPr="00D045B3">
                    <w:rPr>
                      <w:rFonts w:eastAsia="Times New Roman"/>
                      <w:lang w:val="hu-HU"/>
                    </w:rPr>
                    <w:t xml:space="preserve">), </w:t>
                  </w:r>
                  <w:r w:rsidR="00CF2B50" w:rsidRPr="00D045B3">
                    <w:rPr>
                      <w:rFonts w:eastAsia="Times New Roman"/>
                      <w:lang w:val="hu-HU"/>
                    </w:rPr>
                    <w:t xml:space="preserve">az </w:t>
                  </w:r>
                  <w:r w:rsidRPr="00D045B3">
                    <w:rPr>
                      <w:rFonts w:eastAsia="Times New Roman"/>
                      <w:lang w:val="hu-HU"/>
                    </w:rPr>
                    <w:t>1</w:t>
                  </w:r>
                  <w:r w:rsidR="00CF2B50" w:rsidRPr="00D045B3">
                    <w:rPr>
                      <w:rFonts w:eastAsia="Times New Roman"/>
                      <w:lang w:val="hu-HU"/>
                    </w:rPr>
                    <w:noBreakHyphen/>
                  </w:r>
                  <w:r w:rsidRPr="00D045B3">
                    <w:rPr>
                      <w:rFonts w:eastAsia="Times New Roman"/>
                      <w:lang w:val="hu-HU"/>
                    </w:rPr>
                    <w:t>5</w:t>
                  </w:r>
                  <w:r w:rsidR="00CF2B50" w:rsidRPr="00D045B3">
                    <w:rPr>
                      <w:rFonts w:eastAsia="Times New Roman"/>
                      <w:lang w:val="hu-HU"/>
                    </w:rPr>
                    <w:t xml:space="preserve">. </w:t>
                  </w:r>
                  <w:r w:rsidR="00B119C9" w:rsidRPr="00D045B3">
                    <w:rPr>
                      <w:rFonts w:eastAsia="Times New Roman"/>
                      <w:lang w:val="hu-HU"/>
                    </w:rPr>
                    <w:t>N</w:t>
                  </w:r>
                  <w:r w:rsidR="00CF2B50" w:rsidRPr="00D045B3">
                    <w:rPr>
                      <w:rFonts w:eastAsia="Times New Roman"/>
                      <w:lang w:val="hu-HU"/>
                    </w:rPr>
                    <w:t>apo</w:t>
                  </w:r>
                  <w:r w:rsidR="009036CA" w:rsidRPr="00D045B3">
                    <w:rPr>
                      <w:rFonts w:eastAsia="Times New Roman"/>
                      <w:lang w:val="hu-HU"/>
                    </w:rPr>
                    <w:t>ko</w:t>
                  </w:r>
                  <w:r w:rsidR="00CF2B50" w:rsidRPr="00D045B3">
                    <w:rPr>
                      <w:rFonts w:eastAsia="Times New Roman"/>
                      <w:lang w:val="hu-HU"/>
                    </w:rPr>
                    <w:t>n</w:t>
                  </w:r>
                </w:p>
              </w:tc>
            </w:tr>
            <w:tr w:rsidR="004B2274" w:rsidRPr="00D045B3" w14:paraId="1E927356" w14:textId="77777777" w:rsidTr="004B2274">
              <w:trPr>
                <w:trHeight w:hRule="exact" w:val="329"/>
              </w:trPr>
              <w:tc>
                <w:tcPr>
                  <w:tcW w:w="8931" w:type="dxa"/>
                  <w:gridSpan w:val="2"/>
                  <w:shd w:val="clear" w:color="auto" w:fill="auto"/>
                  <w:tcMar>
                    <w:top w:w="57" w:type="dxa"/>
                    <w:bottom w:w="57" w:type="dxa"/>
                  </w:tcMar>
                </w:tcPr>
                <w:p w14:paraId="1E927355" w14:textId="77777777" w:rsidR="004B2274" w:rsidRPr="00D045B3" w:rsidRDefault="004B2274" w:rsidP="004B2274">
                  <w:pPr>
                    <w:keepNext/>
                    <w:spacing w:line="240" w:lineRule="auto"/>
                    <w:ind w:right="-23"/>
                    <w:rPr>
                      <w:rFonts w:eastAsia="Times New Roman"/>
                      <w:lang w:val="hu-HU"/>
                    </w:rPr>
                  </w:pPr>
                  <w:r w:rsidRPr="00D045B3">
                    <w:rPr>
                      <w:rFonts w:eastAsia="Times New Roman"/>
                      <w:b/>
                      <w:bCs/>
                      <w:lang w:val="hu-HU"/>
                    </w:rPr>
                    <w:t>AAU02</w:t>
                  </w:r>
                  <w:r w:rsidR="002C00C4" w:rsidRPr="00D045B3">
                    <w:rPr>
                      <w:rFonts w:eastAsia="Times New Roman"/>
                      <w:b/>
                      <w:bCs/>
                      <w:lang w:val="hu-HU"/>
                    </w:rPr>
                    <w:t xml:space="preserve"> vizsgálat</w:t>
                  </w:r>
                </w:p>
              </w:tc>
            </w:tr>
            <w:tr w:rsidR="004B2274" w:rsidRPr="00D045B3" w14:paraId="1E92735A" w14:textId="77777777" w:rsidTr="008A6837">
              <w:trPr>
                <w:trHeight w:hRule="exact" w:val="1985"/>
              </w:trPr>
              <w:tc>
                <w:tcPr>
                  <w:tcW w:w="2133" w:type="dxa"/>
                  <w:tcBorders>
                    <w:right w:val="nil"/>
                  </w:tcBorders>
                  <w:shd w:val="clear" w:color="auto" w:fill="auto"/>
                  <w:tcMar>
                    <w:top w:w="57" w:type="dxa"/>
                    <w:bottom w:w="57" w:type="dxa"/>
                  </w:tcMar>
                </w:tcPr>
                <w:p w14:paraId="1E927357" w14:textId="77777777" w:rsidR="004B2274" w:rsidRPr="00D045B3" w:rsidRDefault="004B2274" w:rsidP="002C00C4">
                  <w:pPr>
                    <w:spacing w:line="240" w:lineRule="auto"/>
                    <w:ind w:right="66"/>
                    <w:rPr>
                      <w:rFonts w:eastAsia="Times New Roman"/>
                      <w:lang w:val="hu-HU"/>
                    </w:rPr>
                  </w:pPr>
                  <w:r w:rsidRPr="00D045B3">
                    <w:rPr>
                      <w:rFonts w:eastAsia="Times New Roman"/>
                      <w:lang w:val="hu-HU"/>
                    </w:rPr>
                    <w:t>Indu</w:t>
                  </w:r>
                  <w:r w:rsidR="002C00C4" w:rsidRPr="00D045B3">
                    <w:rPr>
                      <w:rFonts w:eastAsia="Times New Roman"/>
                      <w:lang w:val="hu-HU"/>
                    </w:rPr>
                    <w:t>kciós terápia</w:t>
                  </w:r>
                  <w:r w:rsidRPr="00D045B3">
                    <w:rPr>
                      <w:rFonts w:eastAsia="Times New Roman"/>
                      <w:lang w:val="hu-HU"/>
                    </w:rPr>
                    <w:t xml:space="preserve"> (</w:t>
                  </w:r>
                  <w:r w:rsidRPr="00D045B3">
                    <w:rPr>
                      <w:rFonts w:eastAsia="Times New Roman"/>
                      <w:i/>
                      <w:lang w:val="hu-HU"/>
                    </w:rPr>
                    <w:t xml:space="preserve">de novo </w:t>
                  </w:r>
                  <w:r w:rsidRPr="00D045B3">
                    <w:rPr>
                      <w:rFonts w:eastAsia="Times New Roman"/>
                      <w:lang w:val="hu-HU"/>
                    </w:rPr>
                    <w:t>Ph+ ALL)</w:t>
                  </w:r>
                </w:p>
              </w:tc>
              <w:tc>
                <w:tcPr>
                  <w:tcW w:w="6798" w:type="dxa"/>
                  <w:tcBorders>
                    <w:left w:val="nil"/>
                  </w:tcBorders>
                  <w:shd w:val="clear" w:color="auto" w:fill="auto"/>
                  <w:tcMar>
                    <w:top w:w="57" w:type="dxa"/>
                    <w:bottom w:w="57" w:type="dxa"/>
                  </w:tcMar>
                </w:tcPr>
                <w:p w14:paraId="1E927358" w14:textId="77777777" w:rsidR="00FB0E5B" w:rsidRPr="00D045B3" w:rsidRDefault="004B2274" w:rsidP="004B2274">
                  <w:pPr>
                    <w:spacing w:line="240" w:lineRule="auto"/>
                    <w:ind w:right="173"/>
                    <w:rPr>
                      <w:rFonts w:eastAsia="Times New Roman"/>
                      <w:lang w:val="hu-HU"/>
                    </w:rPr>
                  </w:pPr>
                  <w:r w:rsidRPr="00D045B3">
                    <w:rPr>
                      <w:rFonts w:eastAsia="Times New Roman"/>
                      <w:lang w:val="hu-HU"/>
                    </w:rPr>
                    <w:t>Daunorubicin 30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2C00C4" w:rsidRPr="00D045B3">
                    <w:rPr>
                      <w:rFonts w:eastAsia="Times New Roman"/>
                      <w:lang w:val="hu-HU"/>
                    </w:rPr>
                    <w:t>az</w:t>
                  </w:r>
                  <w:r w:rsidRPr="00D045B3">
                    <w:rPr>
                      <w:rFonts w:eastAsia="Times New Roman"/>
                      <w:lang w:val="hu-HU"/>
                    </w:rPr>
                    <w:t> 1</w:t>
                  </w:r>
                  <w:r w:rsidR="002C00C4" w:rsidRPr="00D045B3">
                    <w:rPr>
                      <w:rFonts w:eastAsia="Times New Roman"/>
                      <w:lang w:val="hu-HU"/>
                    </w:rPr>
                    <w:noBreakHyphen/>
                  </w:r>
                  <w:r w:rsidRPr="00D045B3">
                    <w:rPr>
                      <w:rFonts w:eastAsia="Times New Roman"/>
                      <w:lang w:val="hu-HU"/>
                    </w:rPr>
                    <w:t>3</w:t>
                  </w:r>
                  <w:r w:rsidR="002C00C4" w:rsidRPr="00D045B3">
                    <w:rPr>
                      <w:rFonts w:eastAsia="Times New Roman"/>
                      <w:lang w:val="hu-HU"/>
                    </w:rPr>
                    <w:t xml:space="preserve">. és </w:t>
                  </w:r>
                  <w:r w:rsidRPr="00D045B3">
                    <w:rPr>
                      <w:rFonts w:eastAsia="Times New Roman"/>
                      <w:lang w:val="hu-HU"/>
                    </w:rPr>
                    <w:t>15</w:t>
                  </w:r>
                  <w:r w:rsidR="002C00C4" w:rsidRPr="00D045B3">
                    <w:rPr>
                      <w:rFonts w:eastAsia="Times New Roman"/>
                      <w:lang w:val="hu-HU"/>
                    </w:rPr>
                    <w:noBreakHyphen/>
                  </w:r>
                  <w:r w:rsidRPr="00D045B3">
                    <w:rPr>
                      <w:rFonts w:eastAsia="Times New Roman"/>
                      <w:lang w:val="hu-HU"/>
                    </w:rPr>
                    <w:t>16</w:t>
                  </w:r>
                  <w:r w:rsidR="002C00C4" w:rsidRPr="00D045B3">
                    <w:rPr>
                      <w:rFonts w:eastAsia="Times New Roman"/>
                      <w:lang w:val="hu-HU"/>
                    </w:rPr>
                    <w:t>. napokon</w:t>
                  </w:r>
                  <w:r w:rsidRPr="00D045B3">
                    <w:rPr>
                      <w:rFonts w:eastAsia="Times New Roman"/>
                      <w:lang w:val="hu-HU"/>
                    </w:rPr>
                    <w:t xml:space="preserve">; VCR 2 mg </w:t>
                  </w:r>
                  <w:r w:rsidR="002C00C4" w:rsidRPr="00D045B3">
                    <w:rPr>
                      <w:rFonts w:eastAsia="Times New Roman"/>
                      <w:lang w:val="hu-HU"/>
                    </w:rPr>
                    <w:t xml:space="preserve">összdózis </w:t>
                  </w:r>
                  <w:r w:rsidR="00A11B30" w:rsidRPr="00D045B3">
                    <w:rPr>
                      <w:rFonts w:eastAsia="Times New Roman"/>
                      <w:lang w:val="hu-HU"/>
                    </w:rPr>
                    <w:t>iv.</w:t>
                  </w:r>
                  <w:r w:rsidRPr="00D045B3">
                    <w:rPr>
                      <w:rFonts w:eastAsia="Times New Roman"/>
                      <w:lang w:val="hu-HU"/>
                    </w:rPr>
                    <w:t xml:space="preserve">, </w:t>
                  </w:r>
                  <w:r w:rsidR="002C00C4" w:rsidRPr="00D045B3">
                    <w:rPr>
                      <w:rFonts w:eastAsia="Times New Roman"/>
                      <w:lang w:val="hu-HU"/>
                    </w:rPr>
                    <w:t>az</w:t>
                  </w:r>
                  <w:r w:rsidRPr="00D045B3">
                    <w:rPr>
                      <w:rFonts w:eastAsia="Times New Roman"/>
                      <w:lang w:val="hu-HU"/>
                    </w:rPr>
                    <w:t> 1</w:t>
                  </w:r>
                  <w:r w:rsidR="002C00C4" w:rsidRPr="00D045B3">
                    <w:rPr>
                      <w:rFonts w:eastAsia="Times New Roman"/>
                      <w:lang w:val="hu-HU"/>
                    </w:rPr>
                    <w:t>.</w:t>
                  </w:r>
                  <w:r w:rsidRPr="00D045B3">
                    <w:rPr>
                      <w:rFonts w:eastAsia="Times New Roman"/>
                      <w:lang w:val="hu-HU"/>
                    </w:rPr>
                    <w:t>, 8</w:t>
                  </w:r>
                  <w:r w:rsidR="002C00C4" w:rsidRPr="00D045B3">
                    <w:rPr>
                      <w:rFonts w:eastAsia="Times New Roman"/>
                      <w:lang w:val="hu-HU"/>
                    </w:rPr>
                    <w:t>.</w:t>
                  </w:r>
                  <w:r w:rsidRPr="00D045B3">
                    <w:rPr>
                      <w:rFonts w:eastAsia="Times New Roman"/>
                      <w:lang w:val="hu-HU"/>
                    </w:rPr>
                    <w:t>, 15</w:t>
                  </w:r>
                  <w:r w:rsidR="002C00C4" w:rsidRPr="00D045B3">
                    <w:rPr>
                      <w:rFonts w:eastAsia="Times New Roman"/>
                      <w:lang w:val="hu-HU"/>
                    </w:rPr>
                    <w:t>.</w:t>
                  </w:r>
                  <w:r w:rsidRPr="00D045B3">
                    <w:rPr>
                      <w:rFonts w:eastAsia="Times New Roman"/>
                      <w:lang w:val="hu-HU"/>
                    </w:rPr>
                    <w:t>, 22</w:t>
                  </w:r>
                  <w:r w:rsidR="002C00C4" w:rsidRPr="00D045B3">
                    <w:rPr>
                      <w:rFonts w:eastAsia="Times New Roman"/>
                      <w:lang w:val="hu-HU"/>
                    </w:rPr>
                    <w:t>. napon</w:t>
                  </w:r>
                  <w:r w:rsidRPr="00D045B3">
                    <w:rPr>
                      <w:rFonts w:eastAsia="Times New Roman"/>
                      <w:lang w:val="hu-HU"/>
                    </w:rPr>
                    <w:t>; CP 750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2C00C4" w:rsidRPr="00D045B3">
                    <w:rPr>
                      <w:rFonts w:eastAsia="Times New Roman"/>
                      <w:lang w:val="hu-HU"/>
                    </w:rPr>
                    <w:t>az</w:t>
                  </w:r>
                  <w:r w:rsidRPr="00D045B3">
                    <w:rPr>
                      <w:rFonts w:eastAsia="Times New Roman"/>
                      <w:lang w:val="hu-HU"/>
                    </w:rPr>
                    <w:t> 1</w:t>
                  </w:r>
                  <w:r w:rsidR="002C00C4" w:rsidRPr="00D045B3">
                    <w:rPr>
                      <w:rFonts w:eastAsia="Times New Roman"/>
                      <w:lang w:val="hu-HU"/>
                    </w:rPr>
                    <w:t>.</w:t>
                  </w:r>
                  <w:r w:rsidRPr="00D045B3">
                    <w:rPr>
                      <w:rFonts w:eastAsia="Times New Roman"/>
                      <w:lang w:val="hu-HU"/>
                    </w:rPr>
                    <w:t>, 8</w:t>
                  </w:r>
                  <w:r w:rsidR="002C00C4" w:rsidRPr="00D045B3">
                    <w:rPr>
                      <w:rFonts w:eastAsia="Times New Roman"/>
                      <w:lang w:val="hu-HU"/>
                    </w:rPr>
                    <w:t>.</w:t>
                  </w:r>
                  <w:r w:rsidR="00CC0893" w:rsidRPr="00D045B3">
                    <w:rPr>
                      <w:rFonts w:eastAsia="Times New Roman"/>
                      <w:lang w:val="hu-HU"/>
                    </w:rPr>
                    <w:t xml:space="preserve"> napon</w:t>
                  </w:r>
                  <w:r w:rsidRPr="00D045B3">
                    <w:rPr>
                      <w:rFonts w:eastAsia="Times New Roman"/>
                      <w:lang w:val="hu-HU"/>
                    </w:rPr>
                    <w:t>; predni</w:t>
                  </w:r>
                  <w:r w:rsidR="00CC0893" w:rsidRPr="00D045B3">
                    <w:rPr>
                      <w:rFonts w:eastAsia="Times New Roman"/>
                      <w:lang w:val="hu-HU"/>
                    </w:rPr>
                    <w:t>zon</w:t>
                  </w:r>
                  <w:r w:rsidRPr="00D045B3">
                    <w:rPr>
                      <w:rFonts w:eastAsia="Times New Roman"/>
                      <w:lang w:val="hu-HU"/>
                    </w:rPr>
                    <w:t xml:space="preserve"> 60 mg/m</w:t>
                  </w:r>
                  <w:r w:rsidRPr="00D045B3">
                    <w:rPr>
                      <w:rFonts w:eastAsia="Times New Roman"/>
                      <w:vertAlign w:val="superscript"/>
                      <w:lang w:val="hu-HU"/>
                    </w:rPr>
                    <w:t>2 </w:t>
                  </w:r>
                  <w:r w:rsidR="00CC0893" w:rsidRPr="00D045B3">
                    <w:rPr>
                      <w:rFonts w:eastAsia="Times New Roman"/>
                      <w:lang w:val="hu-HU"/>
                    </w:rPr>
                    <w:t>per os</w:t>
                  </w:r>
                  <w:r w:rsidRPr="00D045B3">
                    <w:rPr>
                      <w:rFonts w:eastAsia="Times New Roman"/>
                      <w:lang w:val="hu-HU"/>
                    </w:rPr>
                    <w:t xml:space="preserve">, </w:t>
                  </w:r>
                  <w:r w:rsidR="00CC0893" w:rsidRPr="00D045B3">
                    <w:rPr>
                      <w:rFonts w:eastAsia="Times New Roman"/>
                      <w:lang w:val="hu-HU"/>
                    </w:rPr>
                    <w:t>a</w:t>
                  </w:r>
                  <w:r w:rsidRPr="00D045B3">
                    <w:rPr>
                      <w:rFonts w:eastAsia="Times New Roman"/>
                      <w:lang w:val="hu-HU"/>
                    </w:rPr>
                    <w:t> 1</w:t>
                  </w:r>
                  <w:r w:rsidR="00CC0893" w:rsidRPr="00D045B3">
                    <w:rPr>
                      <w:rFonts w:eastAsia="Times New Roman"/>
                      <w:lang w:val="hu-HU"/>
                    </w:rPr>
                    <w:noBreakHyphen/>
                  </w:r>
                  <w:r w:rsidRPr="00D045B3">
                    <w:rPr>
                      <w:rFonts w:eastAsia="Times New Roman"/>
                      <w:lang w:val="hu-HU"/>
                    </w:rPr>
                    <w:t>7</w:t>
                  </w:r>
                  <w:r w:rsidR="00CC0893" w:rsidRPr="00D045B3">
                    <w:rPr>
                      <w:rFonts w:eastAsia="Times New Roman"/>
                      <w:lang w:val="hu-HU"/>
                    </w:rPr>
                    <w:t>. napo</w:t>
                  </w:r>
                  <w:r w:rsidR="009036CA" w:rsidRPr="00D045B3">
                    <w:rPr>
                      <w:rFonts w:eastAsia="Times New Roman"/>
                      <w:lang w:val="hu-HU"/>
                    </w:rPr>
                    <w:t>ko</w:t>
                  </w:r>
                  <w:r w:rsidR="00CC0893" w:rsidRPr="00D045B3">
                    <w:rPr>
                      <w:rFonts w:eastAsia="Times New Roman"/>
                      <w:lang w:val="hu-HU"/>
                    </w:rPr>
                    <w:t>n</w:t>
                  </w:r>
                  <w:r w:rsidRPr="00D045B3">
                    <w:rPr>
                      <w:rFonts w:eastAsia="Times New Roman"/>
                      <w:lang w:val="hu-HU"/>
                    </w:rPr>
                    <w:t xml:space="preserve">, </w:t>
                  </w:r>
                  <w:r w:rsidR="00FB0E5B" w:rsidRPr="00D045B3">
                    <w:rPr>
                      <w:rFonts w:eastAsia="Times New Roman"/>
                      <w:lang w:val="hu-HU"/>
                    </w:rPr>
                    <w:t xml:space="preserve">és a </w:t>
                  </w:r>
                  <w:r w:rsidRPr="00D045B3">
                    <w:rPr>
                      <w:rFonts w:eastAsia="Times New Roman"/>
                      <w:lang w:val="hu-HU"/>
                    </w:rPr>
                    <w:t>15</w:t>
                  </w:r>
                  <w:r w:rsidR="00FB0E5B" w:rsidRPr="00D045B3">
                    <w:rPr>
                      <w:rFonts w:eastAsia="Times New Roman"/>
                      <w:lang w:val="hu-HU"/>
                    </w:rPr>
                    <w:noBreakHyphen/>
                  </w:r>
                  <w:r w:rsidRPr="00D045B3">
                    <w:rPr>
                      <w:rFonts w:eastAsia="Times New Roman"/>
                      <w:lang w:val="hu-HU"/>
                    </w:rPr>
                    <w:t>21</w:t>
                  </w:r>
                  <w:r w:rsidR="00FB0E5B" w:rsidRPr="00D045B3">
                    <w:rPr>
                      <w:rFonts w:eastAsia="Times New Roman"/>
                      <w:lang w:val="hu-HU"/>
                    </w:rPr>
                    <w:t>. napo</w:t>
                  </w:r>
                  <w:r w:rsidR="009036CA" w:rsidRPr="00D045B3">
                    <w:rPr>
                      <w:rFonts w:eastAsia="Times New Roman"/>
                      <w:lang w:val="hu-HU"/>
                    </w:rPr>
                    <w:t>ko</w:t>
                  </w:r>
                  <w:r w:rsidR="00FB0E5B" w:rsidRPr="00D045B3">
                    <w:rPr>
                      <w:rFonts w:eastAsia="Times New Roman"/>
                      <w:lang w:val="hu-HU"/>
                    </w:rPr>
                    <w:t>n</w:t>
                  </w:r>
                  <w:r w:rsidRPr="00D045B3">
                    <w:rPr>
                      <w:rFonts w:eastAsia="Times New Roman"/>
                      <w:lang w:val="hu-HU"/>
                    </w:rPr>
                    <w:t xml:space="preserve">; </w:t>
                  </w:r>
                </w:p>
                <w:p w14:paraId="1E927359" w14:textId="77777777" w:rsidR="004B2274" w:rsidRPr="00D045B3" w:rsidRDefault="004B2274" w:rsidP="00FE64E1">
                  <w:pPr>
                    <w:spacing w:line="240" w:lineRule="auto"/>
                    <w:ind w:right="173"/>
                    <w:rPr>
                      <w:rFonts w:eastAsia="Times New Roman"/>
                      <w:lang w:val="hu-HU"/>
                    </w:rPr>
                  </w:pPr>
                  <w:r w:rsidRPr="00D045B3">
                    <w:rPr>
                      <w:rFonts w:eastAsia="Times New Roman"/>
                      <w:lang w:val="hu-HU"/>
                    </w:rPr>
                    <w:t>IDA 9 mg/m</w:t>
                  </w:r>
                  <w:r w:rsidRPr="00D045B3">
                    <w:rPr>
                      <w:rFonts w:eastAsia="Times New Roman"/>
                      <w:vertAlign w:val="superscript"/>
                      <w:lang w:val="hu-HU"/>
                    </w:rPr>
                    <w:t>2 </w:t>
                  </w:r>
                  <w:r w:rsidR="00FB0E5B" w:rsidRPr="00D045B3">
                    <w:rPr>
                      <w:rFonts w:eastAsia="Times New Roman"/>
                      <w:lang w:val="hu-HU"/>
                    </w:rPr>
                    <w:t xml:space="preserve">per os az </w:t>
                  </w:r>
                  <w:r w:rsidRPr="00D045B3">
                    <w:rPr>
                      <w:rFonts w:eastAsia="Times New Roman"/>
                      <w:lang w:val="hu-HU"/>
                    </w:rPr>
                    <w:t>1</w:t>
                  </w:r>
                  <w:r w:rsidR="00FB0E5B" w:rsidRPr="00D045B3">
                    <w:rPr>
                      <w:rFonts w:eastAsia="Times New Roman"/>
                      <w:lang w:val="hu-HU"/>
                    </w:rPr>
                    <w:noBreakHyphen/>
                  </w:r>
                  <w:r w:rsidRPr="00D045B3">
                    <w:rPr>
                      <w:rFonts w:eastAsia="Times New Roman"/>
                      <w:lang w:val="hu-HU"/>
                    </w:rPr>
                    <w:t>28</w:t>
                  </w:r>
                  <w:r w:rsidR="00FB0E5B" w:rsidRPr="00D045B3">
                    <w:rPr>
                      <w:rFonts w:eastAsia="Times New Roman"/>
                      <w:lang w:val="hu-HU"/>
                    </w:rPr>
                    <w:t>. napo</w:t>
                  </w:r>
                  <w:r w:rsidR="009036CA" w:rsidRPr="00D045B3">
                    <w:rPr>
                      <w:rFonts w:eastAsia="Times New Roman"/>
                      <w:lang w:val="hu-HU"/>
                    </w:rPr>
                    <w:t>ko</w:t>
                  </w:r>
                  <w:r w:rsidR="00FB0E5B" w:rsidRPr="00D045B3">
                    <w:rPr>
                      <w:rFonts w:eastAsia="Times New Roman"/>
                      <w:lang w:val="hu-HU"/>
                    </w:rPr>
                    <w:t>n</w:t>
                  </w:r>
                  <w:r w:rsidRPr="00D045B3">
                    <w:rPr>
                      <w:rFonts w:eastAsia="Times New Roman"/>
                      <w:lang w:val="hu-HU"/>
                    </w:rPr>
                    <w:t>; MTX 15 mg intrathecal</w:t>
                  </w:r>
                  <w:r w:rsidR="00FB0E5B" w:rsidRPr="00D045B3">
                    <w:rPr>
                      <w:rFonts w:eastAsia="Times New Roman"/>
                      <w:lang w:val="hu-HU"/>
                    </w:rPr>
                    <w:t>isan</w:t>
                  </w:r>
                  <w:r w:rsidRPr="00D045B3">
                    <w:rPr>
                      <w:rFonts w:eastAsia="Times New Roman"/>
                      <w:lang w:val="hu-HU"/>
                    </w:rPr>
                    <w:t xml:space="preserve">, </w:t>
                  </w:r>
                  <w:r w:rsidR="00FB0E5B" w:rsidRPr="00D045B3">
                    <w:rPr>
                      <w:rFonts w:eastAsia="Times New Roman"/>
                      <w:lang w:val="hu-HU"/>
                    </w:rPr>
                    <w:t>az</w:t>
                  </w:r>
                  <w:r w:rsidRPr="00D045B3">
                    <w:rPr>
                      <w:rFonts w:eastAsia="Times New Roman"/>
                      <w:lang w:val="hu-HU"/>
                    </w:rPr>
                    <w:t> 1</w:t>
                  </w:r>
                  <w:r w:rsidR="00FB0E5B" w:rsidRPr="00D045B3">
                    <w:rPr>
                      <w:rFonts w:eastAsia="Times New Roman"/>
                      <w:lang w:val="hu-HU"/>
                    </w:rPr>
                    <w:t>.</w:t>
                  </w:r>
                  <w:r w:rsidRPr="00D045B3">
                    <w:rPr>
                      <w:rFonts w:eastAsia="Times New Roman"/>
                      <w:lang w:val="hu-HU"/>
                    </w:rPr>
                    <w:t>, 8</w:t>
                  </w:r>
                  <w:r w:rsidR="00FB0E5B" w:rsidRPr="00D045B3">
                    <w:rPr>
                      <w:rFonts w:eastAsia="Times New Roman"/>
                      <w:lang w:val="hu-HU"/>
                    </w:rPr>
                    <w:t>.</w:t>
                  </w:r>
                  <w:r w:rsidRPr="00D045B3">
                    <w:rPr>
                      <w:rFonts w:eastAsia="Times New Roman"/>
                      <w:lang w:val="hu-HU"/>
                    </w:rPr>
                    <w:t>, 15</w:t>
                  </w:r>
                  <w:r w:rsidR="00FB0E5B" w:rsidRPr="00D045B3">
                    <w:rPr>
                      <w:rFonts w:eastAsia="Times New Roman"/>
                      <w:lang w:val="hu-HU"/>
                    </w:rPr>
                    <w:t>. és</w:t>
                  </w:r>
                  <w:r w:rsidRPr="00D045B3">
                    <w:rPr>
                      <w:rFonts w:eastAsia="Times New Roman"/>
                      <w:lang w:val="hu-HU"/>
                    </w:rPr>
                    <w:t xml:space="preserve"> 2</w:t>
                  </w:r>
                  <w:r w:rsidR="00FB0E5B" w:rsidRPr="00D045B3">
                    <w:rPr>
                      <w:rFonts w:eastAsia="Times New Roman"/>
                      <w:lang w:val="hu-HU"/>
                    </w:rPr>
                    <w:t>2. napon</w:t>
                  </w:r>
                  <w:r w:rsidRPr="00D045B3">
                    <w:rPr>
                      <w:rFonts w:eastAsia="Times New Roman"/>
                      <w:lang w:val="hu-HU"/>
                    </w:rPr>
                    <w:t>; Ara</w:t>
                  </w:r>
                  <w:r w:rsidR="00FB0E5B" w:rsidRPr="00D045B3">
                    <w:rPr>
                      <w:rFonts w:eastAsia="Times New Roman"/>
                      <w:lang w:val="hu-HU"/>
                    </w:rPr>
                    <w:noBreakHyphen/>
                  </w:r>
                  <w:r w:rsidRPr="00D045B3">
                    <w:rPr>
                      <w:rFonts w:eastAsia="Times New Roman"/>
                      <w:lang w:val="hu-HU"/>
                    </w:rPr>
                    <w:t>C 40 mg intrathecal</w:t>
                  </w:r>
                  <w:r w:rsidR="00FB0E5B" w:rsidRPr="00D045B3">
                    <w:rPr>
                      <w:rFonts w:eastAsia="Times New Roman"/>
                      <w:lang w:val="hu-HU"/>
                    </w:rPr>
                    <w:t>isan</w:t>
                  </w:r>
                  <w:r w:rsidRPr="00D045B3">
                    <w:rPr>
                      <w:rFonts w:eastAsia="Times New Roman"/>
                      <w:lang w:val="hu-HU"/>
                    </w:rPr>
                    <w:t xml:space="preserve">, </w:t>
                  </w:r>
                  <w:r w:rsidR="00FB0E5B" w:rsidRPr="00D045B3">
                    <w:rPr>
                      <w:rFonts w:eastAsia="Times New Roman"/>
                      <w:lang w:val="hu-HU"/>
                    </w:rPr>
                    <w:t>az</w:t>
                  </w:r>
                  <w:r w:rsidRPr="00D045B3">
                    <w:rPr>
                      <w:rFonts w:eastAsia="Times New Roman"/>
                      <w:lang w:val="hu-HU"/>
                    </w:rPr>
                    <w:t> 1</w:t>
                  </w:r>
                  <w:r w:rsidR="00FB0E5B" w:rsidRPr="00D045B3">
                    <w:rPr>
                      <w:rFonts w:eastAsia="Times New Roman"/>
                      <w:lang w:val="hu-HU"/>
                    </w:rPr>
                    <w:t>.</w:t>
                  </w:r>
                  <w:r w:rsidRPr="00D045B3">
                    <w:rPr>
                      <w:rFonts w:eastAsia="Times New Roman"/>
                      <w:lang w:val="hu-HU"/>
                    </w:rPr>
                    <w:t>, 8</w:t>
                  </w:r>
                  <w:r w:rsidR="00FB0E5B" w:rsidRPr="00D045B3">
                    <w:rPr>
                      <w:rFonts w:eastAsia="Times New Roman"/>
                      <w:lang w:val="hu-HU"/>
                    </w:rPr>
                    <w:t>.</w:t>
                  </w:r>
                  <w:r w:rsidRPr="00D045B3">
                    <w:rPr>
                      <w:rFonts w:eastAsia="Times New Roman"/>
                      <w:lang w:val="hu-HU"/>
                    </w:rPr>
                    <w:t>, 15</w:t>
                  </w:r>
                  <w:r w:rsidR="00FB0E5B" w:rsidRPr="00D045B3">
                    <w:rPr>
                      <w:rFonts w:eastAsia="Times New Roman"/>
                      <w:lang w:val="hu-HU"/>
                    </w:rPr>
                    <w:t>. és</w:t>
                  </w:r>
                  <w:r w:rsidRPr="00D045B3">
                    <w:rPr>
                      <w:rFonts w:eastAsia="Times New Roman"/>
                      <w:lang w:val="hu-HU"/>
                    </w:rPr>
                    <w:t xml:space="preserve"> 22</w:t>
                  </w:r>
                  <w:r w:rsidR="00FB0E5B" w:rsidRPr="00D045B3">
                    <w:rPr>
                      <w:rFonts w:eastAsia="Times New Roman"/>
                      <w:lang w:val="hu-HU"/>
                    </w:rPr>
                    <w:t>. napon</w:t>
                  </w:r>
                  <w:r w:rsidRPr="00D045B3">
                    <w:rPr>
                      <w:rFonts w:eastAsia="Times New Roman"/>
                      <w:lang w:val="hu-HU"/>
                    </w:rPr>
                    <w:t>; met</w:t>
                  </w:r>
                  <w:r w:rsidR="00FB0E5B" w:rsidRPr="00D045B3">
                    <w:rPr>
                      <w:rFonts w:eastAsia="Times New Roman"/>
                      <w:lang w:val="hu-HU"/>
                    </w:rPr>
                    <w:t>i</w:t>
                  </w:r>
                  <w:r w:rsidRPr="00D045B3">
                    <w:rPr>
                      <w:rFonts w:eastAsia="Times New Roman"/>
                      <w:lang w:val="hu-HU"/>
                    </w:rPr>
                    <w:t>lpredni</w:t>
                  </w:r>
                  <w:r w:rsidR="00FB0E5B" w:rsidRPr="00D045B3">
                    <w:rPr>
                      <w:rFonts w:eastAsia="Times New Roman"/>
                      <w:lang w:val="hu-HU"/>
                    </w:rPr>
                    <w:t>z</w:t>
                  </w:r>
                  <w:r w:rsidRPr="00D045B3">
                    <w:rPr>
                      <w:rFonts w:eastAsia="Times New Roman"/>
                      <w:lang w:val="hu-HU"/>
                    </w:rPr>
                    <w:t>olon 40 mg intrathecal</w:t>
                  </w:r>
                  <w:r w:rsidR="00FB0E5B" w:rsidRPr="00D045B3">
                    <w:rPr>
                      <w:rFonts w:eastAsia="Times New Roman"/>
                      <w:lang w:val="hu-HU"/>
                    </w:rPr>
                    <w:t>isan az</w:t>
                  </w:r>
                  <w:r w:rsidRPr="00D045B3">
                    <w:rPr>
                      <w:rFonts w:eastAsia="Times New Roman"/>
                      <w:lang w:val="hu-HU"/>
                    </w:rPr>
                    <w:t> 1</w:t>
                  </w:r>
                  <w:r w:rsidR="001056DC" w:rsidRPr="00D045B3">
                    <w:rPr>
                      <w:rFonts w:eastAsia="Times New Roman"/>
                      <w:lang w:val="hu-HU"/>
                    </w:rPr>
                    <w:t>.</w:t>
                  </w:r>
                  <w:r w:rsidRPr="00D045B3">
                    <w:rPr>
                      <w:rFonts w:eastAsia="Times New Roman"/>
                      <w:lang w:val="hu-HU"/>
                    </w:rPr>
                    <w:t>, 8</w:t>
                  </w:r>
                  <w:r w:rsidR="001056DC" w:rsidRPr="00D045B3">
                    <w:rPr>
                      <w:rFonts w:eastAsia="Times New Roman"/>
                      <w:lang w:val="hu-HU"/>
                    </w:rPr>
                    <w:t>.</w:t>
                  </w:r>
                  <w:r w:rsidRPr="00D045B3">
                    <w:rPr>
                      <w:rFonts w:eastAsia="Times New Roman"/>
                      <w:lang w:val="hu-HU"/>
                    </w:rPr>
                    <w:t>, 15</w:t>
                  </w:r>
                  <w:r w:rsidR="001056DC" w:rsidRPr="00D045B3">
                    <w:rPr>
                      <w:rFonts w:eastAsia="Times New Roman"/>
                      <w:lang w:val="hu-HU"/>
                    </w:rPr>
                    <w:t>. és</w:t>
                  </w:r>
                  <w:r w:rsidRPr="00D045B3">
                    <w:rPr>
                      <w:rFonts w:eastAsia="Times New Roman"/>
                      <w:lang w:val="hu-HU"/>
                    </w:rPr>
                    <w:t xml:space="preserve"> 22</w:t>
                  </w:r>
                  <w:r w:rsidR="001056DC" w:rsidRPr="00D045B3">
                    <w:rPr>
                      <w:rFonts w:eastAsia="Times New Roman"/>
                      <w:lang w:val="hu-HU"/>
                    </w:rPr>
                    <w:t xml:space="preserve">. </w:t>
                  </w:r>
                  <w:r w:rsidR="00B119C9" w:rsidRPr="00D045B3">
                    <w:rPr>
                      <w:rFonts w:eastAsia="Times New Roman"/>
                      <w:lang w:val="hu-HU"/>
                    </w:rPr>
                    <w:t>N</w:t>
                  </w:r>
                  <w:r w:rsidR="001056DC" w:rsidRPr="00D045B3">
                    <w:rPr>
                      <w:rFonts w:eastAsia="Times New Roman"/>
                      <w:lang w:val="hu-HU"/>
                    </w:rPr>
                    <w:t>apon</w:t>
                  </w:r>
                </w:p>
              </w:tc>
            </w:tr>
            <w:tr w:rsidR="004B2274" w:rsidRPr="00D045B3" w14:paraId="1E92735D" w14:textId="77777777" w:rsidTr="008A6837">
              <w:trPr>
                <w:trHeight w:hRule="exact" w:val="937"/>
              </w:trPr>
              <w:tc>
                <w:tcPr>
                  <w:tcW w:w="2133" w:type="dxa"/>
                  <w:tcBorders>
                    <w:right w:val="nil"/>
                  </w:tcBorders>
                  <w:shd w:val="clear" w:color="auto" w:fill="auto"/>
                  <w:tcMar>
                    <w:top w:w="57" w:type="dxa"/>
                    <w:bottom w:w="57" w:type="dxa"/>
                  </w:tcMar>
                </w:tcPr>
                <w:p w14:paraId="1E92735B" w14:textId="77777777" w:rsidR="004B2274" w:rsidRPr="00D045B3" w:rsidRDefault="001056DC" w:rsidP="001056DC">
                  <w:pPr>
                    <w:spacing w:line="240" w:lineRule="auto"/>
                    <w:ind w:right="-68"/>
                    <w:rPr>
                      <w:rFonts w:eastAsia="Times New Roman"/>
                      <w:lang w:val="hu-HU"/>
                    </w:rPr>
                  </w:pPr>
                  <w:r w:rsidRPr="00D045B3">
                    <w:rPr>
                      <w:rFonts w:eastAsia="Times New Roman"/>
                      <w:lang w:val="hu-HU"/>
                    </w:rPr>
                    <w:t>K</w:t>
                  </w:r>
                  <w:r w:rsidR="004B2274" w:rsidRPr="00D045B3">
                    <w:rPr>
                      <w:rFonts w:eastAsia="Times New Roman"/>
                      <w:lang w:val="hu-HU"/>
                    </w:rPr>
                    <w:t>ons</w:t>
                  </w:r>
                  <w:r w:rsidRPr="00D045B3">
                    <w:rPr>
                      <w:rFonts w:eastAsia="Times New Roman"/>
                      <w:lang w:val="hu-HU"/>
                    </w:rPr>
                    <w:t>z</w:t>
                  </w:r>
                  <w:r w:rsidR="004B2274" w:rsidRPr="00D045B3">
                    <w:rPr>
                      <w:rFonts w:eastAsia="Times New Roman"/>
                      <w:lang w:val="hu-HU"/>
                    </w:rPr>
                    <w:t>oli</w:t>
                  </w:r>
                  <w:r w:rsidRPr="00D045B3">
                    <w:rPr>
                      <w:rFonts w:eastAsia="Times New Roman"/>
                      <w:lang w:val="hu-HU"/>
                    </w:rPr>
                    <w:t>dáció</w:t>
                  </w:r>
                  <w:r w:rsidR="004B2274" w:rsidRPr="00D045B3">
                    <w:rPr>
                      <w:rFonts w:eastAsia="Times New Roman"/>
                      <w:lang w:val="hu-HU"/>
                    </w:rPr>
                    <w:t xml:space="preserve"> (</w:t>
                  </w:r>
                  <w:r w:rsidR="004B2274" w:rsidRPr="00D045B3">
                    <w:rPr>
                      <w:rFonts w:eastAsia="Times New Roman"/>
                      <w:i/>
                      <w:lang w:val="hu-HU"/>
                    </w:rPr>
                    <w:t xml:space="preserve">de novo </w:t>
                  </w:r>
                  <w:r w:rsidR="004B2274" w:rsidRPr="00D045B3">
                    <w:rPr>
                      <w:rFonts w:eastAsia="Times New Roman"/>
                      <w:lang w:val="hu-HU"/>
                    </w:rPr>
                    <w:t>Ph+ ALL)</w:t>
                  </w:r>
                </w:p>
              </w:tc>
              <w:tc>
                <w:tcPr>
                  <w:tcW w:w="6798" w:type="dxa"/>
                  <w:tcBorders>
                    <w:left w:val="nil"/>
                  </w:tcBorders>
                  <w:shd w:val="clear" w:color="auto" w:fill="auto"/>
                  <w:tcMar>
                    <w:top w:w="57" w:type="dxa"/>
                    <w:bottom w:w="57" w:type="dxa"/>
                  </w:tcMar>
                </w:tcPr>
                <w:p w14:paraId="1E92735C" w14:textId="77777777" w:rsidR="004B2274" w:rsidRPr="00D045B3" w:rsidRDefault="00CD4AFC" w:rsidP="00CD4AFC">
                  <w:pPr>
                    <w:spacing w:line="240" w:lineRule="auto"/>
                    <w:ind w:right="227"/>
                    <w:rPr>
                      <w:rFonts w:eastAsia="Times New Roman"/>
                      <w:lang w:val="hu-HU"/>
                    </w:rPr>
                  </w:pPr>
                  <w:r w:rsidRPr="00D045B3">
                    <w:rPr>
                      <w:rFonts w:eastAsia="Times New Roman"/>
                      <w:lang w:val="hu-HU"/>
                    </w:rPr>
                    <w:t>Ara</w:t>
                  </w:r>
                  <w:r w:rsidRPr="00D045B3">
                    <w:rPr>
                      <w:rFonts w:eastAsia="Times New Roman"/>
                      <w:lang w:val="hu-HU"/>
                    </w:rPr>
                    <w:noBreakHyphen/>
                  </w:r>
                  <w:r w:rsidR="004B2274" w:rsidRPr="00D045B3">
                    <w:rPr>
                      <w:rFonts w:eastAsia="Times New Roman"/>
                      <w:lang w:val="hu-HU"/>
                    </w:rPr>
                    <w:t xml:space="preserve">C </w:t>
                  </w:r>
                  <w:r w:rsidR="00F51D00" w:rsidRPr="00D045B3">
                    <w:rPr>
                      <w:rFonts w:eastAsia="Times New Roman"/>
                      <w:lang w:val="hu-HU"/>
                    </w:rPr>
                    <w:t>1</w:t>
                  </w:r>
                  <w:r w:rsidR="004B2274" w:rsidRPr="00D045B3">
                    <w:rPr>
                      <w:rFonts w:eastAsia="Times New Roman"/>
                      <w:lang w:val="hu-HU"/>
                    </w:rPr>
                    <w:t>000 mg/m</w:t>
                  </w:r>
                  <w:r w:rsidR="004B2274" w:rsidRPr="00D045B3">
                    <w:rPr>
                      <w:rFonts w:eastAsia="Times New Roman"/>
                      <w:vertAlign w:val="superscript"/>
                      <w:lang w:val="hu-HU"/>
                    </w:rPr>
                    <w:t>2 </w:t>
                  </w:r>
                  <w:r w:rsidR="004B2274" w:rsidRPr="00D045B3">
                    <w:rPr>
                      <w:rFonts w:eastAsia="Times New Roman"/>
                      <w:lang w:val="hu-HU"/>
                    </w:rPr>
                    <w:t>/12</w:t>
                  </w:r>
                  <w:r w:rsidR="00CF2B50" w:rsidRPr="00D045B3">
                    <w:rPr>
                      <w:rFonts w:eastAsia="Times New Roman"/>
                      <w:lang w:val="hu-HU"/>
                    </w:rPr>
                    <w:t> ór</w:t>
                  </w:r>
                  <w:r w:rsidR="00F51D00" w:rsidRPr="00D045B3">
                    <w:rPr>
                      <w:rFonts w:eastAsia="Times New Roman"/>
                      <w:lang w:val="hu-HU"/>
                    </w:rPr>
                    <w:t>a</w:t>
                  </w:r>
                  <w:r w:rsidR="004B2274" w:rsidRPr="00D045B3">
                    <w:rPr>
                      <w:rFonts w:eastAsia="Times New Roman"/>
                      <w:lang w:val="hu-HU"/>
                    </w:rPr>
                    <w:t xml:space="preserve"> </w:t>
                  </w:r>
                  <w:r w:rsidR="00A11B30" w:rsidRPr="00D045B3">
                    <w:rPr>
                      <w:rFonts w:eastAsia="Times New Roman"/>
                      <w:lang w:val="hu-HU"/>
                    </w:rPr>
                    <w:t>iv.</w:t>
                  </w:r>
                  <w:r w:rsidR="004B2274" w:rsidRPr="00D045B3">
                    <w:rPr>
                      <w:rFonts w:eastAsia="Times New Roman"/>
                      <w:lang w:val="hu-HU"/>
                    </w:rPr>
                    <w:t>(3</w:t>
                  </w:r>
                  <w:r w:rsidR="00CF2B50" w:rsidRPr="00D045B3">
                    <w:rPr>
                      <w:rFonts w:eastAsia="Times New Roman"/>
                      <w:lang w:val="hu-HU"/>
                    </w:rPr>
                    <w:t> órás</w:t>
                  </w:r>
                  <w:r w:rsidR="004B2274" w:rsidRPr="00D045B3">
                    <w:rPr>
                      <w:rFonts w:eastAsia="Times New Roman"/>
                      <w:lang w:val="hu-HU"/>
                    </w:rPr>
                    <w:t xml:space="preserve">), </w:t>
                  </w:r>
                  <w:r w:rsidR="00F51D00" w:rsidRPr="00D045B3">
                    <w:rPr>
                      <w:rFonts w:eastAsia="Times New Roman"/>
                      <w:lang w:val="hu-HU"/>
                    </w:rPr>
                    <w:t>az</w:t>
                  </w:r>
                  <w:r w:rsidR="004B2274" w:rsidRPr="00D045B3">
                    <w:rPr>
                      <w:rFonts w:eastAsia="Times New Roman"/>
                      <w:lang w:val="hu-HU"/>
                    </w:rPr>
                    <w:t> 1</w:t>
                  </w:r>
                  <w:r w:rsidR="00F51D00" w:rsidRPr="00D045B3">
                    <w:rPr>
                      <w:rFonts w:eastAsia="Times New Roman"/>
                      <w:lang w:val="hu-HU"/>
                    </w:rPr>
                    <w:noBreakHyphen/>
                  </w:r>
                  <w:r w:rsidR="004B2274" w:rsidRPr="00D045B3">
                    <w:rPr>
                      <w:rFonts w:eastAsia="Times New Roman"/>
                      <w:lang w:val="hu-HU"/>
                    </w:rPr>
                    <w:t>4</w:t>
                  </w:r>
                  <w:r w:rsidR="00F51D00" w:rsidRPr="00D045B3">
                    <w:rPr>
                      <w:rFonts w:eastAsia="Times New Roman"/>
                      <w:lang w:val="hu-HU"/>
                    </w:rPr>
                    <w:t>. napo</w:t>
                  </w:r>
                  <w:r w:rsidR="009036CA" w:rsidRPr="00D045B3">
                    <w:rPr>
                      <w:rFonts w:eastAsia="Times New Roman"/>
                      <w:lang w:val="hu-HU"/>
                    </w:rPr>
                    <w:t>ko</w:t>
                  </w:r>
                  <w:r w:rsidR="00F51D00" w:rsidRPr="00D045B3">
                    <w:rPr>
                      <w:rFonts w:eastAsia="Times New Roman"/>
                      <w:lang w:val="hu-HU"/>
                    </w:rPr>
                    <w:t>n</w:t>
                  </w:r>
                  <w:r w:rsidR="004B2274" w:rsidRPr="00D045B3">
                    <w:rPr>
                      <w:rFonts w:eastAsia="Times New Roman"/>
                      <w:lang w:val="hu-HU"/>
                    </w:rPr>
                    <w:t>; mitoxantron 10 mg/m</w:t>
                  </w:r>
                  <w:r w:rsidR="004B2274" w:rsidRPr="00D045B3">
                    <w:rPr>
                      <w:rFonts w:eastAsia="Times New Roman"/>
                      <w:vertAlign w:val="superscript"/>
                      <w:lang w:val="hu-HU"/>
                    </w:rPr>
                    <w:t>2 </w:t>
                  </w:r>
                  <w:r w:rsidR="00A11B30" w:rsidRPr="00D045B3">
                    <w:rPr>
                      <w:rFonts w:eastAsia="Times New Roman"/>
                      <w:lang w:val="hu-HU"/>
                    </w:rPr>
                    <w:t>iv.</w:t>
                  </w:r>
                  <w:r w:rsidR="004B2274" w:rsidRPr="00D045B3">
                    <w:rPr>
                      <w:rFonts w:eastAsia="Times New Roman"/>
                      <w:lang w:val="hu-HU"/>
                    </w:rPr>
                    <w:t xml:space="preserve"> </w:t>
                  </w:r>
                  <w:r w:rsidR="009036CA" w:rsidRPr="00D045B3">
                    <w:rPr>
                      <w:rFonts w:eastAsia="Times New Roman"/>
                      <w:lang w:val="hu-HU"/>
                    </w:rPr>
                    <w:t>a</w:t>
                  </w:r>
                  <w:r w:rsidR="004B2274" w:rsidRPr="00D045B3">
                    <w:rPr>
                      <w:rFonts w:eastAsia="Times New Roman"/>
                      <w:lang w:val="hu-HU"/>
                    </w:rPr>
                    <w:t> 3</w:t>
                  </w:r>
                  <w:r w:rsidR="009036CA" w:rsidRPr="00D045B3">
                    <w:rPr>
                      <w:rFonts w:eastAsia="Times New Roman"/>
                      <w:lang w:val="hu-HU"/>
                    </w:rPr>
                    <w:noBreakHyphen/>
                  </w:r>
                  <w:r w:rsidR="004B2274" w:rsidRPr="00D045B3">
                    <w:rPr>
                      <w:rFonts w:eastAsia="Times New Roman"/>
                      <w:lang w:val="hu-HU"/>
                    </w:rPr>
                    <w:t>5</w:t>
                  </w:r>
                  <w:r w:rsidR="009036CA" w:rsidRPr="00D045B3">
                    <w:rPr>
                      <w:rFonts w:eastAsia="Times New Roman"/>
                      <w:lang w:val="hu-HU"/>
                    </w:rPr>
                    <w:t>. napokon</w:t>
                  </w:r>
                  <w:r w:rsidR="004B2274" w:rsidRPr="00D045B3">
                    <w:rPr>
                      <w:rFonts w:eastAsia="Times New Roman"/>
                      <w:lang w:val="hu-HU"/>
                    </w:rPr>
                    <w:t>; MTX 15 mg intrathecal</w:t>
                  </w:r>
                  <w:r w:rsidR="00AB63AC" w:rsidRPr="00D045B3">
                    <w:rPr>
                      <w:rFonts w:eastAsia="Times New Roman"/>
                      <w:lang w:val="hu-HU"/>
                    </w:rPr>
                    <w:t>isan</w:t>
                  </w:r>
                  <w:r w:rsidR="004B2274" w:rsidRPr="00D045B3">
                    <w:rPr>
                      <w:rFonts w:eastAsia="Times New Roman"/>
                      <w:lang w:val="hu-HU"/>
                    </w:rPr>
                    <w:t xml:space="preserve">, </w:t>
                  </w:r>
                  <w:r w:rsidR="00AB63AC" w:rsidRPr="00D045B3">
                    <w:rPr>
                      <w:rFonts w:eastAsia="Times New Roman"/>
                      <w:lang w:val="hu-HU"/>
                    </w:rPr>
                    <w:t>az</w:t>
                  </w:r>
                  <w:r w:rsidR="004B2274" w:rsidRPr="00D045B3">
                    <w:rPr>
                      <w:rFonts w:eastAsia="Times New Roman"/>
                      <w:lang w:val="hu-HU"/>
                    </w:rPr>
                    <w:t> 1</w:t>
                  </w:r>
                  <w:r w:rsidR="00AB63AC" w:rsidRPr="00D045B3">
                    <w:rPr>
                      <w:rFonts w:eastAsia="Times New Roman"/>
                      <w:lang w:val="hu-HU"/>
                    </w:rPr>
                    <w:t>. napon</w:t>
                  </w:r>
                  <w:r w:rsidR="004B2274" w:rsidRPr="00D045B3">
                    <w:rPr>
                      <w:rFonts w:eastAsia="Times New Roman"/>
                      <w:lang w:val="hu-HU"/>
                    </w:rPr>
                    <w:t>; met</w:t>
                  </w:r>
                  <w:r w:rsidR="00AB63AC" w:rsidRPr="00D045B3">
                    <w:rPr>
                      <w:rFonts w:eastAsia="Times New Roman"/>
                      <w:lang w:val="hu-HU"/>
                    </w:rPr>
                    <w:t>i</w:t>
                  </w:r>
                  <w:r w:rsidR="004B2274" w:rsidRPr="00D045B3">
                    <w:rPr>
                      <w:rFonts w:eastAsia="Times New Roman"/>
                      <w:lang w:val="hu-HU"/>
                    </w:rPr>
                    <w:t>lpredni</w:t>
                  </w:r>
                  <w:r w:rsidR="00AB63AC" w:rsidRPr="00D045B3">
                    <w:rPr>
                      <w:rFonts w:eastAsia="Times New Roman"/>
                      <w:lang w:val="hu-HU"/>
                    </w:rPr>
                    <w:t>zolon</w:t>
                  </w:r>
                  <w:r w:rsidR="004B2274" w:rsidRPr="00D045B3">
                    <w:rPr>
                      <w:rFonts w:eastAsia="Times New Roman"/>
                      <w:lang w:val="hu-HU"/>
                    </w:rPr>
                    <w:t xml:space="preserve"> 40 mg intrathecal</w:t>
                  </w:r>
                  <w:r w:rsidR="00AB63AC" w:rsidRPr="00D045B3">
                    <w:rPr>
                      <w:rFonts w:eastAsia="Times New Roman"/>
                      <w:lang w:val="hu-HU"/>
                    </w:rPr>
                    <w:t>isan</w:t>
                  </w:r>
                  <w:r w:rsidR="004B2274" w:rsidRPr="00D045B3">
                    <w:rPr>
                      <w:rFonts w:eastAsia="Times New Roman"/>
                      <w:lang w:val="hu-HU"/>
                    </w:rPr>
                    <w:t xml:space="preserve">, </w:t>
                  </w:r>
                  <w:r w:rsidR="00AB63AC" w:rsidRPr="00D045B3">
                    <w:rPr>
                      <w:rFonts w:eastAsia="Times New Roman"/>
                      <w:lang w:val="hu-HU"/>
                    </w:rPr>
                    <w:t>az</w:t>
                  </w:r>
                  <w:r w:rsidR="004B2274" w:rsidRPr="00D045B3">
                    <w:rPr>
                      <w:rFonts w:eastAsia="Times New Roman"/>
                      <w:lang w:val="hu-HU"/>
                    </w:rPr>
                    <w:t> 1</w:t>
                  </w:r>
                  <w:r w:rsidR="00AB63AC" w:rsidRPr="00D045B3">
                    <w:rPr>
                      <w:rFonts w:eastAsia="Times New Roman"/>
                      <w:lang w:val="hu-HU"/>
                    </w:rPr>
                    <w:t>. napon</w:t>
                  </w:r>
                </w:p>
              </w:tc>
            </w:tr>
            <w:tr w:rsidR="004B2274" w:rsidRPr="00D045B3" w14:paraId="1E92735F" w14:textId="77777777" w:rsidTr="004B2274">
              <w:trPr>
                <w:trHeight w:hRule="exact" w:val="329"/>
              </w:trPr>
              <w:tc>
                <w:tcPr>
                  <w:tcW w:w="8931" w:type="dxa"/>
                  <w:gridSpan w:val="2"/>
                  <w:tcBorders>
                    <w:bottom w:val="single" w:sz="4" w:space="0" w:color="auto"/>
                  </w:tcBorders>
                  <w:shd w:val="clear" w:color="auto" w:fill="auto"/>
                  <w:tcMar>
                    <w:top w:w="57" w:type="dxa"/>
                    <w:bottom w:w="57" w:type="dxa"/>
                  </w:tcMar>
                </w:tcPr>
                <w:p w14:paraId="1E92735E" w14:textId="77777777" w:rsidR="004B2274" w:rsidRPr="00D045B3" w:rsidRDefault="004B2274" w:rsidP="004B2274">
                  <w:pPr>
                    <w:keepNext/>
                    <w:spacing w:line="240" w:lineRule="auto"/>
                    <w:ind w:right="-23"/>
                    <w:rPr>
                      <w:rFonts w:eastAsia="Times New Roman"/>
                      <w:lang w:val="hu-HU"/>
                    </w:rPr>
                  </w:pPr>
                  <w:r w:rsidRPr="00D045B3">
                    <w:rPr>
                      <w:rFonts w:eastAsia="Times New Roman"/>
                      <w:b/>
                      <w:bCs/>
                      <w:lang w:val="hu-HU"/>
                    </w:rPr>
                    <w:t>ADE04</w:t>
                  </w:r>
                  <w:r w:rsidR="001056DC" w:rsidRPr="00D045B3">
                    <w:rPr>
                      <w:rFonts w:eastAsia="Times New Roman"/>
                      <w:b/>
                      <w:bCs/>
                      <w:lang w:val="hu-HU"/>
                    </w:rPr>
                    <w:t xml:space="preserve"> vizsgálat</w:t>
                  </w:r>
                </w:p>
              </w:tc>
            </w:tr>
            <w:tr w:rsidR="004B2274" w:rsidRPr="00D045B3" w14:paraId="1E927362" w14:textId="77777777" w:rsidTr="008A6837">
              <w:trPr>
                <w:trHeight w:hRule="exact" w:val="690"/>
              </w:trPr>
              <w:tc>
                <w:tcPr>
                  <w:tcW w:w="2133" w:type="dxa"/>
                  <w:tcBorders>
                    <w:right w:val="nil"/>
                  </w:tcBorders>
                  <w:shd w:val="clear" w:color="auto" w:fill="auto"/>
                  <w:tcMar>
                    <w:top w:w="57" w:type="dxa"/>
                    <w:bottom w:w="57" w:type="dxa"/>
                  </w:tcMar>
                </w:tcPr>
                <w:p w14:paraId="1E927360" w14:textId="77777777" w:rsidR="004B2274" w:rsidRPr="00D045B3" w:rsidRDefault="001056DC" w:rsidP="004B2274">
                  <w:pPr>
                    <w:spacing w:line="240" w:lineRule="auto"/>
                    <w:ind w:right="-20"/>
                    <w:rPr>
                      <w:rFonts w:eastAsia="Times New Roman"/>
                      <w:lang w:val="hu-HU"/>
                    </w:rPr>
                  </w:pPr>
                  <w:r w:rsidRPr="00D045B3">
                    <w:rPr>
                      <w:rFonts w:eastAsia="Times New Roman"/>
                      <w:lang w:val="hu-HU"/>
                    </w:rPr>
                    <w:t>Előfázis</w:t>
                  </w:r>
                </w:p>
              </w:tc>
              <w:tc>
                <w:tcPr>
                  <w:tcW w:w="6798" w:type="dxa"/>
                  <w:tcBorders>
                    <w:left w:val="nil"/>
                  </w:tcBorders>
                  <w:shd w:val="clear" w:color="auto" w:fill="auto"/>
                  <w:tcMar>
                    <w:top w:w="57" w:type="dxa"/>
                    <w:bottom w:w="57" w:type="dxa"/>
                  </w:tcMar>
                </w:tcPr>
                <w:p w14:paraId="1E927361" w14:textId="77777777" w:rsidR="004B2274" w:rsidRPr="00D045B3" w:rsidRDefault="004B2274" w:rsidP="00F33FDB">
                  <w:pPr>
                    <w:spacing w:line="240" w:lineRule="auto"/>
                    <w:ind w:right="124"/>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00FE64E1" w:rsidRPr="00D045B3">
                    <w:rPr>
                      <w:rFonts w:eastAsia="Times New Roman"/>
                      <w:lang w:val="hu-HU"/>
                    </w:rPr>
                    <w:t>per os</w:t>
                  </w:r>
                  <w:r w:rsidRPr="00D045B3">
                    <w:rPr>
                      <w:rFonts w:eastAsia="Times New Roman"/>
                      <w:lang w:val="hu-HU"/>
                    </w:rPr>
                    <w:t xml:space="preserve">, </w:t>
                  </w:r>
                  <w:r w:rsidR="00FE64E1" w:rsidRPr="00D045B3">
                    <w:rPr>
                      <w:rFonts w:eastAsia="Times New Roman"/>
                      <w:lang w:val="hu-HU"/>
                    </w:rPr>
                    <w:t>az</w:t>
                  </w:r>
                  <w:r w:rsidRPr="00D045B3">
                    <w:rPr>
                      <w:rFonts w:eastAsia="Times New Roman"/>
                      <w:lang w:val="hu-HU"/>
                    </w:rPr>
                    <w:t> 1</w:t>
                  </w:r>
                  <w:r w:rsidR="00FE64E1" w:rsidRPr="00D045B3">
                    <w:rPr>
                      <w:rFonts w:eastAsia="Times New Roman"/>
                      <w:lang w:val="hu-HU"/>
                    </w:rPr>
                    <w:noBreakHyphen/>
                  </w:r>
                  <w:r w:rsidRPr="00D045B3">
                    <w:rPr>
                      <w:rFonts w:eastAsia="Times New Roman"/>
                      <w:lang w:val="hu-HU"/>
                    </w:rPr>
                    <w:t>5</w:t>
                  </w:r>
                  <w:r w:rsidR="00FE64E1" w:rsidRPr="00D045B3">
                    <w:rPr>
                      <w:rFonts w:eastAsia="Times New Roman"/>
                      <w:lang w:val="hu-HU"/>
                    </w:rPr>
                    <w:t>. napokon</w:t>
                  </w:r>
                  <w:r w:rsidRPr="00D045B3">
                    <w:rPr>
                      <w:rFonts w:eastAsia="Times New Roman"/>
                      <w:lang w:val="hu-HU"/>
                    </w:rPr>
                    <w:t>; CP 200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FE64E1" w:rsidRPr="00D045B3">
                    <w:rPr>
                      <w:rFonts w:eastAsia="Times New Roman"/>
                      <w:lang w:val="hu-HU"/>
                    </w:rPr>
                    <w:t>a</w:t>
                  </w:r>
                  <w:r w:rsidRPr="00D045B3">
                    <w:rPr>
                      <w:rFonts w:eastAsia="Times New Roman"/>
                      <w:lang w:val="hu-HU"/>
                    </w:rPr>
                    <w:t> 3</w:t>
                  </w:r>
                  <w:r w:rsidR="00FE64E1" w:rsidRPr="00D045B3">
                    <w:rPr>
                      <w:rFonts w:eastAsia="Times New Roman"/>
                      <w:lang w:val="hu-HU"/>
                    </w:rPr>
                    <w:noBreakHyphen/>
                  </w:r>
                  <w:r w:rsidRPr="00D045B3">
                    <w:rPr>
                      <w:rFonts w:eastAsia="Times New Roman"/>
                      <w:lang w:val="hu-HU"/>
                    </w:rPr>
                    <w:t>5</w:t>
                  </w:r>
                  <w:r w:rsidR="00FE64E1" w:rsidRPr="00D045B3">
                    <w:rPr>
                      <w:rFonts w:eastAsia="Times New Roman"/>
                      <w:lang w:val="hu-HU"/>
                    </w:rPr>
                    <w:t>. napokon</w:t>
                  </w:r>
                  <w:r w:rsidRPr="00D045B3">
                    <w:rPr>
                      <w:rFonts w:eastAsia="Times New Roman"/>
                      <w:lang w:val="hu-HU"/>
                    </w:rPr>
                    <w:t>; MTX 15 mg intrathecal</w:t>
                  </w:r>
                  <w:r w:rsidR="00FE64E1" w:rsidRPr="00D045B3">
                    <w:rPr>
                      <w:rFonts w:eastAsia="Times New Roman"/>
                      <w:lang w:val="hu-HU"/>
                    </w:rPr>
                    <w:t>isan</w:t>
                  </w:r>
                  <w:r w:rsidRPr="00D045B3">
                    <w:rPr>
                      <w:rFonts w:eastAsia="Times New Roman"/>
                      <w:lang w:val="hu-HU"/>
                    </w:rPr>
                    <w:t xml:space="preserve">, </w:t>
                  </w:r>
                  <w:r w:rsidR="00F33FDB" w:rsidRPr="00D045B3">
                    <w:rPr>
                      <w:rFonts w:eastAsia="Times New Roman"/>
                      <w:lang w:val="hu-HU"/>
                    </w:rPr>
                    <w:t>az</w:t>
                  </w:r>
                  <w:r w:rsidRPr="00D045B3">
                    <w:rPr>
                      <w:rFonts w:eastAsia="Times New Roman"/>
                      <w:lang w:val="hu-HU"/>
                    </w:rPr>
                    <w:t> 1</w:t>
                  </w:r>
                  <w:r w:rsidR="00F33FDB" w:rsidRPr="00D045B3">
                    <w:rPr>
                      <w:rFonts w:eastAsia="Times New Roman"/>
                      <w:lang w:val="hu-HU"/>
                    </w:rPr>
                    <w:t>. napon</w:t>
                  </w:r>
                </w:p>
              </w:tc>
            </w:tr>
            <w:tr w:rsidR="004B2274" w:rsidRPr="00D045B3" w14:paraId="1E927365" w14:textId="77777777" w:rsidTr="008A6837">
              <w:trPr>
                <w:trHeight w:hRule="exact" w:val="656"/>
              </w:trPr>
              <w:tc>
                <w:tcPr>
                  <w:tcW w:w="2133" w:type="dxa"/>
                  <w:tcBorders>
                    <w:right w:val="nil"/>
                  </w:tcBorders>
                  <w:shd w:val="clear" w:color="auto" w:fill="auto"/>
                  <w:tcMar>
                    <w:top w:w="57" w:type="dxa"/>
                    <w:bottom w:w="57" w:type="dxa"/>
                  </w:tcMar>
                </w:tcPr>
                <w:p w14:paraId="1E927363" w14:textId="77777777" w:rsidR="004B2274" w:rsidRPr="00D045B3" w:rsidRDefault="004B2274" w:rsidP="001056DC">
                  <w:pPr>
                    <w:spacing w:line="240" w:lineRule="auto"/>
                    <w:ind w:right="-20"/>
                    <w:rPr>
                      <w:rFonts w:eastAsia="Times New Roman"/>
                      <w:lang w:val="hu-HU"/>
                    </w:rPr>
                  </w:pPr>
                  <w:r w:rsidRPr="00D045B3">
                    <w:rPr>
                      <w:rFonts w:eastAsia="Times New Roman"/>
                      <w:lang w:val="hu-HU"/>
                    </w:rPr>
                    <w:t>Indu</w:t>
                  </w:r>
                  <w:r w:rsidR="001056DC" w:rsidRPr="00D045B3">
                    <w:rPr>
                      <w:rFonts w:eastAsia="Times New Roman"/>
                      <w:lang w:val="hu-HU"/>
                    </w:rPr>
                    <w:t>kciós terápia</w:t>
                  </w:r>
                  <w:r w:rsidRPr="00D045B3">
                    <w:rPr>
                      <w:rFonts w:eastAsia="Times New Roman"/>
                      <w:lang w:val="hu-HU"/>
                    </w:rPr>
                    <w:t xml:space="preserve"> I</w:t>
                  </w:r>
                </w:p>
              </w:tc>
              <w:tc>
                <w:tcPr>
                  <w:tcW w:w="6798" w:type="dxa"/>
                  <w:tcBorders>
                    <w:left w:val="nil"/>
                  </w:tcBorders>
                  <w:shd w:val="clear" w:color="auto" w:fill="auto"/>
                  <w:tcMar>
                    <w:top w:w="57" w:type="dxa"/>
                    <w:bottom w:w="57" w:type="dxa"/>
                  </w:tcMar>
                </w:tcPr>
                <w:p w14:paraId="1E927364" w14:textId="77777777" w:rsidR="004B2274" w:rsidRPr="00D045B3" w:rsidRDefault="004B2274" w:rsidP="00316BBE">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00F00226" w:rsidRPr="00D045B3">
                    <w:rPr>
                      <w:rFonts w:eastAsia="Times New Roman"/>
                      <w:lang w:val="hu-HU"/>
                    </w:rPr>
                    <w:t>per os</w:t>
                  </w:r>
                  <w:r w:rsidRPr="00D045B3">
                    <w:rPr>
                      <w:rFonts w:eastAsia="Times New Roman"/>
                      <w:lang w:val="hu-HU"/>
                    </w:rPr>
                    <w:t xml:space="preserve">, </w:t>
                  </w:r>
                  <w:r w:rsidR="00F00226" w:rsidRPr="00D045B3">
                    <w:rPr>
                      <w:rFonts w:eastAsia="Times New Roman"/>
                      <w:lang w:val="hu-HU"/>
                    </w:rPr>
                    <w:t>az</w:t>
                  </w:r>
                  <w:r w:rsidRPr="00D045B3">
                    <w:rPr>
                      <w:rFonts w:eastAsia="Times New Roman"/>
                      <w:lang w:val="hu-HU"/>
                    </w:rPr>
                    <w:t> 1</w:t>
                  </w:r>
                  <w:r w:rsidR="00F00226" w:rsidRPr="00D045B3">
                    <w:rPr>
                      <w:rFonts w:eastAsia="Times New Roman"/>
                      <w:lang w:val="hu-HU"/>
                    </w:rPr>
                    <w:noBreakHyphen/>
                  </w:r>
                  <w:r w:rsidRPr="00D045B3">
                    <w:rPr>
                      <w:rFonts w:eastAsia="Times New Roman"/>
                      <w:lang w:val="hu-HU"/>
                    </w:rPr>
                    <w:t>5</w:t>
                  </w:r>
                  <w:r w:rsidR="00F00226" w:rsidRPr="00D045B3">
                    <w:rPr>
                      <w:rFonts w:eastAsia="Times New Roman"/>
                      <w:lang w:val="hu-HU"/>
                    </w:rPr>
                    <w:t>. napokon</w:t>
                  </w:r>
                  <w:r w:rsidRPr="00D045B3">
                    <w:rPr>
                      <w:rFonts w:eastAsia="Times New Roman"/>
                      <w:lang w:val="hu-HU"/>
                    </w:rPr>
                    <w:t xml:space="preserve">; VCR 2 mg </w:t>
                  </w:r>
                  <w:r w:rsidR="00A11B30" w:rsidRPr="00D045B3">
                    <w:rPr>
                      <w:rFonts w:eastAsia="Times New Roman"/>
                      <w:lang w:val="hu-HU"/>
                    </w:rPr>
                    <w:t>iv.</w:t>
                  </w:r>
                  <w:r w:rsidRPr="00D045B3">
                    <w:rPr>
                      <w:rFonts w:eastAsia="Times New Roman"/>
                      <w:lang w:val="hu-HU"/>
                    </w:rPr>
                    <w:t xml:space="preserve">, </w:t>
                  </w:r>
                  <w:r w:rsidR="00F00226" w:rsidRPr="00D045B3">
                    <w:rPr>
                      <w:rFonts w:eastAsia="Times New Roman"/>
                      <w:lang w:val="hu-HU"/>
                    </w:rPr>
                    <w:t>a</w:t>
                  </w:r>
                  <w:r w:rsidRPr="00D045B3">
                    <w:rPr>
                      <w:rFonts w:eastAsia="Times New Roman"/>
                      <w:lang w:val="hu-HU"/>
                    </w:rPr>
                    <w:t> 6</w:t>
                  </w:r>
                  <w:r w:rsidR="00F00226" w:rsidRPr="00D045B3">
                    <w:rPr>
                      <w:rFonts w:eastAsia="Times New Roman"/>
                      <w:lang w:val="hu-HU"/>
                    </w:rPr>
                    <w:t>.</w:t>
                  </w:r>
                  <w:r w:rsidRPr="00D045B3">
                    <w:rPr>
                      <w:rFonts w:eastAsia="Times New Roman"/>
                      <w:lang w:val="hu-HU"/>
                    </w:rPr>
                    <w:t>, 13</w:t>
                  </w:r>
                  <w:r w:rsidR="00F00226" w:rsidRPr="00D045B3">
                    <w:rPr>
                      <w:rFonts w:eastAsia="Times New Roman"/>
                      <w:lang w:val="hu-HU"/>
                    </w:rPr>
                    <w:t>.</w:t>
                  </w:r>
                  <w:r w:rsidRPr="00D045B3">
                    <w:rPr>
                      <w:rFonts w:eastAsia="Times New Roman"/>
                      <w:lang w:val="hu-HU"/>
                    </w:rPr>
                    <w:t>, 20</w:t>
                  </w:r>
                  <w:r w:rsidR="00F00226" w:rsidRPr="00D045B3">
                    <w:rPr>
                      <w:rFonts w:eastAsia="Times New Roman"/>
                      <w:lang w:val="hu-HU"/>
                    </w:rPr>
                    <w:t>. napon</w:t>
                  </w:r>
                  <w:r w:rsidRPr="00D045B3">
                    <w:rPr>
                      <w:rFonts w:eastAsia="Times New Roman"/>
                      <w:lang w:val="hu-HU"/>
                    </w:rPr>
                    <w:t>; daunorubicin 45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F00226" w:rsidRPr="00D045B3">
                    <w:rPr>
                      <w:rFonts w:eastAsia="Times New Roman"/>
                      <w:lang w:val="hu-HU"/>
                    </w:rPr>
                    <w:t>a</w:t>
                  </w:r>
                  <w:r w:rsidRPr="00D045B3">
                    <w:rPr>
                      <w:rFonts w:eastAsia="Times New Roman"/>
                      <w:lang w:val="hu-HU"/>
                    </w:rPr>
                    <w:t> 6</w:t>
                  </w:r>
                  <w:r w:rsidR="00F00226" w:rsidRPr="00D045B3">
                    <w:rPr>
                      <w:rFonts w:eastAsia="Times New Roman"/>
                      <w:lang w:val="hu-HU"/>
                    </w:rPr>
                    <w:noBreakHyphen/>
                  </w:r>
                  <w:r w:rsidRPr="00D045B3">
                    <w:rPr>
                      <w:rFonts w:eastAsia="Times New Roman"/>
                      <w:lang w:val="hu-HU"/>
                    </w:rPr>
                    <w:t>7</w:t>
                  </w:r>
                  <w:r w:rsidR="00F00226" w:rsidRPr="00D045B3">
                    <w:rPr>
                      <w:rFonts w:eastAsia="Times New Roman"/>
                      <w:lang w:val="hu-HU"/>
                    </w:rPr>
                    <w:t xml:space="preserve">. és a </w:t>
                  </w:r>
                  <w:r w:rsidRPr="00D045B3">
                    <w:rPr>
                      <w:rFonts w:eastAsia="Times New Roman"/>
                      <w:lang w:val="hu-HU"/>
                    </w:rPr>
                    <w:t>13</w:t>
                  </w:r>
                  <w:r w:rsidR="00F00226" w:rsidRPr="00D045B3">
                    <w:rPr>
                      <w:rFonts w:eastAsia="Times New Roman"/>
                      <w:lang w:val="hu-HU"/>
                    </w:rPr>
                    <w:noBreakHyphen/>
                  </w:r>
                  <w:r w:rsidRPr="00D045B3">
                    <w:rPr>
                      <w:rFonts w:eastAsia="Times New Roman"/>
                      <w:lang w:val="hu-HU"/>
                    </w:rPr>
                    <w:t>14</w:t>
                  </w:r>
                  <w:r w:rsidR="00F00226" w:rsidRPr="00D045B3">
                    <w:rPr>
                      <w:rFonts w:eastAsia="Times New Roman"/>
                      <w:lang w:val="hu-HU"/>
                    </w:rPr>
                    <w:t>. napo</w:t>
                  </w:r>
                  <w:r w:rsidR="00316BBE" w:rsidRPr="00D045B3">
                    <w:rPr>
                      <w:rFonts w:eastAsia="Times New Roman"/>
                      <w:lang w:val="hu-HU"/>
                    </w:rPr>
                    <w:t>n</w:t>
                  </w:r>
                </w:p>
              </w:tc>
            </w:tr>
            <w:tr w:rsidR="004B2274" w:rsidRPr="00D045B3" w14:paraId="1E92736A" w14:textId="77777777" w:rsidTr="008A6837">
              <w:trPr>
                <w:trHeight w:hRule="exact" w:val="918"/>
              </w:trPr>
              <w:tc>
                <w:tcPr>
                  <w:tcW w:w="2133" w:type="dxa"/>
                  <w:tcBorders>
                    <w:right w:val="nil"/>
                  </w:tcBorders>
                  <w:shd w:val="clear" w:color="auto" w:fill="auto"/>
                  <w:tcMar>
                    <w:top w:w="57" w:type="dxa"/>
                    <w:bottom w:w="57" w:type="dxa"/>
                  </w:tcMar>
                </w:tcPr>
                <w:p w14:paraId="1E927366" w14:textId="77777777" w:rsidR="004B2274" w:rsidRPr="00D045B3" w:rsidRDefault="00662168" w:rsidP="004B2274">
                  <w:pPr>
                    <w:spacing w:line="240" w:lineRule="auto"/>
                    <w:ind w:right="-20"/>
                    <w:rPr>
                      <w:rFonts w:eastAsia="Times New Roman"/>
                      <w:lang w:val="hu-HU"/>
                    </w:rPr>
                  </w:pPr>
                  <w:r w:rsidRPr="00D045B3">
                    <w:rPr>
                      <w:rFonts w:eastAsia="Times New Roman"/>
                      <w:lang w:val="hu-HU"/>
                    </w:rPr>
                    <w:t xml:space="preserve">Indukciós terápia </w:t>
                  </w:r>
                  <w:r w:rsidR="004B2274" w:rsidRPr="00D045B3">
                    <w:rPr>
                      <w:rFonts w:eastAsia="Times New Roman"/>
                      <w:lang w:val="hu-HU"/>
                    </w:rPr>
                    <w:t>II</w:t>
                  </w:r>
                </w:p>
              </w:tc>
              <w:tc>
                <w:tcPr>
                  <w:tcW w:w="6798" w:type="dxa"/>
                  <w:tcBorders>
                    <w:left w:val="nil"/>
                  </w:tcBorders>
                  <w:shd w:val="clear" w:color="auto" w:fill="auto"/>
                  <w:tcMar>
                    <w:top w:w="57" w:type="dxa"/>
                    <w:bottom w:w="57" w:type="dxa"/>
                  </w:tcMar>
                </w:tcPr>
                <w:p w14:paraId="1E927367" w14:textId="77777777" w:rsidR="00662168" w:rsidRPr="00D045B3" w:rsidRDefault="004B2274" w:rsidP="004B2274">
                  <w:pPr>
                    <w:spacing w:line="240" w:lineRule="auto"/>
                    <w:ind w:right="-20"/>
                    <w:rPr>
                      <w:rFonts w:eastAsia="Times New Roman"/>
                      <w:lang w:val="hu-HU"/>
                    </w:rPr>
                  </w:pPr>
                  <w:r w:rsidRPr="00D045B3">
                    <w:rPr>
                      <w:rFonts w:eastAsia="Times New Roman"/>
                      <w:lang w:val="hu-HU"/>
                    </w:rPr>
                    <w:t>CP 1 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(1</w:t>
                  </w:r>
                  <w:r w:rsidR="00CF2B50" w:rsidRPr="00D045B3">
                    <w:rPr>
                      <w:rFonts w:eastAsia="Times New Roman"/>
                      <w:lang w:val="hu-HU"/>
                    </w:rPr>
                    <w:t> órás</w:t>
                  </w:r>
                  <w:r w:rsidRPr="00D045B3">
                    <w:rPr>
                      <w:rFonts w:eastAsia="Times New Roman"/>
                      <w:lang w:val="hu-HU"/>
                    </w:rPr>
                    <w:t xml:space="preserve">), </w:t>
                  </w:r>
                  <w:r w:rsidR="00316BBE" w:rsidRPr="00D045B3">
                    <w:rPr>
                      <w:rFonts w:eastAsia="Times New Roman"/>
                      <w:lang w:val="hu-HU"/>
                    </w:rPr>
                    <w:t>a</w:t>
                  </w:r>
                  <w:r w:rsidRPr="00D045B3">
                    <w:rPr>
                      <w:rFonts w:eastAsia="Times New Roman"/>
                      <w:lang w:val="hu-HU"/>
                    </w:rPr>
                    <w:t> 26</w:t>
                  </w:r>
                  <w:r w:rsidR="00316BBE" w:rsidRPr="00D045B3">
                    <w:rPr>
                      <w:rFonts w:eastAsia="Times New Roman"/>
                      <w:lang w:val="hu-HU"/>
                    </w:rPr>
                    <w:t xml:space="preserve">. és a </w:t>
                  </w:r>
                  <w:r w:rsidRPr="00D045B3">
                    <w:rPr>
                      <w:rFonts w:eastAsia="Times New Roman"/>
                      <w:lang w:val="hu-HU"/>
                    </w:rPr>
                    <w:t>46</w:t>
                  </w:r>
                  <w:r w:rsidR="00316BBE" w:rsidRPr="00D045B3">
                    <w:rPr>
                      <w:rFonts w:eastAsia="Times New Roman"/>
                      <w:lang w:val="hu-HU"/>
                    </w:rPr>
                    <w:t>. napon</w:t>
                  </w:r>
                  <w:r w:rsidRPr="00D045B3">
                    <w:rPr>
                      <w:rFonts w:eastAsia="Times New Roman"/>
                      <w:lang w:val="hu-HU"/>
                    </w:rPr>
                    <w:t xml:space="preserve">; </w:t>
                  </w:r>
                </w:p>
                <w:p w14:paraId="1E927368" w14:textId="77777777" w:rsidR="00662168" w:rsidRPr="00D045B3" w:rsidRDefault="004B2274" w:rsidP="004B2274">
                  <w:pPr>
                    <w:spacing w:line="240" w:lineRule="auto"/>
                    <w:ind w:right="-20"/>
                    <w:rPr>
                      <w:rFonts w:eastAsia="Times New Roman"/>
                      <w:lang w:val="hu-HU"/>
                    </w:rPr>
                  </w:pPr>
                  <w:r w:rsidRPr="00D045B3">
                    <w:rPr>
                      <w:rFonts w:eastAsia="Times New Roman"/>
                      <w:lang w:val="hu-HU"/>
                    </w:rPr>
                    <w:t>Ara</w:t>
                  </w:r>
                  <w:r w:rsidR="00316BBE" w:rsidRPr="00D045B3">
                    <w:rPr>
                      <w:rFonts w:eastAsia="Times New Roman"/>
                      <w:lang w:val="hu-HU"/>
                    </w:rPr>
                    <w:noBreakHyphen/>
                  </w:r>
                  <w:r w:rsidRPr="00D045B3">
                    <w:rPr>
                      <w:rFonts w:eastAsia="Times New Roman"/>
                      <w:lang w:val="hu-HU"/>
                    </w:rPr>
                    <w:t>C 75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(1</w:t>
                  </w:r>
                  <w:r w:rsidR="00CF2B50" w:rsidRPr="00D045B3">
                    <w:rPr>
                      <w:rFonts w:eastAsia="Times New Roman"/>
                      <w:lang w:val="hu-HU"/>
                    </w:rPr>
                    <w:t> órás</w:t>
                  </w:r>
                  <w:r w:rsidRPr="00D045B3">
                    <w:rPr>
                      <w:rFonts w:eastAsia="Times New Roman"/>
                      <w:lang w:val="hu-HU"/>
                    </w:rPr>
                    <w:t xml:space="preserve">), </w:t>
                  </w:r>
                  <w:r w:rsidR="00316BBE" w:rsidRPr="00D045B3">
                    <w:rPr>
                      <w:rFonts w:eastAsia="Times New Roman"/>
                      <w:lang w:val="hu-HU"/>
                    </w:rPr>
                    <w:t>a</w:t>
                  </w:r>
                  <w:r w:rsidRPr="00D045B3">
                    <w:rPr>
                      <w:rFonts w:eastAsia="Times New Roman"/>
                      <w:lang w:val="hu-HU"/>
                    </w:rPr>
                    <w:t> 28</w:t>
                  </w:r>
                  <w:r w:rsidR="00316BBE" w:rsidRPr="00D045B3">
                    <w:rPr>
                      <w:rFonts w:eastAsia="Times New Roman"/>
                      <w:lang w:val="hu-HU"/>
                    </w:rPr>
                    <w:noBreakHyphen/>
                  </w:r>
                  <w:r w:rsidRPr="00D045B3">
                    <w:rPr>
                      <w:rFonts w:eastAsia="Times New Roman"/>
                      <w:lang w:val="hu-HU"/>
                    </w:rPr>
                    <w:t>31</w:t>
                  </w:r>
                  <w:r w:rsidR="00316BBE" w:rsidRPr="00D045B3">
                    <w:rPr>
                      <w:rFonts w:eastAsia="Times New Roman"/>
                      <w:lang w:val="hu-HU"/>
                    </w:rPr>
                    <w:t>.</w:t>
                  </w:r>
                  <w:r w:rsidRPr="00D045B3">
                    <w:rPr>
                      <w:rFonts w:eastAsia="Times New Roman"/>
                      <w:lang w:val="hu-HU"/>
                    </w:rPr>
                    <w:t>, 35</w:t>
                  </w:r>
                  <w:r w:rsidR="00316BBE" w:rsidRPr="00D045B3">
                    <w:rPr>
                      <w:rFonts w:eastAsia="Times New Roman"/>
                      <w:lang w:val="hu-HU"/>
                    </w:rPr>
                    <w:noBreakHyphen/>
                  </w:r>
                  <w:r w:rsidRPr="00D045B3">
                    <w:rPr>
                      <w:rFonts w:eastAsia="Times New Roman"/>
                      <w:lang w:val="hu-HU"/>
                    </w:rPr>
                    <w:t>38</w:t>
                  </w:r>
                  <w:r w:rsidR="00316BBE" w:rsidRPr="00D045B3">
                    <w:rPr>
                      <w:rFonts w:eastAsia="Times New Roman"/>
                      <w:lang w:val="hu-HU"/>
                    </w:rPr>
                    <w:t xml:space="preserve">. és a </w:t>
                  </w:r>
                  <w:r w:rsidRPr="00D045B3">
                    <w:rPr>
                      <w:rFonts w:eastAsia="Times New Roman"/>
                      <w:lang w:val="hu-HU"/>
                    </w:rPr>
                    <w:t>42</w:t>
                  </w:r>
                  <w:r w:rsidR="00316BBE" w:rsidRPr="00D045B3">
                    <w:rPr>
                      <w:rFonts w:eastAsia="Times New Roman"/>
                      <w:lang w:val="hu-HU"/>
                    </w:rPr>
                    <w:noBreakHyphen/>
                  </w:r>
                  <w:r w:rsidRPr="00D045B3">
                    <w:rPr>
                      <w:rFonts w:eastAsia="Times New Roman"/>
                      <w:lang w:val="hu-HU"/>
                    </w:rPr>
                    <w:t>45</w:t>
                  </w:r>
                  <w:r w:rsidR="00316BBE" w:rsidRPr="00D045B3">
                    <w:rPr>
                      <w:rFonts w:eastAsia="Times New Roman"/>
                      <w:lang w:val="hu-HU"/>
                    </w:rPr>
                    <w:t>. napokon</w:t>
                  </w:r>
                  <w:r w:rsidRPr="00D045B3">
                    <w:rPr>
                      <w:rFonts w:eastAsia="Times New Roman"/>
                      <w:lang w:val="hu-HU"/>
                    </w:rPr>
                    <w:t xml:space="preserve">; </w:t>
                  </w:r>
                </w:p>
                <w:p w14:paraId="1E927369" w14:textId="77777777" w:rsidR="004B2274" w:rsidRPr="00D045B3" w:rsidRDefault="004B2274" w:rsidP="00316BBE">
                  <w:pPr>
                    <w:spacing w:line="240" w:lineRule="auto"/>
                    <w:ind w:right="-20"/>
                    <w:rPr>
                      <w:rFonts w:eastAsia="Times New Roman"/>
                      <w:lang w:val="hu-HU"/>
                    </w:rPr>
                  </w:pPr>
                  <w:r w:rsidRPr="00D045B3">
                    <w:rPr>
                      <w:rFonts w:eastAsia="Times New Roman"/>
                      <w:lang w:val="hu-HU"/>
                    </w:rPr>
                    <w:t>6</w:t>
                  </w:r>
                  <w:r w:rsidR="00316BBE" w:rsidRPr="00D045B3">
                    <w:rPr>
                      <w:rFonts w:eastAsia="Times New Roman"/>
                      <w:lang w:val="hu-HU"/>
                    </w:rPr>
                    <w:noBreakHyphen/>
                  </w:r>
                  <w:r w:rsidRPr="00D045B3">
                    <w:rPr>
                      <w:rFonts w:eastAsia="Times New Roman"/>
                      <w:lang w:val="hu-HU"/>
                    </w:rPr>
                    <w:t>MP 60 mg/m</w:t>
                  </w:r>
                  <w:r w:rsidRPr="00D045B3">
                    <w:rPr>
                      <w:rFonts w:eastAsia="Times New Roman"/>
                      <w:vertAlign w:val="superscript"/>
                      <w:lang w:val="hu-HU"/>
                    </w:rPr>
                    <w:t>2 </w:t>
                  </w:r>
                  <w:r w:rsidR="00316BBE" w:rsidRPr="00D045B3">
                    <w:rPr>
                      <w:rFonts w:eastAsia="Times New Roman"/>
                      <w:lang w:val="hu-HU"/>
                    </w:rPr>
                    <w:t>per os</w:t>
                  </w:r>
                  <w:r w:rsidRPr="00D045B3">
                    <w:rPr>
                      <w:rFonts w:eastAsia="Times New Roman"/>
                      <w:lang w:val="hu-HU"/>
                    </w:rPr>
                    <w:t xml:space="preserve">, </w:t>
                  </w:r>
                  <w:r w:rsidR="00316BBE" w:rsidRPr="00D045B3">
                    <w:rPr>
                      <w:rFonts w:eastAsia="Times New Roman"/>
                      <w:lang w:val="hu-HU"/>
                    </w:rPr>
                    <w:t>a</w:t>
                  </w:r>
                  <w:r w:rsidRPr="00D045B3">
                    <w:rPr>
                      <w:rFonts w:eastAsia="Times New Roman"/>
                      <w:lang w:val="hu-HU"/>
                    </w:rPr>
                    <w:t> 26</w:t>
                  </w:r>
                  <w:r w:rsidR="00316BBE" w:rsidRPr="00D045B3">
                    <w:rPr>
                      <w:rFonts w:eastAsia="Times New Roman"/>
                      <w:lang w:val="hu-HU"/>
                    </w:rPr>
                    <w:noBreakHyphen/>
                  </w:r>
                  <w:r w:rsidRPr="00D045B3">
                    <w:rPr>
                      <w:rFonts w:eastAsia="Times New Roman"/>
                      <w:lang w:val="hu-HU"/>
                    </w:rPr>
                    <w:t>46</w:t>
                  </w:r>
                  <w:r w:rsidR="00316BBE" w:rsidRPr="00D045B3">
                    <w:rPr>
                      <w:rFonts w:eastAsia="Times New Roman"/>
                      <w:lang w:val="hu-HU"/>
                    </w:rPr>
                    <w:t>. napokon</w:t>
                  </w:r>
                </w:p>
              </w:tc>
            </w:tr>
            <w:tr w:rsidR="004B2274" w:rsidRPr="00D045B3" w14:paraId="1E92736E" w14:textId="77777777" w:rsidTr="008A6837">
              <w:trPr>
                <w:trHeight w:hRule="exact" w:val="1215"/>
              </w:trPr>
              <w:tc>
                <w:tcPr>
                  <w:tcW w:w="2133" w:type="dxa"/>
                  <w:tcBorders>
                    <w:right w:val="nil"/>
                  </w:tcBorders>
                  <w:shd w:val="clear" w:color="auto" w:fill="auto"/>
                  <w:tcMar>
                    <w:top w:w="57" w:type="dxa"/>
                    <w:bottom w:w="57" w:type="dxa"/>
                  </w:tcMar>
                </w:tcPr>
                <w:p w14:paraId="1E92736B" w14:textId="77777777" w:rsidR="004B2274" w:rsidRPr="00D045B3" w:rsidRDefault="00662168" w:rsidP="00C369A7">
                  <w:pPr>
                    <w:spacing w:line="240" w:lineRule="auto"/>
                    <w:rPr>
                      <w:rFonts w:eastAsia="Times New Roman"/>
                      <w:lang w:val="hu-HU"/>
                    </w:rPr>
                  </w:pPr>
                  <w:r w:rsidRPr="00D045B3">
                    <w:rPr>
                      <w:rFonts w:eastAsia="Times New Roman"/>
                      <w:lang w:val="hu-HU"/>
                    </w:rPr>
                    <w:t>K</w:t>
                  </w:r>
                  <w:r w:rsidR="004B2274" w:rsidRPr="00D045B3">
                    <w:rPr>
                      <w:rFonts w:eastAsia="Times New Roman"/>
                      <w:lang w:val="hu-HU"/>
                    </w:rPr>
                    <w:t>ons</w:t>
                  </w:r>
                  <w:r w:rsidRPr="00D045B3">
                    <w:rPr>
                      <w:rFonts w:eastAsia="Times New Roman"/>
                      <w:lang w:val="hu-HU"/>
                    </w:rPr>
                    <w:t>zolidációs terápi</w:t>
                  </w:r>
                  <w:r w:rsidR="00C369A7" w:rsidRPr="00D045B3">
                    <w:rPr>
                      <w:rFonts w:eastAsia="Times New Roman"/>
                      <w:lang w:val="hu-HU"/>
                    </w:rPr>
                    <w:t>a</w:t>
                  </w:r>
                </w:p>
              </w:tc>
              <w:tc>
                <w:tcPr>
                  <w:tcW w:w="6798" w:type="dxa"/>
                  <w:tcBorders>
                    <w:left w:val="nil"/>
                  </w:tcBorders>
                  <w:shd w:val="clear" w:color="auto" w:fill="auto"/>
                  <w:tcMar>
                    <w:top w:w="57" w:type="dxa"/>
                    <w:bottom w:w="57" w:type="dxa"/>
                  </w:tcMar>
                </w:tcPr>
                <w:p w14:paraId="1E92736C" w14:textId="77777777" w:rsidR="00662168" w:rsidRPr="00D045B3" w:rsidRDefault="004B2274" w:rsidP="004B2274">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00316BBE" w:rsidRPr="00D045B3">
                    <w:rPr>
                      <w:rFonts w:eastAsia="Times New Roman"/>
                      <w:lang w:val="hu-HU"/>
                    </w:rPr>
                    <w:t>per os</w:t>
                  </w:r>
                  <w:r w:rsidRPr="00D045B3">
                    <w:rPr>
                      <w:rFonts w:eastAsia="Times New Roman"/>
                      <w:lang w:val="hu-HU"/>
                    </w:rPr>
                    <w:t xml:space="preserve">, </w:t>
                  </w:r>
                  <w:r w:rsidR="00316BBE" w:rsidRPr="00D045B3">
                    <w:rPr>
                      <w:rFonts w:eastAsia="Times New Roman"/>
                      <w:lang w:val="hu-HU"/>
                    </w:rPr>
                    <w:t>az</w:t>
                  </w:r>
                  <w:r w:rsidRPr="00D045B3">
                    <w:rPr>
                      <w:rFonts w:eastAsia="Times New Roman"/>
                      <w:lang w:val="hu-HU"/>
                    </w:rPr>
                    <w:t> 1</w:t>
                  </w:r>
                  <w:r w:rsidR="00316BBE" w:rsidRPr="00D045B3">
                    <w:rPr>
                      <w:rFonts w:eastAsia="Times New Roman"/>
                      <w:lang w:val="hu-HU"/>
                    </w:rPr>
                    <w:noBreakHyphen/>
                  </w:r>
                  <w:r w:rsidRPr="00D045B3">
                    <w:rPr>
                      <w:rFonts w:eastAsia="Times New Roman"/>
                      <w:lang w:val="hu-HU"/>
                    </w:rPr>
                    <w:t>5</w:t>
                  </w:r>
                  <w:r w:rsidR="00316BBE" w:rsidRPr="00D045B3">
                    <w:rPr>
                      <w:rFonts w:eastAsia="Times New Roman"/>
                      <w:lang w:val="hu-HU"/>
                    </w:rPr>
                    <w:t>. napokon</w:t>
                  </w:r>
                  <w:r w:rsidRPr="00D045B3">
                    <w:rPr>
                      <w:rFonts w:eastAsia="Times New Roman"/>
                      <w:lang w:val="hu-HU"/>
                    </w:rPr>
                    <w:t>; vinde</w:t>
                  </w:r>
                  <w:r w:rsidR="00C86EAE" w:rsidRPr="00D045B3">
                    <w:rPr>
                      <w:rFonts w:eastAsia="Times New Roman"/>
                      <w:lang w:val="hu-HU"/>
                    </w:rPr>
                    <w:t>z</w:t>
                  </w:r>
                  <w:r w:rsidRPr="00D045B3">
                    <w:rPr>
                      <w:rFonts w:eastAsia="Times New Roman"/>
                      <w:lang w:val="hu-HU"/>
                    </w:rPr>
                    <w:t>in 3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316BBE" w:rsidRPr="00D045B3">
                    <w:rPr>
                      <w:rFonts w:eastAsia="Times New Roman"/>
                      <w:lang w:val="hu-HU"/>
                    </w:rPr>
                    <w:t>az</w:t>
                  </w:r>
                  <w:r w:rsidRPr="00D045B3">
                    <w:rPr>
                      <w:rFonts w:eastAsia="Times New Roman"/>
                      <w:lang w:val="hu-HU"/>
                    </w:rPr>
                    <w:t> 1</w:t>
                  </w:r>
                  <w:r w:rsidR="00316BBE" w:rsidRPr="00D045B3">
                    <w:rPr>
                      <w:rFonts w:eastAsia="Times New Roman"/>
                      <w:lang w:val="hu-HU"/>
                    </w:rPr>
                    <w:t>. napon</w:t>
                  </w:r>
                  <w:r w:rsidRPr="00D045B3">
                    <w:rPr>
                      <w:rFonts w:eastAsia="Times New Roman"/>
                      <w:lang w:val="hu-HU"/>
                    </w:rPr>
                    <w:t>; MTX</w:t>
                  </w:r>
                  <w:r w:rsidR="00C86EAE" w:rsidRPr="00D045B3">
                    <w:rPr>
                      <w:rFonts w:eastAsia="Times New Roman"/>
                      <w:lang w:val="hu-HU"/>
                    </w:rPr>
                    <w:t xml:space="preserve"> 1,</w:t>
                  </w:r>
                  <w:r w:rsidRPr="00D045B3">
                    <w:rPr>
                      <w:rFonts w:eastAsia="Times New Roman"/>
                      <w:lang w:val="hu-HU"/>
                    </w:rPr>
                    <w:t>5 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(24</w:t>
                  </w:r>
                  <w:r w:rsidR="00CF2B50" w:rsidRPr="00D045B3">
                    <w:rPr>
                      <w:rFonts w:eastAsia="Times New Roman"/>
                      <w:lang w:val="hu-HU"/>
                    </w:rPr>
                    <w:t> órás</w:t>
                  </w:r>
                  <w:r w:rsidRPr="00D045B3">
                    <w:rPr>
                      <w:rFonts w:eastAsia="Times New Roman"/>
                      <w:lang w:val="hu-HU"/>
                    </w:rPr>
                    <w:t xml:space="preserve">), </w:t>
                  </w:r>
                  <w:r w:rsidR="00316BBE" w:rsidRPr="00D045B3">
                    <w:rPr>
                      <w:rFonts w:eastAsia="Times New Roman"/>
                      <w:lang w:val="hu-HU"/>
                    </w:rPr>
                    <w:t>az</w:t>
                  </w:r>
                  <w:r w:rsidRPr="00D045B3">
                    <w:rPr>
                      <w:rFonts w:eastAsia="Times New Roman"/>
                      <w:lang w:val="hu-HU"/>
                    </w:rPr>
                    <w:t> 1</w:t>
                  </w:r>
                  <w:r w:rsidR="00316BBE" w:rsidRPr="00D045B3">
                    <w:rPr>
                      <w:rFonts w:eastAsia="Times New Roman"/>
                      <w:lang w:val="hu-HU"/>
                    </w:rPr>
                    <w:t>. napon</w:t>
                  </w:r>
                  <w:r w:rsidRPr="00D045B3">
                    <w:rPr>
                      <w:rFonts w:eastAsia="Times New Roman"/>
                      <w:lang w:val="hu-HU"/>
                    </w:rPr>
                    <w:t>; etopo</w:t>
                  </w:r>
                  <w:r w:rsidR="00316BBE" w:rsidRPr="00D045B3">
                    <w:rPr>
                      <w:rFonts w:eastAsia="Times New Roman"/>
                      <w:lang w:val="hu-HU"/>
                    </w:rPr>
                    <w:t>zid</w:t>
                  </w:r>
                  <w:r w:rsidRPr="00D045B3">
                    <w:rPr>
                      <w:rFonts w:eastAsia="Times New Roman"/>
                      <w:lang w:val="hu-HU"/>
                    </w:rPr>
                    <w:t xml:space="preserve"> 250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(1</w:t>
                  </w:r>
                  <w:r w:rsidR="00CF2B50" w:rsidRPr="00D045B3">
                    <w:rPr>
                      <w:rFonts w:eastAsia="Times New Roman"/>
                      <w:lang w:val="hu-HU"/>
                    </w:rPr>
                    <w:t> órás</w:t>
                  </w:r>
                  <w:r w:rsidRPr="00D045B3">
                    <w:rPr>
                      <w:rFonts w:eastAsia="Times New Roman"/>
                      <w:lang w:val="hu-HU"/>
                    </w:rPr>
                    <w:t xml:space="preserve">) </w:t>
                  </w:r>
                  <w:r w:rsidR="00316BBE" w:rsidRPr="00D045B3">
                    <w:rPr>
                      <w:rFonts w:eastAsia="Times New Roman"/>
                      <w:lang w:val="hu-HU"/>
                    </w:rPr>
                    <w:t>a</w:t>
                  </w:r>
                  <w:r w:rsidRPr="00D045B3">
                    <w:rPr>
                      <w:rFonts w:eastAsia="Times New Roman"/>
                      <w:lang w:val="hu-HU"/>
                    </w:rPr>
                    <w:t> 4</w:t>
                  </w:r>
                  <w:r w:rsidR="00316BBE" w:rsidRPr="00D045B3">
                    <w:rPr>
                      <w:rFonts w:eastAsia="Times New Roman"/>
                      <w:lang w:val="hu-HU"/>
                    </w:rPr>
                    <w:noBreakHyphen/>
                  </w:r>
                  <w:r w:rsidRPr="00D045B3">
                    <w:rPr>
                      <w:rFonts w:eastAsia="Times New Roman"/>
                      <w:lang w:val="hu-HU"/>
                    </w:rPr>
                    <w:t>5</w:t>
                  </w:r>
                  <w:r w:rsidR="00316BBE" w:rsidRPr="00D045B3">
                    <w:rPr>
                      <w:rFonts w:eastAsia="Times New Roman"/>
                      <w:lang w:val="hu-HU"/>
                    </w:rPr>
                    <w:t>. napokon</w:t>
                  </w:r>
                  <w:r w:rsidRPr="00D045B3">
                    <w:rPr>
                      <w:rFonts w:eastAsia="Times New Roman"/>
                      <w:lang w:val="hu-HU"/>
                    </w:rPr>
                    <w:t xml:space="preserve">; </w:t>
                  </w:r>
                </w:p>
                <w:p w14:paraId="1E92736D" w14:textId="77777777" w:rsidR="004B2274" w:rsidRPr="00D045B3" w:rsidRDefault="004B2274" w:rsidP="00316BBE">
                  <w:pPr>
                    <w:spacing w:line="240" w:lineRule="auto"/>
                    <w:ind w:right="-20"/>
                    <w:rPr>
                      <w:rFonts w:eastAsia="Times New Roman"/>
                      <w:lang w:val="hu-HU"/>
                    </w:rPr>
                  </w:pPr>
                  <w:r w:rsidRPr="00D045B3">
                    <w:rPr>
                      <w:rFonts w:eastAsia="Times New Roman"/>
                      <w:lang w:val="hu-HU"/>
                    </w:rPr>
                    <w:t>Ara</w:t>
                  </w:r>
                  <w:r w:rsidR="00316BBE" w:rsidRPr="00D045B3">
                    <w:rPr>
                      <w:rFonts w:eastAsia="Times New Roman"/>
                      <w:lang w:val="hu-HU"/>
                    </w:rPr>
                    <w:noBreakHyphen/>
                  </w:r>
                  <w:r w:rsidRPr="00D045B3">
                    <w:rPr>
                      <w:rFonts w:eastAsia="Times New Roman"/>
                      <w:lang w:val="hu-HU"/>
                    </w:rPr>
                    <w:t>C 2x 2 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(3</w:t>
                  </w:r>
                  <w:r w:rsidR="00CF2B50" w:rsidRPr="00D045B3">
                    <w:rPr>
                      <w:rFonts w:eastAsia="Times New Roman"/>
                      <w:lang w:val="hu-HU"/>
                    </w:rPr>
                    <w:t> órás</w:t>
                  </w:r>
                  <w:r w:rsidRPr="00D045B3">
                    <w:rPr>
                      <w:rFonts w:eastAsia="Times New Roman"/>
                      <w:lang w:val="hu-HU"/>
                    </w:rPr>
                    <w:t>, 12</w:t>
                  </w:r>
                  <w:r w:rsidR="00CF2B50" w:rsidRPr="00D045B3">
                    <w:rPr>
                      <w:rFonts w:eastAsia="Times New Roman"/>
                      <w:lang w:val="hu-HU"/>
                    </w:rPr>
                    <w:t> órá</w:t>
                  </w:r>
                  <w:r w:rsidR="00316BBE" w:rsidRPr="00D045B3">
                    <w:rPr>
                      <w:rFonts w:eastAsia="Times New Roman"/>
                      <w:lang w:val="hu-HU"/>
                    </w:rPr>
                    <w:t>nként</w:t>
                  </w:r>
                  <w:r w:rsidRPr="00D045B3">
                    <w:rPr>
                      <w:rFonts w:eastAsia="Times New Roman"/>
                      <w:lang w:val="hu-HU"/>
                    </w:rPr>
                    <w:t xml:space="preserve">), </w:t>
                  </w:r>
                  <w:r w:rsidR="00316BBE" w:rsidRPr="00D045B3">
                    <w:rPr>
                      <w:rFonts w:eastAsia="Times New Roman"/>
                      <w:lang w:val="hu-HU"/>
                    </w:rPr>
                    <w:t>az</w:t>
                  </w:r>
                  <w:r w:rsidRPr="00D045B3">
                    <w:rPr>
                      <w:rFonts w:eastAsia="Times New Roman"/>
                      <w:lang w:val="hu-HU"/>
                    </w:rPr>
                    <w:t> 5</w:t>
                  </w:r>
                  <w:r w:rsidR="00316BBE" w:rsidRPr="00D045B3">
                    <w:rPr>
                      <w:rFonts w:eastAsia="Times New Roman"/>
                      <w:lang w:val="hu-HU"/>
                    </w:rPr>
                    <w:t>. napon</w:t>
                  </w:r>
                </w:p>
              </w:tc>
            </w:tr>
            <w:tr w:rsidR="004B2274" w:rsidRPr="00D045B3" w14:paraId="1E927370" w14:textId="77777777" w:rsidTr="004B2274">
              <w:trPr>
                <w:trHeight w:hRule="exact" w:val="329"/>
              </w:trPr>
              <w:tc>
                <w:tcPr>
                  <w:tcW w:w="8931" w:type="dxa"/>
                  <w:gridSpan w:val="2"/>
                  <w:shd w:val="clear" w:color="auto" w:fill="auto"/>
                  <w:tcMar>
                    <w:top w:w="57" w:type="dxa"/>
                    <w:bottom w:w="57" w:type="dxa"/>
                  </w:tcMar>
                </w:tcPr>
                <w:p w14:paraId="1E92736F" w14:textId="77777777" w:rsidR="004B2274" w:rsidRPr="00D045B3" w:rsidRDefault="004B2274" w:rsidP="004B2274">
                  <w:pPr>
                    <w:keepNext/>
                    <w:spacing w:line="240" w:lineRule="auto"/>
                    <w:ind w:right="-23"/>
                    <w:rPr>
                      <w:rFonts w:eastAsia="Times New Roman"/>
                      <w:lang w:val="hu-HU"/>
                    </w:rPr>
                  </w:pPr>
                  <w:r w:rsidRPr="00D045B3">
                    <w:rPr>
                      <w:rFonts w:eastAsia="Times New Roman"/>
                      <w:b/>
                      <w:bCs/>
                      <w:lang w:val="hu-HU"/>
                    </w:rPr>
                    <w:t>AJP01</w:t>
                  </w:r>
                  <w:r w:rsidR="00C369A7" w:rsidRPr="00D045B3">
                    <w:rPr>
                      <w:rFonts w:eastAsia="Times New Roman"/>
                      <w:b/>
                      <w:bCs/>
                      <w:lang w:val="hu-HU"/>
                    </w:rPr>
                    <w:t xml:space="preserve"> vizsgálat</w:t>
                  </w:r>
                </w:p>
              </w:tc>
            </w:tr>
            <w:tr w:rsidR="004B2274" w:rsidRPr="00D045B3" w14:paraId="1E927373" w14:textId="77777777" w:rsidTr="008A6837">
              <w:trPr>
                <w:trHeight w:hRule="exact" w:val="953"/>
              </w:trPr>
              <w:tc>
                <w:tcPr>
                  <w:tcW w:w="2133" w:type="dxa"/>
                  <w:tcBorders>
                    <w:right w:val="nil"/>
                  </w:tcBorders>
                  <w:shd w:val="clear" w:color="auto" w:fill="auto"/>
                  <w:tcMar>
                    <w:top w:w="57" w:type="dxa"/>
                    <w:bottom w:w="57" w:type="dxa"/>
                  </w:tcMar>
                </w:tcPr>
                <w:p w14:paraId="1E927371" w14:textId="77777777" w:rsidR="004B2274" w:rsidRPr="00D045B3" w:rsidRDefault="004B2274" w:rsidP="00C369A7">
                  <w:pPr>
                    <w:spacing w:line="240" w:lineRule="auto"/>
                    <w:ind w:right="-20"/>
                    <w:rPr>
                      <w:rFonts w:eastAsia="Times New Roman"/>
                      <w:lang w:val="hu-HU"/>
                    </w:rPr>
                  </w:pPr>
                  <w:r w:rsidRPr="00D045B3">
                    <w:rPr>
                      <w:rFonts w:eastAsia="Times New Roman"/>
                      <w:lang w:val="hu-HU"/>
                    </w:rPr>
                    <w:t>Indu</w:t>
                  </w:r>
                  <w:r w:rsidR="00C369A7" w:rsidRPr="00D045B3">
                    <w:rPr>
                      <w:rFonts w:eastAsia="Times New Roman"/>
                      <w:lang w:val="hu-HU"/>
                    </w:rPr>
                    <w:t>kciós terápia</w:t>
                  </w:r>
                </w:p>
              </w:tc>
              <w:tc>
                <w:tcPr>
                  <w:tcW w:w="6798" w:type="dxa"/>
                  <w:tcBorders>
                    <w:left w:val="nil"/>
                  </w:tcBorders>
                  <w:shd w:val="clear" w:color="auto" w:fill="auto"/>
                  <w:tcMar>
                    <w:top w:w="57" w:type="dxa"/>
                    <w:bottom w:w="57" w:type="dxa"/>
                  </w:tcMar>
                </w:tcPr>
                <w:p w14:paraId="1E927372" w14:textId="77777777" w:rsidR="004B2274" w:rsidRPr="00D045B3" w:rsidRDefault="004B2274" w:rsidP="00C369A7">
                  <w:pPr>
                    <w:spacing w:line="240" w:lineRule="auto"/>
                    <w:ind w:right="160"/>
                    <w:jc w:val="both"/>
                    <w:rPr>
                      <w:rFonts w:eastAsia="Times New Roman"/>
                      <w:lang w:val="hu-HU"/>
                    </w:rPr>
                  </w:pPr>
                  <w:r w:rsidRPr="00D045B3">
                    <w:rPr>
                      <w:rFonts w:eastAsia="Times New Roman"/>
                      <w:lang w:val="hu-HU"/>
                    </w:rPr>
                    <w:t>CP 1.2 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(3</w:t>
                  </w:r>
                  <w:r w:rsidR="00CF2B50" w:rsidRPr="00D045B3">
                    <w:rPr>
                      <w:rFonts w:eastAsia="Times New Roman"/>
                      <w:lang w:val="hu-HU"/>
                    </w:rPr>
                    <w:t> órás</w:t>
                  </w:r>
                  <w:r w:rsidRPr="00D045B3">
                    <w:rPr>
                      <w:rFonts w:eastAsia="Times New Roman"/>
                      <w:lang w:val="hu-HU"/>
                    </w:rPr>
                    <w:t xml:space="preserve">), </w:t>
                  </w:r>
                  <w:r w:rsidR="00C369A7" w:rsidRPr="00D045B3">
                    <w:rPr>
                      <w:rFonts w:eastAsia="Times New Roman"/>
                      <w:lang w:val="hu-HU"/>
                    </w:rPr>
                    <w:t>az</w:t>
                  </w:r>
                  <w:r w:rsidRPr="00D045B3">
                    <w:rPr>
                      <w:rFonts w:eastAsia="Times New Roman"/>
                      <w:lang w:val="hu-HU"/>
                    </w:rPr>
                    <w:t> 1</w:t>
                  </w:r>
                  <w:r w:rsidR="00C369A7" w:rsidRPr="00D045B3">
                    <w:rPr>
                      <w:rFonts w:eastAsia="Times New Roman"/>
                      <w:lang w:val="hu-HU"/>
                    </w:rPr>
                    <w:t>. napon</w:t>
                  </w:r>
                  <w:r w:rsidRPr="00D045B3">
                    <w:rPr>
                      <w:rFonts w:eastAsia="Times New Roman"/>
                      <w:lang w:val="hu-HU"/>
                    </w:rPr>
                    <w:t>; daunorubicin 60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(1</w:t>
                  </w:r>
                  <w:r w:rsidR="00CF2B50" w:rsidRPr="00D045B3">
                    <w:rPr>
                      <w:rFonts w:eastAsia="Times New Roman"/>
                      <w:lang w:val="hu-HU"/>
                    </w:rPr>
                    <w:t> órás</w:t>
                  </w:r>
                  <w:r w:rsidRPr="00D045B3">
                    <w:rPr>
                      <w:rFonts w:eastAsia="Times New Roman"/>
                      <w:lang w:val="hu-HU"/>
                    </w:rPr>
                    <w:t xml:space="preserve">), </w:t>
                  </w:r>
                  <w:r w:rsidR="00C369A7" w:rsidRPr="00D045B3">
                    <w:rPr>
                      <w:rFonts w:eastAsia="Times New Roman"/>
                      <w:lang w:val="hu-HU"/>
                    </w:rPr>
                    <w:t>az</w:t>
                  </w:r>
                  <w:r w:rsidRPr="00D045B3">
                    <w:rPr>
                      <w:rFonts w:eastAsia="Times New Roman"/>
                      <w:lang w:val="hu-HU"/>
                    </w:rPr>
                    <w:t> 1</w:t>
                  </w:r>
                  <w:r w:rsidR="00C369A7" w:rsidRPr="00D045B3">
                    <w:rPr>
                      <w:rFonts w:eastAsia="Times New Roman"/>
                      <w:lang w:val="hu-HU"/>
                    </w:rPr>
                    <w:noBreakHyphen/>
                  </w:r>
                  <w:r w:rsidRPr="00D045B3">
                    <w:rPr>
                      <w:rFonts w:eastAsia="Times New Roman"/>
                      <w:lang w:val="hu-HU"/>
                    </w:rPr>
                    <w:t>3</w:t>
                  </w:r>
                  <w:r w:rsidR="00C369A7" w:rsidRPr="00D045B3">
                    <w:rPr>
                      <w:rFonts w:eastAsia="Times New Roman"/>
                      <w:lang w:val="hu-HU"/>
                    </w:rPr>
                    <w:t>. napokon</w:t>
                  </w:r>
                  <w:r w:rsidRPr="00D045B3">
                    <w:rPr>
                      <w:rFonts w:eastAsia="Times New Roman"/>
                      <w:lang w:val="hu-HU"/>
                    </w:rPr>
                    <w:t>; vincris</w:t>
                  </w:r>
                  <w:r w:rsidR="00C369A7" w:rsidRPr="00D045B3">
                    <w:rPr>
                      <w:rFonts w:eastAsia="Times New Roman"/>
                      <w:lang w:val="hu-HU"/>
                    </w:rPr>
                    <w:t>z</w:t>
                  </w:r>
                  <w:r w:rsidRPr="00D045B3">
                    <w:rPr>
                      <w:rFonts w:eastAsia="Times New Roman"/>
                      <w:lang w:val="hu-HU"/>
                    </w:rPr>
                    <w:t>tin 1.3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C369A7" w:rsidRPr="00D045B3">
                    <w:rPr>
                      <w:rFonts w:eastAsia="Times New Roman"/>
                      <w:lang w:val="hu-HU"/>
                    </w:rPr>
                    <w:t>az</w:t>
                  </w:r>
                  <w:r w:rsidRPr="00D045B3">
                    <w:rPr>
                      <w:rFonts w:eastAsia="Times New Roman"/>
                      <w:lang w:val="hu-HU"/>
                    </w:rPr>
                    <w:t> 1</w:t>
                  </w:r>
                  <w:r w:rsidR="00C369A7" w:rsidRPr="00D045B3">
                    <w:rPr>
                      <w:rFonts w:eastAsia="Times New Roman"/>
                      <w:lang w:val="hu-HU"/>
                    </w:rPr>
                    <w:t>.</w:t>
                  </w:r>
                  <w:r w:rsidRPr="00D045B3">
                    <w:rPr>
                      <w:rFonts w:eastAsia="Times New Roman"/>
                      <w:lang w:val="hu-HU"/>
                    </w:rPr>
                    <w:t>, 8</w:t>
                  </w:r>
                  <w:r w:rsidR="00C369A7" w:rsidRPr="00D045B3">
                    <w:rPr>
                      <w:rFonts w:eastAsia="Times New Roman"/>
                      <w:lang w:val="hu-HU"/>
                    </w:rPr>
                    <w:t>.</w:t>
                  </w:r>
                  <w:r w:rsidRPr="00D045B3">
                    <w:rPr>
                      <w:rFonts w:eastAsia="Times New Roman"/>
                      <w:lang w:val="hu-HU"/>
                    </w:rPr>
                    <w:t>, 15</w:t>
                  </w:r>
                  <w:r w:rsidR="00C369A7" w:rsidRPr="00D045B3">
                    <w:rPr>
                      <w:rFonts w:eastAsia="Times New Roman"/>
                      <w:lang w:val="hu-HU"/>
                    </w:rPr>
                    <w:t>.</w:t>
                  </w:r>
                  <w:r w:rsidRPr="00D045B3">
                    <w:rPr>
                      <w:rFonts w:eastAsia="Times New Roman"/>
                      <w:lang w:val="hu-HU"/>
                    </w:rPr>
                    <w:t>, 21</w:t>
                  </w:r>
                  <w:r w:rsidR="00C369A7" w:rsidRPr="00D045B3">
                    <w:rPr>
                      <w:rFonts w:eastAsia="Times New Roman"/>
                      <w:lang w:val="hu-HU"/>
                    </w:rPr>
                    <w:t>. napon</w:t>
                  </w:r>
                  <w:r w:rsidRPr="00D045B3">
                    <w:rPr>
                      <w:rFonts w:eastAsia="Times New Roman"/>
                      <w:lang w:val="hu-HU"/>
                    </w:rPr>
                    <w:t>; predni</w:t>
                  </w:r>
                  <w:r w:rsidR="00C369A7" w:rsidRPr="00D045B3">
                    <w:rPr>
                      <w:rFonts w:eastAsia="Times New Roman"/>
                      <w:lang w:val="hu-HU"/>
                    </w:rPr>
                    <w:t>zolon</w:t>
                  </w:r>
                  <w:r w:rsidRPr="00D045B3">
                    <w:rPr>
                      <w:rFonts w:eastAsia="Times New Roman"/>
                      <w:lang w:val="hu-HU"/>
                    </w:rPr>
                    <w:t xml:space="preserve"> 60 mg/m</w:t>
                  </w:r>
                  <w:r w:rsidRPr="00D045B3">
                    <w:rPr>
                      <w:rFonts w:eastAsia="Times New Roman"/>
                      <w:vertAlign w:val="superscript"/>
                      <w:lang w:val="hu-HU"/>
                    </w:rPr>
                    <w:t>2</w:t>
                  </w:r>
                  <w:r w:rsidRPr="00D045B3">
                    <w:rPr>
                      <w:rFonts w:eastAsia="Times New Roman"/>
                      <w:lang w:val="hu-HU"/>
                    </w:rPr>
                    <w:t>/</w:t>
                  </w:r>
                  <w:r w:rsidR="00C369A7" w:rsidRPr="00D045B3">
                    <w:rPr>
                      <w:rFonts w:eastAsia="Times New Roman"/>
                      <w:lang w:val="hu-HU"/>
                    </w:rPr>
                    <w:t>nap per os</w:t>
                  </w:r>
                </w:p>
              </w:tc>
            </w:tr>
            <w:tr w:rsidR="004B2274" w:rsidRPr="00D045B3" w14:paraId="1E927376" w14:textId="77777777" w:rsidTr="004B2274">
              <w:trPr>
                <w:trHeight w:hRule="exact" w:val="850"/>
              </w:trPr>
              <w:tc>
                <w:tcPr>
                  <w:tcW w:w="2133" w:type="dxa"/>
                  <w:tcBorders>
                    <w:right w:val="nil"/>
                  </w:tcBorders>
                  <w:shd w:val="clear" w:color="auto" w:fill="auto"/>
                  <w:tcMar>
                    <w:top w:w="57" w:type="dxa"/>
                    <w:bottom w:w="57" w:type="dxa"/>
                  </w:tcMar>
                </w:tcPr>
                <w:p w14:paraId="1E927374" w14:textId="77777777" w:rsidR="004B2274" w:rsidRPr="00D045B3" w:rsidRDefault="00C369A7" w:rsidP="00C369A7">
                  <w:pPr>
                    <w:spacing w:line="240" w:lineRule="auto"/>
                    <w:rPr>
                      <w:rFonts w:eastAsia="Times New Roman"/>
                      <w:lang w:val="hu-HU"/>
                    </w:rPr>
                  </w:pPr>
                  <w:r w:rsidRPr="00D045B3">
                    <w:rPr>
                      <w:rFonts w:eastAsia="Times New Roman"/>
                      <w:lang w:val="hu-HU"/>
                    </w:rPr>
                    <w:t>K</w:t>
                  </w:r>
                  <w:r w:rsidR="004B2274" w:rsidRPr="00D045B3">
                    <w:rPr>
                      <w:rFonts w:eastAsia="Times New Roman"/>
                      <w:lang w:val="hu-HU"/>
                    </w:rPr>
                    <w:t>ons</w:t>
                  </w:r>
                  <w:r w:rsidRPr="00D045B3">
                    <w:rPr>
                      <w:rFonts w:eastAsia="Times New Roman"/>
                      <w:lang w:val="hu-HU"/>
                    </w:rPr>
                    <w:t>z</w:t>
                  </w:r>
                  <w:r w:rsidR="004B2274" w:rsidRPr="00D045B3">
                    <w:rPr>
                      <w:rFonts w:eastAsia="Times New Roman"/>
                      <w:lang w:val="hu-HU"/>
                    </w:rPr>
                    <w:t>olid</w:t>
                  </w:r>
                  <w:r w:rsidRPr="00D045B3">
                    <w:rPr>
                      <w:rFonts w:eastAsia="Times New Roman"/>
                      <w:lang w:val="hu-HU"/>
                    </w:rPr>
                    <w:t>ációs terápia</w:t>
                  </w:r>
                </w:p>
              </w:tc>
              <w:tc>
                <w:tcPr>
                  <w:tcW w:w="6798" w:type="dxa"/>
                  <w:tcBorders>
                    <w:left w:val="nil"/>
                  </w:tcBorders>
                  <w:shd w:val="clear" w:color="auto" w:fill="auto"/>
                  <w:tcMar>
                    <w:top w:w="57" w:type="dxa"/>
                    <w:bottom w:w="57" w:type="dxa"/>
                  </w:tcMar>
                </w:tcPr>
                <w:p w14:paraId="1E927375" w14:textId="77777777" w:rsidR="004B2274" w:rsidRPr="00D045B3" w:rsidRDefault="00C369A7" w:rsidP="006719B7">
                  <w:pPr>
                    <w:spacing w:line="240" w:lineRule="auto"/>
                    <w:ind w:right="-20"/>
                    <w:rPr>
                      <w:rFonts w:eastAsia="Times New Roman"/>
                      <w:lang w:val="hu-HU"/>
                    </w:rPr>
                  </w:pPr>
                  <w:r w:rsidRPr="00D045B3">
                    <w:rPr>
                      <w:rFonts w:eastAsia="Times New Roman"/>
                      <w:lang w:val="hu-HU"/>
                    </w:rPr>
                    <w:t>Váltó kemoterápiás kezelés</w:t>
                  </w:r>
                  <w:r w:rsidR="004B2274" w:rsidRPr="00D045B3">
                    <w:rPr>
                      <w:rFonts w:eastAsia="Times New Roman"/>
                      <w:lang w:val="hu-HU"/>
                    </w:rPr>
                    <w:t xml:space="preserve">: </w:t>
                  </w:r>
                  <w:r w:rsidR="006719B7" w:rsidRPr="00D045B3">
                    <w:rPr>
                      <w:rFonts w:eastAsia="Times New Roman"/>
                      <w:lang w:val="hu-HU"/>
                    </w:rPr>
                    <w:t>nagydózisú kemoterápia,</w:t>
                  </w:r>
                  <w:r w:rsidR="004B2274" w:rsidRPr="00D045B3">
                    <w:rPr>
                      <w:rFonts w:eastAsia="Times New Roman"/>
                      <w:lang w:val="hu-HU"/>
                    </w:rPr>
                    <w:t xml:space="preserve"> MTX 1 g/m</w:t>
                  </w:r>
                  <w:r w:rsidR="004B2274" w:rsidRPr="00D045B3">
                    <w:rPr>
                      <w:rFonts w:eastAsia="Times New Roman"/>
                      <w:vertAlign w:val="superscript"/>
                      <w:lang w:val="hu-HU"/>
                    </w:rPr>
                    <w:t>2 </w:t>
                  </w:r>
                  <w:r w:rsidR="00A11B30" w:rsidRPr="00D045B3">
                    <w:rPr>
                      <w:rFonts w:eastAsia="Times New Roman"/>
                      <w:lang w:val="hu-HU"/>
                    </w:rPr>
                    <w:t>iv.</w:t>
                  </w:r>
                  <w:r w:rsidR="004B2274" w:rsidRPr="00D045B3">
                    <w:rPr>
                      <w:rFonts w:eastAsia="Times New Roman"/>
                      <w:lang w:val="hu-HU"/>
                    </w:rPr>
                    <w:t xml:space="preserve"> (24</w:t>
                  </w:r>
                  <w:r w:rsidR="00CF2B50" w:rsidRPr="00D045B3">
                    <w:rPr>
                      <w:rFonts w:eastAsia="Times New Roman"/>
                      <w:lang w:val="hu-HU"/>
                    </w:rPr>
                    <w:t> órás</w:t>
                  </w:r>
                  <w:r w:rsidR="004B2274" w:rsidRPr="00D045B3">
                    <w:rPr>
                      <w:rFonts w:eastAsia="Times New Roman"/>
                      <w:lang w:val="hu-HU"/>
                    </w:rPr>
                    <w:t xml:space="preserve">), </w:t>
                  </w:r>
                  <w:r w:rsidR="006719B7" w:rsidRPr="00D045B3">
                    <w:rPr>
                      <w:rFonts w:eastAsia="Times New Roman"/>
                      <w:lang w:val="hu-HU"/>
                    </w:rPr>
                    <w:t>az</w:t>
                  </w:r>
                  <w:r w:rsidR="004B2274" w:rsidRPr="00D045B3">
                    <w:rPr>
                      <w:rFonts w:eastAsia="Times New Roman"/>
                      <w:lang w:val="hu-HU"/>
                    </w:rPr>
                    <w:t> 1</w:t>
                  </w:r>
                  <w:r w:rsidR="006719B7" w:rsidRPr="00D045B3">
                    <w:rPr>
                      <w:rFonts w:eastAsia="Times New Roman"/>
                      <w:lang w:val="hu-HU"/>
                    </w:rPr>
                    <w:t xml:space="preserve">. napon és </w:t>
                  </w:r>
                  <w:r w:rsidR="004B2274" w:rsidRPr="00D045B3">
                    <w:rPr>
                      <w:rFonts w:eastAsia="Times New Roman"/>
                      <w:lang w:val="hu-HU"/>
                    </w:rPr>
                    <w:t>Ara</w:t>
                  </w:r>
                  <w:r w:rsidR="006719B7" w:rsidRPr="00D045B3">
                    <w:rPr>
                      <w:rFonts w:eastAsia="Times New Roman"/>
                      <w:lang w:val="hu-HU"/>
                    </w:rPr>
                    <w:noBreakHyphen/>
                  </w:r>
                  <w:r w:rsidR="004B2274" w:rsidRPr="00D045B3">
                    <w:rPr>
                      <w:rFonts w:eastAsia="Times New Roman"/>
                      <w:lang w:val="hu-HU"/>
                    </w:rPr>
                    <w:t>C 2 g/m</w:t>
                  </w:r>
                  <w:r w:rsidR="004B2274" w:rsidRPr="00D045B3">
                    <w:rPr>
                      <w:rFonts w:eastAsia="Times New Roman"/>
                      <w:vertAlign w:val="superscript"/>
                      <w:lang w:val="hu-HU"/>
                    </w:rPr>
                    <w:t>2 </w:t>
                  </w:r>
                  <w:r w:rsidR="00A11B30" w:rsidRPr="00D045B3">
                    <w:rPr>
                      <w:rFonts w:eastAsia="Times New Roman"/>
                      <w:lang w:val="hu-HU"/>
                    </w:rPr>
                    <w:t>iv.</w:t>
                  </w:r>
                  <w:r w:rsidR="004B2274" w:rsidRPr="00D045B3">
                    <w:rPr>
                      <w:rFonts w:eastAsia="Times New Roman"/>
                      <w:lang w:val="hu-HU"/>
                    </w:rPr>
                    <w:t xml:space="preserve"> (12</w:t>
                  </w:r>
                  <w:r w:rsidR="00CF2B50" w:rsidRPr="00D045B3">
                    <w:rPr>
                      <w:rFonts w:eastAsia="Times New Roman"/>
                      <w:lang w:val="hu-HU"/>
                    </w:rPr>
                    <w:t> órá</w:t>
                  </w:r>
                  <w:r w:rsidR="006719B7" w:rsidRPr="00D045B3">
                    <w:rPr>
                      <w:rFonts w:eastAsia="Times New Roman"/>
                      <w:lang w:val="hu-HU"/>
                    </w:rPr>
                    <w:t>nként</w:t>
                  </w:r>
                  <w:r w:rsidR="004B2274" w:rsidRPr="00D045B3">
                    <w:rPr>
                      <w:rFonts w:eastAsia="Times New Roman"/>
                      <w:lang w:val="hu-HU"/>
                    </w:rPr>
                    <w:t xml:space="preserve">), </w:t>
                  </w:r>
                  <w:r w:rsidR="006719B7" w:rsidRPr="00D045B3">
                    <w:rPr>
                      <w:rFonts w:eastAsia="Times New Roman"/>
                      <w:lang w:val="hu-HU"/>
                    </w:rPr>
                    <w:t>a</w:t>
                  </w:r>
                  <w:r w:rsidR="004B2274" w:rsidRPr="00D045B3">
                    <w:rPr>
                      <w:rFonts w:eastAsia="Times New Roman"/>
                      <w:lang w:val="hu-HU"/>
                    </w:rPr>
                    <w:t> 2</w:t>
                  </w:r>
                  <w:r w:rsidR="006719B7" w:rsidRPr="00D045B3">
                    <w:rPr>
                      <w:rFonts w:eastAsia="Times New Roman"/>
                      <w:lang w:val="hu-HU"/>
                    </w:rPr>
                    <w:noBreakHyphen/>
                  </w:r>
                  <w:r w:rsidR="004B2274" w:rsidRPr="00D045B3">
                    <w:rPr>
                      <w:rFonts w:eastAsia="Times New Roman"/>
                      <w:lang w:val="hu-HU"/>
                    </w:rPr>
                    <w:t>3</w:t>
                  </w:r>
                  <w:r w:rsidR="006719B7" w:rsidRPr="00D045B3">
                    <w:rPr>
                      <w:rFonts w:eastAsia="Times New Roman"/>
                      <w:lang w:val="hu-HU"/>
                    </w:rPr>
                    <w:t>. napokon</w:t>
                  </w:r>
                  <w:r w:rsidR="004B2274" w:rsidRPr="00D045B3">
                    <w:rPr>
                      <w:rFonts w:eastAsia="Times New Roman"/>
                      <w:lang w:val="hu-HU"/>
                    </w:rPr>
                    <w:t>, 4 c</w:t>
                  </w:r>
                  <w:r w:rsidR="006719B7" w:rsidRPr="00D045B3">
                    <w:rPr>
                      <w:rFonts w:eastAsia="Times New Roman"/>
                      <w:lang w:val="hu-HU"/>
                    </w:rPr>
                    <w:t>ikluson keresztül</w:t>
                  </w:r>
                </w:p>
              </w:tc>
            </w:tr>
            <w:tr w:rsidR="004B2274" w:rsidRPr="00D045B3" w14:paraId="1E927379" w14:textId="77777777" w:rsidTr="008A6837">
              <w:trPr>
                <w:trHeight w:hRule="exact" w:val="602"/>
              </w:trPr>
              <w:tc>
                <w:tcPr>
                  <w:tcW w:w="2133" w:type="dxa"/>
                  <w:tcBorders>
                    <w:right w:val="nil"/>
                  </w:tcBorders>
                  <w:shd w:val="clear" w:color="auto" w:fill="auto"/>
                  <w:tcMar>
                    <w:top w:w="57" w:type="dxa"/>
                    <w:bottom w:w="57" w:type="dxa"/>
                  </w:tcMar>
                </w:tcPr>
                <w:p w14:paraId="1E927377" w14:textId="77777777" w:rsidR="004B2274" w:rsidRPr="00D045B3" w:rsidRDefault="006719B7" w:rsidP="004B2274">
                  <w:pPr>
                    <w:spacing w:line="240" w:lineRule="auto"/>
                    <w:ind w:right="-20"/>
                    <w:rPr>
                      <w:rFonts w:eastAsia="Times New Roman"/>
                      <w:lang w:val="hu-HU"/>
                    </w:rPr>
                  </w:pPr>
                  <w:r w:rsidRPr="00D045B3">
                    <w:rPr>
                      <w:rFonts w:eastAsia="Times New Roman"/>
                      <w:lang w:val="hu-HU"/>
                    </w:rPr>
                    <w:t>Fenntartó kezelés</w:t>
                  </w:r>
                </w:p>
              </w:tc>
              <w:tc>
                <w:tcPr>
                  <w:tcW w:w="6798" w:type="dxa"/>
                  <w:tcBorders>
                    <w:left w:val="nil"/>
                  </w:tcBorders>
                  <w:shd w:val="clear" w:color="auto" w:fill="auto"/>
                  <w:tcMar>
                    <w:top w:w="57" w:type="dxa"/>
                    <w:bottom w:w="57" w:type="dxa"/>
                  </w:tcMar>
                </w:tcPr>
                <w:p w14:paraId="1E927378" w14:textId="77777777" w:rsidR="004B2274" w:rsidRPr="00D045B3" w:rsidRDefault="004B2274" w:rsidP="006719B7">
                  <w:pPr>
                    <w:spacing w:line="240" w:lineRule="auto"/>
                    <w:ind w:right="-20"/>
                    <w:rPr>
                      <w:rFonts w:eastAsia="Times New Roman"/>
                      <w:lang w:val="hu-HU"/>
                    </w:rPr>
                  </w:pPr>
                  <w:r w:rsidRPr="00D045B3">
                    <w:rPr>
                      <w:rFonts w:eastAsia="Times New Roman"/>
                      <w:lang w:val="hu-HU"/>
                    </w:rPr>
                    <w:t>VCR 1.3 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w:t>
                  </w:r>
                  <w:r w:rsidR="006719B7" w:rsidRPr="00D045B3">
                    <w:rPr>
                      <w:rFonts w:eastAsia="Times New Roman"/>
                      <w:lang w:val="hu-HU"/>
                    </w:rPr>
                    <w:t>az</w:t>
                  </w:r>
                  <w:r w:rsidRPr="00D045B3">
                    <w:rPr>
                      <w:rFonts w:eastAsia="Times New Roman"/>
                      <w:lang w:val="hu-HU"/>
                    </w:rPr>
                    <w:t> 1</w:t>
                  </w:r>
                  <w:r w:rsidR="006719B7" w:rsidRPr="00D045B3">
                    <w:rPr>
                      <w:rFonts w:eastAsia="Times New Roman"/>
                      <w:lang w:val="hu-HU"/>
                    </w:rPr>
                    <w:t>. napon</w:t>
                  </w:r>
                  <w:r w:rsidRPr="00D045B3">
                    <w:rPr>
                      <w:rFonts w:eastAsia="Times New Roman"/>
                      <w:lang w:val="hu-HU"/>
                    </w:rPr>
                    <w:t>; predni</w:t>
                  </w:r>
                  <w:r w:rsidR="006719B7" w:rsidRPr="00D045B3">
                    <w:rPr>
                      <w:rFonts w:eastAsia="Times New Roman"/>
                      <w:lang w:val="hu-HU"/>
                    </w:rPr>
                    <w:t>zolon</w:t>
                  </w:r>
                  <w:r w:rsidRPr="00D045B3">
                    <w:rPr>
                      <w:rFonts w:eastAsia="Times New Roman"/>
                      <w:lang w:val="hu-HU"/>
                    </w:rPr>
                    <w:t xml:space="preserve"> 60 mg/m</w:t>
                  </w:r>
                  <w:r w:rsidRPr="00D045B3">
                    <w:rPr>
                      <w:rFonts w:eastAsia="Times New Roman"/>
                      <w:vertAlign w:val="superscript"/>
                      <w:lang w:val="hu-HU"/>
                    </w:rPr>
                    <w:t>2 </w:t>
                  </w:r>
                  <w:r w:rsidR="006719B7" w:rsidRPr="00D045B3">
                    <w:rPr>
                      <w:rFonts w:eastAsia="Times New Roman"/>
                      <w:lang w:val="hu-HU"/>
                    </w:rPr>
                    <w:t>per os</w:t>
                  </w:r>
                  <w:r w:rsidRPr="00D045B3">
                    <w:rPr>
                      <w:rFonts w:eastAsia="Times New Roman"/>
                      <w:lang w:val="hu-HU"/>
                    </w:rPr>
                    <w:t xml:space="preserve">, </w:t>
                  </w:r>
                  <w:r w:rsidR="006719B7" w:rsidRPr="00D045B3">
                    <w:rPr>
                      <w:rFonts w:eastAsia="Times New Roman"/>
                      <w:lang w:val="hu-HU"/>
                    </w:rPr>
                    <w:t>az</w:t>
                  </w:r>
                  <w:r w:rsidRPr="00D045B3">
                    <w:rPr>
                      <w:rFonts w:eastAsia="Times New Roman"/>
                      <w:lang w:val="hu-HU"/>
                    </w:rPr>
                    <w:t> 1</w:t>
                  </w:r>
                  <w:r w:rsidR="006719B7" w:rsidRPr="00D045B3">
                    <w:rPr>
                      <w:rFonts w:eastAsia="Times New Roman"/>
                      <w:lang w:val="hu-HU"/>
                    </w:rPr>
                    <w:noBreakHyphen/>
                  </w:r>
                  <w:r w:rsidRPr="00D045B3">
                    <w:rPr>
                      <w:rFonts w:eastAsia="Times New Roman"/>
                      <w:lang w:val="hu-HU"/>
                    </w:rPr>
                    <w:t>5</w:t>
                  </w:r>
                  <w:r w:rsidR="006719B7" w:rsidRPr="00D045B3">
                    <w:rPr>
                      <w:rFonts w:eastAsia="Times New Roman"/>
                      <w:lang w:val="hu-HU"/>
                    </w:rPr>
                    <w:t xml:space="preserve">. </w:t>
                  </w:r>
                  <w:r w:rsidR="00B119C9" w:rsidRPr="00D045B3">
                    <w:rPr>
                      <w:rFonts w:eastAsia="Times New Roman"/>
                      <w:lang w:val="hu-HU"/>
                    </w:rPr>
                    <w:t>N</w:t>
                  </w:r>
                  <w:r w:rsidR="006719B7" w:rsidRPr="00D045B3">
                    <w:rPr>
                      <w:rFonts w:eastAsia="Times New Roman"/>
                      <w:lang w:val="hu-HU"/>
                    </w:rPr>
                    <w:t>apokon</w:t>
                  </w:r>
                </w:p>
              </w:tc>
            </w:tr>
            <w:tr w:rsidR="004B2274" w:rsidRPr="00D045B3" w14:paraId="1E92737B" w14:textId="77777777" w:rsidTr="004B2274">
              <w:trPr>
                <w:trHeight w:hRule="exact" w:val="340"/>
              </w:trPr>
              <w:tc>
                <w:tcPr>
                  <w:tcW w:w="8931" w:type="dxa"/>
                  <w:gridSpan w:val="2"/>
                  <w:shd w:val="clear" w:color="auto" w:fill="auto"/>
                  <w:tcMar>
                    <w:top w:w="57" w:type="dxa"/>
                    <w:bottom w:w="57" w:type="dxa"/>
                  </w:tcMar>
                </w:tcPr>
                <w:p w14:paraId="1E92737A" w14:textId="77777777" w:rsidR="004B2274" w:rsidRPr="00D045B3" w:rsidRDefault="004B2274" w:rsidP="004B2274">
                  <w:pPr>
                    <w:keepNext/>
                    <w:spacing w:line="240" w:lineRule="auto"/>
                    <w:ind w:right="-23"/>
                    <w:rPr>
                      <w:rFonts w:eastAsia="Times New Roman"/>
                      <w:lang w:val="hu-HU"/>
                    </w:rPr>
                  </w:pPr>
                  <w:r w:rsidRPr="00D045B3">
                    <w:rPr>
                      <w:rFonts w:eastAsia="Times New Roman"/>
                      <w:b/>
                      <w:bCs/>
                      <w:lang w:val="hu-HU"/>
                    </w:rPr>
                    <w:t>AUS01</w:t>
                  </w:r>
                  <w:r w:rsidR="006719B7" w:rsidRPr="00D045B3">
                    <w:rPr>
                      <w:rFonts w:eastAsia="Times New Roman"/>
                      <w:b/>
                      <w:bCs/>
                      <w:lang w:val="hu-HU"/>
                    </w:rPr>
                    <w:t xml:space="preserve"> vizsgálat</w:t>
                  </w:r>
                </w:p>
              </w:tc>
            </w:tr>
            <w:tr w:rsidR="004B2274" w:rsidRPr="00D045B3" w14:paraId="1E92737E" w14:textId="77777777" w:rsidTr="008A6837">
              <w:trPr>
                <w:trHeight w:hRule="exact" w:val="1818"/>
              </w:trPr>
              <w:tc>
                <w:tcPr>
                  <w:tcW w:w="2133" w:type="dxa"/>
                  <w:tcBorders>
                    <w:right w:val="nil"/>
                  </w:tcBorders>
                  <w:shd w:val="clear" w:color="auto" w:fill="auto"/>
                  <w:tcMar>
                    <w:top w:w="57" w:type="dxa"/>
                    <w:bottom w:w="57" w:type="dxa"/>
                  </w:tcMar>
                </w:tcPr>
                <w:p w14:paraId="1E92737C" w14:textId="77777777" w:rsidR="004B2274" w:rsidRPr="00D045B3" w:rsidRDefault="004B2274" w:rsidP="006719B7">
                  <w:pPr>
                    <w:spacing w:line="240" w:lineRule="auto"/>
                    <w:ind w:right="-20"/>
                    <w:rPr>
                      <w:rFonts w:eastAsia="Times New Roman"/>
                      <w:lang w:val="hu-HU"/>
                    </w:rPr>
                  </w:pPr>
                  <w:r w:rsidRPr="00D045B3">
                    <w:rPr>
                      <w:rFonts w:eastAsia="Times New Roman"/>
                      <w:lang w:val="hu-HU"/>
                    </w:rPr>
                    <w:t>Indu</w:t>
                  </w:r>
                  <w:r w:rsidR="006719B7" w:rsidRPr="00D045B3">
                    <w:rPr>
                      <w:rFonts w:eastAsia="Times New Roman"/>
                      <w:lang w:val="hu-HU"/>
                    </w:rPr>
                    <w:t>kciós</w:t>
                  </w:r>
                  <w:r w:rsidR="006719B7" w:rsidRPr="00D045B3">
                    <w:rPr>
                      <w:rFonts w:eastAsia="Times New Roman"/>
                      <w:lang w:val="hu-HU"/>
                    </w:rPr>
                    <w:noBreakHyphen/>
                  </w:r>
                  <w:r w:rsidRPr="00D045B3">
                    <w:rPr>
                      <w:rFonts w:eastAsia="Times New Roman"/>
                      <w:lang w:val="hu-HU"/>
                    </w:rPr>
                    <w:t xml:space="preserve"> </w:t>
                  </w:r>
                  <w:r w:rsidR="006719B7" w:rsidRPr="00D045B3">
                    <w:rPr>
                      <w:rFonts w:eastAsia="Times New Roman"/>
                      <w:lang w:val="hu-HU"/>
                    </w:rPr>
                    <w:t>konszolidációs terápia</w:t>
                  </w:r>
                </w:p>
              </w:tc>
              <w:tc>
                <w:tcPr>
                  <w:tcW w:w="6798" w:type="dxa"/>
                  <w:tcBorders>
                    <w:left w:val="nil"/>
                  </w:tcBorders>
                  <w:shd w:val="clear" w:color="auto" w:fill="auto"/>
                  <w:tcMar>
                    <w:top w:w="57" w:type="dxa"/>
                    <w:bottom w:w="57" w:type="dxa"/>
                  </w:tcMar>
                </w:tcPr>
                <w:p w14:paraId="1E92737D" w14:textId="77777777" w:rsidR="004B2274" w:rsidRPr="00D045B3" w:rsidRDefault="004B2274" w:rsidP="00E24764">
                  <w:pPr>
                    <w:spacing w:line="240" w:lineRule="auto"/>
                    <w:ind w:left="49" w:hanging="49"/>
                    <w:rPr>
                      <w:rFonts w:eastAsia="Times New Roman"/>
                      <w:lang w:val="hu-HU"/>
                    </w:rPr>
                  </w:pPr>
                  <w:r w:rsidRPr="00D045B3">
                    <w:rPr>
                      <w:rFonts w:eastAsia="Times New Roman"/>
                      <w:lang w:val="hu-HU"/>
                    </w:rPr>
                    <w:t>Hyper</w:t>
                  </w:r>
                  <w:r w:rsidR="006719B7" w:rsidRPr="00D045B3">
                    <w:rPr>
                      <w:rFonts w:eastAsia="Times New Roman"/>
                      <w:lang w:val="hu-HU"/>
                    </w:rPr>
                    <w:noBreakHyphen/>
                  </w:r>
                  <w:r w:rsidRPr="00D045B3">
                    <w:rPr>
                      <w:rFonts w:eastAsia="Times New Roman"/>
                      <w:lang w:val="hu-HU"/>
                    </w:rPr>
                    <w:t xml:space="preserve">CVAD </w:t>
                  </w:r>
                  <w:r w:rsidR="006D25A4" w:rsidRPr="00D045B3">
                    <w:rPr>
                      <w:rFonts w:eastAsia="Times New Roman"/>
                      <w:lang w:val="hu-HU"/>
                    </w:rPr>
                    <w:t>rezsim</w:t>
                  </w:r>
                  <w:r w:rsidRPr="00D045B3">
                    <w:rPr>
                      <w:rFonts w:eastAsia="Times New Roman"/>
                      <w:lang w:val="hu-HU"/>
                    </w:rPr>
                    <w:t>: CP 300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(3</w:t>
                  </w:r>
                  <w:r w:rsidR="00CF2B50" w:rsidRPr="00D045B3">
                    <w:rPr>
                      <w:rFonts w:eastAsia="Times New Roman"/>
                      <w:lang w:val="hu-HU"/>
                    </w:rPr>
                    <w:t> órás</w:t>
                  </w:r>
                  <w:r w:rsidRPr="00D045B3">
                    <w:rPr>
                      <w:rFonts w:eastAsia="Times New Roman"/>
                      <w:lang w:val="hu-HU"/>
                    </w:rPr>
                    <w:t>, 12</w:t>
                  </w:r>
                  <w:r w:rsidR="00CF2B50" w:rsidRPr="00D045B3">
                    <w:rPr>
                      <w:rFonts w:eastAsia="Times New Roman"/>
                      <w:lang w:val="hu-HU"/>
                    </w:rPr>
                    <w:t> órá</w:t>
                  </w:r>
                  <w:r w:rsidR="0034530F" w:rsidRPr="00D045B3">
                    <w:rPr>
                      <w:rFonts w:eastAsia="Times New Roman"/>
                      <w:lang w:val="hu-HU"/>
                    </w:rPr>
                    <w:t>nként</w:t>
                  </w:r>
                  <w:r w:rsidRPr="00D045B3">
                    <w:rPr>
                      <w:rFonts w:eastAsia="Times New Roman"/>
                      <w:lang w:val="hu-HU"/>
                    </w:rPr>
                    <w:t xml:space="preserve">), </w:t>
                  </w:r>
                  <w:r w:rsidR="006D25A4" w:rsidRPr="00D045B3">
                    <w:rPr>
                      <w:rFonts w:eastAsia="Times New Roman"/>
                      <w:lang w:val="hu-HU"/>
                    </w:rPr>
                    <w:t>az</w:t>
                  </w:r>
                  <w:r w:rsidRPr="00D045B3">
                    <w:rPr>
                      <w:rFonts w:eastAsia="Times New Roman"/>
                      <w:lang w:val="hu-HU"/>
                    </w:rPr>
                    <w:t> 1</w:t>
                  </w:r>
                  <w:r w:rsidR="006D25A4" w:rsidRPr="00D045B3">
                    <w:rPr>
                      <w:rFonts w:eastAsia="Times New Roman"/>
                      <w:lang w:val="hu-HU"/>
                    </w:rPr>
                    <w:noBreakHyphen/>
                  </w:r>
                  <w:r w:rsidRPr="00D045B3">
                    <w:rPr>
                      <w:rFonts w:eastAsia="Times New Roman"/>
                      <w:lang w:val="hu-HU"/>
                    </w:rPr>
                    <w:t>3</w:t>
                  </w:r>
                  <w:r w:rsidR="006D25A4" w:rsidRPr="00D045B3">
                    <w:rPr>
                      <w:rFonts w:eastAsia="Times New Roman"/>
                      <w:lang w:val="hu-HU"/>
                    </w:rPr>
                    <w:t>. napokon</w:t>
                  </w:r>
                  <w:r w:rsidRPr="00D045B3">
                    <w:rPr>
                      <w:rFonts w:eastAsia="Times New Roman"/>
                      <w:lang w:val="hu-HU"/>
                    </w:rPr>
                    <w:t>; vin</w:t>
                  </w:r>
                  <w:r w:rsidR="006D25A4" w:rsidRPr="00D045B3">
                    <w:rPr>
                      <w:rFonts w:eastAsia="Times New Roman"/>
                      <w:lang w:val="hu-HU"/>
                    </w:rPr>
                    <w:t>krisztin</w:t>
                  </w:r>
                  <w:r w:rsidRPr="00D045B3">
                    <w:rPr>
                      <w:rFonts w:eastAsia="Times New Roman"/>
                      <w:lang w:val="hu-HU"/>
                    </w:rPr>
                    <w:t xml:space="preserve"> 2 mg </w:t>
                  </w:r>
                  <w:r w:rsidR="00A11B30" w:rsidRPr="00D045B3">
                    <w:rPr>
                      <w:rFonts w:eastAsia="Times New Roman"/>
                      <w:lang w:val="hu-HU"/>
                    </w:rPr>
                    <w:t>iv.</w:t>
                  </w:r>
                  <w:r w:rsidRPr="00D045B3">
                    <w:rPr>
                      <w:rFonts w:eastAsia="Times New Roman"/>
                      <w:lang w:val="hu-HU"/>
                    </w:rPr>
                    <w:t xml:space="preserve">, </w:t>
                  </w:r>
                  <w:r w:rsidR="006D25A4" w:rsidRPr="00D045B3">
                    <w:rPr>
                      <w:rFonts w:eastAsia="Times New Roman"/>
                      <w:lang w:val="hu-HU"/>
                    </w:rPr>
                    <w:t>a</w:t>
                  </w:r>
                  <w:r w:rsidRPr="00D045B3">
                    <w:rPr>
                      <w:rFonts w:eastAsia="Times New Roman"/>
                      <w:lang w:val="hu-HU"/>
                    </w:rPr>
                    <w:t> 4</w:t>
                  </w:r>
                  <w:r w:rsidR="006D25A4" w:rsidRPr="00D045B3">
                    <w:rPr>
                      <w:rFonts w:eastAsia="Times New Roman"/>
                      <w:lang w:val="hu-HU"/>
                    </w:rPr>
                    <w:t>. és a</w:t>
                  </w:r>
                  <w:r w:rsidRPr="00D045B3">
                    <w:rPr>
                      <w:rFonts w:eastAsia="Times New Roman"/>
                      <w:lang w:val="hu-HU"/>
                    </w:rPr>
                    <w:t xml:space="preserve"> 11</w:t>
                  </w:r>
                  <w:r w:rsidR="006D25A4" w:rsidRPr="00D045B3">
                    <w:rPr>
                      <w:rFonts w:eastAsia="Times New Roman"/>
                      <w:lang w:val="hu-HU"/>
                    </w:rPr>
                    <w:t>. napon</w:t>
                  </w:r>
                  <w:r w:rsidRPr="00D045B3">
                    <w:rPr>
                      <w:rFonts w:eastAsia="Times New Roman"/>
                      <w:lang w:val="hu-HU"/>
                    </w:rPr>
                    <w:t>; doxorubicin 50 mg/m</w:t>
                  </w:r>
                  <w:r w:rsidRPr="00D045B3">
                    <w:rPr>
                      <w:rFonts w:eastAsia="Times New Roman"/>
                      <w:vertAlign w:val="superscript"/>
                      <w:lang w:val="hu-HU"/>
                    </w:rPr>
                    <w:t>2 </w:t>
                  </w:r>
                  <w:r w:rsidR="00A11B30" w:rsidRPr="00D045B3">
                    <w:rPr>
                      <w:rFonts w:eastAsia="Times New Roman"/>
                      <w:lang w:val="hu-HU"/>
                    </w:rPr>
                    <w:t>iv.</w:t>
                  </w:r>
                  <w:r w:rsidRPr="00D045B3">
                    <w:rPr>
                      <w:rFonts w:eastAsia="Times New Roman"/>
                      <w:lang w:val="hu-HU"/>
                    </w:rPr>
                    <w:t xml:space="preserve"> (24</w:t>
                  </w:r>
                  <w:r w:rsidR="00CF2B50" w:rsidRPr="00D045B3">
                    <w:rPr>
                      <w:rFonts w:eastAsia="Times New Roman"/>
                      <w:lang w:val="hu-HU"/>
                    </w:rPr>
                    <w:t> órás</w:t>
                  </w:r>
                  <w:r w:rsidRPr="00D045B3">
                    <w:rPr>
                      <w:rFonts w:eastAsia="Times New Roman"/>
                      <w:lang w:val="hu-HU"/>
                    </w:rPr>
                    <w:t xml:space="preserve">), </w:t>
                  </w:r>
                  <w:r w:rsidR="006D25A4" w:rsidRPr="00D045B3">
                    <w:rPr>
                      <w:rFonts w:eastAsia="Times New Roman"/>
                      <w:lang w:val="hu-HU"/>
                    </w:rPr>
                    <w:t>a</w:t>
                  </w:r>
                  <w:r w:rsidRPr="00D045B3">
                    <w:rPr>
                      <w:rFonts w:eastAsia="Times New Roman"/>
                      <w:lang w:val="hu-HU"/>
                    </w:rPr>
                    <w:t> 4</w:t>
                  </w:r>
                  <w:r w:rsidR="006D25A4" w:rsidRPr="00D045B3">
                    <w:rPr>
                      <w:rFonts w:eastAsia="Times New Roman"/>
                      <w:lang w:val="hu-HU"/>
                    </w:rPr>
                    <w:t>. napon</w:t>
                  </w:r>
                  <w:r w:rsidRPr="00D045B3">
                    <w:rPr>
                      <w:rFonts w:eastAsia="Times New Roman"/>
                      <w:lang w:val="hu-HU"/>
                    </w:rPr>
                    <w:t>; DEX 40 mg/</w:t>
                  </w:r>
                  <w:r w:rsidR="006D25A4" w:rsidRPr="00D045B3">
                    <w:rPr>
                      <w:rFonts w:eastAsia="Times New Roman"/>
                      <w:lang w:val="hu-HU"/>
                    </w:rPr>
                    <w:t>nap</w:t>
                  </w:r>
                  <w:r w:rsidRPr="00D045B3">
                    <w:rPr>
                      <w:rFonts w:eastAsia="Times New Roman"/>
                      <w:lang w:val="hu-HU"/>
                    </w:rPr>
                    <w:t xml:space="preserve"> </w:t>
                  </w:r>
                  <w:r w:rsidR="006D25A4" w:rsidRPr="00D045B3">
                    <w:rPr>
                      <w:rFonts w:eastAsia="Times New Roman"/>
                      <w:lang w:val="hu-HU"/>
                    </w:rPr>
                    <w:t>az</w:t>
                  </w:r>
                  <w:r w:rsidRPr="00D045B3">
                    <w:rPr>
                      <w:rFonts w:eastAsia="Times New Roman"/>
                      <w:lang w:val="hu-HU"/>
                    </w:rPr>
                    <w:t> 1</w:t>
                  </w:r>
                  <w:r w:rsidR="006D25A4" w:rsidRPr="00D045B3">
                    <w:rPr>
                      <w:rFonts w:eastAsia="Times New Roman"/>
                      <w:lang w:val="hu-HU"/>
                    </w:rPr>
                    <w:noBreakHyphen/>
                  </w:r>
                  <w:r w:rsidRPr="00D045B3">
                    <w:rPr>
                      <w:rFonts w:eastAsia="Times New Roman"/>
                      <w:lang w:val="hu-HU"/>
                    </w:rPr>
                    <w:t>4</w:t>
                  </w:r>
                  <w:r w:rsidR="006D25A4" w:rsidRPr="00D045B3">
                    <w:rPr>
                      <w:rFonts w:eastAsia="Times New Roman"/>
                      <w:lang w:val="hu-HU"/>
                    </w:rPr>
                    <w:t xml:space="preserve">. és a </w:t>
                  </w:r>
                  <w:r w:rsidRPr="00D045B3">
                    <w:rPr>
                      <w:rFonts w:eastAsia="Times New Roman"/>
                      <w:lang w:val="hu-HU"/>
                    </w:rPr>
                    <w:t>11</w:t>
                  </w:r>
                  <w:r w:rsidR="006D25A4" w:rsidRPr="00D045B3">
                    <w:rPr>
                      <w:rFonts w:eastAsia="Times New Roman"/>
                      <w:lang w:val="hu-HU"/>
                    </w:rPr>
                    <w:noBreakHyphen/>
                  </w:r>
                  <w:r w:rsidRPr="00D045B3">
                    <w:rPr>
                      <w:rFonts w:eastAsia="Times New Roman"/>
                      <w:lang w:val="hu-HU"/>
                    </w:rPr>
                    <w:t>14</w:t>
                  </w:r>
                  <w:r w:rsidR="006D25A4" w:rsidRPr="00D045B3">
                    <w:rPr>
                      <w:rFonts w:eastAsia="Times New Roman"/>
                      <w:lang w:val="hu-HU"/>
                    </w:rPr>
                    <w:t>. napokon</w:t>
                  </w:r>
                  <w:r w:rsidRPr="00D045B3">
                    <w:rPr>
                      <w:rFonts w:eastAsia="Times New Roman"/>
                      <w:lang w:val="hu-HU"/>
                    </w:rPr>
                    <w:t xml:space="preserve">, </w:t>
                  </w:r>
                  <w:r w:rsidR="006D25A4" w:rsidRPr="00D045B3">
                    <w:rPr>
                      <w:rFonts w:eastAsia="Times New Roman"/>
                      <w:lang w:val="hu-HU"/>
                    </w:rPr>
                    <w:t>váltva</w:t>
                  </w:r>
                  <w:r w:rsidRPr="00D045B3">
                    <w:rPr>
                      <w:rFonts w:eastAsia="Times New Roman"/>
                      <w:lang w:val="hu-HU"/>
                    </w:rPr>
                    <w:t xml:space="preserve"> </w:t>
                  </w:r>
                  <w:r w:rsidR="00E24764" w:rsidRPr="00D045B3">
                    <w:rPr>
                      <w:rFonts w:eastAsia="Times New Roman"/>
                      <w:lang w:val="hu-HU"/>
                    </w:rPr>
                    <w:t xml:space="preserve">az 1. napon adott </w:t>
                  </w:r>
                  <w:r w:rsidRPr="00D045B3">
                    <w:rPr>
                      <w:rFonts w:eastAsia="Times New Roman"/>
                      <w:lang w:val="hu-HU"/>
                    </w:rPr>
                    <w:t>MTX 1 g/m</w:t>
                  </w:r>
                  <w:r w:rsidRPr="00D045B3">
                    <w:rPr>
                      <w:rFonts w:eastAsia="Times New Roman"/>
                      <w:vertAlign w:val="superscript"/>
                      <w:lang w:val="hu-HU"/>
                    </w:rPr>
                    <w:t>2</w:t>
                  </w:r>
                  <w:r w:rsidRPr="00D045B3">
                    <w:rPr>
                      <w:rFonts w:eastAsia="Times New Roman"/>
                      <w:lang w:val="hu-HU"/>
                    </w:rPr>
                    <w:t xml:space="preserve"> </w:t>
                  </w:r>
                  <w:r w:rsidR="00A11B30" w:rsidRPr="00D045B3">
                    <w:rPr>
                      <w:rFonts w:eastAsia="Times New Roman"/>
                      <w:lang w:val="hu-HU"/>
                    </w:rPr>
                    <w:t>iv.</w:t>
                  </w:r>
                  <w:r w:rsidRPr="00D045B3">
                    <w:rPr>
                      <w:rFonts w:eastAsia="Times New Roman"/>
                      <w:lang w:val="hu-HU"/>
                    </w:rPr>
                    <w:t xml:space="preserve"> (24</w:t>
                  </w:r>
                  <w:r w:rsidR="00CF2B50" w:rsidRPr="00D045B3">
                    <w:rPr>
                      <w:rFonts w:eastAsia="Times New Roman"/>
                      <w:lang w:val="hu-HU"/>
                    </w:rPr>
                    <w:t> órás</w:t>
                  </w:r>
                  <w:r w:rsidRPr="00D045B3">
                    <w:rPr>
                      <w:rFonts w:eastAsia="Times New Roman"/>
                      <w:lang w:val="hu-HU"/>
                    </w:rPr>
                    <w:t xml:space="preserve">) </w:t>
                  </w:r>
                  <w:r w:rsidR="006D25A4" w:rsidRPr="00D045B3">
                    <w:rPr>
                      <w:rFonts w:eastAsia="Times New Roman"/>
                      <w:lang w:val="hu-HU"/>
                    </w:rPr>
                    <w:t>kezeléssel</w:t>
                  </w:r>
                  <w:r w:rsidRPr="00D045B3">
                    <w:rPr>
                      <w:rFonts w:eastAsia="Times New Roman"/>
                      <w:lang w:val="hu-HU"/>
                    </w:rPr>
                    <w:t>, Ara</w:t>
                  </w:r>
                  <w:r w:rsidR="006D25A4" w:rsidRPr="00D045B3">
                    <w:rPr>
                      <w:rFonts w:eastAsia="Times New Roman"/>
                      <w:lang w:val="hu-HU"/>
                    </w:rPr>
                    <w:noBreakHyphen/>
                  </w:r>
                  <w:r w:rsidRPr="00D045B3">
                    <w:rPr>
                      <w:rFonts w:eastAsia="Times New Roman"/>
                      <w:lang w:val="hu-HU"/>
                    </w:rPr>
                    <w:t>C 1 g/m</w:t>
                  </w:r>
                  <w:r w:rsidRPr="00D045B3">
                    <w:rPr>
                      <w:rFonts w:eastAsia="Times New Roman"/>
                      <w:vertAlign w:val="superscript"/>
                      <w:lang w:val="hu-HU"/>
                    </w:rPr>
                    <w:t>2</w:t>
                  </w:r>
                  <w:r w:rsidRPr="00D045B3">
                    <w:rPr>
                      <w:rFonts w:eastAsia="Times New Roman"/>
                      <w:lang w:val="hu-HU"/>
                    </w:rPr>
                    <w:t xml:space="preserve"> </w:t>
                  </w:r>
                  <w:r w:rsidR="00A11B30" w:rsidRPr="00D045B3">
                    <w:rPr>
                      <w:rFonts w:eastAsia="Times New Roman"/>
                      <w:lang w:val="hu-HU"/>
                    </w:rPr>
                    <w:t>iv.</w:t>
                  </w:r>
                  <w:r w:rsidRPr="00D045B3">
                    <w:rPr>
                      <w:rFonts w:eastAsia="Times New Roman"/>
                      <w:lang w:val="hu-HU"/>
                    </w:rPr>
                    <w:t xml:space="preserve"> (2</w:t>
                  </w:r>
                  <w:r w:rsidR="00CF2B50" w:rsidRPr="00D045B3">
                    <w:rPr>
                      <w:rFonts w:eastAsia="Times New Roman"/>
                      <w:lang w:val="hu-HU"/>
                    </w:rPr>
                    <w:t> órás</w:t>
                  </w:r>
                  <w:r w:rsidRPr="00D045B3">
                    <w:rPr>
                      <w:rFonts w:eastAsia="Times New Roman"/>
                      <w:lang w:val="hu-HU"/>
                    </w:rPr>
                    <w:t>, 12</w:t>
                  </w:r>
                  <w:r w:rsidR="00CF2B50" w:rsidRPr="00D045B3">
                    <w:rPr>
                      <w:rFonts w:eastAsia="Times New Roman"/>
                      <w:lang w:val="hu-HU"/>
                    </w:rPr>
                    <w:t> órá</w:t>
                  </w:r>
                  <w:r w:rsidR="006D25A4" w:rsidRPr="00D045B3">
                    <w:rPr>
                      <w:rFonts w:eastAsia="Times New Roman"/>
                      <w:lang w:val="hu-HU"/>
                    </w:rPr>
                    <w:t>nként)</w:t>
                  </w:r>
                  <w:r w:rsidRPr="00D045B3">
                    <w:rPr>
                      <w:rFonts w:eastAsia="Times New Roman"/>
                      <w:lang w:val="hu-HU"/>
                    </w:rPr>
                    <w:t xml:space="preserve">, </w:t>
                  </w:r>
                  <w:r w:rsidR="006D25A4" w:rsidRPr="00D045B3">
                    <w:rPr>
                      <w:rFonts w:eastAsia="Times New Roman"/>
                      <w:lang w:val="hu-HU"/>
                    </w:rPr>
                    <w:t>a</w:t>
                  </w:r>
                  <w:r w:rsidRPr="00D045B3">
                    <w:rPr>
                      <w:rFonts w:eastAsia="Times New Roman"/>
                      <w:lang w:val="hu-HU"/>
                    </w:rPr>
                    <w:t> 2</w:t>
                  </w:r>
                  <w:r w:rsidR="006D25A4" w:rsidRPr="00D045B3">
                    <w:rPr>
                      <w:rFonts w:eastAsia="Times New Roman"/>
                      <w:lang w:val="hu-HU"/>
                    </w:rPr>
                    <w:noBreakHyphen/>
                  </w:r>
                  <w:r w:rsidRPr="00D045B3">
                    <w:rPr>
                      <w:rFonts w:eastAsia="Times New Roman"/>
                      <w:lang w:val="hu-HU"/>
                    </w:rPr>
                    <w:t>3</w:t>
                  </w:r>
                  <w:r w:rsidR="006D25A4" w:rsidRPr="00D045B3">
                    <w:rPr>
                      <w:rFonts w:eastAsia="Times New Roman"/>
                      <w:lang w:val="hu-HU"/>
                    </w:rPr>
                    <w:t>. napokon</w:t>
                  </w:r>
                  <w:r w:rsidRPr="00D045B3">
                    <w:rPr>
                      <w:rFonts w:eastAsia="Times New Roman"/>
                      <w:lang w:val="hu-HU"/>
                    </w:rPr>
                    <w:t xml:space="preserve"> (</w:t>
                  </w:r>
                  <w:r w:rsidR="006D25A4" w:rsidRPr="00D045B3">
                    <w:rPr>
                      <w:rFonts w:eastAsia="Times New Roman"/>
                      <w:lang w:val="hu-HU"/>
                    </w:rPr>
                    <w:t>összesen 8 kezelés</w:t>
                  </w:r>
                  <w:r w:rsidRPr="00D045B3">
                    <w:rPr>
                      <w:rFonts w:eastAsia="Times New Roman"/>
                      <w:lang w:val="hu-HU"/>
                    </w:rPr>
                    <w:t>)</w:t>
                  </w:r>
                </w:p>
              </w:tc>
            </w:tr>
            <w:tr w:rsidR="004B2274" w:rsidRPr="00D045B3" w14:paraId="1E927381" w14:textId="77777777" w:rsidTr="004B2274">
              <w:trPr>
                <w:trHeight w:hRule="exact" w:val="624"/>
              </w:trPr>
              <w:tc>
                <w:tcPr>
                  <w:tcW w:w="2133" w:type="dxa"/>
                  <w:tcBorders>
                    <w:right w:val="nil"/>
                  </w:tcBorders>
                  <w:shd w:val="clear" w:color="auto" w:fill="auto"/>
                  <w:tcMar>
                    <w:top w:w="57" w:type="dxa"/>
                    <w:bottom w:w="57" w:type="dxa"/>
                  </w:tcMar>
                </w:tcPr>
                <w:p w14:paraId="1E92737F" w14:textId="77777777" w:rsidR="004B2274" w:rsidRPr="00D045B3" w:rsidRDefault="006D25A4" w:rsidP="004B2274">
                  <w:pPr>
                    <w:spacing w:line="240" w:lineRule="auto"/>
                    <w:ind w:right="-20"/>
                    <w:rPr>
                      <w:rFonts w:eastAsia="Times New Roman"/>
                      <w:lang w:val="hu-HU"/>
                    </w:rPr>
                  </w:pPr>
                  <w:r w:rsidRPr="00D045B3">
                    <w:rPr>
                      <w:rFonts w:eastAsia="Times New Roman"/>
                      <w:lang w:val="hu-HU"/>
                    </w:rPr>
                    <w:t>Fenntartó kezelés</w:t>
                  </w:r>
                </w:p>
              </w:tc>
              <w:tc>
                <w:tcPr>
                  <w:tcW w:w="6798" w:type="dxa"/>
                  <w:tcBorders>
                    <w:left w:val="nil"/>
                  </w:tcBorders>
                  <w:shd w:val="clear" w:color="auto" w:fill="auto"/>
                  <w:tcMar>
                    <w:top w:w="57" w:type="dxa"/>
                    <w:bottom w:w="57" w:type="dxa"/>
                  </w:tcMar>
                </w:tcPr>
                <w:p w14:paraId="1E927380" w14:textId="77777777" w:rsidR="004B2274" w:rsidRPr="00D045B3" w:rsidRDefault="004B2274" w:rsidP="00E24764">
                  <w:pPr>
                    <w:spacing w:line="240" w:lineRule="auto"/>
                    <w:ind w:right="-20"/>
                    <w:rPr>
                      <w:rFonts w:eastAsia="Times New Roman"/>
                      <w:lang w:val="hu-HU"/>
                    </w:rPr>
                  </w:pPr>
                  <w:r w:rsidRPr="00D045B3">
                    <w:rPr>
                      <w:rFonts w:eastAsia="Times New Roman"/>
                      <w:lang w:val="hu-HU"/>
                    </w:rPr>
                    <w:t xml:space="preserve">VCR 2 mg </w:t>
                  </w:r>
                  <w:r w:rsidR="00A11B30" w:rsidRPr="00D045B3">
                    <w:rPr>
                      <w:rFonts w:eastAsia="Times New Roman"/>
                      <w:lang w:val="hu-HU"/>
                    </w:rPr>
                    <w:t>iv.</w:t>
                  </w:r>
                  <w:r w:rsidRPr="00D045B3">
                    <w:rPr>
                      <w:rFonts w:eastAsia="Times New Roman"/>
                      <w:lang w:val="hu-HU"/>
                    </w:rPr>
                    <w:t xml:space="preserve"> </w:t>
                  </w:r>
                  <w:r w:rsidR="006D25A4" w:rsidRPr="00D045B3">
                    <w:rPr>
                      <w:rFonts w:eastAsia="Times New Roman"/>
                      <w:lang w:val="hu-HU"/>
                    </w:rPr>
                    <w:t xml:space="preserve">havonta, </w:t>
                  </w:r>
                  <w:r w:rsidRPr="00D045B3">
                    <w:rPr>
                      <w:rFonts w:eastAsia="Times New Roman"/>
                      <w:lang w:val="hu-HU"/>
                    </w:rPr>
                    <w:t>13 </w:t>
                  </w:r>
                  <w:r w:rsidR="006D25A4" w:rsidRPr="00D045B3">
                    <w:rPr>
                      <w:rFonts w:eastAsia="Times New Roman"/>
                      <w:lang w:val="hu-HU"/>
                    </w:rPr>
                    <w:t>hónapon keresztül</w:t>
                  </w:r>
                  <w:r w:rsidRPr="00D045B3">
                    <w:rPr>
                      <w:rFonts w:eastAsia="Times New Roman"/>
                      <w:lang w:val="hu-HU"/>
                    </w:rPr>
                    <w:t>; predni</w:t>
                  </w:r>
                  <w:r w:rsidR="006D25A4" w:rsidRPr="00D045B3">
                    <w:rPr>
                      <w:rFonts w:eastAsia="Times New Roman"/>
                      <w:lang w:val="hu-HU"/>
                    </w:rPr>
                    <w:t>zolon</w:t>
                  </w:r>
                  <w:r w:rsidRPr="00D045B3">
                    <w:rPr>
                      <w:rFonts w:eastAsia="Times New Roman"/>
                      <w:lang w:val="hu-HU"/>
                    </w:rPr>
                    <w:t xml:space="preserve"> 200 mg </w:t>
                  </w:r>
                  <w:r w:rsidR="006D25A4" w:rsidRPr="00D045B3">
                    <w:rPr>
                      <w:rFonts w:eastAsia="Times New Roman"/>
                      <w:lang w:val="hu-HU"/>
                    </w:rPr>
                    <w:t>per os</w:t>
                  </w:r>
                  <w:r w:rsidRPr="00D045B3">
                    <w:rPr>
                      <w:rFonts w:eastAsia="Times New Roman"/>
                      <w:lang w:val="hu-HU"/>
                    </w:rPr>
                    <w:t xml:space="preserve">, </w:t>
                  </w:r>
                  <w:r w:rsidR="00430C48" w:rsidRPr="00D045B3">
                    <w:rPr>
                      <w:rFonts w:eastAsia="Times New Roman"/>
                      <w:lang w:val="hu-HU"/>
                    </w:rPr>
                    <w:t xml:space="preserve">havonta </w:t>
                  </w:r>
                  <w:r w:rsidRPr="00D045B3">
                    <w:rPr>
                      <w:rFonts w:eastAsia="Times New Roman"/>
                      <w:lang w:val="hu-HU"/>
                    </w:rPr>
                    <w:t>5 </w:t>
                  </w:r>
                  <w:r w:rsidR="00430C48" w:rsidRPr="00D045B3">
                    <w:rPr>
                      <w:rFonts w:eastAsia="Times New Roman"/>
                      <w:lang w:val="hu-HU"/>
                    </w:rPr>
                    <w:t>nap</w:t>
                  </w:r>
                  <w:r w:rsidR="00E24764" w:rsidRPr="00D045B3">
                    <w:rPr>
                      <w:rFonts w:eastAsia="Times New Roman"/>
                      <w:lang w:val="hu-HU"/>
                    </w:rPr>
                    <w:t>on keresztül,</w:t>
                  </w:r>
                  <w:r w:rsidRPr="00D045B3">
                    <w:rPr>
                      <w:rFonts w:eastAsia="Times New Roman"/>
                      <w:lang w:val="hu-HU"/>
                    </w:rPr>
                    <w:t xml:space="preserve"> 13 </w:t>
                  </w:r>
                  <w:r w:rsidR="00430C48" w:rsidRPr="00D045B3">
                    <w:rPr>
                      <w:rFonts w:eastAsia="Times New Roman"/>
                      <w:lang w:val="hu-HU"/>
                    </w:rPr>
                    <w:t>hónap</w:t>
                  </w:r>
                  <w:r w:rsidR="00E24764" w:rsidRPr="00D045B3">
                    <w:rPr>
                      <w:rFonts w:eastAsia="Times New Roman"/>
                      <w:lang w:val="hu-HU"/>
                    </w:rPr>
                    <w:t>ig</w:t>
                  </w:r>
                </w:p>
              </w:tc>
            </w:tr>
            <w:tr w:rsidR="004B2274" w:rsidRPr="00D045B3" w14:paraId="1E927384" w14:textId="77777777" w:rsidTr="008A6837">
              <w:trPr>
                <w:trHeight w:hRule="exact" w:val="676"/>
              </w:trPr>
              <w:tc>
                <w:tcPr>
                  <w:tcW w:w="8931" w:type="dxa"/>
                  <w:gridSpan w:val="2"/>
                  <w:shd w:val="clear" w:color="auto" w:fill="auto"/>
                  <w:tcMar>
                    <w:top w:w="57" w:type="dxa"/>
                    <w:bottom w:w="57" w:type="dxa"/>
                  </w:tcMar>
                </w:tcPr>
                <w:p w14:paraId="1E927382" w14:textId="77777777" w:rsidR="00430C48" w:rsidRPr="00D045B3" w:rsidRDefault="00430C48" w:rsidP="00430C48">
                  <w:pPr>
                    <w:pStyle w:val="Default"/>
                  </w:pPr>
                  <w:r w:rsidRPr="00D045B3">
                    <w:rPr>
                      <w:sz w:val="22"/>
                      <w:szCs w:val="22"/>
                    </w:rPr>
                    <w:t xml:space="preserve">Minden kezelési protokoll tartalmaz szteroidot a központi idegrendszeri hatások profilaxisa céljából. </w:t>
                  </w:r>
                </w:p>
                <w:p w14:paraId="1E927383" w14:textId="77777777" w:rsidR="004B2274" w:rsidRPr="00D045B3" w:rsidRDefault="004B2274" w:rsidP="004B2274">
                  <w:pPr>
                    <w:spacing w:line="240" w:lineRule="auto"/>
                    <w:ind w:right="-20"/>
                    <w:rPr>
                      <w:rFonts w:eastAsia="Times New Roman"/>
                      <w:lang w:val="hu-HU"/>
                    </w:rPr>
                  </w:pPr>
                  <w:r w:rsidRPr="00D045B3">
                    <w:rPr>
                      <w:rFonts w:eastAsia="Times New Roman"/>
                      <w:lang w:val="hu-HU"/>
                    </w:rPr>
                    <w:t>.</w:t>
                  </w:r>
                </w:p>
              </w:tc>
            </w:tr>
            <w:tr w:rsidR="004B2274" w:rsidRPr="00D045B3" w14:paraId="1E927387" w14:textId="77777777" w:rsidTr="008A6837">
              <w:trPr>
                <w:trHeight w:hRule="exact" w:val="786"/>
              </w:trPr>
              <w:tc>
                <w:tcPr>
                  <w:tcW w:w="8931" w:type="dxa"/>
                  <w:gridSpan w:val="2"/>
                  <w:shd w:val="clear" w:color="auto" w:fill="auto"/>
                  <w:tcMar>
                    <w:top w:w="57" w:type="dxa"/>
                    <w:bottom w:w="57" w:type="dxa"/>
                  </w:tcMar>
                </w:tcPr>
                <w:p w14:paraId="1E927385" w14:textId="77777777" w:rsidR="00430C48" w:rsidRPr="00D045B3" w:rsidRDefault="00430C48" w:rsidP="00430C48">
                  <w:pPr>
                    <w:pStyle w:val="Default"/>
                  </w:pPr>
                  <w:r w:rsidRPr="00D045B3">
                    <w:rPr>
                      <w:sz w:val="22"/>
                      <w:szCs w:val="22"/>
                    </w:rPr>
                    <w:t>Ara</w:t>
                  </w:r>
                  <w:r w:rsidRPr="00D045B3">
                    <w:rPr>
                      <w:sz w:val="22"/>
                      <w:szCs w:val="22"/>
                    </w:rPr>
                    <w:noBreakHyphen/>
                    <w:t>C: citozin</w:t>
                  </w:r>
                  <w:r w:rsidR="00CC54C5" w:rsidRPr="00D045B3">
                    <w:rPr>
                      <w:sz w:val="22"/>
                      <w:szCs w:val="22"/>
                    </w:rPr>
                    <w:noBreakHyphen/>
                  </w:r>
                  <w:r w:rsidRPr="00D045B3">
                    <w:rPr>
                      <w:sz w:val="22"/>
                      <w:szCs w:val="22"/>
                    </w:rPr>
                    <w:t>arabinozid; CP: ciklofoszfamid; DEX: dexametazon; MTX: metotrexát; 6</w:t>
                  </w:r>
                  <w:r w:rsidR="00CC54C5" w:rsidRPr="00D045B3">
                    <w:rPr>
                      <w:sz w:val="22"/>
                      <w:szCs w:val="22"/>
                    </w:rPr>
                    <w:noBreakHyphen/>
                  </w:r>
                  <w:r w:rsidRPr="00D045B3">
                    <w:rPr>
                      <w:sz w:val="22"/>
                      <w:szCs w:val="22"/>
                    </w:rPr>
                    <w:t>MP: 6</w:t>
                  </w:r>
                  <w:r w:rsidR="00CC54C5" w:rsidRPr="00D045B3">
                    <w:rPr>
                      <w:sz w:val="22"/>
                      <w:szCs w:val="22"/>
                    </w:rPr>
                    <w:noBreakHyphen/>
                  </w:r>
                  <w:r w:rsidRPr="00D045B3">
                    <w:rPr>
                      <w:sz w:val="22"/>
                      <w:szCs w:val="22"/>
                    </w:rPr>
                    <w:t xml:space="preserve">merkaptopurin; VM26: tenipozid; VCR: </w:t>
                  </w:r>
                  <w:r w:rsidR="00CC54C5" w:rsidRPr="00D045B3">
                    <w:rPr>
                      <w:sz w:val="22"/>
                      <w:szCs w:val="22"/>
                    </w:rPr>
                    <w:t>vinkrisztin; IDA: idarubicin; i</w:t>
                  </w:r>
                  <w:r w:rsidRPr="00D045B3">
                    <w:rPr>
                      <w:sz w:val="22"/>
                      <w:szCs w:val="22"/>
                    </w:rPr>
                    <w:t xml:space="preserve">v.: intravénás alkalmazás </w:t>
                  </w:r>
                </w:p>
                <w:p w14:paraId="1E927386" w14:textId="77777777" w:rsidR="004B2274" w:rsidRPr="00D045B3" w:rsidRDefault="004B2274" w:rsidP="004B2274">
                  <w:pPr>
                    <w:spacing w:line="240" w:lineRule="auto"/>
                    <w:ind w:left="49" w:right="-20" w:hanging="49"/>
                    <w:rPr>
                      <w:rFonts w:eastAsia="Times New Roman"/>
                      <w:lang w:val="hu-HU"/>
                    </w:rPr>
                  </w:pPr>
                </w:p>
              </w:tc>
            </w:tr>
          </w:tbl>
          <w:p w14:paraId="1E927388" w14:textId="77777777" w:rsidR="00382C5C" w:rsidRPr="00D045B3" w:rsidRDefault="00382C5C">
            <w:pPr>
              <w:pStyle w:val="Default"/>
              <w:rPr>
                <w:sz w:val="22"/>
                <w:szCs w:val="22"/>
              </w:rPr>
            </w:pPr>
          </w:p>
        </w:tc>
      </w:tr>
    </w:tbl>
    <w:p w14:paraId="1E92738A" w14:textId="5923CF63" w:rsidR="009827D6" w:rsidRPr="00D045B3" w:rsidRDefault="009827D6" w:rsidP="009827D6">
      <w:pPr>
        <w:pStyle w:val="Endnotentext"/>
        <w:widowControl w:val="0"/>
        <w:rPr>
          <w:color w:val="000000"/>
          <w:lang w:val="hu-HU" w:eastAsia="hu-HU"/>
        </w:rPr>
      </w:pPr>
      <w:r w:rsidRPr="00D045B3">
        <w:rPr>
          <w:i/>
          <w:color w:val="000000"/>
          <w:lang w:val="hu-HU" w:eastAsia="hu-HU"/>
        </w:rPr>
        <w:t>Gyermek</w:t>
      </w:r>
      <w:r w:rsidR="00C74779" w:rsidRPr="00D045B3">
        <w:rPr>
          <w:i/>
          <w:color w:val="000000"/>
          <w:lang w:val="hu-HU" w:eastAsia="hu-HU"/>
        </w:rPr>
        <w:t>ek és serdülők</w:t>
      </w:r>
      <w:r w:rsidRPr="00D045B3">
        <w:rPr>
          <w:color w:val="000000"/>
          <w:lang w:val="hu-HU" w:eastAsia="hu-HU"/>
        </w:rPr>
        <w:t>:</w:t>
      </w:r>
      <w:r w:rsidRPr="00D045B3">
        <w:rPr>
          <w:lang w:val="hu-HU" w:eastAsia="hu-HU"/>
        </w:rPr>
        <w:t xml:space="preserve"> </w:t>
      </w:r>
      <w:r w:rsidRPr="00D045B3">
        <w:rPr>
          <w:color w:val="000000"/>
          <w:lang w:val="hu-HU" w:eastAsia="hu-HU"/>
        </w:rPr>
        <w:t>Az I2301, nyílt elrendezésű, multicentrikus, szekvenciális kohorszú, nem randomizált, III</w:t>
      </w:r>
      <w:r w:rsidR="00C74779" w:rsidRPr="00D045B3">
        <w:rPr>
          <w:color w:val="000000"/>
          <w:lang w:val="hu-HU" w:eastAsia="hu-HU"/>
        </w:rPr>
        <w:t xml:space="preserve">. </w:t>
      </w:r>
      <w:r w:rsidR="00C74779" w:rsidRPr="00D045B3">
        <w:rPr>
          <w:lang w:val="hu-HU"/>
        </w:rPr>
        <w:t>fázisú</w:t>
      </w:r>
      <w:r w:rsidRPr="00D045B3">
        <w:rPr>
          <w:color w:val="000000"/>
          <w:lang w:val="hu-HU" w:eastAsia="hu-HU"/>
        </w:rPr>
        <w:t xml:space="preserve"> vizsgálatba összesen 93, Ph+ALL gyermek, serdülő</w:t>
      </w:r>
      <w:r w:rsidR="002B3EC2" w:rsidRPr="00D045B3">
        <w:rPr>
          <w:noProof/>
          <w:szCs w:val="22"/>
          <w:lang w:val="hu-HU" w:eastAsia="en-US"/>
        </w:rPr>
        <w:t>korú</w:t>
      </w:r>
      <w:r w:rsidRPr="00D045B3">
        <w:rPr>
          <w:color w:val="000000"/>
          <w:lang w:val="hu-HU" w:eastAsia="hu-HU"/>
        </w:rPr>
        <w:t xml:space="preserve"> és fiatal felnőtt beteget vontak be (1</w:t>
      </w:r>
      <w:r w:rsidRPr="00D045B3">
        <w:rPr>
          <w:color w:val="000000"/>
          <w:lang w:val="hu-HU"/>
        </w:rPr>
        <w:t> év</w:t>
      </w:r>
      <w:r w:rsidRPr="00D045B3">
        <w:rPr>
          <w:color w:val="000000"/>
          <w:lang w:val="hu-HU" w:eastAsia="hu-HU"/>
        </w:rPr>
        <w:t>es kortól 22</w:t>
      </w:r>
      <w:r w:rsidRPr="00D045B3">
        <w:rPr>
          <w:color w:val="000000"/>
          <w:lang w:val="hu-HU"/>
        </w:rPr>
        <w:t> év</w:t>
      </w:r>
      <w:r w:rsidRPr="00D045B3">
        <w:rPr>
          <w:color w:val="000000"/>
          <w:lang w:val="hu-HU" w:eastAsia="hu-HU"/>
        </w:rPr>
        <w:t>es korig), és kezeltek imatinib</w:t>
      </w:r>
      <w:r w:rsidRPr="00D045B3">
        <w:rPr>
          <w:color w:val="000000"/>
          <w:lang w:val="hu-HU"/>
        </w:rPr>
        <w:noBreakHyphen/>
        <w:t>b</w:t>
      </w:r>
      <w:r w:rsidRPr="00D045B3">
        <w:rPr>
          <w:color w:val="000000"/>
          <w:lang w:val="hu-HU" w:eastAsia="hu-HU"/>
        </w:rPr>
        <w:t>el (340</w:t>
      </w:r>
      <w:r w:rsidRPr="00D045B3">
        <w:rPr>
          <w:color w:val="000000"/>
          <w:lang w:val="hu-HU"/>
        </w:rPr>
        <w:t> mg</w:t>
      </w:r>
      <w:r w:rsidRPr="00D045B3">
        <w:rPr>
          <w:color w:val="000000"/>
          <w:lang w:val="hu-HU" w:eastAsia="hu-HU"/>
        </w:rPr>
        <w:t>/m</w:t>
      </w:r>
      <w:r w:rsidRPr="00D045B3">
        <w:rPr>
          <w:color w:val="000000"/>
          <w:vertAlign w:val="superscript"/>
          <w:lang w:val="hu-HU" w:eastAsia="hu-HU"/>
        </w:rPr>
        <w:t>2</w:t>
      </w:r>
      <w:r w:rsidRPr="00D045B3">
        <w:rPr>
          <w:color w:val="000000"/>
          <w:lang w:val="hu-HU" w:eastAsia="hu-HU"/>
        </w:rPr>
        <w:t>/nap), az indukciós kezelés után intenzív kemoterápiával kombinálva. Az imatinib</w:t>
      </w:r>
      <w:r w:rsidRPr="00D045B3">
        <w:rPr>
          <w:color w:val="000000"/>
          <w:lang w:val="hu-HU"/>
        </w:rPr>
        <w:noBreakHyphen/>
      </w:r>
      <w:r w:rsidRPr="00D045B3">
        <w:rPr>
          <w:color w:val="000000"/>
          <w:lang w:val="hu-HU" w:eastAsia="hu-HU"/>
        </w:rPr>
        <w:t>et intermittálva adták az 1</w:t>
      </w:r>
      <w:r w:rsidRPr="00D045B3">
        <w:rPr>
          <w:color w:val="000000"/>
          <w:lang w:val="hu-HU"/>
        </w:rPr>
        <w:noBreakHyphen/>
      </w:r>
      <w:r w:rsidRPr="00D045B3">
        <w:rPr>
          <w:color w:val="000000"/>
          <w:lang w:val="hu-HU" w:eastAsia="hu-HU"/>
        </w:rPr>
        <w:t>5. kohorszokban, kohorszról</w:t>
      </w:r>
      <w:r w:rsidRPr="00D045B3">
        <w:rPr>
          <w:color w:val="000000"/>
          <w:lang w:val="hu-HU"/>
        </w:rPr>
        <w:noBreakHyphen/>
      </w:r>
      <w:r w:rsidRPr="00D045B3">
        <w:rPr>
          <w:color w:val="000000"/>
          <w:lang w:val="hu-HU" w:eastAsia="hu-HU"/>
        </w:rPr>
        <w:t>kohorszra növekvő időtartamban, és az imatinib</w:t>
      </w:r>
      <w:r w:rsidRPr="00D045B3">
        <w:rPr>
          <w:color w:val="000000"/>
          <w:lang w:val="hu-HU"/>
        </w:rPr>
        <w:noBreakHyphen/>
      </w:r>
      <w:r w:rsidRPr="00D045B3">
        <w:rPr>
          <w:color w:val="000000"/>
          <w:lang w:val="hu-HU" w:eastAsia="hu-HU"/>
        </w:rPr>
        <w:t>et korábban kezdve. Az 1. kohorsz kapta a legalacsonyabb és az 5. kohorsz kapta a legmagasabb imatinib intenzitást (az első kemoterápiás ciklusok alatt a leghosszabb a</w:t>
      </w:r>
      <w:r w:rsidRPr="00D045B3">
        <w:rPr>
          <w:color w:val="000000"/>
          <w:lang w:val="hu-HU"/>
        </w:rPr>
        <w:t xml:space="preserve"> nap</w:t>
      </w:r>
      <w:r w:rsidRPr="00D045B3">
        <w:rPr>
          <w:color w:val="000000"/>
          <w:lang w:val="hu-HU" w:eastAsia="hu-HU"/>
        </w:rPr>
        <w:t>okban mért időtartam, az imatinib folyamatos,</w:t>
      </w:r>
      <w:r w:rsidRPr="00D045B3">
        <w:rPr>
          <w:color w:val="000000"/>
          <w:lang w:val="hu-HU"/>
        </w:rPr>
        <w:t xml:space="preserve"> nap</w:t>
      </w:r>
      <w:r w:rsidRPr="00D045B3">
        <w:rPr>
          <w:color w:val="000000"/>
          <w:lang w:val="hu-HU" w:eastAsia="hu-HU"/>
        </w:rPr>
        <w:t>onkénti adagolásával). Az imatinib folyamatos,</w:t>
      </w:r>
      <w:r w:rsidRPr="00D045B3">
        <w:rPr>
          <w:color w:val="000000"/>
          <w:lang w:val="hu-HU"/>
        </w:rPr>
        <w:t xml:space="preserve"> nap</w:t>
      </w:r>
      <w:r w:rsidRPr="00D045B3">
        <w:rPr>
          <w:color w:val="000000"/>
          <w:lang w:val="hu-HU" w:eastAsia="hu-HU"/>
        </w:rPr>
        <w:t>onkénti expozíciója a terápiás ciklus korai időszakában, kemoterápiával kombinálva az 5. kohorsz betegeinél (n = 50) javította a 4</w:t>
      </w:r>
      <w:r w:rsidRPr="00D045B3">
        <w:rPr>
          <w:color w:val="000000"/>
          <w:lang w:val="hu-HU"/>
        </w:rPr>
        <w:t> év</w:t>
      </w:r>
      <w:r w:rsidRPr="00D045B3">
        <w:rPr>
          <w:color w:val="000000"/>
          <w:lang w:val="hu-HU" w:eastAsia="hu-HU"/>
        </w:rPr>
        <w:t>es, eseménymentes túlélést (EFS), azokhoz a hisztorikus kontrollokhoz képest (n = 120), akik imatinib nélkül kaptak standard kemoterápiát (sorrendben 69,6% vs. 31,6%). A becsült 4</w:t>
      </w:r>
      <w:r w:rsidRPr="00D045B3">
        <w:rPr>
          <w:color w:val="000000"/>
          <w:lang w:val="hu-HU"/>
        </w:rPr>
        <w:t> év</w:t>
      </w:r>
      <w:r w:rsidRPr="00D045B3">
        <w:rPr>
          <w:color w:val="000000"/>
          <w:lang w:val="hu-HU" w:eastAsia="hu-HU"/>
        </w:rPr>
        <w:t>es teljes túlélés az 5. kohorsz betegeinél 83,6% volt, a hisztorikus kontrolloknál észlelt 44,8%</w:t>
      </w:r>
      <w:r w:rsidRPr="00D045B3">
        <w:rPr>
          <w:color w:val="000000"/>
          <w:lang w:val="hu-HU"/>
        </w:rPr>
        <w:noBreakHyphen/>
      </w:r>
      <w:r w:rsidRPr="00D045B3">
        <w:rPr>
          <w:color w:val="000000"/>
          <w:lang w:val="hu-HU" w:eastAsia="hu-HU"/>
        </w:rPr>
        <w:t>hoz képest. Az 5. kohorsz 50 betege közül 20 (40%) esett át haemopoeticus őssejt transzplantáción.</w:t>
      </w:r>
    </w:p>
    <w:p w14:paraId="1E92738B" w14:textId="77777777" w:rsidR="009827D6" w:rsidRPr="00D045B3" w:rsidRDefault="009827D6" w:rsidP="009827D6">
      <w:pPr>
        <w:pStyle w:val="Endnotentext"/>
        <w:widowControl w:val="0"/>
        <w:rPr>
          <w:color w:val="000000"/>
          <w:lang w:val="hu-HU"/>
        </w:rPr>
      </w:pPr>
    </w:p>
    <w:p w14:paraId="1E92738C" w14:textId="37E66A13" w:rsidR="009827D6" w:rsidRPr="00D045B3" w:rsidRDefault="000E6D88" w:rsidP="009827D6">
      <w:pPr>
        <w:pStyle w:val="Endnotentext"/>
        <w:widowControl w:val="0"/>
        <w:ind w:left="1134" w:hanging="1134"/>
        <w:rPr>
          <w:b/>
          <w:color w:val="000000"/>
          <w:lang w:val="hu-HU"/>
        </w:rPr>
      </w:pPr>
      <w:r w:rsidRPr="00D045B3">
        <w:rPr>
          <w:b/>
          <w:color w:val="000000"/>
          <w:lang w:val="hu-HU" w:eastAsia="hu-HU"/>
        </w:rPr>
        <w:t>4</w:t>
      </w:r>
      <w:r w:rsidR="009827D6" w:rsidRPr="00D045B3">
        <w:rPr>
          <w:b/>
          <w:color w:val="000000"/>
          <w:lang w:val="hu-HU" w:eastAsia="hu-HU"/>
        </w:rPr>
        <w:t>. táblázat</w:t>
      </w:r>
      <w:r w:rsidR="009827D6" w:rsidRPr="00D045B3">
        <w:rPr>
          <w:b/>
          <w:color w:val="000000"/>
          <w:lang w:val="hu-HU" w:eastAsia="hu-HU"/>
        </w:rPr>
        <w:tab/>
        <w:t>Az I2301</w:t>
      </w:r>
      <w:r w:rsidR="009827D6" w:rsidRPr="00D045B3">
        <w:rPr>
          <w:b/>
          <w:color w:val="000000"/>
          <w:lang w:val="hu-HU"/>
        </w:rPr>
        <w:t xml:space="preserve"> </w:t>
      </w:r>
      <w:r w:rsidR="009827D6" w:rsidRPr="00D045B3">
        <w:rPr>
          <w:b/>
          <w:color w:val="000000"/>
          <w:lang w:val="hu-HU" w:eastAsia="hu-HU"/>
        </w:rPr>
        <w:t>vizsgálatban az imatinibbel kombinációban alkalmazott kemoterápiás rezsim</w:t>
      </w:r>
    </w:p>
    <w:p w14:paraId="1E92738D" w14:textId="77777777" w:rsidR="009827D6" w:rsidRPr="00D045B3" w:rsidRDefault="009827D6" w:rsidP="009827D6">
      <w:pPr>
        <w:pStyle w:val="Endnotentext"/>
        <w:widowControl w:val="0"/>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9827D6" w:rsidRPr="00D045B3" w14:paraId="1E927396" w14:textId="77777777" w:rsidTr="001A3A9D">
        <w:tc>
          <w:tcPr>
            <w:tcW w:w="2358" w:type="dxa"/>
            <w:shd w:val="clear" w:color="auto" w:fill="auto"/>
          </w:tcPr>
          <w:p w14:paraId="1E92738E" w14:textId="77777777" w:rsidR="009827D6" w:rsidRPr="00D045B3" w:rsidRDefault="009827D6" w:rsidP="001A3A9D">
            <w:pPr>
              <w:pStyle w:val="Endnotentext"/>
              <w:widowControl w:val="0"/>
              <w:rPr>
                <w:color w:val="000000"/>
                <w:lang w:val="hu-HU"/>
              </w:rPr>
            </w:pPr>
            <w:r w:rsidRPr="00D045B3">
              <w:rPr>
                <w:color w:val="000000"/>
                <w:lang w:val="hu-HU"/>
              </w:rPr>
              <w:t>1. konszolidációs blokk</w:t>
            </w:r>
          </w:p>
          <w:p w14:paraId="1E92738F" w14:textId="77777777" w:rsidR="009827D6" w:rsidRPr="00D045B3" w:rsidRDefault="009827D6" w:rsidP="001A3A9D">
            <w:pPr>
              <w:pStyle w:val="Endnotentext"/>
              <w:widowControl w:val="0"/>
              <w:rPr>
                <w:color w:val="000000"/>
                <w:lang w:val="hu-HU"/>
              </w:rPr>
            </w:pPr>
            <w:r w:rsidRPr="00D045B3">
              <w:rPr>
                <w:color w:val="000000"/>
                <w:lang w:val="hu-HU"/>
              </w:rPr>
              <w:t>(3 hét)</w:t>
            </w:r>
          </w:p>
        </w:tc>
        <w:tc>
          <w:tcPr>
            <w:tcW w:w="6929" w:type="dxa"/>
            <w:shd w:val="clear" w:color="auto" w:fill="auto"/>
          </w:tcPr>
          <w:p w14:paraId="1E927390" w14:textId="77777777" w:rsidR="009827D6" w:rsidRPr="00D045B3" w:rsidRDefault="009827D6" w:rsidP="001A3A9D">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/nap, iv.): 1</w:t>
            </w:r>
            <w:r w:rsidRPr="00D045B3">
              <w:rPr>
                <w:color w:val="000000"/>
                <w:lang w:val="hu-HU"/>
              </w:rPr>
              <w:noBreakHyphen/>
              <w:t>5. nap</w:t>
            </w:r>
          </w:p>
          <w:p w14:paraId="1E927391" w14:textId="77777777" w:rsidR="009827D6" w:rsidRPr="00D045B3" w:rsidRDefault="009827D6" w:rsidP="001A3A9D">
            <w:pPr>
              <w:pStyle w:val="Endnotentext"/>
              <w:widowControl w:val="0"/>
              <w:rPr>
                <w:color w:val="000000"/>
                <w:lang w:val="hu-HU"/>
              </w:rPr>
            </w:pPr>
            <w:r w:rsidRPr="00D045B3">
              <w:rPr>
                <w:color w:val="000000"/>
                <w:lang w:val="hu-HU"/>
              </w:rPr>
              <w:t>Ifoszfamid (1,8 g/m</w:t>
            </w:r>
            <w:r w:rsidRPr="00D045B3">
              <w:rPr>
                <w:color w:val="000000"/>
                <w:vertAlign w:val="superscript"/>
                <w:lang w:val="hu-HU"/>
              </w:rPr>
              <w:t>2</w:t>
            </w:r>
            <w:r w:rsidRPr="00D045B3">
              <w:rPr>
                <w:color w:val="000000"/>
                <w:lang w:val="hu-HU"/>
              </w:rPr>
              <w:t>/nap, iv.): 1</w:t>
            </w:r>
            <w:r w:rsidRPr="00D045B3">
              <w:rPr>
                <w:color w:val="000000"/>
                <w:lang w:val="hu-HU"/>
              </w:rPr>
              <w:noBreakHyphen/>
              <w:t>5. nap</w:t>
            </w:r>
          </w:p>
          <w:p w14:paraId="1E927392" w14:textId="77777777" w:rsidR="009827D6" w:rsidRPr="00D045B3" w:rsidRDefault="009827D6" w:rsidP="001A3A9D">
            <w:pPr>
              <w:pStyle w:val="Endnotentext"/>
              <w:widowControl w:val="0"/>
              <w:rPr>
                <w:color w:val="000000"/>
                <w:lang w:val="hu-HU"/>
              </w:rPr>
            </w:pPr>
            <w:r w:rsidRPr="00D045B3">
              <w:rPr>
                <w:color w:val="000000"/>
                <w:lang w:val="hu-HU"/>
              </w:rPr>
              <w:t>MESNA (360 mg/m</w:t>
            </w:r>
            <w:r w:rsidRPr="00D045B3">
              <w:rPr>
                <w:color w:val="000000"/>
                <w:vertAlign w:val="superscript"/>
                <w:lang w:val="hu-HU"/>
              </w:rPr>
              <w:t>2</w:t>
            </w:r>
            <w:r w:rsidRPr="00D045B3">
              <w:rPr>
                <w:color w:val="000000"/>
                <w:lang w:val="hu-HU"/>
              </w:rPr>
              <w:t>/dózis 3 óránként, 8 dózis/nap, iv.): 1</w:t>
            </w:r>
            <w:r w:rsidRPr="00D045B3">
              <w:rPr>
                <w:color w:val="000000"/>
                <w:lang w:val="hu-HU"/>
              </w:rPr>
              <w:noBreakHyphen/>
              <w:t>5. nap</w:t>
            </w:r>
          </w:p>
          <w:p w14:paraId="1E927393" w14:textId="77777777" w:rsidR="009827D6" w:rsidRPr="00D045B3" w:rsidRDefault="009827D6" w:rsidP="001A3A9D">
            <w:pPr>
              <w:pStyle w:val="Endnotentext"/>
              <w:widowControl w:val="0"/>
              <w:rPr>
                <w:color w:val="000000"/>
                <w:lang w:val="hu-HU"/>
              </w:rPr>
            </w:pPr>
            <w:r w:rsidRPr="00D045B3">
              <w:rPr>
                <w:color w:val="000000"/>
                <w:lang w:val="hu-HU"/>
              </w:rPr>
              <w:t>G</w:t>
            </w:r>
            <w:r w:rsidRPr="00D045B3">
              <w:rPr>
                <w:color w:val="000000"/>
                <w:lang w:val="hu-HU"/>
              </w:rPr>
              <w:noBreakHyphen/>
              <w:t>CSF (5 μg/kg, sc.): 6</w:t>
            </w:r>
            <w:r w:rsidRPr="00D045B3">
              <w:rPr>
                <w:color w:val="000000"/>
                <w:lang w:val="hu-HU"/>
              </w:rPr>
              <w:noBreakHyphen/>
              <w:t>15. nap vagy addig, amíg az ANC &gt; 1500 a mélypont után</w:t>
            </w:r>
          </w:p>
          <w:p w14:paraId="1E927394" w14:textId="77777777" w:rsidR="009827D6" w:rsidRPr="00D045B3" w:rsidRDefault="009827D6" w:rsidP="001A3A9D">
            <w:pPr>
              <w:pStyle w:val="Endnotentext"/>
              <w:widowControl w:val="0"/>
              <w:rPr>
                <w:color w:val="000000"/>
                <w:lang w:val="hu-HU"/>
              </w:rPr>
            </w:pPr>
            <w:r w:rsidRPr="00D045B3">
              <w:rPr>
                <w:color w:val="000000"/>
                <w:lang w:val="hu-HU"/>
              </w:rPr>
              <w:t>i.t. metotrexát (életkorra korrigált): CSAK az 1. nap</w:t>
            </w:r>
          </w:p>
          <w:p w14:paraId="1E927395" w14:textId="77777777" w:rsidR="009827D6" w:rsidRPr="00D045B3" w:rsidRDefault="009827D6" w:rsidP="001A3A9D">
            <w:pPr>
              <w:pStyle w:val="Endnotentext"/>
              <w:widowControl w:val="0"/>
              <w:rPr>
                <w:color w:val="000000"/>
                <w:lang w:val="hu-HU"/>
              </w:rPr>
            </w:pPr>
            <w:r w:rsidRPr="00D045B3">
              <w:rPr>
                <w:color w:val="000000"/>
                <w:lang w:val="hu-HU"/>
              </w:rPr>
              <w:t>Hármas i.t. kezelés (életkorra korrigált): 8., 15. nap</w:t>
            </w:r>
          </w:p>
        </w:tc>
      </w:tr>
      <w:tr w:rsidR="009827D6" w:rsidRPr="00D045B3" w14:paraId="1E92739E" w14:textId="77777777" w:rsidTr="001A3A9D">
        <w:tc>
          <w:tcPr>
            <w:tcW w:w="2358" w:type="dxa"/>
            <w:shd w:val="clear" w:color="auto" w:fill="auto"/>
          </w:tcPr>
          <w:p w14:paraId="1E927397" w14:textId="77777777" w:rsidR="009827D6" w:rsidRPr="00D045B3" w:rsidRDefault="009827D6" w:rsidP="001A3A9D">
            <w:pPr>
              <w:pStyle w:val="Endnotentext"/>
              <w:widowControl w:val="0"/>
              <w:rPr>
                <w:color w:val="000000"/>
                <w:lang w:val="hu-HU"/>
              </w:rPr>
            </w:pPr>
            <w:r w:rsidRPr="00D045B3">
              <w:rPr>
                <w:color w:val="000000"/>
                <w:lang w:val="hu-HU"/>
              </w:rPr>
              <w:t>2. konszolidációs blokk</w:t>
            </w:r>
          </w:p>
          <w:p w14:paraId="1E927398" w14:textId="77777777" w:rsidR="009827D6" w:rsidRPr="00D045B3" w:rsidRDefault="009827D6" w:rsidP="001A3A9D">
            <w:pPr>
              <w:pStyle w:val="Endnotentext"/>
              <w:widowControl w:val="0"/>
              <w:rPr>
                <w:color w:val="000000"/>
                <w:lang w:val="hu-HU"/>
              </w:rPr>
            </w:pPr>
            <w:r w:rsidRPr="00D045B3">
              <w:rPr>
                <w:color w:val="000000"/>
                <w:lang w:val="hu-HU"/>
              </w:rPr>
              <w:t>(3 hét)</w:t>
            </w:r>
          </w:p>
        </w:tc>
        <w:tc>
          <w:tcPr>
            <w:tcW w:w="6929" w:type="dxa"/>
            <w:shd w:val="clear" w:color="auto" w:fill="auto"/>
          </w:tcPr>
          <w:p w14:paraId="1E927399" w14:textId="77777777" w:rsidR="009827D6" w:rsidRPr="00D045B3" w:rsidRDefault="009827D6" w:rsidP="001A3A9D">
            <w:pPr>
              <w:pStyle w:val="Endnotentext"/>
              <w:widowControl w:val="0"/>
              <w:rPr>
                <w:color w:val="000000"/>
                <w:lang w:val="hu-HU"/>
              </w:rPr>
            </w:pPr>
            <w:r w:rsidRPr="00D045B3">
              <w:rPr>
                <w:color w:val="000000"/>
                <w:lang w:val="hu-HU"/>
              </w:rPr>
              <w:t>Metotrexát (5 g/m</w:t>
            </w:r>
            <w:r w:rsidRPr="00D045B3">
              <w:rPr>
                <w:color w:val="000000"/>
                <w:vertAlign w:val="superscript"/>
                <w:lang w:val="hu-HU"/>
              </w:rPr>
              <w:t>2</w:t>
            </w:r>
            <w:r w:rsidRPr="00D045B3">
              <w:rPr>
                <w:color w:val="000000"/>
                <w:lang w:val="hu-HU"/>
              </w:rPr>
              <w:t xml:space="preserve"> 24 óra alatt, iv.): 1. nap</w:t>
            </w:r>
          </w:p>
          <w:p w14:paraId="1E92739A" w14:textId="77777777" w:rsidR="009827D6" w:rsidRPr="00D045B3" w:rsidRDefault="009827D6" w:rsidP="001A3A9D">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és 3. nap</w:t>
            </w:r>
          </w:p>
          <w:p w14:paraId="1E92739B" w14:textId="77777777" w:rsidR="009827D6" w:rsidRPr="00D045B3" w:rsidRDefault="009827D6" w:rsidP="001A3A9D">
            <w:pPr>
              <w:pStyle w:val="Endnotentext"/>
              <w:widowControl w:val="0"/>
              <w:rPr>
                <w:color w:val="000000"/>
                <w:lang w:val="hu-HU"/>
              </w:rPr>
            </w:pPr>
            <w:r w:rsidRPr="00D045B3">
              <w:rPr>
                <w:color w:val="000000"/>
                <w:lang w:val="hu-HU"/>
              </w:rPr>
              <w:t>Hármas i.t. kezelés (életkorra korrigált): 1. nap</w:t>
            </w:r>
          </w:p>
          <w:p w14:paraId="1E92739C" w14:textId="77777777" w:rsidR="009827D6" w:rsidRPr="00D045B3" w:rsidRDefault="009827D6" w:rsidP="001A3A9D">
            <w:pPr>
              <w:pStyle w:val="Endnotentext"/>
              <w:widowControl w:val="0"/>
              <w:rPr>
                <w:color w:val="000000"/>
                <w:lang w:val="hu-HU"/>
              </w:rPr>
            </w:pPr>
            <w:r w:rsidRPr="00D045B3">
              <w:rPr>
                <w:color w:val="000000"/>
                <w:lang w:val="hu-HU"/>
              </w:rPr>
              <w:t>ARA</w:t>
            </w:r>
            <w:r w:rsidRPr="00D045B3">
              <w:rPr>
                <w:color w:val="000000"/>
                <w:lang w:val="hu-HU"/>
              </w:rPr>
              <w:noBreakHyphen/>
              <w:t>C (3 g/m</w:t>
            </w:r>
            <w:r w:rsidRPr="00D045B3">
              <w:rPr>
                <w:color w:val="000000"/>
                <w:vertAlign w:val="superscript"/>
                <w:lang w:val="hu-HU"/>
              </w:rPr>
              <w:t>2</w:t>
            </w:r>
            <w:r w:rsidRPr="00D045B3">
              <w:rPr>
                <w:color w:val="000000"/>
                <w:lang w:val="hu-HU"/>
              </w:rPr>
              <w:t>/dózis 12 óránként x 4, iv.): 2. és 3. nap</w:t>
            </w:r>
          </w:p>
          <w:p w14:paraId="1E92739D" w14:textId="77777777" w:rsidR="009827D6" w:rsidRPr="00D045B3" w:rsidRDefault="009827D6" w:rsidP="001A3A9D">
            <w:pPr>
              <w:pStyle w:val="Endnotentext"/>
              <w:widowControl w:val="0"/>
              <w:rPr>
                <w:color w:val="000000"/>
                <w:lang w:val="hu-HU"/>
              </w:rPr>
            </w:pPr>
            <w:r w:rsidRPr="00D045B3">
              <w:rPr>
                <w:color w:val="000000"/>
                <w:lang w:val="hu-HU"/>
              </w:rPr>
              <w:t>G</w:t>
            </w:r>
            <w:r w:rsidRPr="00D045B3">
              <w:rPr>
                <w:color w:val="000000"/>
                <w:lang w:val="hu-HU"/>
              </w:rPr>
              <w:noBreakHyphen/>
              <w:t>CSF (5 μg/kg, sc.): 4</w:t>
            </w:r>
            <w:r w:rsidRPr="00D045B3">
              <w:rPr>
                <w:color w:val="000000"/>
                <w:lang w:val="hu-HU"/>
              </w:rPr>
              <w:noBreakHyphen/>
              <w:t>13. nap vagy addig, amíg az ANC &gt; 1500 a mélypont után</w:t>
            </w:r>
          </w:p>
        </w:tc>
      </w:tr>
      <w:tr w:rsidR="009827D6" w:rsidRPr="00D045B3" w14:paraId="1E9273A8" w14:textId="77777777" w:rsidTr="001A3A9D">
        <w:tc>
          <w:tcPr>
            <w:tcW w:w="2358" w:type="dxa"/>
            <w:shd w:val="clear" w:color="auto" w:fill="auto"/>
          </w:tcPr>
          <w:p w14:paraId="1E92739F" w14:textId="77777777" w:rsidR="009827D6" w:rsidRPr="00D045B3" w:rsidRDefault="009827D6" w:rsidP="00804779">
            <w:pPr>
              <w:pStyle w:val="Endnotentext"/>
              <w:keepNext/>
              <w:rPr>
                <w:color w:val="000000"/>
                <w:lang w:val="hu-HU"/>
              </w:rPr>
            </w:pPr>
            <w:r w:rsidRPr="00D045B3">
              <w:rPr>
                <w:color w:val="000000"/>
                <w:lang w:val="hu-HU"/>
              </w:rPr>
              <w:t>1. reindukciós blokk</w:t>
            </w:r>
          </w:p>
          <w:p w14:paraId="1E9273A0" w14:textId="77777777" w:rsidR="009827D6" w:rsidRPr="00D045B3" w:rsidRDefault="009827D6" w:rsidP="00804779">
            <w:pPr>
              <w:pStyle w:val="Endnotentext"/>
              <w:keepNext/>
              <w:rPr>
                <w:color w:val="000000"/>
                <w:lang w:val="hu-HU"/>
              </w:rPr>
            </w:pPr>
            <w:r w:rsidRPr="00D045B3">
              <w:rPr>
                <w:color w:val="000000"/>
                <w:lang w:val="hu-HU"/>
              </w:rPr>
              <w:t>(3 hét)</w:t>
            </w:r>
          </w:p>
        </w:tc>
        <w:tc>
          <w:tcPr>
            <w:tcW w:w="6929" w:type="dxa"/>
            <w:shd w:val="clear" w:color="auto" w:fill="auto"/>
          </w:tcPr>
          <w:p w14:paraId="1E9273A1" w14:textId="77777777" w:rsidR="009827D6" w:rsidRPr="00D045B3" w:rsidRDefault="009827D6" w:rsidP="00804779">
            <w:pPr>
              <w:pStyle w:val="Endnotentext"/>
              <w:keepNext/>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8. és 15. nap</w:t>
            </w:r>
          </w:p>
          <w:p w14:paraId="1E9273A2" w14:textId="77777777" w:rsidR="009827D6" w:rsidRPr="00D045B3" w:rsidRDefault="009827D6" w:rsidP="00804779">
            <w:pPr>
              <w:pStyle w:val="Endnotentext"/>
              <w:keepNext/>
              <w:rPr>
                <w:color w:val="000000"/>
                <w:lang w:val="hu-HU"/>
              </w:rPr>
            </w:pPr>
            <w:r w:rsidRPr="00D045B3">
              <w:rPr>
                <w:color w:val="000000"/>
                <w:lang w:val="hu-HU"/>
              </w:rPr>
              <w:t>DAUN (45 mg/m</w:t>
            </w:r>
            <w:r w:rsidRPr="00D045B3">
              <w:rPr>
                <w:color w:val="000000"/>
                <w:vertAlign w:val="superscript"/>
                <w:lang w:val="hu-HU"/>
              </w:rPr>
              <w:t>2</w:t>
            </w:r>
            <w:r w:rsidRPr="00D045B3">
              <w:rPr>
                <w:color w:val="000000"/>
                <w:lang w:val="hu-HU"/>
              </w:rPr>
              <w:t>/nap bólus, iv.): 1. és 2. nap</w:t>
            </w:r>
          </w:p>
          <w:p w14:paraId="1E9273A3" w14:textId="77777777" w:rsidR="009827D6" w:rsidRPr="00D045B3" w:rsidRDefault="009827D6" w:rsidP="00804779">
            <w:pPr>
              <w:pStyle w:val="Endnotentext"/>
              <w:keepNext/>
              <w:rPr>
                <w:color w:val="000000"/>
                <w:lang w:val="hu-HU"/>
              </w:rPr>
            </w:pPr>
            <w:r w:rsidRPr="00D045B3">
              <w:rPr>
                <w:color w:val="000000"/>
                <w:lang w:val="hu-HU"/>
              </w:rPr>
              <w:t>CPM (250 mg/m</w:t>
            </w:r>
            <w:r w:rsidRPr="00D045B3">
              <w:rPr>
                <w:color w:val="000000"/>
                <w:vertAlign w:val="superscript"/>
                <w:lang w:val="hu-HU"/>
              </w:rPr>
              <w:t>2</w:t>
            </w:r>
            <w:r w:rsidRPr="00D045B3">
              <w:rPr>
                <w:color w:val="000000"/>
                <w:lang w:val="hu-HU"/>
              </w:rPr>
              <w:t>/dózis 12 óránként, 4 dózis, iv.): 3. és 4. nap</w:t>
            </w:r>
          </w:p>
          <w:p w14:paraId="1E9273A4" w14:textId="77777777" w:rsidR="009827D6" w:rsidRPr="00D045B3" w:rsidRDefault="009827D6" w:rsidP="00804779">
            <w:pPr>
              <w:pStyle w:val="Endnotentext"/>
              <w:keepNext/>
              <w:rPr>
                <w:color w:val="000000"/>
                <w:lang w:val="hu-HU"/>
              </w:rPr>
            </w:pPr>
            <w:r w:rsidRPr="00D045B3">
              <w:rPr>
                <w:color w:val="000000"/>
                <w:lang w:val="hu-HU"/>
              </w:rPr>
              <w:t>PEG</w:t>
            </w:r>
            <w:r w:rsidRPr="00D045B3">
              <w:rPr>
                <w:color w:val="000000"/>
                <w:lang w:val="hu-HU"/>
              </w:rPr>
              <w:noBreakHyphen/>
              <w:t>ASP (2500 NE/m</w:t>
            </w:r>
            <w:r w:rsidRPr="00D045B3">
              <w:rPr>
                <w:color w:val="000000"/>
                <w:vertAlign w:val="superscript"/>
                <w:lang w:val="hu-HU"/>
              </w:rPr>
              <w:t>2</w:t>
            </w:r>
            <w:r w:rsidRPr="00D045B3">
              <w:rPr>
                <w:color w:val="000000"/>
                <w:lang w:val="hu-HU"/>
              </w:rPr>
              <w:t>, i.m.): 4. nap</w:t>
            </w:r>
          </w:p>
          <w:p w14:paraId="1E9273A5" w14:textId="77777777" w:rsidR="009827D6" w:rsidRPr="00D045B3" w:rsidRDefault="009827D6" w:rsidP="00804779">
            <w:pPr>
              <w:pStyle w:val="Endnotentext"/>
              <w:keepNext/>
              <w:rPr>
                <w:color w:val="000000"/>
                <w:lang w:val="hu-HU"/>
              </w:rPr>
            </w:pPr>
            <w:r w:rsidRPr="00D045B3">
              <w:rPr>
                <w:color w:val="000000"/>
                <w:lang w:val="hu-HU"/>
              </w:rPr>
              <w:t>G</w:t>
            </w:r>
            <w:r w:rsidRPr="00D045B3">
              <w:rPr>
                <w:color w:val="000000"/>
                <w:lang w:val="hu-HU"/>
              </w:rPr>
              <w:noBreakHyphen/>
              <w:t>CSF (5 μg/kg, sc.): 5</w:t>
            </w:r>
            <w:r w:rsidRPr="00D045B3">
              <w:rPr>
                <w:color w:val="000000"/>
                <w:lang w:val="hu-HU"/>
              </w:rPr>
              <w:noBreakHyphen/>
              <w:t>14. nap vagy addig, amíg az ANC &gt; 1500 a mélypont után</w:t>
            </w:r>
          </w:p>
          <w:p w14:paraId="1E9273A6" w14:textId="77777777" w:rsidR="009827D6" w:rsidRPr="00D045B3" w:rsidRDefault="009827D6" w:rsidP="00804779">
            <w:pPr>
              <w:pStyle w:val="Endnotentext"/>
              <w:keepNext/>
              <w:rPr>
                <w:color w:val="000000"/>
                <w:lang w:val="hu-HU"/>
              </w:rPr>
            </w:pPr>
            <w:r w:rsidRPr="00D045B3">
              <w:rPr>
                <w:color w:val="000000"/>
                <w:lang w:val="hu-HU"/>
              </w:rPr>
              <w:t>Hármas i.t. kezelés (életkorra korrigált): 1. és 15. nap</w:t>
            </w:r>
          </w:p>
          <w:p w14:paraId="1E9273A7" w14:textId="77777777" w:rsidR="009827D6" w:rsidRPr="00D045B3" w:rsidRDefault="009827D6" w:rsidP="00804779">
            <w:pPr>
              <w:pStyle w:val="Endnotentext"/>
              <w:keepNext/>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7. és 15</w:t>
            </w:r>
            <w:r w:rsidRPr="00D045B3">
              <w:rPr>
                <w:color w:val="000000"/>
                <w:lang w:val="hu-HU"/>
              </w:rPr>
              <w:noBreakHyphen/>
              <w:t>21. nap</w:t>
            </w:r>
          </w:p>
        </w:tc>
      </w:tr>
      <w:tr w:rsidR="009827D6" w:rsidRPr="00D045B3" w14:paraId="1E9273B4" w14:textId="77777777" w:rsidTr="001A3A9D">
        <w:tc>
          <w:tcPr>
            <w:tcW w:w="2358" w:type="dxa"/>
            <w:shd w:val="clear" w:color="auto" w:fill="auto"/>
          </w:tcPr>
          <w:p w14:paraId="1E9273A9" w14:textId="77777777" w:rsidR="009827D6" w:rsidRPr="00D045B3" w:rsidRDefault="009827D6" w:rsidP="001A3A9D">
            <w:pPr>
              <w:pStyle w:val="Endnotentext"/>
              <w:widowControl w:val="0"/>
              <w:rPr>
                <w:color w:val="000000"/>
                <w:lang w:val="hu-HU"/>
              </w:rPr>
            </w:pPr>
            <w:r w:rsidRPr="00D045B3">
              <w:rPr>
                <w:color w:val="000000"/>
                <w:lang w:val="hu-HU"/>
              </w:rPr>
              <w:t>1. intenzifikációs blokk</w:t>
            </w:r>
          </w:p>
          <w:p w14:paraId="1E9273AA" w14:textId="77777777" w:rsidR="009827D6" w:rsidRPr="00D045B3" w:rsidRDefault="009827D6" w:rsidP="001A3A9D">
            <w:pPr>
              <w:pStyle w:val="Endnotentext"/>
              <w:widowControl w:val="0"/>
              <w:rPr>
                <w:color w:val="000000"/>
                <w:lang w:val="hu-HU"/>
              </w:rPr>
            </w:pPr>
            <w:r w:rsidRPr="00D045B3">
              <w:rPr>
                <w:color w:val="000000"/>
                <w:lang w:val="hu-HU"/>
              </w:rPr>
              <w:t>(9 hét)</w:t>
            </w:r>
          </w:p>
        </w:tc>
        <w:tc>
          <w:tcPr>
            <w:tcW w:w="6929" w:type="dxa"/>
            <w:shd w:val="clear" w:color="auto" w:fill="auto"/>
          </w:tcPr>
          <w:p w14:paraId="1E9273AB" w14:textId="77777777" w:rsidR="009827D6" w:rsidRPr="00D045B3" w:rsidRDefault="009827D6" w:rsidP="001A3A9D">
            <w:pPr>
              <w:pStyle w:val="Endnotentext"/>
              <w:widowControl w:val="0"/>
              <w:rPr>
                <w:color w:val="000000"/>
                <w:lang w:val="hu-HU"/>
              </w:rPr>
            </w:pPr>
            <w:r w:rsidRPr="00D045B3">
              <w:rPr>
                <w:color w:val="000000"/>
                <w:lang w:val="hu-HU"/>
              </w:rPr>
              <w:t>Metotrexát (5 g/m</w:t>
            </w:r>
            <w:r w:rsidRPr="00D045B3">
              <w:rPr>
                <w:color w:val="000000"/>
                <w:vertAlign w:val="superscript"/>
                <w:lang w:val="hu-HU"/>
              </w:rPr>
              <w:t>2</w:t>
            </w:r>
            <w:r w:rsidRPr="00D045B3">
              <w:rPr>
                <w:color w:val="000000"/>
                <w:lang w:val="hu-HU"/>
              </w:rPr>
              <w:t xml:space="preserve"> 24 óra alatt, iv.): 1. és 15. nap</w:t>
            </w:r>
          </w:p>
          <w:p w14:paraId="1E9273AC" w14:textId="77777777" w:rsidR="009827D6" w:rsidRPr="00D045B3" w:rsidRDefault="009827D6" w:rsidP="001A3A9D">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3., 16. és 17. nap</w:t>
            </w:r>
          </w:p>
          <w:p w14:paraId="1E9273AD" w14:textId="77777777" w:rsidR="009827D6" w:rsidRPr="00D045B3" w:rsidRDefault="009827D6" w:rsidP="001A3A9D">
            <w:pPr>
              <w:pStyle w:val="Endnotentext"/>
              <w:widowControl w:val="0"/>
              <w:rPr>
                <w:color w:val="000000"/>
                <w:lang w:val="hu-HU"/>
              </w:rPr>
            </w:pPr>
            <w:r w:rsidRPr="00D045B3">
              <w:rPr>
                <w:color w:val="000000"/>
                <w:lang w:val="hu-HU"/>
              </w:rPr>
              <w:t>Hármas i.t. kezelés (életkorra korrigált): 1. és 22. nap</w:t>
            </w:r>
          </w:p>
          <w:p w14:paraId="1E9273AE" w14:textId="77777777" w:rsidR="009827D6" w:rsidRPr="00D045B3" w:rsidRDefault="009827D6" w:rsidP="001A3A9D">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3AF" w14:textId="77777777" w:rsidR="009827D6" w:rsidRPr="00D045B3" w:rsidRDefault="009827D6" w:rsidP="001A3A9D">
            <w:pPr>
              <w:pStyle w:val="Endnotentext"/>
              <w:widowControl w:val="0"/>
              <w:rPr>
                <w:color w:val="000000"/>
                <w:lang w:val="hu-HU"/>
              </w:rPr>
            </w:pPr>
            <w:r w:rsidRPr="00D045B3">
              <w:rPr>
                <w:color w:val="000000"/>
                <w:lang w:val="hu-HU"/>
              </w:rPr>
              <w:t>CPM (300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3B0" w14:textId="77777777" w:rsidR="009827D6" w:rsidRPr="00D045B3" w:rsidRDefault="009827D6" w:rsidP="001A3A9D">
            <w:pPr>
              <w:pStyle w:val="Endnotentext"/>
              <w:widowControl w:val="0"/>
              <w:rPr>
                <w:color w:val="000000"/>
                <w:lang w:val="hu-HU"/>
              </w:rPr>
            </w:pPr>
            <w:r w:rsidRPr="00D045B3">
              <w:rPr>
                <w:color w:val="000000"/>
                <w:lang w:val="hu-HU"/>
              </w:rPr>
              <w:t>MESNA (150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3B1" w14:textId="77777777" w:rsidR="009827D6" w:rsidRPr="00D045B3" w:rsidRDefault="009827D6" w:rsidP="001A3A9D">
            <w:pPr>
              <w:pStyle w:val="Endnotentext"/>
              <w:widowControl w:val="0"/>
              <w:rPr>
                <w:color w:val="000000"/>
                <w:lang w:val="hu-HU"/>
              </w:rPr>
            </w:pPr>
            <w:r w:rsidRPr="00D045B3">
              <w:rPr>
                <w:color w:val="000000"/>
                <w:lang w:val="hu-HU"/>
              </w:rPr>
              <w:t>G</w:t>
            </w:r>
            <w:r w:rsidRPr="00D045B3">
              <w:rPr>
                <w:color w:val="000000"/>
                <w:lang w:val="hu-HU"/>
              </w:rPr>
              <w:noBreakHyphen/>
              <w:t>CSF (5 μg/kg, sc.): 27</w:t>
            </w:r>
            <w:r w:rsidRPr="00D045B3">
              <w:rPr>
                <w:color w:val="000000"/>
                <w:lang w:val="hu-HU"/>
              </w:rPr>
              <w:noBreakHyphen/>
              <w:t>36. nap vagy addig, amíg az ANC &gt; 1500 a mélypont után</w:t>
            </w:r>
          </w:p>
          <w:p w14:paraId="1E9273B2" w14:textId="77777777" w:rsidR="009827D6" w:rsidRPr="00D045B3" w:rsidRDefault="009827D6" w:rsidP="001A3A9D">
            <w:pPr>
              <w:pStyle w:val="Endnotentext"/>
              <w:widowControl w:val="0"/>
              <w:rPr>
                <w:color w:val="000000"/>
                <w:lang w:val="hu-HU"/>
              </w:rPr>
            </w:pPr>
            <w:r w:rsidRPr="00D045B3">
              <w:rPr>
                <w:color w:val="000000"/>
                <w:lang w:val="hu-HU"/>
              </w:rPr>
              <w:t>ARA</w:t>
            </w:r>
            <w:r w:rsidRPr="00D045B3">
              <w:rPr>
                <w:color w:val="000000"/>
                <w:lang w:val="hu-HU"/>
              </w:rPr>
              <w:noBreakHyphen/>
              <w:t>C (3 g/m</w:t>
            </w:r>
            <w:r w:rsidRPr="00D045B3">
              <w:rPr>
                <w:color w:val="000000"/>
                <w:vertAlign w:val="superscript"/>
                <w:lang w:val="hu-HU"/>
              </w:rPr>
              <w:t>2</w:t>
            </w:r>
            <w:r w:rsidRPr="00D045B3">
              <w:rPr>
                <w:color w:val="000000"/>
                <w:lang w:val="hu-HU"/>
              </w:rPr>
              <w:t>, 12 óránként, iv.): 43. 44. nap</w:t>
            </w:r>
          </w:p>
          <w:p w14:paraId="1E9273B3" w14:textId="77777777" w:rsidR="009827D6" w:rsidRPr="00D045B3" w:rsidRDefault="009827D6" w:rsidP="001A3A9D">
            <w:pPr>
              <w:pStyle w:val="Endnotentext"/>
              <w:widowControl w:val="0"/>
              <w:rPr>
                <w:color w:val="000000"/>
                <w:lang w:val="hu-HU"/>
              </w:rPr>
            </w:pPr>
            <w:r w:rsidRPr="00D045B3">
              <w:rPr>
                <w:color w:val="000000"/>
                <w:lang w:val="hu-HU"/>
              </w:rPr>
              <w:t>L</w:t>
            </w:r>
            <w:r w:rsidRPr="00D045B3">
              <w:rPr>
                <w:color w:val="000000"/>
                <w:lang w:val="hu-HU"/>
              </w:rPr>
              <w:noBreakHyphen/>
              <w:t>ASP (6000 NE/m</w:t>
            </w:r>
            <w:r w:rsidRPr="00D045B3">
              <w:rPr>
                <w:color w:val="000000"/>
                <w:vertAlign w:val="superscript"/>
                <w:lang w:val="hu-HU"/>
              </w:rPr>
              <w:t>2</w:t>
            </w:r>
            <w:r w:rsidRPr="00D045B3">
              <w:rPr>
                <w:color w:val="000000"/>
                <w:lang w:val="hu-HU"/>
              </w:rPr>
              <w:t>, i.m.): 44. Nap</w:t>
            </w:r>
          </w:p>
        </w:tc>
      </w:tr>
      <w:tr w:rsidR="009827D6" w:rsidRPr="00D045B3" w14:paraId="1E9273BE" w14:textId="77777777" w:rsidTr="001A3A9D">
        <w:tc>
          <w:tcPr>
            <w:tcW w:w="2358" w:type="dxa"/>
            <w:shd w:val="clear" w:color="auto" w:fill="auto"/>
          </w:tcPr>
          <w:p w14:paraId="1E9273B5" w14:textId="77777777" w:rsidR="009827D6" w:rsidRPr="00D045B3" w:rsidRDefault="009827D6" w:rsidP="001A3A9D">
            <w:pPr>
              <w:pStyle w:val="Endnotentext"/>
              <w:widowControl w:val="0"/>
              <w:rPr>
                <w:color w:val="000000"/>
                <w:lang w:val="hu-HU"/>
              </w:rPr>
            </w:pPr>
            <w:r w:rsidRPr="00D045B3">
              <w:rPr>
                <w:color w:val="000000"/>
                <w:lang w:val="hu-HU"/>
              </w:rPr>
              <w:t>2. reindukciós blokk</w:t>
            </w:r>
          </w:p>
          <w:p w14:paraId="1E9273B6" w14:textId="77777777" w:rsidR="009827D6" w:rsidRPr="00D045B3" w:rsidRDefault="009827D6" w:rsidP="001A3A9D">
            <w:pPr>
              <w:pStyle w:val="Endnotentext"/>
              <w:widowControl w:val="0"/>
              <w:rPr>
                <w:color w:val="000000"/>
                <w:lang w:val="hu-HU"/>
              </w:rPr>
            </w:pPr>
            <w:r w:rsidRPr="00D045B3">
              <w:rPr>
                <w:color w:val="000000"/>
                <w:lang w:val="hu-HU"/>
              </w:rPr>
              <w:t>(3 hét)</w:t>
            </w:r>
          </w:p>
        </w:tc>
        <w:tc>
          <w:tcPr>
            <w:tcW w:w="6929" w:type="dxa"/>
            <w:shd w:val="clear" w:color="auto" w:fill="auto"/>
          </w:tcPr>
          <w:p w14:paraId="1E9273B7" w14:textId="77777777" w:rsidR="009827D6" w:rsidRPr="00D045B3" w:rsidRDefault="009827D6" w:rsidP="001A3A9D">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8. és 15. nap</w:t>
            </w:r>
          </w:p>
          <w:p w14:paraId="1E9273B8" w14:textId="77777777" w:rsidR="009827D6" w:rsidRPr="00D045B3" w:rsidRDefault="009827D6" w:rsidP="001A3A9D">
            <w:pPr>
              <w:pStyle w:val="Endnotentext"/>
              <w:widowControl w:val="0"/>
              <w:rPr>
                <w:color w:val="000000"/>
                <w:lang w:val="hu-HU"/>
              </w:rPr>
            </w:pPr>
            <w:r w:rsidRPr="00D045B3">
              <w:rPr>
                <w:color w:val="000000"/>
                <w:lang w:val="hu-HU"/>
              </w:rPr>
              <w:t>DAUN (45 mg/m</w:t>
            </w:r>
            <w:r w:rsidRPr="00D045B3">
              <w:rPr>
                <w:color w:val="000000"/>
                <w:vertAlign w:val="superscript"/>
                <w:lang w:val="hu-HU"/>
              </w:rPr>
              <w:t>2</w:t>
            </w:r>
            <w:r w:rsidRPr="00D045B3">
              <w:rPr>
                <w:color w:val="000000"/>
                <w:lang w:val="hu-HU"/>
              </w:rPr>
              <w:t>/nap bólus, iv.): 1. és 2. nap</w:t>
            </w:r>
          </w:p>
          <w:p w14:paraId="1E9273B9" w14:textId="77777777" w:rsidR="009827D6" w:rsidRPr="00D045B3" w:rsidRDefault="009827D6" w:rsidP="001A3A9D">
            <w:pPr>
              <w:pStyle w:val="Endnotentext"/>
              <w:widowControl w:val="0"/>
              <w:rPr>
                <w:color w:val="000000"/>
                <w:lang w:val="hu-HU"/>
              </w:rPr>
            </w:pPr>
            <w:r w:rsidRPr="00D045B3">
              <w:rPr>
                <w:color w:val="000000"/>
                <w:lang w:val="hu-HU"/>
              </w:rPr>
              <w:t>CPM (250 mg/m</w:t>
            </w:r>
            <w:r w:rsidRPr="00D045B3">
              <w:rPr>
                <w:color w:val="000000"/>
                <w:vertAlign w:val="superscript"/>
                <w:lang w:val="hu-HU"/>
              </w:rPr>
              <w:t>2</w:t>
            </w:r>
            <w:r w:rsidRPr="00D045B3">
              <w:rPr>
                <w:color w:val="000000"/>
                <w:lang w:val="hu-HU"/>
              </w:rPr>
              <w:t>/dózis 12 óránként, 4 dózis, iv.): 3. és 4. nap</w:t>
            </w:r>
          </w:p>
          <w:p w14:paraId="1E9273BA" w14:textId="77777777" w:rsidR="009827D6" w:rsidRPr="00D045B3" w:rsidRDefault="009827D6" w:rsidP="001A3A9D">
            <w:pPr>
              <w:pStyle w:val="Endnotentext"/>
              <w:widowControl w:val="0"/>
              <w:rPr>
                <w:color w:val="000000"/>
                <w:lang w:val="hu-HU"/>
              </w:rPr>
            </w:pPr>
            <w:r w:rsidRPr="00D045B3">
              <w:rPr>
                <w:color w:val="000000"/>
                <w:lang w:val="hu-HU"/>
              </w:rPr>
              <w:t>PEG</w:t>
            </w:r>
            <w:r w:rsidRPr="00D045B3">
              <w:rPr>
                <w:color w:val="000000"/>
                <w:lang w:val="hu-HU"/>
              </w:rPr>
              <w:noBreakHyphen/>
              <w:t>ASP (2500 NE/m</w:t>
            </w:r>
            <w:r w:rsidRPr="00D045B3">
              <w:rPr>
                <w:color w:val="000000"/>
                <w:vertAlign w:val="superscript"/>
                <w:lang w:val="hu-HU"/>
              </w:rPr>
              <w:t>2</w:t>
            </w:r>
            <w:r w:rsidRPr="00D045B3">
              <w:rPr>
                <w:color w:val="000000"/>
                <w:lang w:val="hu-HU"/>
              </w:rPr>
              <w:t>, i.m.): 4. nap</w:t>
            </w:r>
          </w:p>
          <w:p w14:paraId="1E9273BB" w14:textId="77777777" w:rsidR="009827D6" w:rsidRPr="00D045B3" w:rsidRDefault="009827D6" w:rsidP="001A3A9D">
            <w:pPr>
              <w:pStyle w:val="Endnotentext"/>
              <w:widowControl w:val="0"/>
              <w:rPr>
                <w:color w:val="000000"/>
                <w:lang w:val="hu-HU"/>
              </w:rPr>
            </w:pPr>
            <w:r w:rsidRPr="00D045B3">
              <w:rPr>
                <w:color w:val="000000"/>
                <w:lang w:val="hu-HU"/>
              </w:rPr>
              <w:t>G</w:t>
            </w:r>
            <w:r w:rsidRPr="00D045B3">
              <w:rPr>
                <w:color w:val="000000"/>
                <w:lang w:val="hu-HU"/>
              </w:rPr>
              <w:noBreakHyphen/>
              <w:t>CSF (5 μg/kg, sc.): 5</w:t>
            </w:r>
            <w:r w:rsidRPr="00D045B3">
              <w:rPr>
                <w:color w:val="000000"/>
                <w:lang w:val="hu-HU"/>
              </w:rPr>
              <w:noBreakHyphen/>
              <w:t>14. nap vagy addig, amíg az ANC &gt; 1500 a mélypont után</w:t>
            </w:r>
          </w:p>
          <w:p w14:paraId="1E9273BC" w14:textId="77777777" w:rsidR="009827D6" w:rsidRPr="00D045B3" w:rsidRDefault="009827D6" w:rsidP="001A3A9D">
            <w:pPr>
              <w:pStyle w:val="Endnotentext"/>
              <w:widowControl w:val="0"/>
              <w:rPr>
                <w:color w:val="000000"/>
                <w:lang w:val="hu-HU"/>
              </w:rPr>
            </w:pPr>
            <w:r w:rsidRPr="00D045B3">
              <w:rPr>
                <w:color w:val="000000"/>
                <w:lang w:val="hu-HU"/>
              </w:rPr>
              <w:t>Hármas i.t. kezelés (életkorra korrigált): 1. és 15. nap</w:t>
            </w:r>
          </w:p>
          <w:p w14:paraId="1E9273BD" w14:textId="77777777" w:rsidR="009827D6" w:rsidRPr="00D045B3" w:rsidRDefault="009827D6" w:rsidP="001A3A9D">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7. és 15</w:t>
            </w:r>
            <w:r w:rsidRPr="00D045B3">
              <w:rPr>
                <w:color w:val="000000"/>
                <w:lang w:val="hu-HU"/>
              </w:rPr>
              <w:noBreakHyphen/>
              <w:t>21. nap</w:t>
            </w:r>
          </w:p>
        </w:tc>
      </w:tr>
      <w:tr w:rsidR="009827D6" w:rsidRPr="00D045B3" w14:paraId="1E9273CA" w14:textId="77777777" w:rsidTr="001A3A9D">
        <w:tc>
          <w:tcPr>
            <w:tcW w:w="2358" w:type="dxa"/>
            <w:shd w:val="clear" w:color="auto" w:fill="auto"/>
          </w:tcPr>
          <w:p w14:paraId="1E9273BF" w14:textId="77777777" w:rsidR="009827D6" w:rsidRPr="00D045B3" w:rsidRDefault="009827D6" w:rsidP="001A3A9D">
            <w:pPr>
              <w:pStyle w:val="Endnotentext"/>
              <w:widowControl w:val="0"/>
              <w:rPr>
                <w:color w:val="000000"/>
                <w:lang w:val="hu-HU"/>
              </w:rPr>
            </w:pPr>
            <w:r w:rsidRPr="00D045B3">
              <w:rPr>
                <w:color w:val="000000"/>
                <w:lang w:val="hu-HU"/>
              </w:rPr>
              <w:t>2. intenzifikációs blokk</w:t>
            </w:r>
          </w:p>
          <w:p w14:paraId="1E9273C0" w14:textId="77777777" w:rsidR="009827D6" w:rsidRPr="00D045B3" w:rsidRDefault="009827D6" w:rsidP="001A3A9D">
            <w:pPr>
              <w:pStyle w:val="Endnotentext"/>
              <w:widowControl w:val="0"/>
              <w:rPr>
                <w:color w:val="000000"/>
                <w:lang w:val="hu-HU"/>
              </w:rPr>
            </w:pPr>
            <w:r w:rsidRPr="00D045B3">
              <w:rPr>
                <w:color w:val="000000"/>
                <w:lang w:val="hu-HU"/>
              </w:rPr>
              <w:t>(9 hét)</w:t>
            </w:r>
          </w:p>
        </w:tc>
        <w:tc>
          <w:tcPr>
            <w:tcW w:w="6929" w:type="dxa"/>
            <w:shd w:val="clear" w:color="auto" w:fill="auto"/>
          </w:tcPr>
          <w:p w14:paraId="1E9273C1" w14:textId="77777777" w:rsidR="009827D6" w:rsidRPr="00D045B3" w:rsidRDefault="009827D6" w:rsidP="001A3A9D">
            <w:pPr>
              <w:pStyle w:val="Endnotentext"/>
              <w:widowControl w:val="0"/>
              <w:rPr>
                <w:color w:val="000000"/>
                <w:lang w:val="hu-HU"/>
              </w:rPr>
            </w:pPr>
            <w:r w:rsidRPr="00D045B3">
              <w:rPr>
                <w:color w:val="000000"/>
                <w:lang w:val="hu-HU"/>
              </w:rPr>
              <w:t>Metotrexát (5 g/m</w:t>
            </w:r>
            <w:r w:rsidRPr="00D045B3">
              <w:rPr>
                <w:color w:val="000000"/>
                <w:vertAlign w:val="superscript"/>
                <w:lang w:val="hu-HU"/>
              </w:rPr>
              <w:t>2</w:t>
            </w:r>
            <w:r w:rsidRPr="00D045B3">
              <w:rPr>
                <w:color w:val="000000"/>
                <w:lang w:val="hu-HU"/>
              </w:rPr>
              <w:t xml:space="preserve"> 24 óra alatt, iv.): 1. és 15. nap</w:t>
            </w:r>
          </w:p>
          <w:p w14:paraId="1E9273C2" w14:textId="77777777" w:rsidR="009827D6" w:rsidRPr="00D045B3" w:rsidRDefault="009827D6" w:rsidP="001A3A9D">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3., 16. és 17. nap</w:t>
            </w:r>
          </w:p>
          <w:p w14:paraId="1E9273C3" w14:textId="77777777" w:rsidR="009827D6" w:rsidRPr="00D045B3" w:rsidRDefault="009827D6" w:rsidP="001A3A9D">
            <w:pPr>
              <w:pStyle w:val="Endnotentext"/>
              <w:widowControl w:val="0"/>
              <w:rPr>
                <w:color w:val="000000"/>
                <w:lang w:val="hu-HU"/>
              </w:rPr>
            </w:pPr>
            <w:r w:rsidRPr="00D045B3">
              <w:rPr>
                <w:color w:val="000000"/>
                <w:lang w:val="hu-HU"/>
              </w:rPr>
              <w:t>Hármas i.t. kezelés (életkorra korrigált): 1. és 22. nap</w:t>
            </w:r>
          </w:p>
          <w:p w14:paraId="1E9273C4" w14:textId="77777777" w:rsidR="009827D6" w:rsidRPr="00D045B3" w:rsidRDefault="009827D6" w:rsidP="001A3A9D">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3C5" w14:textId="77777777" w:rsidR="009827D6" w:rsidRPr="00D045B3" w:rsidRDefault="009827D6" w:rsidP="001A3A9D">
            <w:pPr>
              <w:pStyle w:val="Endnotentext"/>
              <w:widowControl w:val="0"/>
              <w:rPr>
                <w:color w:val="000000"/>
                <w:lang w:val="hu-HU"/>
              </w:rPr>
            </w:pPr>
            <w:r w:rsidRPr="00D045B3">
              <w:rPr>
                <w:color w:val="000000"/>
                <w:lang w:val="hu-HU"/>
              </w:rPr>
              <w:t>CPM (300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3C6" w14:textId="77777777" w:rsidR="009827D6" w:rsidRPr="00D045B3" w:rsidRDefault="009827D6" w:rsidP="001A3A9D">
            <w:pPr>
              <w:pStyle w:val="Endnotentext"/>
              <w:widowControl w:val="0"/>
              <w:rPr>
                <w:color w:val="000000"/>
                <w:lang w:val="hu-HU"/>
              </w:rPr>
            </w:pPr>
            <w:r w:rsidRPr="00D045B3">
              <w:rPr>
                <w:color w:val="000000"/>
                <w:lang w:val="hu-HU"/>
              </w:rPr>
              <w:t>MESNA (150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3C7" w14:textId="77777777" w:rsidR="009827D6" w:rsidRPr="00D045B3" w:rsidRDefault="009827D6" w:rsidP="001A3A9D">
            <w:pPr>
              <w:pStyle w:val="Endnotentext"/>
              <w:widowControl w:val="0"/>
              <w:rPr>
                <w:color w:val="000000"/>
                <w:lang w:val="hu-HU"/>
              </w:rPr>
            </w:pPr>
            <w:r w:rsidRPr="00D045B3">
              <w:rPr>
                <w:color w:val="000000"/>
                <w:lang w:val="hu-HU"/>
              </w:rPr>
              <w:t>G</w:t>
            </w:r>
            <w:r w:rsidRPr="00D045B3">
              <w:rPr>
                <w:color w:val="000000"/>
                <w:lang w:val="hu-HU"/>
              </w:rPr>
              <w:noBreakHyphen/>
              <w:t>CSF (5 μg/kg, sc.): 27</w:t>
            </w:r>
            <w:r w:rsidRPr="00D045B3">
              <w:rPr>
                <w:color w:val="000000"/>
                <w:lang w:val="hu-HU"/>
              </w:rPr>
              <w:noBreakHyphen/>
              <w:t>36. nap vagy addig, amíg az ANC &gt; 1500 a mélypont után</w:t>
            </w:r>
          </w:p>
          <w:p w14:paraId="1E9273C8" w14:textId="77777777" w:rsidR="009827D6" w:rsidRPr="00D045B3" w:rsidRDefault="009827D6" w:rsidP="001A3A9D">
            <w:pPr>
              <w:pStyle w:val="Endnotentext"/>
              <w:widowControl w:val="0"/>
              <w:rPr>
                <w:color w:val="000000"/>
                <w:lang w:val="hu-HU"/>
              </w:rPr>
            </w:pPr>
            <w:r w:rsidRPr="00D045B3">
              <w:rPr>
                <w:color w:val="000000"/>
                <w:lang w:val="hu-HU"/>
              </w:rPr>
              <w:t>ARA</w:t>
            </w:r>
            <w:r w:rsidRPr="00D045B3">
              <w:rPr>
                <w:color w:val="000000"/>
                <w:lang w:val="hu-HU"/>
              </w:rPr>
              <w:noBreakHyphen/>
              <w:t>C (3 g/m</w:t>
            </w:r>
            <w:r w:rsidRPr="00D045B3">
              <w:rPr>
                <w:color w:val="000000"/>
                <w:vertAlign w:val="superscript"/>
                <w:lang w:val="hu-HU"/>
              </w:rPr>
              <w:t>2</w:t>
            </w:r>
            <w:r w:rsidRPr="00D045B3">
              <w:rPr>
                <w:color w:val="000000"/>
                <w:lang w:val="hu-HU"/>
              </w:rPr>
              <w:t>, 12 óránként, iv.): 43., 44. nap</w:t>
            </w:r>
          </w:p>
          <w:p w14:paraId="1E9273C9" w14:textId="77777777" w:rsidR="009827D6" w:rsidRPr="00D045B3" w:rsidRDefault="009827D6" w:rsidP="001A3A9D">
            <w:pPr>
              <w:pStyle w:val="Endnotentext"/>
              <w:widowControl w:val="0"/>
              <w:rPr>
                <w:color w:val="000000"/>
                <w:lang w:val="hu-HU"/>
              </w:rPr>
            </w:pPr>
            <w:r w:rsidRPr="00D045B3">
              <w:rPr>
                <w:color w:val="000000"/>
                <w:lang w:val="hu-HU"/>
              </w:rPr>
              <w:t>L</w:t>
            </w:r>
            <w:r w:rsidRPr="00D045B3">
              <w:rPr>
                <w:color w:val="000000"/>
                <w:lang w:val="hu-HU"/>
              </w:rPr>
              <w:noBreakHyphen/>
              <w:t>ASP (6000 NE/m</w:t>
            </w:r>
            <w:r w:rsidRPr="00D045B3">
              <w:rPr>
                <w:color w:val="000000"/>
                <w:vertAlign w:val="superscript"/>
                <w:lang w:val="hu-HU"/>
              </w:rPr>
              <w:t>2</w:t>
            </w:r>
            <w:r w:rsidRPr="00D045B3">
              <w:rPr>
                <w:color w:val="000000"/>
                <w:lang w:val="hu-HU"/>
              </w:rPr>
              <w:t>, i.m.): 44. Nap</w:t>
            </w:r>
          </w:p>
        </w:tc>
      </w:tr>
      <w:tr w:rsidR="009827D6" w:rsidRPr="00D045B3" w14:paraId="1E9273D9" w14:textId="77777777" w:rsidTr="001A3A9D">
        <w:tc>
          <w:tcPr>
            <w:tcW w:w="2358" w:type="dxa"/>
            <w:shd w:val="clear" w:color="auto" w:fill="auto"/>
          </w:tcPr>
          <w:p w14:paraId="1E9273CB" w14:textId="77777777" w:rsidR="009827D6" w:rsidRPr="00D045B3" w:rsidRDefault="009827D6" w:rsidP="001A3A9D">
            <w:pPr>
              <w:pStyle w:val="Endnotentext"/>
              <w:widowControl w:val="0"/>
              <w:rPr>
                <w:color w:val="000000"/>
                <w:lang w:val="hu-HU"/>
              </w:rPr>
            </w:pPr>
            <w:r w:rsidRPr="00D045B3">
              <w:rPr>
                <w:color w:val="000000"/>
                <w:lang w:val="hu-HU"/>
              </w:rPr>
              <w:t>Fenntartó kezelés</w:t>
            </w:r>
          </w:p>
          <w:p w14:paraId="1E9273CC" w14:textId="77777777" w:rsidR="009827D6" w:rsidRPr="00D045B3" w:rsidRDefault="009827D6" w:rsidP="001A3A9D">
            <w:pPr>
              <w:pStyle w:val="Endnotentext"/>
              <w:widowControl w:val="0"/>
              <w:rPr>
                <w:color w:val="000000"/>
                <w:lang w:val="hu-HU"/>
              </w:rPr>
            </w:pPr>
            <w:r w:rsidRPr="00D045B3">
              <w:rPr>
                <w:color w:val="000000"/>
                <w:lang w:val="hu-HU"/>
              </w:rPr>
              <w:t>(8 hetes ciklusok)</w:t>
            </w:r>
          </w:p>
          <w:p w14:paraId="1E9273CD" w14:textId="77777777" w:rsidR="009827D6" w:rsidRPr="00D045B3" w:rsidRDefault="009827D6" w:rsidP="001A3A9D">
            <w:pPr>
              <w:pStyle w:val="Endnotentext"/>
              <w:widowControl w:val="0"/>
              <w:rPr>
                <w:color w:val="000000"/>
                <w:lang w:val="hu-HU"/>
              </w:rPr>
            </w:pPr>
            <w:r w:rsidRPr="00D045B3">
              <w:rPr>
                <w:color w:val="000000"/>
                <w:lang w:val="hu-HU"/>
              </w:rPr>
              <w:t>1–4. Ciklus</w:t>
            </w:r>
          </w:p>
        </w:tc>
        <w:tc>
          <w:tcPr>
            <w:tcW w:w="6929" w:type="dxa"/>
            <w:shd w:val="clear" w:color="auto" w:fill="auto"/>
          </w:tcPr>
          <w:p w14:paraId="1E9273CE" w14:textId="77777777" w:rsidR="009827D6" w:rsidRPr="00D045B3" w:rsidRDefault="009827D6" w:rsidP="001A3A9D">
            <w:pPr>
              <w:pStyle w:val="Endnotentext"/>
              <w:widowControl w:val="0"/>
              <w:rPr>
                <w:color w:val="000000"/>
                <w:lang w:val="hu-HU"/>
              </w:rPr>
            </w:pPr>
            <w:r w:rsidRPr="00D045B3">
              <w:rPr>
                <w:color w:val="000000"/>
                <w:lang w:val="hu-HU"/>
              </w:rPr>
              <w:t>MTX (5 g/m</w:t>
            </w:r>
            <w:r w:rsidRPr="00D045B3">
              <w:rPr>
                <w:color w:val="000000"/>
                <w:vertAlign w:val="superscript"/>
                <w:lang w:val="hu-HU"/>
              </w:rPr>
              <w:t>2</w:t>
            </w:r>
            <w:r w:rsidRPr="00D045B3">
              <w:rPr>
                <w:color w:val="000000"/>
                <w:lang w:val="hu-HU"/>
              </w:rPr>
              <w:t xml:space="preserve"> 24 óra alatt, iv.): 1. nap</w:t>
            </w:r>
          </w:p>
          <w:p w14:paraId="1E9273CF" w14:textId="77777777" w:rsidR="009827D6" w:rsidRPr="00D045B3" w:rsidRDefault="009827D6" w:rsidP="001A3A9D">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és 3. nap</w:t>
            </w:r>
          </w:p>
          <w:p w14:paraId="1E9273D0" w14:textId="77777777" w:rsidR="009827D6" w:rsidRPr="00D045B3" w:rsidRDefault="009827D6" w:rsidP="001A3A9D">
            <w:pPr>
              <w:pStyle w:val="Endnotentext"/>
              <w:widowControl w:val="0"/>
              <w:rPr>
                <w:color w:val="000000"/>
                <w:lang w:val="hu-HU"/>
              </w:rPr>
            </w:pPr>
            <w:r w:rsidRPr="00D045B3">
              <w:rPr>
                <w:color w:val="000000"/>
                <w:lang w:val="hu-HU"/>
              </w:rPr>
              <w:t>Hármas i.t. kezelés (életkorra korrigált): 1., 29. nap</w:t>
            </w:r>
          </w:p>
          <w:p w14:paraId="1E9273D1" w14:textId="77777777" w:rsidR="009827D6" w:rsidRPr="00D045B3" w:rsidRDefault="009827D6" w:rsidP="001A3A9D">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 iv.): 1., 29. nap</w:t>
            </w:r>
          </w:p>
          <w:p w14:paraId="1E9273D2" w14:textId="77777777" w:rsidR="009827D6" w:rsidRPr="00D045B3" w:rsidRDefault="009827D6" w:rsidP="001A3A9D">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5.; 29</w:t>
            </w:r>
            <w:r w:rsidRPr="00D045B3">
              <w:rPr>
                <w:color w:val="000000"/>
                <w:lang w:val="hu-HU"/>
              </w:rPr>
              <w:noBreakHyphen/>
              <w:t>33. nap</w:t>
            </w:r>
          </w:p>
          <w:p w14:paraId="1E9273D3" w14:textId="77777777" w:rsidR="009827D6" w:rsidRPr="00D045B3" w:rsidRDefault="009827D6" w:rsidP="001A3A9D">
            <w:pPr>
              <w:pStyle w:val="Endnotentext"/>
              <w:widowControl w:val="0"/>
              <w:rPr>
                <w:color w:val="000000"/>
                <w:lang w:val="hu-HU"/>
              </w:rPr>
            </w:pPr>
            <w:r w:rsidRPr="00D045B3">
              <w:rPr>
                <w:color w:val="000000"/>
                <w:lang w:val="hu-HU"/>
              </w:rPr>
              <w:t>6</w:t>
            </w:r>
            <w:r w:rsidRPr="00D045B3">
              <w:rPr>
                <w:color w:val="000000"/>
                <w:lang w:val="hu-HU"/>
              </w:rPr>
              <w:noBreakHyphen/>
              <w:t>MP (75 mg/m</w:t>
            </w:r>
            <w:r w:rsidRPr="00D045B3">
              <w:rPr>
                <w:color w:val="000000"/>
                <w:vertAlign w:val="superscript"/>
                <w:lang w:val="hu-HU"/>
              </w:rPr>
              <w:t>2</w:t>
            </w:r>
            <w:r w:rsidRPr="00D045B3">
              <w:rPr>
                <w:color w:val="000000"/>
                <w:lang w:val="hu-HU"/>
              </w:rPr>
              <w:t>/nap, p.o.): 8</w:t>
            </w:r>
            <w:r w:rsidRPr="00D045B3">
              <w:rPr>
                <w:color w:val="000000"/>
                <w:lang w:val="hu-HU"/>
              </w:rPr>
              <w:noBreakHyphen/>
              <w:t>28. nap</w:t>
            </w:r>
          </w:p>
          <w:p w14:paraId="1E9273D4" w14:textId="77777777" w:rsidR="009827D6" w:rsidRPr="00D045B3" w:rsidRDefault="009827D6" w:rsidP="001A3A9D">
            <w:pPr>
              <w:pStyle w:val="Endnotentext"/>
              <w:widowControl w:val="0"/>
              <w:rPr>
                <w:color w:val="000000"/>
                <w:lang w:val="hu-HU"/>
              </w:rPr>
            </w:pPr>
            <w:r w:rsidRPr="00D045B3">
              <w:rPr>
                <w:color w:val="000000"/>
                <w:lang w:val="hu-HU"/>
              </w:rPr>
              <w:t>Metotrexát (20 mg/m</w:t>
            </w:r>
            <w:r w:rsidRPr="00D045B3">
              <w:rPr>
                <w:color w:val="000000"/>
                <w:vertAlign w:val="superscript"/>
                <w:lang w:val="hu-HU"/>
              </w:rPr>
              <w:t>2</w:t>
            </w:r>
            <w:r w:rsidRPr="00D045B3">
              <w:rPr>
                <w:color w:val="000000"/>
                <w:lang w:val="hu-HU"/>
              </w:rPr>
              <w:t>/hét, p.o.): 8., 15., 22. nap</w:t>
            </w:r>
          </w:p>
          <w:p w14:paraId="1E9273D5" w14:textId="77777777" w:rsidR="009827D6" w:rsidRPr="00D045B3" w:rsidRDefault="009827D6" w:rsidP="001A3A9D">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 iv.): 29</w:t>
            </w:r>
            <w:r w:rsidRPr="00D045B3">
              <w:rPr>
                <w:color w:val="000000"/>
                <w:lang w:val="hu-HU"/>
              </w:rPr>
              <w:noBreakHyphen/>
              <w:t>33. nap</w:t>
            </w:r>
          </w:p>
          <w:p w14:paraId="1E9273D6" w14:textId="77777777" w:rsidR="009827D6" w:rsidRPr="00D045B3" w:rsidRDefault="009827D6" w:rsidP="001A3A9D">
            <w:pPr>
              <w:pStyle w:val="Endnotentext"/>
              <w:widowControl w:val="0"/>
              <w:rPr>
                <w:color w:val="000000"/>
                <w:lang w:val="hu-HU"/>
              </w:rPr>
            </w:pPr>
            <w:r w:rsidRPr="00D045B3">
              <w:rPr>
                <w:color w:val="000000"/>
                <w:lang w:val="hu-HU"/>
              </w:rPr>
              <w:t>CPM (300 mg/m</w:t>
            </w:r>
            <w:r w:rsidRPr="00D045B3">
              <w:rPr>
                <w:color w:val="000000"/>
                <w:vertAlign w:val="superscript"/>
                <w:lang w:val="hu-HU"/>
              </w:rPr>
              <w:t>2</w:t>
            </w:r>
            <w:r w:rsidRPr="00D045B3">
              <w:rPr>
                <w:color w:val="000000"/>
                <w:lang w:val="hu-HU"/>
              </w:rPr>
              <w:t>, iv.): 29</w:t>
            </w:r>
            <w:r w:rsidRPr="00D045B3">
              <w:rPr>
                <w:color w:val="000000"/>
                <w:lang w:val="hu-HU"/>
              </w:rPr>
              <w:noBreakHyphen/>
              <w:t>33. nap</w:t>
            </w:r>
          </w:p>
          <w:p w14:paraId="1E9273D7" w14:textId="77777777" w:rsidR="009827D6" w:rsidRPr="00D045B3" w:rsidRDefault="009827D6" w:rsidP="001A3A9D">
            <w:pPr>
              <w:pStyle w:val="Endnotentext"/>
              <w:widowControl w:val="0"/>
              <w:rPr>
                <w:color w:val="000000"/>
                <w:lang w:val="hu-HU"/>
              </w:rPr>
            </w:pPr>
            <w:r w:rsidRPr="00D045B3">
              <w:rPr>
                <w:color w:val="000000"/>
                <w:lang w:val="hu-HU"/>
              </w:rPr>
              <w:t>MESNA iv., 29</w:t>
            </w:r>
            <w:r w:rsidRPr="00D045B3">
              <w:rPr>
                <w:color w:val="000000"/>
                <w:lang w:val="hu-HU"/>
              </w:rPr>
              <w:noBreakHyphen/>
              <w:t>33. nap</w:t>
            </w:r>
          </w:p>
          <w:p w14:paraId="1E9273D8" w14:textId="77777777" w:rsidR="009827D6" w:rsidRPr="00D045B3" w:rsidRDefault="009827D6" w:rsidP="001A3A9D">
            <w:pPr>
              <w:pStyle w:val="Endnotentext"/>
              <w:widowControl w:val="0"/>
              <w:rPr>
                <w:color w:val="000000"/>
                <w:lang w:val="hu-HU"/>
              </w:rPr>
            </w:pPr>
            <w:r w:rsidRPr="00D045B3">
              <w:rPr>
                <w:color w:val="000000"/>
                <w:lang w:val="hu-HU"/>
              </w:rPr>
              <w:t>G</w:t>
            </w:r>
            <w:r w:rsidRPr="00D045B3">
              <w:rPr>
                <w:color w:val="000000"/>
                <w:lang w:val="hu-HU"/>
              </w:rPr>
              <w:noBreakHyphen/>
              <w:t>CSF (5 μg/kg, sc.): 34</w:t>
            </w:r>
            <w:r w:rsidRPr="00D045B3">
              <w:rPr>
                <w:color w:val="000000"/>
                <w:lang w:val="hu-HU"/>
              </w:rPr>
              <w:noBreakHyphen/>
              <w:t>43. Nap</w:t>
            </w:r>
          </w:p>
        </w:tc>
      </w:tr>
      <w:tr w:rsidR="009827D6" w:rsidRPr="00D045B3" w14:paraId="1E9273E4" w14:textId="77777777" w:rsidTr="001A3A9D">
        <w:tc>
          <w:tcPr>
            <w:tcW w:w="2358" w:type="dxa"/>
            <w:shd w:val="clear" w:color="auto" w:fill="auto"/>
          </w:tcPr>
          <w:p w14:paraId="1E9273DA" w14:textId="77777777" w:rsidR="009827D6" w:rsidRPr="00D045B3" w:rsidRDefault="009827D6" w:rsidP="001A3A9D">
            <w:pPr>
              <w:pStyle w:val="Endnotentext"/>
              <w:widowControl w:val="0"/>
              <w:rPr>
                <w:color w:val="000000"/>
                <w:lang w:val="hu-HU"/>
              </w:rPr>
            </w:pPr>
            <w:r w:rsidRPr="00D045B3">
              <w:rPr>
                <w:color w:val="000000"/>
                <w:lang w:val="hu-HU"/>
              </w:rPr>
              <w:t>Fenntartó kezelés</w:t>
            </w:r>
          </w:p>
          <w:p w14:paraId="1E9273DB" w14:textId="77777777" w:rsidR="009827D6" w:rsidRPr="00D045B3" w:rsidRDefault="009827D6" w:rsidP="001A3A9D">
            <w:pPr>
              <w:pStyle w:val="Endnotentext"/>
              <w:widowControl w:val="0"/>
              <w:rPr>
                <w:color w:val="000000"/>
                <w:lang w:val="hu-HU"/>
              </w:rPr>
            </w:pPr>
            <w:r w:rsidRPr="00D045B3">
              <w:rPr>
                <w:color w:val="000000"/>
                <w:lang w:val="hu-HU"/>
              </w:rPr>
              <w:t>(8 hetes ciklusok)</w:t>
            </w:r>
          </w:p>
          <w:p w14:paraId="1E9273DC" w14:textId="77777777" w:rsidR="009827D6" w:rsidRPr="00D045B3" w:rsidRDefault="009827D6" w:rsidP="001A3A9D">
            <w:pPr>
              <w:pStyle w:val="Endnotentext"/>
              <w:widowControl w:val="0"/>
              <w:rPr>
                <w:color w:val="000000"/>
                <w:lang w:val="hu-HU"/>
              </w:rPr>
            </w:pPr>
            <w:r w:rsidRPr="00D045B3">
              <w:rPr>
                <w:color w:val="000000"/>
                <w:lang w:val="hu-HU"/>
              </w:rPr>
              <w:t>5. ciklus</w:t>
            </w:r>
          </w:p>
        </w:tc>
        <w:tc>
          <w:tcPr>
            <w:tcW w:w="6929" w:type="dxa"/>
            <w:shd w:val="clear" w:color="auto" w:fill="auto"/>
          </w:tcPr>
          <w:p w14:paraId="1E9273DD" w14:textId="77777777" w:rsidR="009827D6" w:rsidRPr="00D045B3" w:rsidRDefault="009827D6" w:rsidP="001A3A9D">
            <w:pPr>
              <w:pStyle w:val="Endnotentext"/>
              <w:widowControl w:val="0"/>
              <w:rPr>
                <w:color w:val="000000"/>
                <w:lang w:val="hu-HU"/>
              </w:rPr>
            </w:pPr>
            <w:r w:rsidRPr="00D045B3">
              <w:rPr>
                <w:color w:val="000000"/>
                <w:lang w:val="hu-HU"/>
              </w:rPr>
              <w:t>Koponya irradiáció (csak az 5. blokkban)</w:t>
            </w:r>
          </w:p>
          <w:p w14:paraId="1E9273DE" w14:textId="77777777" w:rsidR="009827D6" w:rsidRPr="00D045B3" w:rsidRDefault="009827D6" w:rsidP="001A3A9D">
            <w:pPr>
              <w:pStyle w:val="Endnotentext"/>
              <w:widowControl w:val="0"/>
              <w:rPr>
                <w:color w:val="000000"/>
                <w:lang w:val="hu-HU"/>
              </w:rPr>
            </w:pPr>
            <w:r w:rsidRPr="00D045B3">
              <w:rPr>
                <w:color w:val="000000"/>
                <w:lang w:val="hu-HU"/>
              </w:rPr>
              <w:t>12 Gy 8 frakcióban, minden olyan betegnél, aki a diagnózis pillanatában CNS1 és CNS2 stádiumban van</w:t>
            </w:r>
          </w:p>
          <w:p w14:paraId="1E9273DF" w14:textId="77777777" w:rsidR="009827D6" w:rsidRPr="00D045B3" w:rsidRDefault="009827D6" w:rsidP="001A3A9D">
            <w:pPr>
              <w:pStyle w:val="Endnotentext"/>
              <w:widowControl w:val="0"/>
              <w:rPr>
                <w:color w:val="000000"/>
                <w:lang w:val="hu-HU"/>
              </w:rPr>
            </w:pPr>
            <w:r w:rsidRPr="00D045B3">
              <w:rPr>
                <w:color w:val="000000"/>
                <w:lang w:val="hu-HU"/>
              </w:rPr>
              <w:t>18 Gy 10 frakcióban, minden olyan betegnél, aki a diagnózis pillanatában CNS3 stádiumban van</w:t>
            </w:r>
          </w:p>
          <w:p w14:paraId="1E9273E0" w14:textId="77777777" w:rsidR="009827D6" w:rsidRPr="00D045B3" w:rsidRDefault="009827D6" w:rsidP="001A3A9D">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29. nap</w:t>
            </w:r>
          </w:p>
          <w:p w14:paraId="1E9273E1" w14:textId="77777777" w:rsidR="009827D6" w:rsidRPr="00D045B3" w:rsidRDefault="009827D6" w:rsidP="001A3A9D">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5.; 29</w:t>
            </w:r>
            <w:r w:rsidRPr="00D045B3">
              <w:rPr>
                <w:color w:val="000000"/>
                <w:lang w:val="hu-HU"/>
              </w:rPr>
              <w:noBreakHyphen/>
              <w:t>33. nap</w:t>
            </w:r>
          </w:p>
          <w:p w14:paraId="1E9273E2" w14:textId="77777777" w:rsidR="009827D6" w:rsidRPr="00D045B3" w:rsidRDefault="009827D6" w:rsidP="001A3A9D">
            <w:pPr>
              <w:pStyle w:val="Endnotentext"/>
              <w:widowControl w:val="0"/>
              <w:rPr>
                <w:color w:val="000000"/>
                <w:lang w:val="hu-HU"/>
              </w:rPr>
            </w:pPr>
            <w:r w:rsidRPr="00D045B3">
              <w:rPr>
                <w:color w:val="000000"/>
                <w:lang w:val="hu-HU"/>
              </w:rPr>
              <w:t>6</w:t>
            </w:r>
            <w:r w:rsidRPr="00D045B3">
              <w:rPr>
                <w:color w:val="000000"/>
                <w:lang w:val="hu-HU"/>
              </w:rPr>
              <w:noBreakHyphen/>
              <w:t>MP (75 mg/m</w:t>
            </w:r>
            <w:r w:rsidRPr="00D045B3">
              <w:rPr>
                <w:color w:val="000000"/>
                <w:vertAlign w:val="superscript"/>
                <w:lang w:val="hu-HU"/>
              </w:rPr>
              <w:t>2</w:t>
            </w:r>
            <w:r w:rsidRPr="00D045B3">
              <w:rPr>
                <w:color w:val="000000"/>
                <w:lang w:val="hu-HU"/>
              </w:rPr>
              <w:t>/nap, p.o.): 11</w:t>
            </w:r>
            <w:r w:rsidRPr="00D045B3">
              <w:rPr>
                <w:color w:val="000000"/>
                <w:lang w:val="hu-HU"/>
              </w:rPr>
              <w:noBreakHyphen/>
              <w:t>56. nap (Az 5. ciklus 1. napján kezdődő koponya irradiáció 6</w:t>
            </w:r>
            <w:r w:rsidRPr="00D045B3">
              <w:rPr>
                <w:color w:val="000000"/>
                <w:lang w:val="hu-HU"/>
              </w:rPr>
              <w:noBreakHyphen/>
              <w:t>10. napja alatt a 6</w:t>
            </w:r>
            <w:r w:rsidRPr="00D045B3">
              <w:rPr>
                <w:color w:val="000000"/>
                <w:lang w:val="hu-HU"/>
              </w:rPr>
              <w:noBreakHyphen/>
              <w:t>MP adását abba kell hagyni. A 6</w:t>
            </w:r>
            <w:r w:rsidRPr="00D045B3">
              <w:rPr>
                <w:color w:val="000000"/>
                <w:lang w:val="hu-HU"/>
              </w:rPr>
              <w:noBreakHyphen/>
              <w:t>MP</w:t>
            </w:r>
            <w:r w:rsidRPr="00D045B3">
              <w:rPr>
                <w:color w:val="000000"/>
                <w:lang w:val="hu-HU"/>
              </w:rPr>
              <w:noBreakHyphen/>
              <w:t>t a koponya irradiáció befejezése utáni 1. nap kell elkezdeni.)</w:t>
            </w:r>
          </w:p>
          <w:p w14:paraId="1E9273E3" w14:textId="77777777" w:rsidR="009827D6" w:rsidRPr="00D045B3" w:rsidRDefault="009827D6" w:rsidP="001A3A9D">
            <w:pPr>
              <w:pStyle w:val="Endnotentext"/>
              <w:widowControl w:val="0"/>
              <w:rPr>
                <w:color w:val="000000"/>
                <w:lang w:val="hu-HU"/>
              </w:rPr>
            </w:pPr>
            <w:r w:rsidRPr="00D045B3">
              <w:rPr>
                <w:color w:val="000000"/>
                <w:lang w:val="hu-HU"/>
              </w:rPr>
              <w:t>Metotrexát (20 mg/m</w:t>
            </w:r>
            <w:r w:rsidRPr="00D045B3">
              <w:rPr>
                <w:color w:val="000000"/>
                <w:vertAlign w:val="superscript"/>
                <w:lang w:val="hu-HU"/>
              </w:rPr>
              <w:t>2</w:t>
            </w:r>
            <w:r w:rsidRPr="00D045B3">
              <w:rPr>
                <w:color w:val="000000"/>
                <w:lang w:val="hu-HU"/>
              </w:rPr>
              <w:t>/hét, p.o.): 8., 15., 22., 29., 36., 43., 50. nap</w:t>
            </w:r>
          </w:p>
        </w:tc>
      </w:tr>
      <w:tr w:rsidR="009827D6" w:rsidRPr="00D045B3" w14:paraId="1E9273EC" w14:textId="77777777" w:rsidTr="001A3A9D">
        <w:tc>
          <w:tcPr>
            <w:tcW w:w="2358" w:type="dxa"/>
            <w:shd w:val="clear" w:color="auto" w:fill="auto"/>
          </w:tcPr>
          <w:p w14:paraId="1E9273E5" w14:textId="77777777" w:rsidR="009827D6" w:rsidRPr="00D045B3" w:rsidRDefault="009827D6" w:rsidP="001A3A9D">
            <w:pPr>
              <w:pStyle w:val="Endnotentext"/>
              <w:widowControl w:val="0"/>
              <w:rPr>
                <w:color w:val="000000"/>
                <w:lang w:val="hu-HU"/>
              </w:rPr>
            </w:pPr>
            <w:r w:rsidRPr="00D045B3">
              <w:rPr>
                <w:color w:val="000000"/>
                <w:lang w:val="hu-HU"/>
              </w:rPr>
              <w:t>Fenntartó kezelés</w:t>
            </w:r>
          </w:p>
          <w:p w14:paraId="1E9273E6" w14:textId="77777777" w:rsidR="009827D6" w:rsidRPr="00D045B3" w:rsidRDefault="009827D6" w:rsidP="001A3A9D">
            <w:pPr>
              <w:pStyle w:val="Endnotentext"/>
              <w:widowControl w:val="0"/>
              <w:rPr>
                <w:color w:val="000000"/>
                <w:lang w:val="hu-HU"/>
              </w:rPr>
            </w:pPr>
            <w:r w:rsidRPr="00D045B3">
              <w:rPr>
                <w:color w:val="000000"/>
                <w:lang w:val="hu-HU"/>
              </w:rPr>
              <w:t>(8 hetes ciklusok)</w:t>
            </w:r>
          </w:p>
          <w:p w14:paraId="1E9273E7" w14:textId="77777777" w:rsidR="009827D6" w:rsidRPr="00D045B3" w:rsidRDefault="009827D6" w:rsidP="001A3A9D">
            <w:pPr>
              <w:pStyle w:val="Endnotentext"/>
              <w:widowControl w:val="0"/>
              <w:rPr>
                <w:color w:val="000000"/>
                <w:lang w:val="hu-HU"/>
              </w:rPr>
            </w:pPr>
            <w:r w:rsidRPr="00D045B3">
              <w:rPr>
                <w:color w:val="000000"/>
                <w:lang w:val="hu-HU"/>
              </w:rPr>
              <w:t>6</w:t>
            </w:r>
            <w:r w:rsidRPr="00D045B3">
              <w:rPr>
                <w:color w:val="000000"/>
                <w:lang w:val="hu-HU"/>
              </w:rPr>
              <w:noBreakHyphen/>
              <w:t>12. ciklus</w:t>
            </w:r>
          </w:p>
        </w:tc>
        <w:tc>
          <w:tcPr>
            <w:tcW w:w="6929" w:type="dxa"/>
            <w:shd w:val="clear" w:color="auto" w:fill="auto"/>
          </w:tcPr>
          <w:p w14:paraId="1E9273E8" w14:textId="77777777" w:rsidR="009827D6" w:rsidRPr="00D045B3" w:rsidRDefault="009827D6" w:rsidP="001A3A9D">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29. nap</w:t>
            </w:r>
          </w:p>
          <w:p w14:paraId="1E9273E9" w14:textId="77777777" w:rsidR="009827D6" w:rsidRPr="00D045B3" w:rsidRDefault="009827D6" w:rsidP="001A3A9D">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5.; 29</w:t>
            </w:r>
            <w:r w:rsidRPr="00D045B3">
              <w:rPr>
                <w:color w:val="000000"/>
                <w:lang w:val="hu-HU"/>
              </w:rPr>
              <w:noBreakHyphen/>
              <w:t>33. nap</w:t>
            </w:r>
          </w:p>
          <w:p w14:paraId="1E9273EA" w14:textId="77777777" w:rsidR="009827D6" w:rsidRPr="00D045B3" w:rsidRDefault="009827D6" w:rsidP="001A3A9D">
            <w:pPr>
              <w:pStyle w:val="Endnotentext"/>
              <w:widowControl w:val="0"/>
              <w:rPr>
                <w:color w:val="000000"/>
                <w:lang w:val="hu-HU"/>
              </w:rPr>
            </w:pPr>
            <w:r w:rsidRPr="00D045B3">
              <w:rPr>
                <w:color w:val="000000"/>
                <w:lang w:val="hu-HU"/>
              </w:rPr>
              <w:t>6</w:t>
            </w:r>
            <w:r w:rsidRPr="00D045B3">
              <w:rPr>
                <w:color w:val="000000"/>
                <w:lang w:val="hu-HU"/>
              </w:rPr>
              <w:noBreakHyphen/>
              <w:t>MP (75 mg/m</w:t>
            </w:r>
            <w:r w:rsidRPr="00D045B3">
              <w:rPr>
                <w:color w:val="000000"/>
                <w:vertAlign w:val="superscript"/>
                <w:lang w:val="hu-HU"/>
              </w:rPr>
              <w:t>2</w:t>
            </w:r>
            <w:r w:rsidRPr="00D045B3">
              <w:rPr>
                <w:color w:val="000000"/>
                <w:lang w:val="hu-HU"/>
              </w:rPr>
              <w:t>/nap, p.o.): 1</w:t>
            </w:r>
            <w:r w:rsidRPr="00D045B3">
              <w:rPr>
                <w:color w:val="000000"/>
                <w:lang w:val="hu-HU"/>
              </w:rPr>
              <w:noBreakHyphen/>
              <w:t>56. nap</w:t>
            </w:r>
          </w:p>
          <w:p w14:paraId="1E9273EB" w14:textId="77777777" w:rsidR="009827D6" w:rsidRPr="00D045B3" w:rsidRDefault="009827D6" w:rsidP="001A3A9D">
            <w:pPr>
              <w:pStyle w:val="Endnotentext"/>
              <w:widowControl w:val="0"/>
              <w:rPr>
                <w:color w:val="000000"/>
                <w:lang w:val="hu-HU"/>
              </w:rPr>
            </w:pPr>
            <w:r w:rsidRPr="00D045B3">
              <w:rPr>
                <w:color w:val="000000"/>
                <w:lang w:val="hu-HU"/>
              </w:rPr>
              <w:t>Metotrexát (20 mg/m</w:t>
            </w:r>
            <w:r w:rsidRPr="00D045B3">
              <w:rPr>
                <w:color w:val="000000"/>
                <w:vertAlign w:val="superscript"/>
                <w:lang w:val="hu-HU"/>
              </w:rPr>
              <w:t>2</w:t>
            </w:r>
            <w:r w:rsidRPr="00D045B3">
              <w:rPr>
                <w:color w:val="000000"/>
                <w:lang w:val="hu-HU"/>
              </w:rPr>
              <w:t>/hét, p.o.): 1., 8., 15., 22., 29., 36., 43., 50. nap</w:t>
            </w:r>
          </w:p>
        </w:tc>
      </w:tr>
    </w:tbl>
    <w:p w14:paraId="1E9273ED" w14:textId="77777777" w:rsidR="009827D6" w:rsidRPr="00D045B3" w:rsidRDefault="009827D6" w:rsidP="009827D6">
      <w:pPr>
        <w:pStyle w:val="Endnotentext"/>
        <w:widowControl w:val="0"/>
        <w:rPr>
          <w:color w:val="000000"/>
          <w:szCs w:val="22"/>
          <w:lang w:val="hu-HU"/>
        </w:rPr>
      </w:pPr>
      <w:r w:rsidRPr="00D045B3">
        <w:rPr>
          <w:color w:val="000000"/>
          <w:lang w:val="hu-HU" w:eastAsia="hu-HU"/>
        </w:rPr>
        <w:t>G</w:t>
      </w:r>
      <w:r w:rsidRPr="00D045B3">
        <w:rPr>
          <w:color w:val="000000"/>
          <w:lang w:val="hu-HU"/>
        </w:rPr>
        <w:noBreakHyphen/>
      </w:r>
      <w:r w:rsidRPr="00D045B3">
        <w:rPr>
          <w:color w:val="000000"/>
          <w:lang w:val="hu-HU" w:eastAsia="hu-HU"/>
        </w:rPr>
        <w:t>CSF = granulocyta</w:t>
      </w:r>
      <w:r w:rsidRPr="00D045B3">
        <w:rPr>
          <w:color w:val="000000"/>
          <w:lang w:val="hu-HU"/>
        </w:rPr>
        <w:noBreakHyphen/>
      </w:r>
      <w:r w:rsidRPr="00D045B3">
        <w:rPr>
          <w:color w:val="000000"/>
          <w:lang w:val="hu-HU" w:eastAsia="hu-HU"/>
        </w:rPr>
        <w:t>kolónia stimuláló faktor, VP</w:t>
      </w:r>
      <w:r w:rsidRPr="00D045B3">
        <w:rPr>
          <w:color w:val="000000"/>
          <w:lang w:val="hu-HU"/>
        </w:rPr>
        <w:noBreakHyphen/>
      </w:r>
      <w:r w:rsidRPr="00D045B3">
        <w:rPr>
          <w:color w:val="000000"/>
          <w:lang w:val="hu-HU" w:eastAsia="hu-HU"/>
        </w:rPr>
        <w:t>16 = etopozid, MTX = metotrexát, iv. = intravénás, sc. = subcutan, i.t. = intrathecalis, p.o. = per os, i.m. = intramuscularis, ARA</w:t>
      </w:r>
      <w:r w:rsidRPr="00D045B3">
        <w:rPr>
          <w:color w:val="000000"/>
          <w:lang w:val="hu-HU"/>
        </w:rPr>
        <w:noBreakHyphen/>
      </w:r>
      <w:r w:rsidRPr="00D045B3">
        <w:rPr>
          <w:color w:val="000000"/>
          <w:lang w:val="hu-HU" w:eastAsia="hu-HU"/>
        </w:rPr>
        <w:t>C = citarabin, CPM = ciklofoszfamid, VCR = vinkrisztin, DEX = dexametazon, DAUN = daunorubicin, 6</w:t>
      </w:r>
      <w:r w:rsidRPr="00D045B3">
        <w:rPr>
          <w:color w:val="000000"/>
          <w:lang w:val="hu-HU"/>
        </w:rPr>
        <w:noBreakHyphen/>
      </w:r>
      <w:r w:rsidRPr="00D045B3">
        <w:rPr>
          <w:color w:val="000000"/>
          <w:lang w:val="hu-HU" w:eastAsia="hu-HU"/>
        </w:rPr>
        <w:t>MP = 6</w:t>
      </w:r>
      <w:r w:rsidRPr="00D045B3">
        <w:rPr>
          <w:color w:val="000000"/>
          <w:lang w:val="hu-HU"/>
        </w:rPr>
        <w:noBreakHyphen/>
      </w:r>
      <w:r w:rsidRPr="00D045B3">
        <w:rPr>
          <w:color w:val="000000"/>
          <w:lang w:val="hu-HU" w:eastAsia="hu-HU"/>
        </w:rPr>
        <w:t>merkaptopurin, E. Coli L</w:t>
      </w:r>
      <w:r w:rsidRPr="00D045B3">
        <w:rPr>
          <w:color w:val="000000"/>
          <w:lang w:val="hu-HU"/>
        </w:rPr>
        <w:noBreakHyphen/>
      </w:r>
      <w:r w:rsidRPr="00D045B3">
        <w:rPr>
          <w:color w:val="000000"/>
          <w:lang w:val="hu-HU" w:eastAsia="hu-HU"/>
        </w:rPr>
        <w:t>ASP = L</w:t>
      </w:r>
      <w:r w:rsidRPr="00D045B3">
        <w:rPr>
          <w:color w:val="000000"/>
          <w:lang w:val="hu-HU"/>
        </w:rPr>
        <w:noBreakHyphen/>
      </w:r>
      <w:r w:rsidRPr="00D045B3">
        <w:rPr>
          <w:color w:val="000000"/>
          <w:lang w:val="hu-HU" w:eastAsia="hu-HU"/>
        </w:rPr>
        <w:t>aszparagináz, PEG</w:t>
      </w:r>
      <w:r w:rsidRPr="00D045B3">
        <w:rPr>
          <w:color w:val="000000"/>
          <w:lang w:val="hu-HU"/>
        </w:rPr>
        <w:noBreakHyphen/>
      </w:r>
      <w:r w:rsidRPr="00D045B3">
        <w:rPr>
          <w:color w:val="000000"/>
          <w:lang w:val="hu-HU" w:eastAsia="hu-HU"/>
        </w:rPr>
        <w:t>ASP = PEG aszparagináz, MESNA = 2</w:t>
      </w:r>
      <w:r w:rsidRPr="00D045B3">
        <w:rPr>
          <w:color w:val="000000"/>
          <w:lang w:val="hu-HU"/>
        </w:rPr>
        <w:noBreakHyphen/>
      </w:r>
      <w:r w:rsidRPr="00D045B3">
        <w:rPr>
          <w:color w:val="000000"/>
          <w:lang w:val="hu-HU" w:eastAsia="hu-HU"/>
        </w:rPr>
        <w:t>merkaptoetán</w:t>
      </w:r>
      <w:r w:rsidRPr="00D045B3">
        <w:rPr>
          <w:color w:val="000000"/>
          <w:lang w:val="hu-HU" w:eastAsia="hu-HU"/>
        </w:rPr>
        <w:noBreakHyphen/>
        <w:t>szulfonát</w:t>
      </w:r>
      <w:r w:rsidRPr="00D045B3">
        <w:rPr>
          <w:color w:val="000000"/>
          <w:lang w:val="hu-HU"/>
        </w:rPr>
        <w:noBreakHyphen/>
      </w:r>
      <w:r w:rsidRPr="00D045B3">
        <w:rPr>
          <w:color w:val="000000"/>
          <w:lang w:val="hu-HU" w:eastAsia="hu-HU"/>
        </w:rPr>
        <w:t>nátrium, iii = vagy amíg a MTX</w:t>
      </w:r>
      <w:r w:rsidRPr="00D045B3">
        <w:rPr>
          <w:color w:val="000000"/>
          <w:lang w:val="hu-HU"/>
        </w:rPr>
        <w:noBreakHyphen/>
      </w:r>
      <w:r w:rsidRPr="00D045B3">
        <w:rPr>
          <w:color w:val="000000"/>
          <w:lang w:val="hu-HU" w:eastAsia="hu-HU"/>
        </w:rPr>
        <w:t>szint &lt; 0,1 µM, Gy = Gray</w:t>
      </w:r>
    </w:p>
    <w:p w14:paraId="1E9273EE" w14:textId="77777777" w:rsidR="009827D6" w:rsidRPr="00D045B3" w:rsidRDefault="009827D6" w:rsidP="009827D6">
      <w:pPr>
        <w:pStyle w:val="Endnotentext"/>
        <w:widowControl w:val="0"/>
        <w:jc w:val="both"/>
        <w:rPr>
          <w:color w:val="000000"/>
          <w:sz w:val="20"/>
          <w:lang w:val="hu-HU"/>
        </w:rPr>
      </w:pPr>
    </w:p>
    <w:p w14:paraId="1E9273EF" w14:textId="4DD7ED98" w:rsidR="00AD2797" w:rsidRPr="00D045B3" w:rsidRDefault="009827D6" w:rsidP="009827D6">
      <w:pPr>
        <w:pStyle w:val="KeinLeerraum"/>
        <w:rPr>
          <w:rFonts w:ascii="Times New Roman" w:hAnsi="Times New Roman"/>
          <w:b/>
        </w:rPr>
      </w:pPr>
      <w:r w:rsidRPr="00D045B3">
        <w:rPr>
          <w:rFonts w:ascii="Times New Roman" w:hAnsi="Times New Roman"/>
          <w:color w:val="000000"/>
          <w:lang w:eastAsia="hu-HU"/>
        </w:rPr>
        <w:t>Az AIT07</w:t>
      </w:r>
      <w:r w:rsidRPr="00D045B3">
        <w:rPr>
          <w:rFonts w:ascii="Times New Roman" w:hAnsi="Times New Roman"/>
          <w:color w:val="000000"/>
        </w:rPr>
        <w:noBreakHyphen/>
      </w:r>
      <w:r w:rsidRPr="00D045B3">
        <w:rPr>
          <w:rFonts w:ascii="Times New Roman" w:hAnsi="Times New Roman"/>
          <w:color w:val="000000"/>
          <w:lang w:eastAsia="hu-HU"/>
        </w:rPr>
        <w:t>vizsgálat egy multicentrikus, nyílt elrendezésű, randomizált, II/III</w:t>
      </w:r>
      <w:r w:rsidR="00C74779" w:rsidRPr="00D045B3">
        <w:rPr>
          <w:rFonts w:ascii="Times New Roman" w:hAnsi="Times New Roman"/>
          <w:color w:val="000000"/>
          <w:lang w:eastAsia="hu-HU"/>
        </w:rPr>
        <w:t xml:space="preserve">. </w:t>
      </w:r>
      <w:r w:rsidR="00C74779" w:rsidRPr="00D045B3">
        <w:rPr>
          <w:rFonts w:ascii="Times New Roman" w:hAnsi="Times New Roman"/>
        </w:rPr>
        <w:t>fázisú</w:t>
      </w:r>
      <w:r w:rsidRPr="00D045B3">
        <w:rPr>
          <w:rFonts w:ascii="Times New Roman" w:hAnsi="Times New Roman"/>
          <w:color w:val="000000"/>
          <w:lang w:eastAsia="hu-HU"/>
        </w:rPr>
        <w:t xml:space="preserve"> vizsgálat volt, amelyben 128 (1 </w:t>
      </w:r>
      <w:r w:rsidRPr="00D045B3">
        <w:rPr>
          <w:rFonts w:ascii="Times New Roman" w:hAnsi="Times New Roman"/>
          <w:color w:val="000000"/>
        </w:rPr>
        <w:noBreakHyphen/>
      </w:r>
      <w:r w:rsidRPr="00D045B3">
        <w:rPr>
          <w:rFonts w:ascii="Times New Roman" w:hAnsi="Times New Roman"/>
          <w:color w:val="000000"/>
          <w:lang w:eastAsia="hu-HU"/>
        </w:rPr>
        <w:t> &lt; 18</w:t>
      </w:r>
      <w:r w:rsidRPr="00D045B3">
        <w:rPr>
          <w:rFonts w:ascii="Times New Roman" w:hAnsi="Times New Roman"/>
          <w:color w:val="000000"/>
        </w:rPr>
        <w:t> év</w:t>
      </w:r>
      <w:r w:rsidRPr="00D045B3">
        <w:rPr>
          <w:rFonts w:ascii="Times New Roman" w:hAnsi="Times New Roman"/>
          <w:color w:val="000000"/>
          <w:lang w:eastAsia="hu-HU"/>
        </w:rPr>
        <w:t>es), kemoterápiával kombinációban imatinibbel kezelt beteg vett részt. úgy Tűnik, hogy ennek a vizsgálatnak a biztonságossági adatai a Ph+ALL</w:t>
      </w:r>
      <w:r w:rsidRPr="00D045B3">
        <w:rPr>
          <w:rFonts w:ascii="Times New Roman" w:hAnsi="Times New Roman"/>
          <w:color w:val="000000"/>
        </w:rPr>
        <w:noBreakHyphen/>
      </w:r>
      <w:r w:rsidRPr="00D045B3">
        <w:rPr>
          <w:rFonts w:ascii="Times New Roman" w:hAnsi="Times New Roman"/>
          <w:color w:val="000000"/>
          <w:lang w:eastAsia="hu-HU"/>
        </w:rPr>
        <w:t>ben szenvedő betegeknél</w:t>
      </w:r>
      <w:r w:rsidRPr="00D045B3" w:rsidDel="001C2432">
        <w:rPr>
          <w:rFonts w:ascii="Times New Roman" w:hAnsi="Times New Roman"/>
          <w:color w:val="000000"/>
          <w:lang w:eastAsia="hu-HU"/>
        </w:rPr>
        <w:t xml:space="preserve"> </w:t>
      </w:r>
      <w:r w:rsidRPr="00D045B3">
        <w:rPr>
          <w:rFonts w:ascii="Times New Roman" w:hAnsi="Times New Roman"/>
          <w:color w:val="000000"/>
          <w:lang w:eastAsia="hu-HU"/>
        </w:rPr>
        <w:t>összhangban vannak az imatinib biztonságossági profiljával.</w:t>
      </w:r>
    </w:p>
    <w:p w14:paraId="1E9273F0" w14:textId="77777777" w:rsidR="009827D6" w:rsidRPr="00D045B3" w:rsidRDefault="009827D6" w:rsidP="00D20E75">
      <w:pPr>
        <w:pStyle w:val="Default"/>
        <w:rPr>
          <w:i/>
          <w:iCs/>
          <w:sz w:val="22"/>
          <w:szCs w:val="22"/>
        </w:rPr>
      </w:pPr>
    </w:p>
    <w:p w14:paraId="1E9273F1" w14:textId="77777777" w:rsidR="00D20E75" w:rsidRPr="00D045B3" w:rsidRDefault="00D20E75" w:rsidP="00D20E75">
      <w:pPr>
        <w:pStyle w:val="Default"/>
        <w:rPr>
          <w:sz w:val="22"/>
          <w:szCs w:val="22"/>
        </w:rPr>
      </w:pPr>
      <w:r w:rsidRPr="00D045B3">
        <w:rPr>
          <w:i/>
          <w:iCs/>
          <w:sz w:val="22"/>
          <w:szCs w:val="22"/>
        </w:rPr>
        <w:t xml:space="preserve">Recidiváló/refrakter Ph+ ALL: </w:t>
      </w:r>
      <w:r w:rsidR="00CC54C5" w:rsidRPr="00D045B3">
        <w:rPr>
          <w:iCs/>
          <w:sz w:val="22"/>
          <w:szCs w:val="22"/>
        </w:rPr>
        <w:t>Amikor i</w:t>
      </w:r>
      <w:r w:rsidRPr="00D045B3">
        <w:rPr>
          <w:sz w:val="22"/>
          <w:szCs w:val="22"/>
        </w:rPr>
        <w:t>matinib monoterápiát alkalmaz</w:t>
      </w:r>
      <w:r w:rsidR="00CC54C5" w:rsidRPr="00D045B3">
        <w:rPr>
          <w:sz w:val="22"/>
          <w:szCs w:val="22"/>
        </w:rPr>
        <w:t>tak</w:t>
      </w:r>
      <w:r w:rsidRPr="00D045B3">
        <w:rPr>
          <w:sz w:val="22"/>
          <w:szCs w:val="22"/>
        </w:rPr>
        <w:t xml:space="preserve"> recidiváló/refrakter Ph+ ALL</w:t>
      </w:r>
      <w:r w:rsidR="00CC54C5" w:rsidRPr="00D045B3">
        <w:rPr>
          <w:sz w:val="22"/>
          <w:szCs w:val="22"/>
        </w:rPr>
        <w:noBreakHyphen/>
        <w:t>es</w:t>
      </w:r>
      <w:r w:rsidRPr="00D045B3">
        <w:rPr>
          <w:sz w:val="22"/>
          <w:szCs w:val="22"/>
        </w:rPr>
        <w:t xml:space="preserve"> betegek</w:t>
      </w:r>
      <w:r w:rsidR="00CC54C5" w:rsidRPr="00D045B3">
        <w:rPr>
          <w:sz w:val="22"/>
          <w:szCs w:val="22"/>
        </w:rPr>
        <w:t>nél</w:t>
      </w:r>
      <w:r w:rsidRPr="00D045B3">
        <w:rPr>
          <w:sz w:val="22"/>
          <w:szCs w:val="22"/>
        </w:rPr>
        <w:t>, a terápiás válasz szempontjából értékelhet</w:t>
      </w:r>
      <w:r w:rsidR="00CC54C5" w:rsidRPr="00D045B3">
        <w:rPr>
          <w:sz w:val="22"/>
          <w:szCs w:val="22"/>
        </w:rPr>
        <w:t>ő 411 </w:t>
      </w:r>
      <w:r w:rsidRPr="00D045B3">
        <w:rPr>
          <w:sz w:val="22"/>
          <w:szCs w:val="22"/>
        </w:rPr>
        <w:t>betegből 53</w:t>
      </w:r>
      <w:r w:rsidR="004E3427" w:rsidRPr="00D045B3">
        <w:rPr>
          <w:sz w:val="22"/>
          <w:szCs w:val="22"/>
        </w:rPr>
        <w:noBreakHyphen/>
        <w:t>nál</w:t>
      </w:r>
      <w:r w:rsidRPr="00D045B3">
        <w:rPr>
          <w:sz w:val="22"/>
          <w:szCs w:val="22"/>
        </w:rPr>
        <w:t xml:space="preserve"> 30%</w:t>
      </w:r>
      <w:r w:rsidR="00461214" w:rsidRPr="00D045B3">
        <w:rPr>
          <w:sz w:val="22"/>
          <w:szCs w:val="22"/>
        </w:rPr>
        <w:noBreakHyphen/>
      </w:r>
      <w:r w:rsidRPr="00D045B3">
        <w:rPr>
          <w:sz w:val="22"/>
          <w:szCs w:val="22"/>
        </w:rPr>
        <w:t>os hematológiai válaszarányt (9% komplett) és 23%</w:t>
      </w:r>
      <w:r w:rsidR="00461214" w:rsidRPr="00D045B3">
        <w:rPr>
          <w:sz w:val="22"/>
          <w:szCs w:val="22"/>
        </w:rPr>
        <w:noBreakHyphen/>
      </w:r>
      <w:r w:rsidRPr="00D045B3">
        <w:rPr>
          <w:sz w:val="22"/>
          <w:szCs w:val="22"/>
        </w:rPr>
        <w:t>os nagyfokú cytogenetikai válaszarányt értek el. (Fontos megjegyezni, hogy a 411</w:t>
      </w:r>
      <w:r w:rsidR="00461214" w:rsidRPr="00D045B3">
        <w:rPr>
          <w:sz w:val="22"/>
          <w:szCs w:val="22"/>
        </w:rPr>
        <w:t> </w:t>
      </w:r>
      <w:r w:rsidRPr="00D045B3">
        <w:rPr>
          <w:sz w:val="22"/>
          <w:szCs w:val="22"/>
        </w:rPr>
        <w:t>betegből 353</w:t>
      </w:r>
      <w:r w:rsidR="00461214" w:rsidRPr="00D045B3">
        <w:rPr>
          <w:sz w:val="22"/>
          <w:szCs w:val="22"/>
        </w:rPr>
        <w:noBreakHyphen/>
      </w:r>
      <w:r w:rsidRPr="00D045B3">
        <w:rPr>
          <w:sz w:val="22"/>
          <w:szCs w:val="22"/>
        </w:rPr>
        <w:t>at egy kiterjesztett gyógyszerhozzáférési program keretében kezeltek, és esetükben nem gyűjtöttek adatokat a primer válaszról.) A progresszióig eltelt idő medián</w:t>
      </w:r>
      <w:r w:rsidR="00461214" w:rsidRPr="00D045B3">
        <w:rPr>
          <w:sz w:val="22"/>
          <w:szCs w:val="22"/>
        </w:rPr>
        <w:t xml:space="preserve"> értéke a teljes 411 </w:t>
      </w:r>
      <w:r w:rsidRPr="00D045B3">
        <w:rPr>
          <w:sz w:val="22"/>
          <w:szCs w:val="22"/>
        </w:rPr>
        <w:t>fős recidiváló/refrakter Ph+ ALL</w:t>
      </w:r>
      <w:r w:rsidR="00461214" w:rsidRPr="00D045B3">
        <w:rPr>
          <w:sz w:val="22"/>
          <w:szCs w:val="22"/>
        </w:rPr>
        <w:noBreakHyphen/>
      </w:r>
      <w:r w:rsidRPr="00D045B3">
        <w:rPr>
          <w:sz w:val="22"/>
          <w:szCs w:val="22"/>
        </w:rPr>
        <w:t>es betegmintában 2,6</w:t>
      </w:r>
      <w:r w:rsidR="00294AC1" w:rsidRPr="00D045B3">
        <w:rPr>
          <w:sz w:val="22"/>
          <w:szCs w:val="22"/>
        </w:rPr>
        <w:noBreakHyphen/>
      </w:r>
      <w:r w:rsidRPr="00D045B3">
        <w:rPr>
          <w:sz w:val="22"/>
          <w:szCs w:val="22"/>
        </w:rPr>
        <w:t>3,1</w:t>
      </w:r>
      <w:r w:rsidR="00294AC1" w:rsidRPr="00D045B3">
        <w:rPr>
          <w:sz w:val="22"/>
          <w:szCs w:val="22"/>
        </w:rPr>
        <w:t> </w:t>
      </w:r>
      <w:r w:rsidRPr="00D045B3">
        <w:rPr>
          <w:sz w:val="22"/>
          <w:szCs w:val="22"/>
        </w:rPr>
        <w:t xml:space="preserve">hónap, </w:t>
      </w:r>
      <w:r w:rsidR="00294AC1" w:rsidRPr="00D045B3">
        <w:rPr>
          <w:sz w:val="22"/>
          <w:szCs w:val="22"/>
        </w:rPr>
        <w:t xml:space="preserve">míg </w:t>
      </w:r>
      <w:r w:rsidRPr="00D045B3">
        <w:rPr>
          <w:sz w:val="22"/>
          <w:szCs w:val="22"/>
        </w:rPr>
        <w:t>a teljes túlélés medián</w:t>
      </w:r>
      <w:r w:rsidR="00294AC1" w:rsidRPr="00D045B3">
        <w:rPr>
          <w:sz w:val="22"/>
          <w:szCs w:val="22"/>
        </w:rPr>
        <w:t xml:space="preserve"> </w:t>
      </w:r>
      <w:r w:rsidRPr="00D045B3">
        <w:rPr>
          <w:sz w:val="22"/>
          <w:szCs w:val="22"/>
        </w:rPr>
        <w:t>értéke a 401 értékelhető beteg esetében 4,9</w:t>
      </w:r>
      <w:r w:rsidR="00294AC1" w:rsidRPr="00D045B3">
        <w:rPr>
          <w:sz w:val="22"/>
          <w:szCs w:val="22"/>
        </w:rPr>
        <w:noBreakHyphen/>
      </w:r>
      <w:r w:rsidRPr="00D045B3">
        <w:rPr>
          <w:sz w:val="22"/>
          <w:szCs w:val="22"/>
        </w:rPr>
        <w:t>9</w:t>
      </w:r>
      <w:r w:rsidR="00294AC1" w:rsidRPr="00D045B3">
        <w:rPr>
          <w:sz w:val="22"/>
          <w:szCs w:val="22"/>
        </w:rPr>
        <w:t> </w:t>
      </w:r>
      <w:r w:rsidRPr="00D045B3">
        <w:rPr>
          <w:sz w:val="22"/>
          <w:szCs w:val="22"/>
        </w:rPr>
        <w:t>hónap volt. Hasonló eredményeket kaptak, amikor az adatok ismételt elemzésekor csak az 55</w:t>
      </w:r>
      <w:r w:rsidR="00294AC1" w:rsidRPr="00D045B3">
        <w:rPr>
          <w:sz w:val="22"/>
          <w:szCs w:val="22"/>
        </w:rPr>
        <w:t> </w:t>
      </w:r>
      <w:r w:rsidRPr="00D045B3">
        <w:rPr>
          <w:sz w:val="22"/>
          <w:szCs w:val="22"/>
        </w:rPr>
        <w:t xml:space="preserve">éves </w:t>
      </w:r>
      <w:r w:rsidR="00294AC1" w:rsidRPr="00D045B3">
        <w:rPr>
          <w:sz w:val="22"/>
          <w:szCs w:val="22"/>
        </w:rPr>
        <w:t>vagy</w:t>
      </w:r>
      <w:r w:rsidRPr="00D045B3">
        <w:rPr>
          <w:sz w:val="22"/>
          <w:szCs w:val="22"/>
        </w:rPr>
        <w:t xml:space="preserve"> idősebb betegek adatait vizsgálták. </w:t>
      </w:r>
    </w:p>
    <w:p w14:paraId="1E9273F2" w14:textId="77777777" w:rsidR="00294AC1" w:rsidRPr="00D045B3" w:rsidRDefault="00294AC1" w:rsidP="00D20E75">
      <w:pPr>
        <w:pStyle w:val="Default"/>
        <w:rPr>
          <w:sz w:val="22"/>
          <w:szCs w:val="22"/>
        </w:rPr>
      </w:pPr>
    </w:p>
    <w:p w14:paraId="1E9273F3" w14:textId="77777777" w:rsidR="001C05E8" w:rsidRPr="00D045B3" w:rsidRDefault="001C05E8" w:rsidP="001C05E8">
      <w:pPr>
        <w:pStyle w:val="Default"/>
        <w:keepNext/>
        <w:rPr>
          <w:sz w:val="22"/>
          <w:szCs w:val="22"/>
          <w:u w:val="single"/>
        </w:rPr>
      </w:pPr>
      <w:r w:rsidRPr="00D045B3">
        <w:rPr>
          <w:sz w:val="22"/>
          <w:szCs w:val="22"/>
          <w:u w:val="single"/>
        </w:rPr>
        <w:t>Klinikai vizsgálatok MDS/MPD</w:t>
      </w:r>
      <w:r w:rsidRPr="00D045B3">
        <w:rPr>
          <w:sz w:val="22"/>
          <w:szCs w:val="22"/>
          <w:u w:val="single"/>
        </w:rPr>
        <w:noBreakHyphen/>
        <w:t xml:space="preserve">ben </w:t>
      </w:r>
    </w:p>
    <w:p w14:paraId="1E9273F4" w14:textId="6FC2B7E2" w:rsidR="00C50360" w:rsidRPr="00D045B3" w:rsidRDefault="001C05E8" w:rsidP="00C50360">
      <w:pPr>
        <w:pStyle w:val="Default"/>
        <w:rPr>
          <w:sz w:val="22"/>
          <w:szCs w:val="22"/>
        </w:rPr>
      </w:pPr>
      <w:r w:rsidRPr="00D045B3">
        <w:rPr>
          <w:sz w:val="22"/>
          <w:szCs w:val="22"/>
        </w:rPr>
        <w:t>Ebben az indikációban az imatinib alkalmazásáról nagyon kevés tapasztalat áll rendelkezésre, amely hematológiai és a cytogenetikai válaszarányokon alapul. Nem végeztek klinikai előnyt vagy a túlélés javulását igazoló klinikai vizsgálatokat. Egy nyílt, multicenteres, II</w:t>
      </w:r>
      <w:r w:rsidR="00C74779" w:rsidRPr="00D045B3">
        <w:rPr>
          <w:sz w:val="22"/>
          <w:szCs w:val="22"/>
        </w:rPr>
        <w:t xml:space="preserve">. </w:t>
      </w:r>
      <w:r w:rsidR="00C74779" w:rsidRPr="00F67173">
        <w:rPr>
          <w:sz w:val="22"/>
          <w:szCs w:val="22"/>
        </w:rPr>
        <w:t>fázisú</w:t>
      </w:r>
      <w:r w:rsidRPr="00D045B3">
        <w:rPr>
          <w:sz w:val="22"/>
          <w:szCs w:val="22"/>
        </w:rPr>
        <w:t xml:space="preserve"> klinikai vizsgálatban (B2225 vizsgálat) tanulmányozták az imatinib hatásait Abl, Kit vagy PDGFR protein tirozinkinázokkal kapcsolatos, életet veszélyeztető betegségekben szenvedő egyénekből álló különböző betegcsoportokban. Ebbe a vizsgálatba 7, MDS/MPD</w:t>
      </w:r>
      <w:r w:rsidRPr="00D045B3">
        <w:rPr>
          <w:sz w:val="22"/>
          <w:szCs w:val="22"/>
        </w:rPr>
        <w:noBreakHyphen/>
        <w:t>ben szenvedő beteget vontak be, akiket napi 400 mg imatinibbel kezeltek. Három betegnél komplett hematológiai válasz (CHR), egy betegnél részleges hematológiai válasz (PHR) volt tapasztalható. Az eredeti analízis idején a négy, PDGFR génátrendeződést mutató beteg közül háromnál (2 CHR és 1 PHR) mutatkozott hematológiai válasz. A betegek életkora 20</w:t>
      </w:r>
      <w:r w:rsidRPr="00D045B3">
        <w:rPr>
          <w:sz w:val="22"/>
          <w:szCs w:val="22"/>
        </w:rPr>
        <w:noBreakHyphen/>
        <w:t xml:space="preserve">72 év között volt. </w:t>
      </w:r>
    </w:p>
    <w:p w14:paraId="1E9273F5" w14:textId="77777777" w:rsidR="00C50360" w:rsidRPr="00D045B3" w:rsidRDefault="00C50360" w:rsidP="00C50360">
      <w:pPr>
        <w:pStyle w:val="Default"/>
        <w:rPr>
          <w:sz w:val="22"/>
          <w:szCs w:val="22"/>
        </w:rPr>
      </w:pPr>
    </w:p>
    <w:p w14:paraId="1E9273F6" w14:textId="77777777" w:rsidR="00C50360" w:rsidRPr="00D045B3" w:rsidRDefault="00C50360" w:rsidP="00C50360">
      <w:pPr>
        <w:pStyle w:val="Default"/>
        <w:rPr>
          <w:sz w:val="22"/>
          <w:szCs w:val="22"/>
        </w:rPr>
      </w:pPr>
      <w:r w:rsidRPr="00D045B3">
        <w:rPr>
          <w:sz w:val="22"/>
          <w:szCs w:val="22"/>
        </w:rPr>
        <w:t>Azért, hogy hosszú távú biztonságossági és hatásossági adatokat gyűjtsenek a PDGFR</w:t>
      </w:r>
      <w:r w:rsidRPr="00D045B3">
        <w:rPr>
          <w:sz w:val="22"/>
          <w:szCs w:val="22"/>
        </w:rPr>
        <w:noBreakHyphen/>
        <w:t xml:space="preserve">β génátrendeződéssel társuló myeloproliferativ daganatokban szenvedő olyan betegektől, akiket </w:t>
      </w:r>
      <w:r w:rsidR="001D54E1" w:rsidRPr="00D045B3">
        <w:rPr>
          <w:sz w:val="22"/>
          <w:szCs w:val="22"/>
        </w:rPr>
        <w:t>imatinibbe</w:t>
      </w:r>
      <w:r w:rsidRPr="00D045B3">
        <w:rPr>
          <w:sz w:val="22"/>
          <w:szCs w:val="22"/>
        </w:rPr>
        <w:t>l kezeltek, egy obszervációs regisztert (L2401</w:t>
      </w:r>
      <w:r w:rsidRPr="00D045B3">
        <w:rPr>
          <w:sz w:val="22"/>
          <w:szCs w:val="22"/>
        </w:rPr>
        <w:noBreakHyphen/>
        <w:t>vizsgálat) hoztak létre. Az ebbe a regiszterbe bevont 23 beteg 264 mg</w:t>
      </w:r>
      <w:r w:rsidRPr="00D045B3">
        <w:rPr>
          <w:sz w:val="22"/>
          <w:szCs w:val="22"/>
        </w:rPr>
        <w:noBreakHyphen/>
        <w:t xml:space="preserve">os medián napi dózisban kapott </w:t>
      </w:r>
      <w:r w:rsidR="00286B59" w:rsidRPr="00D045B3">
        <w:rPr>
          <w:sz w:val="22"/>
          <w:szCs w:val="22"/>
        </w:rPr>
        <w:t>imatinib</w:t>
      </w:r>
      <w:r w:rsidRPr="00D045B3">
        <w:rPr>
          <w:sz w:val="22"/>
          <w:szCs w:val="22"/>
        </w:rPr>
        <w:t>et (szélső értékek: 100</w:t>
      </w:r>
      <w:r w:rsidRPr="00D045B3">
        <w:rPr>
          <w:sz w:val="22"/>
          <w:szCs w:val="22"/>
        </w:rPr>
        <w:noBreakHyphen/>
        <w:t>400 mg), 7,2 éves medián időtartamban (szélső értékek: 0,1 </w:t>
      </w:r>
      <w:r w:rsidRPr="00D045B3">
        <w:rPr>
          <w:sz w:val="22"/>
          <w:szCs w:val="22"/>
        </w:rPr>
        <w:noBreakHyphen/>
        <w:t> 12,7 év). A regiszter obszervációs jellegéből adódóan a 23 bevont betegből a hematológiai vizsgálati adatok 22 betegnél, a citogenetikai vizsgálati eredmények 9 betegnél, a molekuláris vizsgálati adatok 17 betegnél álltak rendelkezésre. Konzervatívan feltételezve, hogy azok a betegek, akiknél az adatok hiányoztak, non</w:t>
      </w:r>
      <w:r w:rsidRPr="00D045B3">
        <w:rPr>
          <w:sz w:val="22"/>
          <w:szCs w:val="22"/>
        </w:rPr>
        <w:noBreakHyphen/>
        <w:t>reszponderek voltak, komplett hematológiai választ 20/23 (87%) betegnél, komplett cytogenetikai választ 9/23 (39,1%) betegnél, és molekuláris választ 11/23 (47,8%) betegnél figyeltek meg. Amikor a válaszadási arányt olyan betegeknél számították, akiknél legalább egy valós vizsgálati adat volt, a CHR, CCyR és MR válaszadási arány sorrendben 20/22 (90,9%), 9/9 (100%) és 11/17 (64,7%) volt.</w:t>
      </w:r>
    </w:p>
    <w:p w14:paraId="1E9273F7" w14:textId="77777777" w:rsidR="00C50360" w:rsidRPr="00D045B3" w:rsidRDefault="00C50360" w:rsidP="00C50360">
      <w:pPr>
        <w:pStyle w:val="Default"/>
        <w:rPr>
          <w:szCs w:val="22"/>
        </w:rPr>
      </w:pPr>
    </w:p>
    <w:p w14:paraId="1E9273F8" w14:textId="77777777" w:rsidR="00D20E75" w:rsidRPr="00D045B3" w:rsidRDefault="001C05E8" w:rsidP="001C05E8">
      <w:pPr>
        <w:pStyle w:val="Default"/>
        <w:rPr>
          <w:sz w:val="22"/>
          <w:szCs w:val="22"/>
        </w:rPr>
      </w:pPr>
      <w:r w:rsidRPr="00D045B3">
        <w:rPr>
          <w:sz w:val="22"/>
          <w:szCs w:val="22"/>
        </w:rPr>
        <w:t>13 publikált esettanulmányban további 24, MDS/MPD</w:t>
      </w:r>
      <w:r w:rsidRPr="00D045B3">
        <w:rPr>
          <w:sz w:val="22"/>
          <w:szCs w:val="22"/>
        </w:rPr>
        <w:noBreakHyphen/>
        <w:t>ben szenvedő betegről számoltak be. 21 beteget kezeltek napi 400 mg imatinibbel, míg a másik 3 beteg kisebb dózist kapott. Tizenegy betegnél mutattak ki PDGFR génátrendeződést, akik közül 9</w:t>
      </w:r>
      <w:r w:rsidRPr="00D045B3">
        <w:rPr>
          <w:sz w:val="22"/>
          <w:szCs w:val="22"/>
        </w:rPr>
        <w:noBreakHyphen/>
        <w:t>nél jelentkezett CHR és egynél PHR. A betegek életkora 2</w:t>
      </w:r>
      <w:r w:rsidRPr="00D045B3">
        <w:rPr>
          <w:sz w:val="22"/>
          <w:szCs w:val="22"/>
        </w:rPr>
        <w:noBreakHyphen/>
        <w:t>79 év között volt. Egy, a vizsgálatot követően megjelent publikáció szerint - mely ebből a 11 betegből 6</w:t>
      </w:r>
      <w:r w:rsidRPr="00D045B3">
        <w:rPr>
          <w:sz w:val="22"/>
          <w:szCs w:val="22"/>
        </w:rPr>
        <w:noBreakHyphen/>
        <w:t>ról friss információkat közöl - ezen betegek mindegyike cytogenetikai remisszióban maradt (32</w:t>
      </w:r>
      <w:r w:rsidRPr="00D045B3">
        <w:rPr>
          <w:sz w:val="22"/>
          <w:szCs w:val="22"/>
        </w:rPr>
        <w:noBreakHyphen/>
        <w:t>38 hónap). Ugyanez a publikáció hosszú távú utánkövetési adatokat közöl 12, PDGFR génátrendeződéssel társuló MDS/MPD</w:t>
      </w:r>
      <w:r w:rsidRPr="00D045B3">
        <w:rPr>
          <w:sz w:val="22"/>
          <w:szCs w:val="22"/>
        </w:rPr>
        <w:noBreakHyphen/>
        <w:t>ben szenvedő betegről (ebből 5 beteg a B2225 vizsgálatból származik). Ezek a betegek átlagosan 47 hónapon keresztül (24 nap</w:t>
      </w:r>
      <w:r w:rsidRPr="00D045B3">
        <w:rPr>
          <w:sz w:val="22"/>
          <w:szCs w:val="22"/>
        </w:rPr>
        <w:noBreakHyphen/>
        <w:t>60 hónap) kaptak imatinibet. Közülük 6 beteg esetében az utánkövetési idő jelenleg meghaladja a 4 évet. 11 betegnél jelentkezett gyorsan kialakuló CHR, 10 beteg esetében szűntek meg teljesen a cytogenetikai rendellenességek és csökkent vagy nem volt kimutatható a RT</w:t>
      </w:r>
      <w:r w:rsidRPr="00D045B3">
        <w:rPr>
          <w:sz w:val="22"/>
          <w:szCs w:val="22"/>
        </w:rPr>
        <w:noBreakHyphen/>
        <w:t>PCR</w:t>
      </w:r>
      <w:r w:rsidRPr="00D045B3">
        <w:rPr>
          <w:sz w:val="22"/>
          <w:szCs w:val="22"/>
        </w:rPr>
        <w:noBreakHyphen/>
        <w:t>rel mért fúziós transzkripció. A hematológiai és a cytogenetikai válasz sorrendben átlagosan 49 hónapig (19</w:t>
      </w:r>
      <w:r w:rsidRPr="00D045B3">
        <w:rPr>
          <w:sz w:val="22"/>
          <w:szCs w:val="22"/>
        </w:rPr>
        <w:noBreakHyphen/>
        <w:t>60 hónap), illetve átlagosan 47 hónapig (16</w:t>
      </w:r>
      <w:r w:rsidRPr="00D045B3">
        <w:rPr>
          <w:sz w:val="22"/>
          <w:szCs w:val="22"/>
        </w:rPr>
        <w:noBreakHyphen/>
        <w:t>59 hónap) maradt fent. Az össz</w:t>
      </w:r>
      <w:r w:rsidRPr="00D045B3">
        <w:rPr>
          <w:sz w:val="22"/>
          <w:szCs w:val="22"/>
        </w:rPr>
        <w:noBreakHyphen/>
        <w:t>túlélés a diagnózis időpontjától számított 65 hónap (25</w:t>
      </w:r>
      <w:r w:rsidRPr="00D045B3">
        <w:rPr>
          <w:sz w:val="22"/>
          <w:szCs w:val="22"/>
        </w:rPr>
        <w:noBreakHyphen/>
        <w:t>234 hónap). Az imatinib alkalmazása a genetikai transzlokációt nem mutató betegeknél rendszerint nem eredményez javulást.</w:t>
      </w:r>
      <w:r w:rsidR="00D20E75" w:rsidRPr="00D045B3">
        <w:rPr>
          <w:sz w:val="22"/>
          <w:szCs w:val="22"/>
        </w:rPr>
        <w:t xml:space="preserve"> </w:t>
      </w:r>
    </w:p>
    <w:p w14:paraId="1E9273F9" w14:textId="77777777" w:rsidR="0028244F" w:rsidRPr="00D045B3" w:rsidRDefault="0028244F" w:rsidP="00D20E75">
      <w:pPr>
        <w:pStyle w:val="Default"/>
        <w:rPr>
          <w:sz w:val="22"/>
          <w:szCs w:val="22"/>
        </w:rPr>
      </w:pPr>
    </w:p>
    <w:p w14:paraId="1E9273FA" w14:textId="77777777" w:rsidR="00D20E75" w:rsidRPr="00D045B3" w:rsidRDefault="00D20E75" w:rsidP="00D20E75">
      <w:pPr>
        <w:pStyle w:val="Default"/>
        <w:rPr>
          <w:sz w:val="22"/>
          <w:szCs w:val="22"/>
        </w:rPr>
      </w:pPr>
      <w:r w:rsidRPr="00D045B3">
        <w:rPr>
          <w:sz w:val="22"/>
          <w:szCs w:val="22"/>
        </w:rPr>
        <w:t>MDS/MPD</w:t>
      </w:r>
      <w:r w:rsidR="00BE542E" w:rsidRPr="00D045B3">
        <w:rPr>
          <w:sz w:val="22"/>
          <w:szCs w:val="22"/>
        </w:rPr>
        <w:noBreakHyphen/>
      </w:r>
      <w:r w:rsidRPr="00D045B3">
        <w:rPr>
          <w:sz w:val="22"/>
          <w:szCs w:val="22"/>
        </w:rPr>
        <w:t>ben szenvedő gyermekgyógyászati betegekkel nincsenek kontrollos vizsgálatok. Négy publikációban öt (5), PDGFR</w:t>
      </w:r>
      <w:r w:rsidR="00BE542E" w:rsidRPr="00D045B3">
        <w:rPr>
          <w:sz w:val="22"/>
          <w:szCs w:val="22"/>
        </w:rPr>
        <w:noBreakHyphen/>
      </w:r>
      <w:r w:rsidRPr="00D045B3">
        <w:rPr>
          <w:sz w:val="22"/>
          <w:szCs w:val="22"/>
        </w:rPr>
        <w:t>rel társult, MDS/MPD</w:t>
      </w:r>
      <w:r w:rsidR="00BE542E" w:rsidRPr="00D045B3">
        <w:rPr>
          <w:sz w:val="22"/>
          <w:szCs w:val="22"/>
        </w:rPr>
        <w:noBreakHyphen/>
      </w:r>
      <w:r w:rsidRPr="00D045B3">
        <w:rPr>
          <w:sz w:val="22"/>
          <w:szCs w:val="22"/>
        </w:rPr>
        <w:t>ben szenvedő betegnél génátrendeződésről számol</w:t>
      </w:r>
      <w:r w:rsidR="00BE542E" w:rsidRPr="00D045B3">
        <w:rPr>
          <w:sz w:val="22"/>
          <w:szCs w:val="22"/>
        </w:rPr>
        <w:t xml:space="preserve">tak be. </w:t>
      </w:r>
      <w:r w:rsidR="007C6822" w:rsidRPr="00D045B3">
        <w:rPr>
          <w:sz w:val="22"/>
          <w:szCs w:val="22"/>
        </w:rPr>
        <w:t>A</w:t>
      </w:r>
      <w:r w:rsidR="00BE542E" w:rsidRPr="00D045B3">
        <w:rPr>
          <w:sz w:val="22"/>
          <w:szCs w:val="22"/>
        </w:rPr>
        <w:t xml:space="preserve"> betegek életkora 3 hónap és 4 </w:t>
      </w:r>
      <w:r w:rsidRPr="00D045B3">
        <w:rPr>
          <w:sz w:val="22"/>
          <w:szCs w:val="22"/>
        </w:rPr>
        <w:t xml:space="preserve">év közé </w:t>
      </w:r>
      <w:r w:rsidR="00BE542E" w:rsidRPr="00D045B3">
        <w:rPr>
          <w:sz w:val="22"/>
          <w:szCs w:val="22"/>
        </w:rPr>
        <w:t>esett, és az imatinibet napi 50 </w:t>
      </w:r>
      <w:r w:rsidRPr="00D045B3">
        <w:rPr>
          <w:sz w:val="22"/>
          <w:szCs w:val="22"/>
        </w:rPr>
        <w:t>mg</w:t>
      </w:r>
      <w:r w:rsidR="00BE542E" w:rsidRPr="00D045B3">
        <w:rPr>
          <w:sz w:val="22"/>
          <w:szCs w:val="22"/>
        </w:rPr>
        <w:noBreakHyphen/>
      </w:r>
      <w:r w:rsidRPr="00D045B3">
        <w:rPr>
          <w:sz w:val="22"/>
          <w:szCs w:val="22"/>
        </w:rPr>
        <w:t>os dózisban vagy napi 92,5</w:t>
      </w:r>
      <w:r w:rsidR="00C70387" w:rsidRPr="00D045B3">
        <w:rPr>
          <w:sz w:val="22"/>
          <w:szCs w:val="22"/>
        </w:rPr>
        <w:noBreakHyphen/>
      </w:r>
      <w:r w:rsidRPr="00D045B3">
        <w:rPr>
          <w:sz w:val="22"/>
          <w:szCs w:val="22"/>
        </w:rPr>
        <w:t>340 mg/m</w:t>
      </w:r>
      <w:r w:rsidRPr="00D045B3">
        <w:rPr>
          <w:sz w:val="22"/>
          <w:szCs w:val="22"/>
          <w:vertAlign w:val="superscript"/>
        </w:rPr>
        <w:t>2</w:t>
      </w:r>
      <w:r w:rsidRPr="00D045B3">
        <w:rPr>
          <w:sz w:val="14"/>
          <w:szCs w:val="14"/>
        </w:rPr>
        <w:t xml:space="preserve"> </w:t>
      </w:r>
      <w:r w:rsidRPr="00D045B3">
        <w:rPr>
          <w:sz w:val="22"/>
          <w:szCs w:val="22"/>
        </w:rPr>
        <w:t xml:space="preserve">közötti dózisokban kapták. Minden beteg teljes hematológiai választ, cytogenetikai választ és/vagy klinikai választ ért el. </w:t>
      </w:r>
    </w:p>
    <w:p w14:paraId="1E9273FB" w14:textId="77777777" w:rsidR="0028244F" w:rsidRPr="00D045B3" w:rsidRDefault="0028244F" w:rsidP="00D20E75">
      <w:pPr>
        <w:pStyle w:val="Default"/>
        <w:rPr>
          <w:sz w:val="22"/>
          <w:szCs w:val="22"/>
        </w:rPr>
      </w:pPr>
    </w:p>
    <w:p w14:paraId="1E9273FC" w14:textId="77777777" w:rsidR="00D20E75" w:rsidRPr="00D045B3" w:rsidRDefault="00D20E75" w:rsidP="008A6837">
      <w:pPr>
        <w:pStyle w:val="Default"/>
        <w:keepNext/>
        <w:rPr>
          <w:sz w:val="22"/>
          <w:szCs w:val="22"/>
          <w:u w:val="single"/>
        </w:rPr>
      </w:pPr>
      <w:r w:rsidRPr="00D045B3">
        <w:rPr>
          <w:sz w:val="22"/>
          <w:szCs w:val="22"/>
          <w:u w:val="single"/>
        </w:rPr>
        <w:t>Klinikai vizsgálatok HES/CEL</w:t>
      </w:r>
      <w:r w:rsidR="00C70387" w:rsidRPr="00D045B3">
        <w:rPr>
          <w:sz w:val="22"/>
          <w:szCs w:val="22"/>
          <w:u w:val="single"/>
        </w:rPr>
        <w:noBreakHyphen/>
      </w:r>
      <w:r w:rsidRPr="00D045B3">
        <w:rPr>
          <w:sz w:val="22"/>
          <w:szCs w:val="22"/>
          <w:u w:val="single"/>
        </w:rPr>
        <w:t xml:space="preserve">ben </w:t>
      </w:r>
    </w:p>
    <w:p w14:paraId="1E9273FD" w14:textId="1C1546E0" w:rsidR="00D20E75" w:rsidRPr="00D045B3" w:rsidRDefault="00D20E75" w:rsidP="00CA41FD">
      <w:pPr>
        <w:pStyle w:val="Default"/>
        <w:rPr>
          <w:color w:val="auto"/>
          <w:sz w:val="22"/>
          <w:szCs w:val="22"/>
        </w:rPr>
      </w:pPr>
      <w:r w:rsidRPr="00D045B3">
        <w:rPr>
          <w:sz w:val="22"/>
          <w:szCs w:val="22"/>
        </w:rPr>
        <w:t>Egy nyílt, multicent</w:t>
      </w:r>
      <w:r w:rsidR="002F517F" w:rsidRPr="00D045B3">
        <w:rPr>
          <w:sz w:val="22"/>
          <w:szCs w:val="22"/>
        </w:rPr>
        <w:t>rikus</w:t>
      </w:r>
      <w:r w:rsidRPr="00D045B3">
        <w:rPr>
          <w:sz w:val="22"/>
          <w:szCs w:val="22"/>
        </w:rPr>
        <w:t>, II</w:t>
      </w:r>
      <w:r w:rsidR="00C74779" w:rsidRPr="00D045B3">
        <w:rPr>
          <w:sz w:val="22"/>
          <w:szCs w:val="22"/>
        </w:rPr>
        <w:t xml:space="preserve">. </w:t>
      </w:r>
      <w:r w:rsidR="00C74779" w:rsidRPr="00F67173">
        <w:rPr>
          <w:sz w:val="22"/>
          <w:szCs w:val="22"/>
        </w:rPr>
        <w:t>fázisú</w:t>
      </w:r>
      <w:r w:rsidRPr="00D045B3">
        <w:rPr>
          <w:sz w:val="22"/>
          <w:szCs w:val="22"/>
        </w:rPr>
        <w:t xml:space="preserve"> klinikai vizsgálatban (B2225 vizsgálat) az Abl, Kit vagy PDGFR protein tirozinkinázokkal kapcsolatban álló életveszélyes betegségekben szenvedő betegek különféle populációiban vizsgálták a</w:t>
      </w:r>
      <w:r w:rsidR="00C70387" w:rsidRPr="00D045B3">
        <w:rPr>
          <w:sz w:val="22"/>
          <w:szCs w:val="22"/>
        </w:rPr>
        <w:t>z i</w:t>
      </w:r>
      <w:r w:rsidR="0028244F" w:rsidRPr="00D045B3">
        <w:rPr>
          <w:sz w:val="22"/>
          <w:szCs w:val="22"/>
        </w:rPr>
        <w:t>matinib</w:t>
      </w:r>
      <w:r w:rsidRPr="00D045B3">
        <w:rPr>
          <w:sz w:val="22"/>
          <w:szCs w:val="22"/>
        </w:rPr>
        <w:t>et. A vizsgálatba bevont 14</w:t>
      </w:r>
      <w:r w:rsidR="00367B95" w:rsidRPr="00D045B3">
        <w:rPr>
          <w:sz w:val="22"/>
          <w:szCs w:val="22"/>
        </w:rPr>
        <w:t>,</w:t>
      </w:r>
      <w:r w:rsidRPr="00D045B3">
        <w:rPr>
          <w:sz w:val="22"/>
          <w:szCs w:val="22"/>
        </w:rPr>
        <w:t xml:space="preserve"> HES/CEL</w:t>
      </w:r>
      <w:r w:rsidR="00367B95" w:rsidRPr="00D045B3">
        <w:rPr>
          <w:sz w:val="22"/>
          <w:szCs w:val="22"/>
        </w:rPr>
        <w:noBreakHyphen/>
      </w:r>
      <w:r w:rsidRPr="00D045B3">
        <w:rPr>
          <w:sz w:val="22"/>
          <w:szCs w:val="22"/>
        </w:rPr>
        <w:t>ben szenvedő beteg naponta 100</w:t>
      </w:r>
      <w:r w:rsidR="00367B95" w:rsidRPr="00D045B3">
        <w:rPr>
          <w:sz w:val="22"/>
          <w:szCs w:val="22"/>
        </w:rPr>
        <w:noBreakHyphen/>
      </w:r>
      <w:r w:rsidRPr="00D045B3">
        <w:rPr>
          <w:sz w:val="22"/>
          <w:szCs w:val="22"/>
        </w:rPr>
        <w:t xml:space="preserve">1000 mg </w:t>
      </w:r>
      <w:r w:rsidR="00367B95" w:rsidRPr="00D045B3">
        <w:rPr>
          <w:sz w:val="22"/>
          <w:szCs w:val="22"/>
        </w:rPr>
        <w:t>dózisban</w:t>
      </w:r>
      <w:r w:rsidRPr="00D045B3">
        <w:rPr>
          <w:sz w:val="22"/>
          <w:szCs w:val="22"/>
        </w:rPr>
        <w:t xml:space="preserve"> kapott </w:t>
      </w:r>
      <w:r w:rsidR="00367B95" w:rsidRPr="00D045B3">
        <w:rPr>
          <w:sz w:val="22"/>
          <w:szCs w:val="22"/>
        </w:rPr>
        <w:t>i</w:t>
      </w:r>
      <w:r w:rsidR="0028244F" w:rsidRPr="00D045B3">
        <w:rPr>
          <w:sz w:val="22"/>
          <w:szCs w:val="22"/>
        </w:rPr>
        <w:t>matinib</w:t>
      </w:r>
      <w:r w:rsidRPr="00D045B3">
        <w:rPr>
          <w:sz w:val="22"/>
          <w:szCs w:val="22"/>
        </w:rPr>
        <w:t>et. 35</w:t>
      </w:r>
      <w:r w:rsidR="00367B95" w:rsidRPr="00D045B3">
        <w:rPr>
          <w:sz w:val="22"/>
          <w:szCs w:val="22"/>
        </w:rPr>
        <w:t> </w:t>
      </w:r>
      <w:r w:rsidRPr="00D045B3">
        <w:rPr>
          <w:sz w:val="22"/>
          <w:szCs w:val="22"/>
        </w:rPr>
        <w:t>publikált esettanulmányban és esetsorozatban további 162</w:t>
      </w:r>
      <w:r w:rsidR="00367B95" w:rsidRPr="00D045B3">
        <w:rPr>
          <w:sz w:val="22"/>
          <w:szCs w:val="22"/>
        </w:rPr>
        <w:t>,</w:t>
      </w:r>
      <w:r w:rsidRPr="00D045B3">
        <w:rPr>
          <w:sz w:val="22"/>
          <w:szCs w:val="22"/>
        </w:rPr>
        <w:t xml:space="preserve"> HES/CEL</w:t>
      </w:r>
      <w:r w:rsidR="00367B95" w:rsidRPr="00D045B3">
        <w:rPr>
          <w:sz w:val="22"/>
          <w:szCs w:val="22"/>
        </w:rPr>
        <w:noBreakHyphen/>
      </w:r>
      <w:r w:rsidRPr="00D045B3">
        <w:rPr>
          <w:sz w:val="22"/>
          <w:szCs w:val="22"/>
        </w:rPr>
        <w:t>ben szenvedő betegről számoltak be, akik naponta 75</w:t>
      </w:r>
      <w:r w:rsidR="00367B95" w:rsidRPr="00D045B3">
        <w:rPr>
          <w:sz w:val="22"/>
          <w:szCs w:val="22"/>
        </w:rPr>
        <w:noBreakHyphen/>
      </w:r>
      <w:r w:rsidRPr="00D045B3">
        <w:rPr>
          <w:sz w:val="22"/>
          <w:szCs w:val="22"/>
        </w:rPr>
        <w:t>800</w:t>
      </w:r>
      <w:r w:rsidR="00367B95" w:rsidRPr="00D045B3">
        <w:rPr>
          <w:sz w:val="22"/>
          <w:szCs w:val="22"/>
        </w:rPr>
        <w:t> </w:t>
      </w:r>
      <w:r w:rsidRPr="00D045B3">
        <w:rPr>
          <w:sz w:val="22"/>
          <w:szCs w:val="22"/>
        </w:rPr>
        <w:t xml:space="preserve">mg </w:t>
      </w:r>
      <w:r w:rsidR="00F23600" w:rsidRPr="00D045B3">
        <w:rPr>
          <w:sz w:val="22"/>
          <w:szCs w:val="22"/>
        </w:rPr>
        <w:t>dózisban</w:t>
      </w:r>
      <w:r w:rsidRPr="00D045B3">
        <w:rPr>
          <w:sz w:val="22"/>
          <w:szCs w:val="22"/>
        </w:rPr>
        <w:t xml:space="preserve"> kaptak </w:t>
      </w:r>
      <w:r w:rsidR="00367B95" w:rsidRPr="00D045B3">
        <w:rPr>
          <w:sz w:val="22"/>
          <w:szCs w:val="22"/>
        </w:rPr>
        <w:t>i</w:t>
      </w:r>
      <w:r w:rsidR="0028244F" w:rsidRPr="00D045B3">
        <w:rPr>
          <w:sz w:val="22"/>
          <w:szCs w:val="22"/>
        </w:rPr>
        <w:t>matinib</w:t>
      </w:r>
      <w:r w:rsidRPr="00D045B3">
        <w:rPr>
          <w:sz w:val="22"/>
          <w:szCs w:val="22"/>
        </w:rPr>
        <w:t xml:space="preserve">et. </w:t>
      </w:r>
      <w:r w:rsidR="0058135F" w:rsidRPr="00D045B3">
        <w:rPr>
          <w:sz w:val="22"/>
          <w:szCs w:val="22"/>
        </w:rPr>
        <w:t>Az összesen 176 </w:t>
      </w:r>
      <w:r w:rsidRPr="00D045B3">
        <w:rPr>
          <w:sz w:val="22"/>
          <w:szCs w:val="22"/>
        </w:rPr>
        <w:t xml:space="preserve">betegből </w:t>
      </w:r>
      <w:r w:rsidR="0058135F" w:rsidRPr="00D045B3">
        <w:rPr>
          <w:sz w:val="22"/>
          <w:szCs w:val="22"/>
        </w:rPr>
        <w:t>álló populációb</w:t>
      </w:r>
      <w:r w:rsidR="00F23600" w:rsidRPr="00D045B3">
        <w:rPr>
          <w:sz w:val="22"/>
          <w:szCs w:val="22"/>
        </w:rPr>
        <w:t>ó</w:t>
      </w:r>
      <w:r w:rsidR="0058135F" w:rsidRPr="00D045B3">
        <w:rPr>
          <w:sz w:val="22"/>
          <w:szCs w:val="22"/>
        </w:rPr>
        <w:t xml:space="preserve">l </w:t>
      </w:r>
      <w:r w:rsidRPr="00D045B3">
        <w:rPr>
          <w:sz w:val="22"/>
          <w:szCs w:val="22"/>
        </w:rPr>
        <w:t>117</w:t>
      </w:r>
      <w:r w:rsidR="0058135F" w:rsidRPr="00D045B3">
        <w:rPr>
          <w:sz w:val="22"/>
          <w:szCs w:val="22"/>
        </w:rPr>
        <w:t> </w:t>
      </w:r>
      <w:r w:rsidRPr="00D045B3">
        <w:rPr>
          <w:sz w:val="22"/>
          <w:szCs w:val="22"/>
        </w:rPr>
        <w:t xml:space="preserve">esetében vizsgálták a citogenetikai rendellenességeket. </w:t>
      </w:r>
      <w:r w:rsidR="0058135F" w:rsidRPr="00D045B3">
        <w:rPr>
          <w:sz w:val="22"/>
          <w:szCs w:val="22"/>
        </w:rPr>
        <w:t>A 117 beteg közül 61</w:t>
      </w:r>
      <w:r w:rsidR="00F23600" w:rsidRPr="00D045B3">
        <w:rPr>
          <w:sz w:val="22"/>
          <w:szCs w:val="22"/>
        </w:rPr>
        <w:noBreakHyphen/>
        <w:t>nél</w:t>
      </w:r>
      <w:r w:rsidRPr="00D045B3">
        <w:rPr>
          <w:sz w:val="22"/>
          <w:szCs w:val="22"/>
        </w:rPr>
        <w:t xml:space="preserve"> mutatták ki a FIP1L1</w:t>
      </w:r>
      <w:r w:rsidR="0058135F" w:rsidRPr="00D045B3">
        <w:rPr>
          <w:sz w:val="22"/>
          <w:szCs w:val="22"/>
        </w:rPr>
        <w:noBreakHyphen/>
      </w:r>
      <w:r w:rsidRPr="00D045B3">
        <w:rPr>
          <w:sz w:val="22"/>
          <w:szCs w:val="22"/>
        </w:rPr>
        <w:t>PDGFRα fúziós kinázt. 3</w:t>
      </w:r>
      <w:r w:rsidR="0058135F" w:rsidRPr="00D045B3">
        <w:rPr>
          <w:sz w:val="22"/>
          <w:szCs w:val="22"/>
        </w:rPr>
        <w:t> </w:t>
      </w:r>
      <w:r w:rsidRPr="00D045B3">
        <w:rPr>
          <w:sz w:val="22"/>
          <w:szCs w:val="22"/>
        </w:rPr>
        <w:t>másik publikációban további 4</w:t>
      </w:r>
      <w:r w:rsidR="0058135F" w:rsidRPr="00D045B3">
        <w:rPr>
          <w:sz w:val="22"/>
          <w:szCs w:val="22"/>
        </w:rPr>
        <w:t>,</w:t>
      </w:r>
      <w:r w:rsidRPr="00D045B3">
        <w:rPr>
          <w:sz w:val="22"/>
          <w:szCs w:val="22"/>
        </w:rPr>
        <w:t xml:space="preserve"> FIP1L1</w:t>
      </w:r>
      <w:r w:rsidR="0058135F" w:rsidRPr="00D045B3">
        <w:rPr>
          <w:sz w:val="22"/>
          <w:szCs w:val="22"/>
        </w:rPr>
        <w:noBreakHyphen/>
      </w:r>
      <w:r w:rsidRPr="00D045B3">
        <w:rPr>
          <w:sz w:val="22"/>
          <w:szCs w:val="22"/>
        </w:rPr>
        <w:t>PDGFRα fúziós kináz pozitív, HES</w:t>
      </w:r>
      <w:r w:rsidR="0058135F" w:rsidRPr="00D045B3">
        <w:rPr>
          <w:sz w:val="22"/>
          <w:szCs w:val="22"/>
        </w:rPr>
        <w:noBreakHyphen/>
      </w:r>
      <w:r w:rsidRPr="00D045B3">
        <w:rPr>
          <w:sz w:val="22"/>
          <w:szCs w:val="22"/>
        </w:rPr>
        <w:t>ben szenvedő betegről számoltak be. Mind a 65</w:t>
      </w:r>
      <w:r w:rsidR="0058135F" w:rsidRPr="00D045B3">
        <w:rPr>
          <w:sz w:val="22"/>
          <w:szCs w:val="22"/>
        </w:rPr>
        <w:t>,</w:t>
      </w:r>
      <w:r w:rsidRPr="00D045B3">
        <w:rPr>
          <w:sz w:val="22"/>
          <w:szCs w:val="22"/>
        </w:rPr>
        <w:t xml:space="preserve"> FIP1L1</w:t>
      </w:r>
      <w:r w:rsidR="0058135F" w:rsidRPr="00D045B3">
        <w:rPr>
          <w:sz w:val="22"/>
          <w:szCs w:val="22"/>
        </w:rPr>
        <w:noBreakHyphen/>
      </w:r>
      <w:r w:rsidRPr="00D045B3">
        <w:rPr>
          <w:sz w:val="22"/>
          <w:szCs w:val="22"/>
        </w:rPr>
        <w:t>PDGFRα fúziós kináz pozitív beteg teljes hematológiai választ ért el, amely hónapokig fennmaradt (1+</w:t>
      </w:r>
      <w:r w:rsidR="0058135F" w:rsidRPr="00D045B3">
        <w:rPr>
          <w:sz w:val="22"/>
          <w:szCs w:val="22"/>
        </w:rPr>
        <w:t xml:space="preserve"> és </w:t>
      </w:r>
      <w:r w:rsidRPr="00D045B3">
        <w:rPr>
          <w:sz w:val="22"/>
          <w:szCs w:val="22"/>
        </w:rPr>
        <w:t>44+ hónap</w:t>
      </w:r>
      <w:r w:rsidR="0058135F" w:rsidRPr="00D045B3">
        <w:rPr>
          <w:sz w:val="22"/>
          <w:szCs w:val="22"/>
        </w:rPr>
        <w:t xml:space="preserve"> között</w:t>
      </w:r>
      <w:r w:rsidRPr="00D045B3">
        <w:rPr>
          <w:sz w:val="22"/>
          <w:szCs w:val="22"/>
        </w:rPr>
        <w:t>, a bejelentés időpontjakor cenz</w:t>
      </w:r>
      <w:r w:rsidR="0058135F" w:rsidRPr="00D045B3">
        <w:rPr>
          <w:sz w:val="22"/>
          <w:szCs w:val="22"/>
        </w:rPr>
        <w:t>úrázva</w:t>
      </w:r>
      <w:r w:rsidRPr="00D045B3">
        <w:rPr>
          <w:sz w:val="22"/>
          <w:szCs w:val="22"/>
        </w:rPr>
        <w:t>). Amint arról egy utóbb megjelent publikációban beszámoltak, a 65</w:t>
      </w:r>
      <w:r w:rsidR="00C37E5C" w:rsidRPr="00D045B3">
        <w:rPr>
          <w:sz w:val="22"/>
          <w:szCs w:val="22"/>
        </w:rPr>
        <w:t> beteg közül 21 </w:t>
      </w:r>
      <w:r w:rsidRPr="00D045B3">
        <w:rPr>
          <w:sz w:val="22"/>
          <w:szCs w:val="22"/>
        </w:rPr>
        <w:t xml:space="preserve">ért el teljes molekuláris remissziót </w:t>
      </w:r>
      <w:r w:rsidR="00C37E5C" w:rsidRPr="00D045B3">
        <w:rPr>
          <w:sz w:val="22"/>
          <w:szCs w:val="22"/>
        </w:rPr>
        <w:t xml:space="preserve">az </w:t>
      </w:r>
      <w:r w:rsidRPr="00D045B3">
        <w:rPr>
          <w:sz w:val="22"/>
          <w:szCs w:val="22"/>
        </w:rPr>
        <w:t>átlagosan</w:t>
      </w:r>
      <w:r w:rsidR="00C37E5C" w:rsidRPr="00D045B3">
        <w:rPr>
          <w:sz w:val="22"/>
          <w:szCs w:val="22"/>
        </w:rPr>
        <w:t xml:space="preserve"> </w:t>
      </w:r>
      <w:r w:rsidR="00C37E5C" w:rsidRPr="00D045B3">
        <w:rPr>
          <w:color w:val="auto"/>
          <w:sz w:val="22"/>
          <w:szCs w:val="22"/>
        </w:rPr>
        <w:t>28 hónapos (13</w:t>
      </w:r>
      <w:r w:rsidR="00C37E5C" w:rsidRPr="00D045B3">
        <w:rPr>
          <w:color w:val="auto"/>
          <w:sz w:val="22"/>
          <w:szCs w:val="22"/>
        </w:rPr>
        <w:noBreakHyphen/>
      </w:r>
      <w:r w:rsidRPr="00D045B3">
        <w:rPr>
          <w:color w:val="auto"/>
          <w:sz w:val="22"/>
          <w:szCs w:val="22"/>
        </w:rPr>
        <w:t>67</w:t>
      </w:r>
      <w:r w:rsidR="00C37E5C" w:rsidRPr="00D045B3">
        <w:rPr>
          <w:color w:val="auto"/>
          <w:sz w:val="22"/>
          <w:szCs w:val="22"/>
        </w:rPr>
        <w:t> </w:t>
      </w:r>
      <w:r w:rsidRPr="00D045B3">
        <w:rPr>
          <w:color w:val="auto"/>
          <w:sz w:val="22"/>
          <w:szCs w:val="22"/>
        </w:rPr>
        <w:t xml:space="preserve">hónap) </w:t>
      </w:r>
      <w:r w:rsidR="00C37E5C" w:rsidRPr="00D045B3">
        <w:rPr>
          <w:color w:val="auto"/>
          <w:sz w:val="22"/>
          <w:szCs w:val="22"/>
        </w:rPr>
        <w:t>után</w:t>
      </w:r>
      <w:r w:rsidRPr="00D045B3">
        <w:rPr>
          <w:color w:val="auto"/>
          <w:sz w:val="22"/>
          <w:szCs w:val="22"/>
        </w:rPr>
        <w:t xml:space="preserve">követési idő </w:t>
      </w:r>
      <w:r w:rsidR="00C37E5C" w:rsidRPr="00D045B3">
        <w:rPr>
          <w:color w:val="auto"/>
          <w:sz w:val="22"/>
          <w:szCs w:val="22"/>
        </w:rPr>
        <w:t>alatt</w:t>
      </w:r>
      <w:r w:rsidRPr="00D045B3">
        <w:rPr>
          <w:color w:val="auto"/>
          <w:sz w:val="22"/>
          <w:szCs w:val="22"/>
        </w:rPr>
        <w:t xml:space="preserve">. </w:t>
      </w:r>
      <w:r w:rsidR="00C37E5C" w:rsidRPr="00D045B3">
        <w:rPr>
          <w:color w:val="auto"/>
          <w:sz w:val="22"/>
          <w:szCs w:val="22"/>
        </w:rPr>
        <w:t>A</w:t>
      </w:r>
      <w:r w:rsidRPr="00D045B3">
        <w:rPr>
          <w:color w:val="auto"/>
          <w:sz w:val="22"/>
          <w:szCs w:val="22"/>
        </w:rPr>
        <w:t xml:space="preserve"> betegek életkora 25</w:t>
      </w:r>
      <w:r w:rsidR="00C37E5C" w:rsidRPr="00D045B3">
        <w:rPr>
          <w:color w:val="auto"/>
          <w:sz w:val="22"/>
          <w:szCs w:val="22"/>
        </w:rPr>
        <w:noBreakHyphen/>
      </w:r>
      <w:r w:rsidRPr="00D045B3">
        <w:rPr>
          <w:color w:val="auto"/>
          <w:sz w:val="22"/>
          <w:szCs w:val="22"/>
        </w:rPr>
        <w:t>72</w:t>
      </w:r>
      <w:r w:rsidR="00C37E5C" w:rsidRPr="00D045B3">
        <w:rPr>
          <w:color w:val="auto"/>
          <w:sz w:val="22"/>
          <w:szCs w:val="22"/>
        </w:rPr>
        <w:t> </w:t>
      </w:r>
      <w:r w:rsidRPr="00D045B3">
        <w:rPr>
          <w:color w:val="auto"/>
          <w:sz w:val="22"/>
          <w:szCs w:val="22"/>
        </w:rPr>
        <w:t xml:space="preserve">év volt. Az esettanulmányokban </w:t>
      </w:r>
      <w:r w:rsidR="00A7692D" w:rsidRPr="00D045B3">
        <w:rPr>
          <w:color w:val="auto"/>
          <w:sz w:val="22"/>
          <w:szCs w:val="22"/>
        </w:rPr>
        <w:t xml:space="preserve">a vizsgálatvezetők </w:t>
      </w:r>
      <w:r w:rsidRPr="00D045B3">
        <w:rPr>
          <w:color w:val="auto"/>
          <w:sz w:val="22"/>
          <w:szCs w:val="22"/>
        </w:rPr>
        <w:t>ezenkívül a tünetegyüttes és az egyéb szervekben fellépett működési rendellenességek javulásáról számoltak be. Javulás</w:t>
      </w:r>
      <w:r w:rsidR="00A7692D" w:rsidRPr="00D045B3">
        <w:rPr>
          <w:color w:val="auto"/>
          <w:sz w:val="22"/>
          <w:szCs w:val="22"/>
        </w:rPr>
        <w:t>t jelentettek</w:t>
      </w:r>
      <w:r w:rsidRPr="00D045B3">
        <w:rPr>
          <w:color w:val="auto"/>
          <w:sz w:val="22"/>
          <w:szCs w:val="22"/>
        </w:rPr>
        <w:t xml:space="preserve"> a</w:t>
      </w:r>
      <w:r w:rsidR="006228E1" w:rsidRPr="00D045B3">
        <w:rPr>
          <w:color w:val="auto"/>
          <w:sz w:val="22"/>
          <w:szCs w:val="22"/>
        </w:rPr>
        <w:t xml:space="preserve"> szív, az </w:t>
      </w:r>
      <w:r w:rsidRPr="00D045B3">
        <w:rPr>
          <w:color w:val="auto"/>
          <w:sz w:val="22"/>
          <w:szCs w:val="22"/>
        </w:rPr>
        <w:t>idegrendszer, bőr/bőr alatti szövetek, légzőrendszer/mellkas/mediastinum, vázizom/kötőszövet/érrendszer és emésztőrendszer</w:t>
      </w:r>
      <w:r w:rsidR="006228E1" w:rsidRPr="00D045B3">
        <w:rPr>
          <w:color w:val="auto"/>
          <w:sz w:val="22"/>
          <w:szCs w:val="22"/>
        </w:rPr>
        <w:t xml:space="preserve"> tekintetében</w:t>
      </w:r>
      <w:r w:rsidRPr="00D045B3">
        <w:rPr>
          <w:color w:val="auto"/>
          <w:sz w:val="22"/>
          <w:szCs w:val="22"/>
        </w:rPr>
        <w:t xml:space="preserve">. </w:t>
      </w:r>
    </w:p>
    <w:p w14:paraId="1E9273FE" w14:textId="77777777" w:rsidR="001964AE" w:rsidRPr="00D045B3" w:rsidRDefault="001964AE" w:rsidP="00D20E75">
      <w:pPr>
        <w:pStyle w:val="Default"/>
        <w:rPr>
          <w:color w:val="auto"/>
          <w:sz w:val="22"/>
          <w:szCs w:val="22"/>
        </w:rPr>
      </w:pPr>
    </w:p>
    <w:p w14:paraId="1E9273FF" w14:textId="77777777" w:rsidR="00D20E75" w:rsidRPr="00D045B3" w:rsidRDefault="00D20E75" w:rsidP="00D20E75">
      <w:pPr>
        <w:pStyle w:val="Default"/>
        <w:rPr>
          <w:color w:val="auto"/>
          <w:sz w:val="22"/>
          <w:szCs w:val="22"/>
        </w:rPr>
      </w:pPr>
      <w:r w:rsidRPr="00D045B3">
        <w:rPr>
          <w:color w:val="auto"/>
          <w:sz w:val="22"/>
          <w:szCs w:val="22"/>
        </w:rPr>
        <w:t>HES/CEL</w:t>
      </w:r>
      <w:r w:rsidR="00D85AC0" w:rsidRPr="00D045B3">
        <w:rPr>
          <w:color w:val="auto"/>
          <w:sz w:val="22"/>
          <w:szCs w:val="22"/>
        </w:rPr>
        <w:noBreakHyphen/>
      </w:r>
      <w:r w:rsidRPr="00D045B3">
        <w:rPr>
          <w:color w:val="auto"/>
          <w:sz w:val="22"/>
          <w:szCs w:val="22"/>
        </w:rPr>
        <w:t>ben szenvedő gyermekgyógyászati betegekkel nincsenek kontrollos vizsgálatok. Három publikációban három (3), PDGFR</w:t>
      </w:r>
      <w:r w:rsidR="00D85AC0" w:rsidRPr="00D045B3">
        <w:rPr>
          <w:color w:val="auto"/>
          <w:sz w:val="22"/>
          <w:szCs w:val="22"/>
        </w:rPr>
        <w:noBreakHyphen/>
      </w:r>
      <w:r w:rsidRPr="00D045B3">
        <w:rPr>
          <w:color w:val="auto"/>
          <w:sz w:val="22"/>
          <w:szCs w:val="22"/>
        </w:rPr>
        <w:t>rel társult, HES</w:t>
      </w:r>
      <w:r w:rsidR="00D85AC0" w:rsidRPr="00D045B3">
        <w:rPr>
          <w:color w:val="auto"/>
          <w:sz w:val="22"/>
          <w:szCs w:val="22"/>
        </w:rPr>
        <w:noBreakHyphen/>
      </w:r>
      <w:r w:rsidRPr="00D045B3">
        <w:rPr>
          <w:color w:val="auto"/>
          <w:sz w:val="22"/>
          <w:szCs w:val="22"/>
        </w:rPr>
        <w:t>ben és CEL</w:t>
      </w:r>
      <w:r w:rsidR="00D85AC0" w:rsidRPr="00D045B3">
        <w:rPr>
          <w:color w:val="auto"/>
          <w:sz w:val="22"/>
          <w:szCs w:val="22"/>
        </w:rPr>
        <w:noBreakHyphen/>
      </w:r>
      <w:r w:rsidRPr="00D045B3">
        <w:rPr>
          <w:color w:val="auto"/>
          <w:sz w:val="22"/>
          <w:szCs w:val="22"/>
        </w:rPr>
        <w:t xml:space="preserve">ben szenvedő betegnél génátrendeződésről számoltak be. </w:t>
      </w:r>
      <w:r w:rsidR="00D85AC0" w:rsidRPr="00D045B3">
        <w:rPr>
          <w:color w:val="auto"/>
          <w:sz w:val="22"/>
          <w:szCs w:val="22"/>
        </w:rPr>
        <w:t>A betegek életkora 2 és 16 </w:t>
      </w:r>
      <w:r w:rsidRPr="00D045B3">
        <w:rPr>
          <w:color w:val="auto"/>
          <w:sz w:val="22"/>
          <w:szCs w:val="22"/>
        </w:rPr>
        <w:t xml:space="preserve">év közé esett, </w:t>
      </w:r>
      <w:r w:rsidR="00A7692D" w:rsidRPr="00D045B3">
        <w:rPr>
          <w:color w:val="auto"/>
          <w:sz w:val="22"/>
          <w:szCs w:val="22"/>
        </w:rPr>
        <w:t>akik</w:t>
      </w:r>
      <w:r w:rsidRPr="00D045B3">
        <w:rPr>
          <w:color w:val="auto"/>
          <w:sz w:val="22"/>
          <w:szCs w:val="22"/>
        </w:rPr>
        <w:t xml:space="preserve"> az imatinibet napi 300</w:t>
      </w:r>
      <w:r w:rsidR="00A7692D" w:rsidRPr="00D045B3">
        <w:rPr>
          <w:color w:val="auto"/>
          <w:sz w:val="22"/>
          <w:szCs w:val="22"/>
        </w:rPr>
        <w:t> </w:t>
      </w:r>
      <w:r w:rsidRPr="00D045B3">
        <w:rPr>
          <w:color w:val="auto"/>
          <w:sz w:val="22"/>
          <w:szCs w:val="22"/>
        </w:rPr>
        <w:t>mg/m</w:t>
      </w:r>
      <w:r w:rsidR="00A7692D" w:rsidRPr="00D045B3">
        <w:rPr>
          <w:color w:val="auto"/>
          <w:sz w:val="22"/>
          <w:szCs w:val="22"/>
          <w:vertAlign w:val="superscript"/>
        </w:rPr>
        <w:t>2</w:t>
      </w:r>
      <w:r w:rsidRPr="00D045B3">
        <w:rPr>
          <w:color w:val="auto"/>
          <w:sz w:val="22"/>
          <w:szCs w:val="22"/>
        </w:rPr>
        <w:t xml:space="preserve"> vagy napi 200</w:t>
      </w:r>
      <w:r w:rsidR="004247D8" w:rsidRPr="00D045B3">
        <w:rPr>
          <w:color w:val="auto"/>
          <w:sz w:val="22"/>
          <w:szCs w:val="22"/>
        </w:rPr>
        <w:noBreakHyphen/>
        <w:t>400 </w:t>
      </w:r>
      <w:r w:rsidRPr="00D045B3">
        <w:rPr>
          <w:color w:val="auto"/>
          <w:sz w:val="22"/>
          <w:szCs w:val="22"/>
        </w:rPr>
        <w:t xml:space="preserve">mg közötti dózisokban kapták. Minden beteg teljes hematológiai választ, teljes cytogenetikai választ és/vagy teljes molekuláris választ ért el. </w:t>
      </w:r>
    </w:p>
    <w:p w14:paraId="1E927400" w14:textId="77777777" w:rsidR="001964AE" w:rsidRPr="00D045B3" w:rsidRDefault="001964AE" w:rsidP="00D20E75">
      <w:pPr>
        <w:pStyle w:val="Default"/>
        <w:rPr>
          <w:color w:val="auto"/>
          <w:sz w:val="22"/>
          <w:szCs w:val="22"/>
        </w:rPr>
      </w:pPr>
    </w:p>
    <w:p w14:paraId="1E927401" w14:textId="77777777" w:rsidR="001964AE" w:rsidRPr="00D045B3" w:rsidRDefault="001964AE" w:rsidP="008A6837">
      <w:pPr>
        <w:pStyle w:val="Default"/>
        <w:keepNext/>
        <w:rPr>
          <w:sz w:val="22"/>
          <w:szCs w:val="22"/>
          <w:u w:val="single"/>
        </w:rPr>
      </w:pPr>
      <w:r w:rsidRPr="00D045B3">
        <w:rPr>
          <w:sz w:val="22"/>
          <w:szCs w:val="22"/>
          <w:u w:val="single"/>
        </w:rPr>
        <w:t xml:space="preserve">Klinikai vizsgálatok DFSP-ben </w:t>
      </w:r>
    </w:p>
    <w:p w14:paraId="1E927402" w14:textId="774CB6E5" w:rsidR="001964AE" w:rsidRPr="00D045B3" w:rsidRDefault="001964AE" w:rsidP="00CA41FD">
      <w:pPr>
        <w:pStyle w:val="Default"/>
        <w:rPr>
          <w:sz w:val="22"/>
          <w:szCs w:val="22"/>
        </w:rPr>
      </w:pPr>
      <w:r w:rsidRPr="00D045B3">
        <w:rPr>
          <w:sz w:val="22"/>
          <w:szCs w:val="22"/>
        </w:rPr>
        <w:t xml:space="preserve">Egy nyílt, II. </w:t>
      </w:r>
      <w:r w:rsidR="00C74779" w:rsidRPr="00D045B3">
        <w:rPr>
          <w:sz w:val="22"/>
          <w:szCs w:val="22"/>
        </w:rPr>
        <w:t xml:space="preserve">fázisú </w:t>
      </w:r>
      <w:r w:rsidRPr="00D045B3">
        <w:rPr>
          <w:sz w:val="22"/>
          <w:szCs w:val="22"/>
        </w:rPr>
        <w:t>multicentrikus klinikai vizsgálatban (B2225 vizsgálat) többek között 12</w:t>
      </w:r>
      <w:r w:rsidR="00694F06" w:rsidRPr="00D045B3">
        <w:rPr>
          <w:sz w:val="22"/>
          <w:szCs w:val="22"/>
        </w:rPr>
        <w:t>,</w:t>
      </w:r>
      <w:r w:rsidRPr="00D045B3">
        <w:rPr>
          <w:sz w:val="22"/>
          <w:szCs w:val="22"/>
        </w:rPr>
        <w:t xml:space="preserve"> DFSP</w:t>
      </w:r>
      <w:r w:rsidR="00694F06" w:rsidRPr="00D045B3">
        <w:rPr>
          <w:sz w:val="22"/>
          <w:szCs w:val="22"/>
        </w:rPr>
        <w:noBreakHyphen/>
      </w:r>
      <w:r w:rsidRPr="00D045B3">
        <w:rPr>
          <w:sz w:val="22"/>
          <w:szCs w:val="22"/>
        </w:rPr>
        <w:t>ben sze</w:t>
      </w:r>
      <w:r w:rsidR="004247D8" w:rsidRPr="00D045B3">
        <w:rPr>
          <w:sz w:val="22"/>
          <w:szCs w:val="22"/>
        </w:rPr>
        <w:t>nvedő beteget kezeltek napi 800 </w:t>
      </w:r>
      <w:r w:rsidRPr="00D045B3">
        <w:rPr>
          <w:sz w:val="22"/>
          <w:szCs w:val="22"/>
        </w:rPr>
        <w:t xml:space="preserve">mg </w:t>
      </w:r>
      <w:r w:rsidR="004247D8" w:rsidRPr="00D045B3">
        <w:rPr>
          <w:sz w:val="22"/>
          <w:szCs w:val="22"/>
        </w:rPr>
        <w:t>imatinibbel</w:t>
      </w:r>
      <w:r w:rsidRPr="00D045B3">
        <w:rPr>
          <w:sz w:val="22"/>
          <w:szCs w:val="22"/>
        </w:rPr>
        <w:t>. A DFSP</w:t>
      </w:r>
      <w:r w:rsidR="004247D8" w:rsidRPr="00D045B3">
        <w:rPr>
          <w:sz w:val="22"/>
          <w:szCs w:val="22"/>
        </w:rPr>
        <w:noBreakHyphen/>
      </w:r>
      <w:r w:rsidRPr="00D045B3">
        <w:rPr>
          <w:sz w:val="22"/>
          <w:szCs w:val="22"/>
        </w:rPr>
        <w:t>s betegek életkora 23 és 75</w:t>
      </w:r>
      <w:r w:rsidR="004247D8" w:rsidRPr="00D045B3">
        <w:rPr>
          <w:sz w:val="22"/>
          <w:szCs w:val="22"/>
        </w:rPr>
        <w:t> </w:t>
      </w:r>
      <w:r w:rsidRPr="00D045B3">
        <w:rPr>
          <w:sz w:val="22"/>
          <w:szCs w:val="22"/>
        </w:rPr>
        <w:t>év között volt; a DFSP metasztatikus, az induláskor reszekciós műtétet követően lokálisan recidiváló volt, és a</w:t>
      </w:r>
      <w:r w:rsidR="004247D8" w:rsidRPr="00D045B3">
        <w:rPr>
          <w:sz w:val="22"/>
          <w:szCs w:val="22"/>
        </w:rPr>
        <w:t xml:space="preserve"> betegeket a</w:t>
      </w:r>
      <w:r w:rsidRPr="00D045B3">
        <w:rPr>
          <w:sz w:val="22"/>
          <w:szCs w:val="22"/>
        </w:rPr>
        <w:t xml:space="preserve"> vizsgálatba történő bevonáskor további reszekciós műtétre nem tekintették alkalmasnak. A 12</w:t>
      </w:r>
      <w:r w:rsidR="004247D8" w:rsidRPr="00D045B3">
        <w:rPr>
          <w:sz w:val="22"/>
          <w:szCs w:val="22"/>
        </w:rPr>
        <w:t> </w:t>
      </w:r>
      <w:r w:rsidRPr="00D045B3">
        <w:rPr>
          <w:sz w:val="22"/>
          <w:szCs w:val="22"/>
        </w:rPr>
        <w:t>bevont betegből 9</w:t>
      </w:r>
      <w:r w:rsidR="000B0FF2" w:rsidRPr="00D045B3">
        <w:rPr>
          <w:sz w:val="22"/>
          <w:szCs w:val="22"/>
        </w:rPr>
        <w:noBreakHyphen/>
        <w:t>nél volt tapasztalható</w:t>
      </w:r>
      <w:r w:rsidRPr="00D045B3">
        <w:rPr>
          <w:sz w:val="22"/>
          <w:szCs w:val="22"/>
        </w:rPr>
        <w:t xml:space="preserve"> </w:t>
      </w:r>
      <w:r w:rsidR="004247D8" w:rsidRPr="00D045B3">
        <w:rPr>
          <w:sz w:val="22"/>
          <w:szCs w:val="22"/>
        </w:rPr>
        <w:t xml:space="preserve">terápiás </w:t>
      </w:r>
      <w:r w:rsidRPr="00D045B3">
        <w:rPr>
          <w:sz w:val="22"/>
          <w:szCs w:val="22"/>
        </w:rPr>
        <w:t>válasz</w:t>
      </w:r>
      <w:r w:rsidR="000B0FF2" w:rsidRPr="00D045B3">
        <w:rPr>
          <w:sz w:val="22"/>
          <w:szCs w:val="22"/>
        </w:rPr>
        <w:t xml:space="preserve">, közülük </w:t>
      </w:r>
      <w:r w:rsidRPr="00D045B3">
        <w:rPr>
          <w:sz w:val="22"/>
          <w:szCs w:val="22"/>
        </w:rPr>
        <w:t>1</w:t>
      </w:r>
      <w:r w:rsidR="004247D8" w:rsidRPr="00D045B3">
        <w:rPr>
          <w:sz w:val="22"/>
          <w:szCs w:val="22"/>
        </w:rPr>
        <w:t> </w:t>
      </w:r>
      <w:r w:rsidRPr="00D045B3">
        <w:rPr>
          <w:sz w:val="22"/>
          <w:szCs w:val="22"/>
        </w:rPr>
        <w:t>beteg teljes választ, 8</w:t>
      </w:r>
      <w:r w:rsidR="000B0FF2" w:rsidRPr="00D045B3">
        <w:rPr>
          <w:sz w:val="22"/>
          <w:szCs w:val="22"/>
        </w:rPr>
        <w:t> </w:t>
      </w:r>
      <w:r w:rsidRPr="00D045B3">
        <w:rPr>
          <w:sz w:val="22"/>
          <w:szCs w:val="22"/>
        </w:rPr>
        <w:t>beteg részleges választ</w:t>
      </w:r>
      <w:r w:rsidR="000B0FF2" w:rsidRPr="00D045B3">
        <w:rPr>
          <w:sz w:val="22"/>
          <w:szCs w:val="22"/>
        </w:rPr>
        <w:t xml:space="preserve"> adott</w:t>
      </w:r>
      <w:r w:rsidRPr="00D045B3">
        <w:rPr>
          <w:sz w:val="22"/>
          <w:szCs w:val="22"/>
        </w:rPr>
        <w:t>. A részleges válasz adó</w:t>
      </w:r>
      <w:r w:rsidR="000B0FF2" w:rsidRPr="00D045B3">
        <w:rPr>
          <w:sz w:val="22"/>
          <w:szCs w:val="22"/>
        </w:rPr>
        <w:t>k közül</w:t>
      </w:r>
      <w:r w:rsidRPr="00D045B3">
        <w:rPr>
          <w:sz w:val="22"/>
          <w:szCs w:val="22"/>
        </w:rPr>
        <w:t xml:space="preserve"> 3</w:t>
      </w:r>
      <w:r w:rsidR="000B0FF2" w:rsidRPr="00D045B3">
        <w:rPr>
          <w:sz w:val="22"/>
          <w:szCs w:val="22"/>
        </w:rPr>
        <w:t> </w:t>
      </w:r>
      <w:r w:rsidRPr="00D045B3">
        <w:rPr>
          <w:sz w:val="22"/>
          <w:szCs w:val="22"/>
        </w:rPr>
        <w:t>beteg a későbbiekben műtéti beavatkozást követően vált betegségmentessé. A B2225 vizsgálatban a kezelés időtartamának medián</w:t>
      </w:r>
      <w:r w:rsidR="00322650" w:rsidRPr="00D045B3">
        <w:rPr>
          <w:sz w:val="22"/>
          <w:szCs w:val="22"/>
        </w:rPr>
        <w:t xml:space="preserve"> </w:t>
      </w:r>
      <w:r w:rsidRPr="00D045B3">
        <w:rPr>
          <w:sz w:val="22"/>
          <w:szCs w:val="22"/>
        </w:rPr>
        <w:t>értéke 6,2</w:t>
      </w:r>
      <w:r w:rsidR="00322650" w:rsidRPr="00D045B3">
        <w:rPr>
          <w:sz w:val="22"/>
          <w:szCs w:val="22"/>
        </w:rPr>
        <w:t> </w:t>
      </w:r>
      <w:r w:rsidRPr="00D045B3">
        <w:rPr>
          <w:sz w:val="22"/>
          <w:szCs w:val="22"/>
        </w:rPr>
        <w:t>hónap volt (a maxim</w:t>
      </w:r>
      <w:r w:rsidR="00322650" w:rsidRPr="00D045B3">
        <w:rPr>
          <w:sz w:val="22"/>
          <w:szCs w:val="22"/>
        </w:rPr>
        <w:t xml:space="preserve">ális </w:t>
      </w:r>
      <w:r w:rsidRPr="00D045B3">
        <w:rPr>
          <w:sz w:val="22"/>
          <w:szCs w:val="22"/>
        </w:rPr>
        <w:t>időtartam 24,3</w:t>
      </w:r>
      <w:r w:rsidR="00322650" w:rsidRPr="00D045B3">
        <w:rPr>
          <w:sz w:val="22"/>
          <w:szCs w:val="22"/>
        </w:rPr>
        <w:t> </w:t>
      </w:r>
      <w:r w:rsidRPr="00D045B3">
        <w:rPr>
          <w:sz w:val="22"/>
          <w:szCs w:val="22"/>
        </w:rPr>
        <w:t xml:space="preserve">hónap volt). </w:t>
      </w:r>
      <w:r w:rsidR="00322650" w:rsidRPr="00D045B3">
        <w:rPr>
          <w:sz w:val="22"/>
          <w:szCs w:val="22"/>
        </w:rPr>
        <w:t>5 publikált esettanulmányban t</w:t>
      </w:r>
      <w:r w:rsidRPr="00D045B3">
        <w:rPr>
          <w:sz w:val="22"/>
          <w:szCs w:val="22"/>
        </w:rPr>
        <w:t xml:space="preserve">ovábbi 6, </w:t>
      </w:r>
      <w:r w:rsidR="00322650" w:rsidRPr="00D045B3">
        <w:rPr>
          <w:sz w:val="22"/>
          <w:szCs w:val="22"/>
        </w:rPr>
        <w:t>imatinibbel</w:t>
      </w:r>
      <w:r w:rsidRPr="00D045B3">
        <w:rPr>
          <w:sz w:val="22"/>
          <w:szCs w:val="22"/>
        </w:rPr>
        <w:t xml:space="preserve"> kezelt DFSP</w:t>
      </w:r>
      <w:r w:rsidR="00322650" w:rsidRPr="00D045B3">
        <w:rPr>
          <w:sz w:val="22"/>
          <w:szCs w:val="22"/>
        </w:rPr>
        <w:noBreakHyphen/>
        <w:t>s betegről (életkor: 18 </w:t>
      </w:r>
      <w:r w:rsidRPr="00D045B3">
        <w:rPr>
          <w:sz w:val="22"/>
          <w:szCs w:val="22"/>
        </w:rPr>
        <w:t>hónap</w:t>
      </w:r>
      <w:r w:rsidR="00322650" w:rsidRPr="00D045B3">
        <w:rPr>
          <w:sz w:val="22"/>
          <w:szCs w:val="22"/>
        </w:rPr>
        <w:noBreakHyphen/>
      </w:r>
      <w:r w:rsidRPr="00D045B3">
        <w:rPr>
          <w:sz w:val="22"/>
          <w:szCs w:val="22"/>
        </w:rPr>
        <w:t>49</w:t>
      </w:r>
      <w:r w:rsidR="00322650" w:rsidRPr="00D045B3">
        <w:rPr>
          <w:sz w:val="22"/>
          <w:szCs w:val="22"/>
        </w:rPr>
        <w:t> </w:t>
      </w:r>
      <w:r w:rsidRPr="00D045B3">
        <w:rPr>
          <w:sz w:val="22"/>
          <w:szCs w:val="22"/>
        </w:rPr>
        <w:t>év) számoltak be. A szakirodalomban szereplő felnőtt betegek</w:t>
      </w:r>
      <w:r w:rsidR="00322650" w:rsidRPr="00D045B3">
        <w:rPr>
          <w:sz w:val="22"/>
          <w:szCs w:val="22"/>
        </w:rPr>
        <w:t>et napi 400 mg (4 eset) vagy 800 mg (1 </w:t>
      </w:r>
      <w:r w:rsidRPr="00D045B3">
        <w:rPr>
          <w:sz w:val="22"/>
          <w:szCs w:val="22"/>
        </w:rPr>
        <w:t xml:space="preserve">eset) </w:t>
      </w:r>
      <w:r w:rsidR="00322650" w:rsidRPr="00D045B3">
        <w:rPr>
          <w:sz w:val="22"/>
          <w:szCs w:val="22"/>
        </w:rPr>
        <w:t>imatinibbel kezelték</w:t>
      </w:r>
      <w:r w:rsidRPr="00D045B3">
        <w:rPr>
          <w:sz w:val="22"/>
          <w:szCs w:val="22"/>
        </w:rPr>
        <w:t>. Az 5</w:t>
      </w:r>
      <w:r w:rsidR="000E6DB6" w:rsidRPr="00D045B3">
        <w:rPr>
          <w:sz w:val="22"/>
          <w:szCs w:val="22"/>
        </w:rPr>
        <w:t> reagáló betegből 3 teljes választ, 2 </w:t>
      </w:r>
      <w:r w:rsidRPr="00D045B3">
        <w:rPr>
          <w:sz w:val="22"/>
          <w:szCs w:val="22"/>
        </w:rPr>
        <w:t>részleges választ adott. A szakirodalomban közölt esetekben a kezel</w:t>
      </w:r>
      <w:r w:rsidR="000E6DB6" w:rsidRPr="00D045B3">
        <w:rPr>
          <w:sz w:val="22"/>
          <w:szCs w:val="22"/>
        </w:rPr>
        <w:t>és időtartamának mediánértéke 4 hét és több mint 20 </w:t>
      </w:r>
      <w:r w:rsidRPr="00D045B3">
        <w:rPr>
          <w:sz w:val="22"/>
          <w:szCs w:val="22"/>
        </w:rPr>
        <w:t>hónap között volt. A t(17:22)[(q22:q13)] transzlokáció vagy ennek génproduktuma kimutatható volt a</w:t>
      </w:r>
      <w:r w:rsidR="000E6DB6" w:rsidRPr="00D045B3">
        <w:rPr>
          <w:sz w:val="22"/>
          <w:szCs w:val="22"/>
        </w:rPr>
        <w:t>z imatinib</w:t>
      </w:r>
      <w:r w:rsidR="000E6DB6" w:rsidRPr="00D045B3">
        <w:rPr>
          <w:sz w:val="22"/>
          <w:szCs w:val="22"/>
        </w:rPr>
        <w:noBreakHyphen/>
      </w:r>
      <w:r w:rsidRPr="00D045B3">
        <w:rPr>
          <w:sz w:val="22"/>
          <w:szCs w:val="22"/>
        </w:rPr>
        <w:t xml:space="preserve">kezelésre reagáló összes betegben. </w:t>
      </w:r>
    </w:p>
    <w:p w14:paraId="1E927403" w14:textId="77777777" w:rsidR="003E60B9" w:rsidRPr="00D045B3" w:rsidRDefault="003E60B9" w:rsidP="001964AE">
      <w:pPr>
        <w:pStyle w:val="Default"/>
        <w:rPr>
          <w:sz w:val="22"/>
          <w:szCs w:val="22"/>
        </w:rPr>
      </w:pPr>
    </w:p>
    <w:p w14:paraId="1E927404" w14:textId="77777777" w:rsidR="001964AE" w:rsidRPr="00D045B3" w:rsidRDefault="001964AE" w:rsidP="001964AE">
      <w:pPr>
        <w:pStyle w:val="Default"/>
        <w:rPr>
          <w:sz w:val="22"/>
          <w:szCs w:val="22"/>
        </w:rPr>
      </w:pPr>
      <w:r w:rsidRPr="00D045B3">
        <w:rPr>
          <w:sz w:val="22"/>
          <w:szCs w:val="22"/>
        </w:rPr>
        <w:t>DFSP</w:t>
      </w:r>
      <w:r w:rsidR="000E6DB6" w:rsidRPr="00D045B3">
        <w:rPr>
          <w:sz w:val="22"/>
          <w:szCs w:val="22"/>
        </w:rPr>
        <w:noBreakHyphen/>
      </w:r>
      <w:r w:rsidRPr="00D045B3">
        <w:rPr>
          <w:sz w:val="22"/>
          <w:szCs w:val="22"/>
        </w:rPr>
        <w:t>ben szenvedő gyermekgyógyászati betegekkel nincsenek kontrollos vizsgálatok. Három publikációban öt (5), DFSP</w:t>
      </w:r>
      <w:r w:rsidR="000E6DB6" w:rsidRPr="00D045B3">
        <w:rPr>
          <w:sz w:val="22"/>
          <w:szCs w:val="22"/>
        </w:rPr>
        <w:noBreakHyphen/>
        <w:t>ben és PDGFR</w:t>
      </w:r>
      <w:r w:rsidR="000E6DB6" w:rsidRPr="00D045B3">
        <w:rPr>
          <w:sz w:val="22"/>
          <w:szCs w:val="22"/>
        </w:rPr>
        <w:noBreakHyphen/>
      </w:r>
      <w:r w:rsidRPr="00D045B3">
        <w:rPr>
          <w:sz w:val="22"/>
          <w:szCs w:val="22"/>
        </w:rPr>
        <w:t xml:space="preserve">ben szenvedő betegnél génátrendeződésről számoltak be. </w:t>
      </w:r>
      <w:r w:rsidR="000E6DB6" w:rsidRPr="00D045B3">
        <w:rPr>
          <w:sz w:val="22"/>
          <w:szCs w:val="22"/>
        </w:rPr>
        <w:t>A betegek életkora újszülött</w:t>
      </w:r>
      <w:r w:rsidRPr="00D045B3">
        <w:rPr>
          <w:sz w:val="22"/>
          <w:szCs w:val="22"/>
        </w:rPr>
        <w:t>kor és 14</w:t>
      </w:r>
      <w:r w:rsidR="000E6DB6" w:rsidRPr="00D045B3">
        <w:rPr>
          <w:sz w:val="22"/>
          <w:szCs w:val="22"/>
        </w:rPr>
        <w:t> </w:t>
      </w:r>
      <w:r w:rsidRPr="00D045B3">
        <w:rPr>
          <w:sz w:val="22"/>
          <w:szCs w:val="22"/>
        </w:rPr>
        <w:t>év közé esett, és az imatinibet napi 5</w:t>
      </w:r>
      <w:r w:rsidR="000E6DB6" w:rsidRPr="00D045B3">
        <w:rPr>
          <w:sz w:val="22"/>
          <w:szCs w:val="22"/>
        </w:rPr>
        <w:t>0 </w:t>
      </w:r>
      <w:r w:rsidRPr="00D045B3">
        <w:rPr>
          <w:sz w:val="22"/>
          <w:szCs w:val="22"/>
        </w:rPr>
        <w:t>mg</w:t>
      </w:r>
      <w:r w:rsidR="000E6DB6" w:rsidRPr="00D045B3">
        <w:rPr>
          <w:sz w:val="22"/>
          <w:szCs w:val="22"/>
        </w:rPr>
        <w:noBreakHyphen/>
      </w:r>
      <w:r w:rsidRPr="00D045B3">
        <w:rPr>
          <w:sz w:val="22"/>
          <w:szCs w:val="22"/>
        </w:rPr>
        <w:t>os vagy napi 400</w:t>
      </w:r>
      <w:r w:rsidR="00841AF5" w:rsidRPr="00D045B3">
        <w:rPr>
          <w:sz w:val="22"/>
          <w:szCs w:val="22"/>
        </w:rPr>
        <w:noBreakHyphen/>
      </w:r>
      <w:r w:rsidRPr="00D045B3">
        <w:rPr>
          <w:sz w:val="22"/>
          <w:szCs w:val="22"/>
        </w:rPr>
        <w:t>520</w:t>
      </w:r>
      <w:r w:rsidR="00841AF5" w:rsidRPr="00D045B3">
        <w:rPr>
          <w:sz w:val="22"/>
          <w:szCs w:val="22"/>
        </w:rPr>
        <w:t> </w:t>
      </w:r>
      <w:r w:rsidRPr="00D045B3">
        <w:rPr>
          <w:sz w:val="22"/>
          <w:szCs w:val="22"/>
        </w:rPr>
        <w:t>mg/m</w:t>
      </w:r>
      <w:r w:rsidR="00841AF5" w:rsidRPr="00D045B3">
        <w:rPr>
          <w:sz w:val="22"/>
          <w:szCs w:val="22"/>
          <w:vertAlign w:val="superscript"/>
        </w:rPr>
        <w:t>2</w:t>
      </w:r>
      <w:r w:rsidRPr="00D045B3">
        <w:rPr>
          <w:sz w:val="14"/>
          <w:szCs w:val="14"/>
        </w:rPr>
        <w:t xml:space="preserve"> </w:t>
      </w:r>
      <w:r w:rsidRPr="00D045B3">
        <w:rPr>
          <w:sz w:val="22"/>
          <w:szCs w:val="22"/>
        </w:rPr>
        <w:t xml:space="preserve">közötti </w:t>
      </w:r>
      <w:r w:rsidR="00841AF5" w:rsidRPr="00D045B3">
        <w:rPr>
          <w:sz w:val="22"/>
          <w:szCs w:val="22"/>
        </w:rPr>
        <w:t>dózisokban kapták. Minden beteg</w:t>
      </w:r>
      <w:r w:rsidRPr="00D045B3">
        <w:rPr>
          <w:sz w:val="22"/>
          <w:szCs w:val="22"/>
        </w:rPr>
        <w:t xml:space="preserve"> parciális és/vagy teljes remissziót ért el. </w:t>
      </w:r>
    </w:p>
    <w:p w14:paraId="1E927405" w14:textId="77777777" w:rsidR="00D20E75" w:rsidRPr="00D045B3" w:rsidRDefault="00D20E75" w:rsidP="008A6837">
      <w:pPr>
        <w:pStyle w:val="KeinLeerraum"/>
        <w:rPr>
          <w:rFonts w:ascii="Times New Roman" w:hAnsi="Times New Roman"/>
          <w:b/>
        </w:rPr>
      </w:pPr>
    </w:p>
    <w:p w14:paraId="1E927406" w14:textId="77777777" w:rsidR="009E12FC" w:rsidRPr="00D045B3" w:rsidRDefault="009E12FC" w:rsidP="0011590E">
      <w:pPr>
        <w:pStyle w:val="KeinLeerraum"/>
        <w:keepNext/>
        <w:rPr>
          <w:rFonts w:ascii="Times New Roman" w:hAnsi="Times New Roman"/>
          <w:b/>
        </w:rPr>
      </w:pPr>
      <w:r w:rsidRPr="00D045B3">
        <w:rPr>
          <w:rFonts w:ascii="Times New Roman" w:hAnsi="Times New Roman"/>
          <w:b/>
        </w:rPr>
        <w:t>5.2</w:t>
      </w:r>
      <w:r w:rsidRPr="00D045B3">
        <w:rPr>
          <w:rFonts w:ascii="Times New Roman" w:hAnsi="Times New Roman"/>
          <w:b/>
        </w:rPr>
        <w:tab/>
        <w:t xml:space="preserve">Farmakokinetikai tulajdonságok </w:t>
      </w:r>
    </w:p>
    <w:p w14:paraId="1E927407" w14:textId="77777777" w:rsidR="009E12FC" w:rsidRPr="00D045B3" w:rsidRDefault="009E12FC" w:rsidP="0011590E">
      <w:pPr>
        <w:pStyle w:val="KeinLeerraum"/>
        <w:keepNext/>
        <w:rPr>
          <w:rFonts w:ascii="Times New Roman" w:hAnsi="Times New Roman"/>
        </w:rPr>
      </w:pPr>
    </w:p>
    <w:p w14:paraId="1E927408" w14:textId="77777777" w:rsidR="009E12FC" w:rsidRPr="00D045B3" w:rsidRDefault="009E12FC" w:rsidP="009E12FC">
      <w:pPr>
        <w:pStyle w:val="KeinLeerraum"/>
        <w:keepNext/>
        <w:rPr>
          <w:rFonts w:ascii="Times New Roman" w:hAnsi="Times New Roman"/>
          <w:u w:val="single"/>
        </w:rPr>
      </w:pPr>
      <w:r w:rsidRPr="00D045B3">
        <w:rPr>
          <w:rFonts w:ascii="Times New Roman" w:hAnsi="Times New Roman"/>
          <w:u w:val="single"/>
        </w:rPr>
        <w:t xml:space="preserve">Az imatinib farmakokinetikai tulajdonságai </w:t>
      </w:r>
    </w:p>
    <w:p w14:paraId="1E927409" w14:textId="77777777" w:rsidR="009E12FC" w:rsidRPr="00D045B3" w:rsidRDefault="009E12FC" w:rsidP="00CA41FD">
      <w:pPr>
        <w:pStyle w:val="KeinLeerraum"/>
        <w:rPr>
          <w:rFonts w:ascii="Times New Roman" w:hAnsi="Times New Roman"/>
        </w:rPr>
      </w:pPr>
      <w:r w:rsidRPr="00D045B3">
        <w:rPr>
          <w:rFonts w:ascii="Times New Roman" w:hAnsi="Times New Roman"/>
        </w:rPr>
        <w:t xml:space="preserve">Az imatinib farmakokinetikáját 25 mg – 1000 mg közötti dózistartományban vizsgálták. A plazma farmakokinetikai profilját az </w:t>
      </w:r>
      <w:smartTag w:uri="urn:schemas-microsoft-com:office:smarttags" w:element="metricconverter">
        <w:smartTagPr>
          <w:attr w:name="ProductID" w:val="1. a"/>
        </w:smartTagPr>
        <w:r w:rsidRPr="00D045B3">
          <w:rPr>
            <w:rFonts w:ascii="Times New Roman" w:hAnsi="Times New Roman"/>
          </w:rPr>
          <w:t>1. a</w:t>
        </w:r>
      </w:smartTag>
      <w:r w:rsidRPr="00D045B3">
        <w:rPr>
          <w:rFonts w:ascii="Times New Roman" w:hAnsi="Times New Roman"/>
        </w:rPr>
        <w:t xml:space="preserve"> 7. vagy 28. napon vizsgálták, amikor a plazmakoncentráció dinamikus egyensúlyi állapotba került. </w:t>
      </w:r>
    </w:p>
    <w:p w14:paraId="1E92740A" w14:textId="77777777" w:rsidR="009E12FC" w:rsidRPr="00D045B3" w:rsidRDefault="009E12FC" w:rsidP="009E12FC">
      <w:pPr>
        <w:pStyle w:val="KeinLeerraum"/>
        <w:rPr>
          <w:rFonts w:ascii="Times New Roman" w:hAnsi="Times New Roman"/>
        </w:rPr>
      </w:pPr>
    </w:p>
    <w:p w14:paraId="1E92740B" w14:textId="77777777"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 xml:space="preserve">Felszívódás </w:t>
      </w:r>
    </w:p>
    <w:p w14:paraId="1E92740C" w14:textId="77777777" w:rsidR="009E12FC" w:rsidRPr="00D045B3" w:rsidRDefault="009E12FC" w:rsidP="00CA41FD">
      <w:pPr>
        <w:pStyle w:val="KeinLeerraum"/>
        <w:rPr>
          <w:rFonts w:ascii="Times New Roman" w:hAnsi="Times New Roman"/>
        </w:rPr>
      </w:pPr>
      <w:r w:rsidRPr="00D045B3">
        <w:rPr>
          <w:rFonts w:ascii="Times New Roman" w:hAnsi="Times New Roman"/>
        </w:rPr>
        <w:t>Az imatinib átlagos abszolút biológiai hasznosulása 98%. Orális dózis alkalmazása után a plazma imatinib AUC</w:t>
      </w:r>
      <w:r w:rsidRPr="00D045B3">
        <w:rPr>
          <w:rFonts w:ascii="Times New Roman" w:hAnsi="Times New Roman"/>
        </w:rPr>
        <w:noBreakHyphen/>
        <w:t>szintje nagy egyéni variabilitást mutatott. Erősen zsíros étkezéssel együtt bevéve az imatinib felszívódása minimális mértékben csökkent (a C</w:t>
      </w:r>
      <w:r w:rsidRPr="00D045B3">
        <w:rPr>
          <w:rFonts w:ascii="Times New Roman" w:hAnsi="Times New Roman"/>
          <w:vertAlign w:val="subscript"/>
        </w:rPr>
        <w:t xml:space="preserve">max </w:t>
      </w:r>
      <w:r w:rsidRPr="00D045B3">
        <w:rPr>
          <w:rFonts w:ascii="Times New Roman" w:hAnsi="Times New Roman"/>
        </w:rPr>
        <w:t>11%</w:t>
      </w:r>
      <w:r w:rsidR="009D393F" w:rsidRPr="00D045B3">
        <w:rPr>
          <w:rFonts w:ascii="Times New Roman" w:hAnsi="Times New Roman"/>
        </w:rPr>
        <w:noBreakHyphen/>
      </w:r>
      <w:r w:rsidRPr="00D045B3">
        <w:rPr>
          <w:rFonts w:ascii="Times New Roman" w:hAnsi="Times New Roman"/>
        </w:rPr>
        <w:t>kal csökkent, a t</w:t>
      </w:r>
      <w:r w:rsidRPr="00D045B3">
        <w:rPr>
          <w:rFonts w:ascii="Times New Roman" w:hAnsi="Times New Roman"/>
          <w:vertAlign w:val="subscript"/>
        </w:rPr>
        <w:t>max</w:t>
      </w:r>
      <w:r w:rsidRPr="00D045B3">
        <w:rPr>
          <w:rFonts w:ascii="Times New Roman" w:hAnsi="Times New Roman"/>
        </w:rPr>
        <w:t xml:space="preserve"> 1,5 órával nyúlt meg), valami</w:t>
      </w:r>
      <w:r w:rsidR="009D393F" w:rsidRPr="00D045B3">
        <w:rPr>
          <w:rFonts w:ascii="Times New Roman" w:hAnsi="Times New Roman"/>
        </w:rPr>
        <w:t>n</w:t>
      </w:r>
      <w:r w:rsidRPr="00D045B3">
        <w:rPr>
          <w:rFonts w:ascii="Times New Roman" w:hAnsi="Times New Roman"/>
        </w:rPr>
        <w:t>t az AUC is kismértékben csökkent (7,4%) az éhomi értékekhez képest. Az előzetes gastrointestinalis sebészi beavatkozás hatását a gyógyszer felszívódására nem vizsgálták.</w:t>
      </w:r>
    </w:p>
    <w:p w14:paraId="1E92740D" w14:textId="77777777" w:rsidR="009E12FC" w:rsidRPr="00D045B3" w:rsidRDefault="009E12FC" w:rsidP="009E12FC">
      <w:pPr>
        <w:pStyle w:val="KeinLeerraum"/>
        <w:rPr>
          <w:rFonts w:ascii="Times New Roman" w:hAnsi="Times New Roman"/>
        </w:rPr>
      </w:pPr>
    </w:p>
    <w:p w14:paraId="1E92740E" w14:textId="77777777"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 xml:space="preserve">Eloszlás </w:t>
      </w:r>
    </w:p>
    <w:p w14:paraId="1E92740F" w14:textId="77777777" w:rsidR="009E12FC" w:rsidRPr="00D045B3" w:rsidRDefault="009E12FC" w:rsidP="00CA41FD">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kísérletekre alapozva, klinikailag alkalmazott koncentrációkban az imatinib plazmafehérjékhez való kötődése 95%</w:t>
      </w:r>
      <w:r w:rsidRPr="00D045B3">
        <w:rPr>
          <w:rFonts w:ascii="Times New Roman" w:hAnsi="Times New Roman"/>
        </w:rPr>
        <w:noBreakHyphen/>
        <w:t>os, elsősorban albuminhoz és alfa</w:t>
      </w:r>
      <w:r w:rsidRPr="00D045B3">
        <w:rPr>
          <w:rFonts w:ascii="Times New Roman" w:hAnsi="Times New Roman"/>
        </w:rPr>
        <w:noBreakHyphen/>
        <w:t xml:space="preserve">glikoproteinsavhoz kötódik, kisebb mértékben a lipoproteinhez. </w:t>
      </w:r>
    </w:p>
    <w:p w14:paraId="1E927410" w14:textId="77777777" w:rsidR="009E12FC" w:rsidRPr="00D045B3" w:rsidRDefault="009E12FC" w:rsidP="009E12FC">
      <w:pPr>
        <w:pStyle w:val="KeinLeerraum"/>
        <w:rPr>
          <w:rFonts w:ascii="Times New Roman" w:hAnsi="Times New Roman"/>
        </w:rPr>
      </w:pPr>
    </w:p>
    <w:p w14:paraId="1E927411" w14:textId="77777777"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 xml:space="preserve">Biotranszformáció </w:t>
      </w:r>
    </w:p>
    <w:p w14:paraId="1E927412" w14:textId="77777777" w:rsidR="009E12FC" w:rsidRPr="00D045B3" w:rsidRDefault="009E12FC" w:rsidP="00CA41FD">
      <w:pPr>
        <w:pStyle w:val="KeinLeerraum"/>
        <w:rPr>
          <w:rFonts w:ascii="Times New Roman" w:hAnsi="Times New Roman"/>
        </w:rPr>
      </w:pPr>
      <w:r w:rsidRPr="00D045B3">
        <w:rPr>
          <w:rFonts w:ascii="Times New Roman" w:hAnsi="Times New Roman"/>
        </w:rPr>
        <w:t>A fő keringő metabolit emberben az N</w:t>
      </w:r>
      <w:r w:rsidRPr="00D045B3">
        <w:rPr>
          <w:rFonts w:ascii="Times New Roman" w:hAnsi="Times New Roman"/>
        </w:rPr>
        <w:noBreakHyphen/>
        <w:t xml:space="preserve">demetilált piperazin származék, ami az anyavegyületéhez hasonló </w:t>
      </w:r>
      <w:r w:rsidRPr="00D045B3">
        <w:rPr>
          <w:rFonts w:ascii="Times New Roman" w:hAnsi="Times New Roman"/>
          <w:i/>
          <w:iCs/>
        </w:rPr>
        <w:t xml:space="preserve">in vitro </w:t>
      </w:r>
      <w:r w:rsidRPr="00D045B3">
        <w:rPr>
          <w:rFonts w:ascii="Times New Roman" w:hAnsi="Times New Roman"/>
        </w:rPr>
        <w:t>hatásosságot mutat. Ennek a metabolitnak a plazma AUC</w:t>
      </w:r>
      <w:r w:rsidRPr="00D045B3">
        <w:rPr>
          <w:rFonts w:ascii="Times New Roman" w:hAnsi="Times New Roman"/>
        </w:rPr>
        <w:noBreakHyphen/>
        <w:t>értéke az imatinibénak mindössze 16%-aként detektálható. Az N</w:t>
      </w:r>
      <w:r w:rsidRPr="00D045B3">
        <w:rPr>
          <w:rFonts w:ascii="Times New Roman" w:hAnsi="Times New Roman"/>
        </w:rPr>
        <w:noBreakHyphen/>
        <w:t>demetilált metabolit plazmafehérje</w:t>
      </w:r>
      <w:r w:rsidRPr="00D045B3">
        <w:rPr>
          <w:rFonts w:ascii="Times New Roman" w:hAnsi="Times New Roman"/>
        </w:rPr>
        <w:noBreakHyphen/>
        <w:t xml:space="preserve">kötődése hasonló az anyavegyületéhez. </w:t>
      </w:r>
    </w:p>
    <w:p w14:paraId="1E927413" w14:textId="77777777" w:rsidR="009E12FC" w:rsidRPr="00D045B3" w:rsidRDefault="009E12FC" w:rsidP="009E12FC">
      <w:pPr>
        <w:pStyle w:val="KeinLeerraum"/>
        <w:rPr>
          <w:rFonts w:ascii="Times New Roman" w:hAnsi="Times New Roman"/>
        </w:rPr>
      </w:pPr>
    </w:p>
    <w:p w14:paraId="1E927414" w14:textId="77777777" w:rsidR="009E12FC" w:rsidRPr="00D045B3" w:rsidRDefault="009E12FC" w:rsidP="009E12FC">
      <w:pPr>
        <w:pStyle w:val="KeinLeerraum"/>
        <w:rPr>
          <w:rFonts w:ascii="Times New Roman" w:hAnsi="Times New Roman"/>
        </w:rPr>
      </w:pPr>
      <w:r w:rsidRPr="00D045B3">
        <w:rPr>
          <w:rFonts w:ascii="Times New Roman" w:hAnsi="Times New Roman"/>
        </w:rPr>
        <w:t>Az imatinib és az N</w:t>
      </w:r>
      <w:r w:rsidRPr="00D045B3">
        <w:rPr>
          <w:rFonts w:ascii="Times New Roman" w:hAnsi="Times New Roman"/>
        </w:rPr>
        <w:noBreakHyphen/>
        <w:t>demetil metabolit együttesen képezik a keringő radioaktivitás (AUC</w:t>
      </w:r>
      <w:r w:rsidRPr="00D045B3">
        <w:rPr>
          <w:rFonts w:ascii="Times New Roman" w:hAnsi="Times New Roman"/>
          <w:vertAlign w:val="subscript"/>
        </w:rPr>
        <w:t>0-48h</w:t>
      </w:r>
      <w:r w:rsidRPr="00D045B3">
        <w:rPr>
          <w:rFonts w:ascii="Times New Roman" w:hAnsi="Times New Roman"/>
        </w:rPr>
        <w:t>) körülbelül 65%</w:t>
      </w:r>
      <w:r w:rsidRPr="00D045B3">
        <w:rPr>
          <w:rFonts w:ascii="Times New Roman" w:hAnsi="Times New Roman"/>
        </w:rPr>
        <w:noBreakHyphen/>
        <w:t xml:space="preserve">át. A többi kisszámú metabolit tette ki a további keringő radioaktivitást. </w:t>
      </w:r>
    </w:p>
    <w:p w14:paraId="1E927415" w14:textId="77777777" w:rsidR="009E12FC" w:rsidRPr="00D045B3" w:rsidRDefault="009E12FC" w:rsidP="009E12FC">
      <w:pPr>
        <w:pStyle w:val="KeinLeerraum"/>
        <w:rPr>
          <w:rFonts w:ascii="Times New Roman" w:hAnsi="Times New Roman"/>
        </w:rPr>
      </w:pPr>
    </w:p>
    <w:p w14:paraId="1E927416" w14:textId="77777777" w:rsidR="009E12FC" w:rsidRPr="00D045B3" w:rsidRDefault="009E12FC" w:rsidP="009E12FC">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vizsgálatok szerint a CYP3A4 volt a legfontosabb humán P450 enzim, amely az imatinib biotranszformációját katalizálja. A lehetséges gyógyszerinterakciók közül (acetaminofen, aciklovir, allopurinol, amfotericin, citarabin, eritromicin, flukonazol, hidroxikarbamid, norfloxacin, penicillin V) csak az eritromicin (IC</w:t>
      </w:r>
      <w:r w:rsidRPr="00D045B3">
        <w:rPr>
          <w:rFonts w:ascii="Times New Roman" w:hAnsi="Times New Roman"/>
          <w:vertAlign w:val="subscript"/>
        </w:rPr>
        <w:t xml:space="preserve">50 </w:t>
      </w:r>
      <w:r w:rsidRPr="00D045B3">
        <w:rPr>
          <w:rFonts w:ascii="Times New Roman" w:hAnsi="Times New Roman"/>
        </w:rPr>
        <w:t>50 μM) és a flukonazol (IC</w:t>
      </w:r>
      <w:r w:rsidRPr="00D045B3">
        <w:rPr>
          <w:rFonts w:ascii="Times New Roman" w:hAnsi="Times New Roman"/>
          <w:vertAlign w:val="subscript"/>
        </w:rPr>
        <w:t>50</w:t>
      </w:r>
      <w:r w:rsidRPr="00D045B3">
        <w:rPr>
          <w:rFonts w:ascii="Times New Roman" w:hAnsi="Times New Roman"/>
        </w:rPr>
        <w:t xml:space="preserve"> 118 μM) gyakorolt olyan gátló hatást az imatinib metabolizmusra, ami klinikai jelentőséggel bírhat. </w:t>
      </w:r>
    </w:p>
    <w:p w14:paraId="1E927417" w14:textId="77777777" w:rsidR="009E12FC" w:rsidRPr="00D045B3" w:rsidRDefault="009E12FC" w:rsidP="009E12FC">
      <w:pPr>
        <w:pStyle w:val="KeinLeerraum"/>
        <w:rPr>
          <w:rFonts w:ascii="Times New Roman" w:hAnsi="Times New Roman"/>
          <w:i/>
          <w:iCs/>
        </w:rPr>
      </w:pPr>
    </w:p>
    <w:p w14:paraId="1E927418" w14:textId="77777777" w:rsidR="009E12FC" w:rsidRPr="00D045B3" w:rsidRDefault="009E12FC" w:rsidP="009E12FC">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az imatinib a CYP2C9, CYP2D6 és CYP3A4/5 marker szubsztrátjainak kompetitív inhibitora. A K</w:t>
      </w:r>
      <w:r w:rsidRPr="00D045B3">
        <w:rPr>
          <w:rFonts w:ascii="Times New Roman" w:hAnsi="Times New Roman"/>
          <w:vertAlign w:val="subscript"/>
        </w:rPr>
        <w:t>i</w:t>
      </w:r>
      <w:r w:rsidRPr="00D045B3">
        <w:rPr>
          <w:rFonts w:ascii="Times New Roman" w:hAnsi="Times New Roman"/>
        </w:rPr>
        <w:t xml:space="preserve"> humán máj microsomákban a fenti sorrendben 27, 7,5 és 7,9 μmol/l értéket ért el. Betegeknél az imatinib maximális plazmakoncentráció 2–4 μmol/l volt, következésképp az egyidejűleg adott, CYP2D6 és/vagy CYP3A4/5</w:t>
      </w:r>
      <w:r w:rsidRPr="00D045B3">
        <w:rPr>
          <w:rFonts w:ascii="Times New Roman" w:hAnsi="Times New Roman"/>
        </w:rPr>
        <w:noBreakHyphen/>
        <w:t>mediált metabolizmusú gyógyszerek gátlása valószínűsíthető. Az imatinib nem interferál az 5</w:t>
      </w:r>
      <w:r w:rsidRPr="00D045B3">
        <w:rPr>
          <w:rFonts w:ascii="Times New Roman" w:hAnsi="Times New Roman"/>
        </w:rPr>
        <w:noBreakHyphen/>
        <w:t>fluorouracil biotranszformációjával, de a CYP2C8 (K</w:t>
      </w:r>
      <w:r w:rsidRPr="00D045B3">
        <w:rPr>
          <w:rFonts w:ascii="Times New Roman" w:hAnsi="Times New Roman"/>
          <w:vertAlign w:val="subscript"/>
        </w:rPr>
        <w:t>i</w:t>
      </w:r>
      <w:r w:rsidRPr="00D045B3">
        <w:rPr>
          <w:rFonts w:ascii="Times New Roman" w:hAnsi="Times New Roman"/>
        </w:rPr>
        <w:t xml:space="preserve"> = 34,7 μM) kompetitív gátlásának eredményeképpen gátolja a paklitaxel metabolizmusát. Ez a K</w:t>
      </w:r>
      <w:r w:rsidRPr="00D045B3">
        <w:rPr>
          <w:rFonts w:ascii="Times New Roman" w:hAnsi="Times New Roman"/>
          <w:vertAlign w:val="subscript"/>
        </w:rPr>
        <w:t>i</w:t>
      </w:r>
      <w:r w:rsidRPr="00D045B3">
        <w:rPr>
          <w:rFonts w:ascii="Times New Roman" w:hAnsi="Times New Roman"/>
        </w:rPr>
        <w:t xml:space="preserve"> érték lényegesen magasabb, mint a betegeknél várt imatinib plazmaszint, tehát valószínű, hogy nem várható interakció sem az imatinibbel együtt adott 5-fluorouracillal, sem a paklitaxellel. </w:t>
      </w:r>
    </w:p>
    <w:p w14:paraId="1E927419" w14:textId="77777777" w:rsidR="009E12FC" w:rsidRPr="00D045B3" w:rsidRDefault="009E12FC" w:rsidP="009E12FC">
      <w:pPr>
        <w:pStyle w:val="KeinLeerraum"/>
        <w:rPr>
          <w:rFonts w:ascii="Times New Roman" w:hAnsi="Times New Roman"/>
        </w:rPr>
      </w:pPr>
    </w:p>
    <w:p w14:paraId="1E92741A" w14:textId="77777777"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 xml:space="preserve">Elimináció </w:t>
      </w:r>
    </w:p>
    <w:p w14:paraId="1E92741B" w14:textId="77777777" w:rsidR="009E12FC" w:rsidRPr="00D045B3" w:rsidRDefault="009E12FC" w:rsidP="00CA41FD">
      <w:pPr>
        <w:pStyle w:val="KeinLeerraum"/>
        <w:rPr>
          <w:rFonts w:ascii="Times New Roman" w:hAnsi="Times New Roman"/>
        </w:rPr>
      </w:pPr>
      <w:r w:rsidRPr="00D045B3">
        <w:rPr>
          <w:rFonts w:ascii="Times New Roman" w:hAnsi="Times New Roman"/>
        </w:rPr>
        <w:t xml:space="preserve">A bevitt vegyület visszamérésével a </w:t>
      </w:r>
      <w:r w:rsidRPr="00D045B3">
        <w:rPr>
          <w:rFonts w:ascii="Times New Roman" w:hAnsi="Times New Roman"/>
          <w:vertAlign w:val="superscript"/>
        </w:rPr>
        <w:t>14</w:t>
      </w:r>
      <w:r w:rsidRPr="00D045B3">
        <w:rPr>
          <w:rFonts w:ascii="Times New Roman" w:hAnsi="Times New Roman"/>
        </w:rPr>
        <w:t>C</w:t>
      </w:r>
      <w:r w:rsidRPr="00D045B3">
        <w:rPr>
          <w:rFonts w:ascii="Times New Roman" w:hAnsi="Times New Roman"/>
        </w:rPr>
        <w:noBreakHyphen/>
        <w:t>vel jelzett imatinib egyszeri orális bevételét követően annak hozzávetőlegesen 81%</w:t>
      </w:r>
      <w:r w:rsidRPr="00D045B3">
        <w:rPr>
          <w:rFonts w:ascii="Times New Roman" w:hAnsi="Times New Roman"/>
        </w:rPr>
        <w:noBreakHyphen/>
        <w:t>a 7 napon belül a széklettel (az adag 68%</w:t>
      </w:r>
      <w:r w:rsidRPr="00D045B3">
        <w:rPr>
          <w:rFonts w:ascii="Times New Roman" w:hAnsi="Times New Roman"/>
        </w:rPr>
        <w:noBreakHyphen/>
        <w:t>a), ill. a vizelettel (az adag 13%</w:t>
      </w:r>
      <w:r w:rsidRPr="00D045B3">
        <w:rPr>
          <w:rFonts w:ascii="Times New Roman" w:hAnsi="Times New Roman"/>
        </w:rPr>
        <w:noBreakHyphen/>
        <w:t>a) ürült. A változatlan imatinib a dózis 25%</w:t>
      </w:r>
      <w:r w:rsidRPr="00D045B3">
        <w:rPr>
          <w:rFonts w:ascii="Times New Roman" w:hAnsi="Times New Roman"/>
        </w:rPr>
        <w:noBreakHyphen/>
        <w:t xml:space="preserve">át (5% a vizeletben, 20% a székletben) tette ki, a többi metabolitként ürült. </w:t>
      </w:r>
    </w:p>
    <w:p w14:paraId="1E92741C" w14:textId="77777777" w:rsidR="009E12FC" w:rsidRPr="00D045B3" w:rsidRDefault="009E12FC" w:rsidP="009E12FC">
      <w:pPr>
        <w:pStyle w:val="KeinLeerraum"/>
        <w:rPr>
          <w:rFonts w:ascii="Times New Roman" w:hAnsi="Times New Roman"/>
        </w:rPr>
      </w:pPr>
    </w:p>
    <w:p w14:paraId="1E92741D" w14:textId="77777777"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Farmakokinetika a plazmában</w:t>
      </w:r>
    </w:p>
    <w:p w14:paraId="1E92741E" w14:textId="77777777" w:rsidR="009E12FC" w:rsidRPr="00D045B3" w:rsidRDefault="009E12FC" w:rsidP="00CA41FD">
      <w:pPr>
        <w:pStyle w:val="KeinLeerraum"/>
        <w:rPr>
          <w:rFonts w:ascii="Times New Roman" w:hAnsi="Times New Roman"/>
        </w:rPr>
      </w:pPr>
      <w:r w:rsidRPr="00D045B3">
        <w:rPr>
          <w:rFonts w:ascii="Times New Roman" w:hAnsi="Times New Roman"/>
        </w:rPr>
        <w:t>Egészséges önkéntesek orális kezelése során a t</w:t>
      </w:r>
      <w:r w:rsidRPr="00D045B3">
        <w:rPr>
          <w:rFonts w:ascii="Times New Roman" w:hAnsi="Times New Roman"/>
          <w:vertAlign w:val="subscript"/>
        </w:rPr>
        <w:t>1/2</w:t>
      </w:r>
      <w:r w:rsidRPr="00D045B3">
        <w:rPr>
          <w:rFonts w:ascii="Times New Roman" w:hAnsi="Times New Roman"/>
        </w:rPr>
        <w:t xml:space="preserve"> körülbelül 18 óra volt, ami a napi egyszeri adagolást támasztja alá. 25 mg – 1000 mg közötti imatinib dózisok orális adását követően az adag emelésével az AUC is lineárisan, dózisarányosan növekedett. Az ismételt adagolás az imatinib farmakokinetikáját nem változtatta meg, dinamikus egyensúlyi állapotban, napi egyszeri adagolás mellett az akkumuláció 1,5–2,5</w:t>
      </w:r>
      <w:r w:rsidRPr="00D045B3">
        <w:rPr>
          <w:rFonts w:ascii="Times New Roman" w:hAnsi="Times New Roman"/>
        </w:rPr>
        <w:noBreakHyphen/>
        <w:t xml:space="preserve">szeres volt. </w:t>
      </w:r>
    </w:p>
    <w:p w14:paraId="1E92741F" w14:textId="77777777" w:rsidR="009E12FC" w:rsidRPr="00D045B3" w:rsidRDefault="009E12FC" w:rsidP="009E12FC">
      <w:pPr>
        <w:pStyle w:val="KeinLeerraum"/>
        <w:rPr>
          <w:rFonts w:ascii="Times New Roman" w:hAnsi="Times New Roman"/>
        </w:rPr>
      </w:pPr>
    </w:p>
    <w:p w14:paraId="1E927420" w14:textId="77777777"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 xml:space="preserve">Populációs farmakokinetika </w:t>
      </w:r>
    </w:p>
    <w:p w14:paraId="1E927421" w14:textId="77777777" w:rsidR="009E12FC" w:rsidRPr="00D045B3" w:rsidRDefault="009E12FC" w:rsidP="00CA41FD">
      <w:pPr>
        <w:pStyle w:val="KeinLeerraum"/>
        <w:rPr>
          <w:rFonts w:ascii="Times New Roman" w:hAnsi="Times New Roman"/>
        </w:rPr>
      </w:pPr>
      <w:r w:rsidRPr="00D045B3">
        <w:rPr>
          <w:rFonts w:ascii="Times New Roman" w:hAnsi="Times New Roman"/>
        </w:rPr>
        <w:t>CML</w:t>
      </w:r>
      <w:r w:rsidRPr="00D045B3">
        <w:rPr>
          <w:rFonts w:ascii="Times New Roman" w:hAnsi="Times New Roman"/>
        </w:rPr>
        <w:noBreakHyphen/>
        <w:t>es betegek körében végzett populációs farmakokinetikai vizsgálatok szerint a volumen megoszlást (12%</w:t>
      </w:r>
      <w:r w:rsidRPr="00D045B3">
        <w:rPr>
          <w:rFonts w:ascii="Times New Roman" w:hAnsi="Times New Roman"/>
        </w:rPr>
        <w:noBreakHyphen/>
        <w:t>os növekedés a &gt; 65 évesek körében) az életkor valamelyest befolyásolja. Ezt a különbséget nem tartják klinikailag szignifikánsnak. A testtömeg imatinib clearance</w:t>
      </w:r>
      <w:r w:rsidRPr="00D045B3">
        <w:rPr>
          <w:rFonts w:ascii="Times New Roman" w:hAnsi="Times New Roman"/>
        </w:rPr>
        <w:noBreakHyphen/>
        <w:t>re gyakorolt hatása, pl. egy 50 kg</w:t>
      </w:r>
      <w:r w:rsidRPr="00D045B3">
        <w:rPr>
          <w:rFonts w:ascii="Times New Roman" w:hAnsi="Times New Roman"/>
        </w:rPr>
        <w:noBreakHyphen/>
        <w:t>os egyén esetén azt jelenti, hogy az átlagos clearance várhatóan 8,5 l/óra, míg egy 100 kg</w:t>
      </w:r>
      <w:r w:rsidRPr="00D045B3">
        <w:rPr>
          <w:rFonts w:ascii="Times New Roman" w:hAnsi="Times New Roman"/>
        </w:rPr>
        <w:noBreakHyphen/>
        <w:t>os esetén 11,8 l/óra értékre növekszik. Ezek a változások azonban nem indokolják a dózis testtömeg függvényében való változtatását. A nemek nincsenek hatással az imatinib kinetikájára.</w:t>
      </w:r>
    </w:p>
    <w:p w14:paraId="1E927422" w14:textId="77777777" w:rsidR="009E12FC" w:rsidRPr="00D045B3" w:rsidRDefault="009E12FC" w:rsidP="009E12FC">
      <w:pPr>
        <w:pStyle w:val="KeinLeerraum"/>
        <w:rPr>
          <w:rFonts w:ascii="Times New Roman" w:hAnsi="Times New Roman"/>
        </w:rPr>
      </w:pPr>
    </w:p>
    <w:p w14:paraId="1E927423" w14:textId="4B158A51" w:rsidR="009E12FC" w:rsidRPr="00D045B3" w:rsidRDefault="009E12FC" w:rsidP="009D393F">
      <w:pPr>
        <w:pStyle w:val="KeinLeerraum"/>
        <w:keepNext/>
        <w:rPr>
          <w:rFonts w:ascii="Times New Roman" w:hAnsi="Times New Roman"/>
          <w:u w:val="single"/>
        </w:rPr>
      </w:pPr>
      <w:r w:rsidRPr="00D045B3">
        <w:rPr>
          <w:rFonts w:ascii="Times New Roman" w:hAnsi="Times New Roman"/>
          <w:u w:val="single"/>
        </w:rPr>
        <w:t>Farmakokinetika gyermekek</w:t>
      </w:r>
      <w:r w:rsidR="000F47CB" w:rsidRPr="00D045B3">
        <w:rPr>
          <w:rFonts w:ascii="Times New Roman" w:hAnsi="Times New Roman"/>
          <w:u w:val="single"/>
        </w:rPr>
        <w:t>nél és serdülőknél</w:t>
      </w:r>
    </w:p>
    <w:p w14:paraId="1E927424" w14:textId="16984223" w:rsidR="009E12FC" w:rsidRPr="00D045B3" w:rsidRDefault="009E12FC" w:rsidP="00CA41FD">
      <w:pPr>
        <w:pStyle w:val="KeinLeerraum"/>
        <w:rPr>
          <w:rFonts w:ascii="Times New Roman" w:hAnsi="Times New Roman"/>
        </w:rPr>
      </w:pPr>
      <w:r w:rsidRPr="00D045B3">
        <w:rPr>
          <w:rFonts w:ascii="Times New Roman" w:hAnsi="Times New Roman"/>
        </w:rPr>
        <w:t>A felnőtt betegekhez hasonlóan a I</w:t>
      </w:r>
      <w:r w:rsidR="00C74779" w:rsidRPr="00D045B3">
        <w:rPr>
          <w:rFonts w:ascii="Times New Roman" w:hAnsi="Times New Roman"/>
        </w:rPr>
        <w:t>. fázisú</w:t>
      </w:r>
      <w:r w:rsidRPr="00D045B3">
        <w:rPr>
          <w:rFonts w:ascii="Times New Roman" w:hAnsi="Times New Roman"/>
        </w:rPr>
        <w:t xml:space="preserve"> és II</w:t>
      </w:r>
      <w:r w:rsidR="00C74779" w:rsidRPr="00D045B3">
        <w:rPr>
          <w:rFonts w:ascii="Times New Roman" w:hAnsi="Times New Roman"/>
        </w:rPr>
        <w:t>. fázisú</w:t>
      </w:r>
      <w:r w:rsidRPr="00D045B3">
        <w:rPr>
          <w:rFonts w:ascii="Times New Roman" w:hAnsi="Times New Roman"/>
        </w:rPr>
        <w:t xml:space="preserve"> vizsgálatokban, gyermekeknek</w:t>
      </w:r>
      <w:r w:rsidR="00C74779" w:rsidRPr="00D045B3">
        <w:rPr>
          <w:rFonts w:ascii="Times New Roman" w:hAnsi="Times New Roman"/>
        </w:rPr>
        <w:t xml:space="preserve"> és serdülőknek</w:t>
      </w:r>
      <w:r w:rsidRPr="00D045B3">
        <w:rPr>
          <w:rFonts w:ascii="Times New Roman" w:hAnsi="Times New Roman"/>
        </w:rPr>
        <w:t xml:space="preserve"> per os adott imatinib gyorsan felszívódott. Gyermekeknél a 260, ill. 340 mg/m</w:t>
      </w:r>
      <w:r w:rsidRPr="00D045B3">
        <w:rPr>
          <w:rFonts w:ascii="Times New Roman" w:hAnsi="Times New Roman"/>
          <w:vertAlign w:val="superscript"/>
        </w:rPr>
        <w:t>2</w:t>
      </w:r>
      <w:r w:rsidRPr="00D045B3">
        <w:rPr>
          <w:rFonts w:ascii="Times New Roman" w:hAnsi="Times New Roman"/>
        </w:rPr>
        <w:t>/nap adagolás ugyanazt az expozíciót eredményezte, mint a felnőttek 400 mg</w:t>
      </w:r>
      <w:r w:rsidRPr="00D045B3">
        <w:rPr>
          <w:rFonts w:ascii="Times New Roman" w:hAnsi="Times New Roman"/>
        </w:rPr>
        <w:noBreakHyphen/>
        <w:t>os, ill. 600 mg</w:t>
      </w:r>
      <w:r w:rsidRPr="00D045B3">
        <w:rPr>
          <w:rFonts w:ascii="Times New Roman" w:hAnsi="Times New Roman"/>
        </w:rPr>
        <w:noBreakHyphen/>
        <w:t>os dózisa. Az AUC</w:t>
      </w:r>
      <w:r w:rsidRPr="00D045B3">
        <w:rPr>
          <w:rFonts w:ascii="Times New Roman" w:hAnsi="Times New Roman"/>
          <w:vertAlign w:val="subscript"/>
        </w:rPr>
        <w:t>(0-24)</w:t>
      </w:r>
      <w:r w:rsidRPr="00D045B3">
        <w:rPr>
          <w:rFonts w:ascii="Times New Roman" w:hAnsi="Times New Roman"/>
        </w:rPr>
        <w:noBreakHyphen/>
        <w:t>értékeket az 1. és a 8. napon összehasonlítva, 340 mg/m</w:t>
      </w:r>
      <w:r w:rsidRPr="00D045B3">
        <w:rPr>
          <w:rFonts w:ascii="Times New Roman" w:hAnsi="Times New Roman"/>
          <w:vertAlign w:val="superscript"/>
        </w:rPr>
        <w:t>2</w:t>
      </w:r>
      <w:r w:rsidRPr="00D045B3">
        <w:rPr>
          <w:rFonts w:ascii="Times New Roman" w:hAnsi="Times New Roman"/>
        </w:rPr>
        <w:t>/nap dózisú ismételt, napi egyszeri adagolás esetén 1,7</w:t>
      </w:r>
      <w:r w:rsidRPr="00D045B3">
        <w:rPr>
          <w:rFonts w:ascii="Times New Roman" w:hAnsi="Times New Roman"/>
        </w:rPr>
        <w:noBreakHyphen/>
        <w:t>szeres akkumulációt találtak.</w:t>
      </w:r>
    </w:p>
    <w:p w14:paraId="1E927425" w14:textId="77777777" w:rsidR="00402806" w:rsidRPr="00D045B3" w:rsidRDefault="00402806" w:rsidP="00402806">
      <w:pPr>
        <w:pStyle w:val="Endnotentext"/>
        <w:widowControl w:val="0"/>
        <w:rPr>
          <w:rStyle w:val="WW8Num6z0"/>
          <w:color w:val="000000"/>
          <w:lang w:val="hu-HU" w:eastAsia="hu-HU"/>
        </w:rPr>
      </w:pPr>
    </w:p>
    <w:p w14:paraId="1E927426" w14:textId="6A2DF4CE" w:rsidR="00402806" w:rsidRPr="00D045B3" w:rsidRDefault="00402806" w:rsidP="00402806">
      <w:pPr>
        <w:pStyle w:val="Endnotentext"/>
        <w:widowControl w:val="0"/>
        <w:rPr>
          <w:color w:val="000000"/>
          <w:szCs w:val="22"/>
          <w:lang w:val="hu-HU"/>
        </w:rPr>
      </w:pPr>
      <w:r w:rsidRPr="00D045B3">
        <w:rPr>
          <w:rStyle w:val="WW8Num6z0"/>
          <w:color w:val="000000"/>
          <w:lang w:val="hu-HU" w:eastAsia="hu-HU"/>
        </w:rPr>
        <w:t>A hematologiai betegségekben (CML, Ph+ALL vagy más, imatinibbel kezelt hematologiai kórképek) szenvedő gyermek</w:t>
      </w:r>
      <w:r w:rsidR="00C74779" w:rsidRPr="00D045B3">
        <w:rPr>
          <w:rStyle w:val="WW8Num6z0"/>
          <w:color w:val="000000"/>
          <w:lang w:val="hu-HU" w:eastAsia="hu-HU"/>
        </w:rPr>
        <w:t>ek és serdülők</w:t>
      </w:r>
      <w:r w:rsidRPr="00D045B3">
        <w:rPr>
          <w:rStyle w:val="WW8Num6z0"/>
          <w:color w:val="000000"/>
          <w:lang w:val="hu-HU" w:eastAsia="hu-HU"/>
        </w:rPr>
        <w:t xml:space="preserve"> összesített populációs farmakokinetikai analízise alapján az imatinib clearance</w:t>
      </w:r>
      <w:r w:rsidRPr="00D045B3">
        <w:rPr>
          <w:rStyle w:val="WW8Num6z0"/>
          <w:color w:val="000000"/>
          <w:lang w:val="hu-HU"/>
        </w:rPr>
        <w:noBreakHyphen/>
      </w:r>
      <w:r w:rsidRPr="00D045B3">
        <w:rPr>
          <w:rStyle w:val="WW8Num6z0"/>
          <w:color w:val="000000"/>
          <w:lang w:val="hu-HU" w:eastAsia="hu-HU"/>
        </w:rPr>
        <w:t>e a testfelszínnel együtt nő. A testfelszín hatásának korrekciója után más demográfiai jellemzők, mint például az életkor, a testtömeg és a testtömeg</w:t>
      </w:r>
      <w:r w:rsidRPr="00D045B3">
        <w:rPr>
          <w:rStyle w:val="WW8Num6z0"/>
          <w:color w:val="000000"/>
          <w:lang w:val="hu-HU"/>
        </w:rPr>
        <w:noBreakHyphen/>
      </w:r>
      <w:r w:rsidRPr="00D045B3">
        <w:rPr>
          <w:rStyle w:val="WW8Num6z0"/>
          <w:color w:val="000000"/>
          <w:lang w:val="hu-HU" w:eastAsia="hu-HU"/>
        </w:rPr>
        <w:t xml:space="preserve">index nem voltak klinikailag jelentős hatással az imatinib expozíciójára. </w:t>
      </w:r>
      <w:r w:rsidRPr="00D045B3">
        <w:rPr>
          <w:rStyle w:val="WW8Num6z0"/>
          <w:lang w:val="hu-HU" w:eastAsia="hu-HU"/>
        </w:rPr>
        <w:t>Az analízis megerősítette, hogy a</w:t>
      </w:r>
      <w:r w:rsidRPr="00D045B3">
        <w:rPr>
          <w:rStyle w:val="WW8Num6z0"/>
          <w:lang w:val="hu-HU"/>
        </w:rPr>
        <w:t xml:space="preserve"> </w:t>
      </w:r>
      <w:r w:rsidR="00C74779" w:rsidRPr="00D045B3">
        <w:rPr>
          <w:rStyle w:val="WW8Num6z0"/>
          <w:lang w:val="hu-HU"/>
        </w:rPr>
        <w:t xml:space="preserve">gyermekeknek és serdülőknek </w:t>
      </w:r>
      <w:r w:rsidRPr="00D045B3">
        <w:rPr>
          <w:rStyle w:val="WW8Num6z0"/>
          <w:lang w:val="hu-HU"/>
        </w:rPr>
        <w:t>nap</w:t>
      </w:r>
      <w:r w:rsidRPr="00D045B3">
        <w:rPr>
          <w:rStyle w:val="WW8Num6z0"/>
          <w:lang w:val="hu-HU" w:eastAsia="hu-HU"/>
        </w:rPr>
        <w:t>onta egyszer</w:t>
      </w:r>
      <w:r w:rsidRPr="00D045B3">
        <w:rPr>
          <w:rStyle w:val="WW8Num6z0"/>
          <w:color w:val="000000"/>
          <w:lang w:val="hu-HU" w:eastAsia="hu-HU"/>
        </w:rPr>
        <w:t xml:space="preserve"> </w:t>
      </w:r>
      <w:r w:rsidR="00C74779" w:rsidRPr="00D045B3">
        <w:rPr>
          <w:rStyle w:val="WW8Num6z0"/>
          <w:color w:val="000000"/>
          <w:lang w:val="hu-HU" w:eastAsia="hu-HU"/>
        </w:rPr>
        <w:t xml:space="preserve">adott </w:t>
      </w:r>
      <w:r w:rsidRPr="00D045B3">
        <w:rPr>
          <w:rStyle w:val="WW8Num6z0"/>
          <w:color w:val="000000"/>
          <w:lang w:val="hu-HU" w:eastAsia="hu-HU"/>
        </w:rPr>
        <w:t>260</w:t>
      </w:r>
      <w:r w:rsidRPr="00D045B3">
        <w:rPr>
          <w:rStyle w:val="WW8Num6z0"/>
          <w:color w:val="000000"/>
          <w:lang w:val="hu-HU"/>
        </w:rPr>
        <w:t> mg</w:t>
      </w:r>
      <w:r w:rsidRPr="00D045B3">
        <w:rPr>
          <w:rStyle w:val="WW8Num6z0"/>
          <w:color w:val="000000"/>
          <w:lang w:val="hu-HU" w:eastAsia="hu-HU"/>
        </w:rPr>
        <w:t>/m</w:t>
      </w:r>
      <w:r w:rsidRPr="00D045B3">
        <w:rPr>
          <w:rStyle w:val="WW8Num6z0"/>
          <w:color w:val="000000"/>
          <w:vertAlign w:val="superscript"/>
          <w:lang w:val="hu-HU" w:eastAsia="hu-HU"/>
        </w:rPr>
        <w:t>2</w:t>
      </w:r>
      <w:r w:rsidRPr="00D045B3">
        <w:rPr>
          <w:rStyle w:val="WW8Num6z0"/>
          <w:color w:val="000000"/>
          <w:lang w:val="hu-HU"/>
        </w:rPr>
        <w:noBreakHyphen/>
      </w:r>
      <w:r w:rsidRPr="00D045B3">
        <w:rPr>
          <w:rStyle w:val="WW8Num6z0"/>
          <w:color w:val="000000"/>
          <w:lang w:val="hu-HU" w:eastAsia="hu-HU"/>
        </w:rPr>
        <w:t>es (a</w:t>
      </w:r>
      <w:r w:rsidRPr="00D045B3">
        <w:rPr>
          <w:rStyle w:val="WW8Num6z0"/>
          <w:color w:val="000000"/>
          <w:lang w:val="hu-HU"/>
        </w:rPr>
        <w:t xml:space="preserve"> nap</w:t>
      </w:r>
      <w:r w:rsidRPr="00D045B3">
        <w:rPr>
          <w:rStyle w:val="WW8Num6z0"/>
          <w:color w:val="000000"/>
          <w:lang w:val="hu-HU" w:eastAsia="hu-HU"/>
        </w:rPr>
        <w:t>i egyszeri 400</w:t>
      </w:r>
      <w:r w:rsidRPr="00D045B3">
        <w:rPr>
          <w:rStyle w:val="WW8Num6z0"/>
          <w:color w:val="000000"/>
          <w:lang w:val="hu-HU"/>
        </w:rPr>
        <w:t> mg</w:t>
      </w:r>
      <w:r w:rsidRPr="00D045B3">
        <w:rPr>
          <w:rStyle w:val="WW8Num6z0"/>
          <w:color w:val="000000"/>
          <w:lang w:val="hu-HU"/>
        </w:rPr>
        <w:noBreakHyphen/>
      </w:r>
      <w:r w:rsidRPr="00D045B3">
        <w:rPr>
          <w:rStyle w:val="WW8Num6z0"/>
          <w:color w:val="000000"/>
          <w:lang w:val="hu-HU" w:eastAsia="hu-HU"/>
        </w:rPr>
        <w:t>ot nem meghaladó) vagy a</w:t>
      </w:r>
      <w:r w:rsidRPr="00D045B3">
        <w:rPr>
          <w:rStyle w:val="WW8Num6z0"/>
          <w:color w:val="000000"/>
          <w:lang w:val="hu-HU"/>
        </w:rPr>
        <w:t xml:space="preserve"> nap</w:t>
      </w:r>
      <w:r w:rsidRPr="00D045B3">
        <w:rPr>
          <w:rStyle w:val="WW8Num6z0"/>
          <w:color w:val="000000"/>
          <w:lang w:val="hu-HU" w:eastAsia="hu-HU"/>
        </w:rPr>
        <w:t xml:space="preserve">onta egyszer </w:t>
      </w:r>
      <w:r w:rsidR="00C74779" w:rsidRPr="00D045B3">
        <w:rPr>
          <w:rStyle w:val="WW8Num6z0"/>
          <w:color w:val="000000"/>
          <w:lang w:val="hu-HU" w:eastAsia="hu-HU"/>
        </w:rPr>
        <w:t xml:space="preserve">adott </w:t>
      </w:r>
      <w:r w:rsidRPr="00D045B3">
        <w:rPr>
          <w:rStyle w:val="WW8Num6z0"/>
          <w:color w:val="000000"/>
          <w:lang w:val="hu-HU" w:eastAsia="hu-HU"/>
        </w:rPr>
        <w:t>340</w:t>
      </w:r>
      <w:r w:rsidRPr="00D045B3">
        <w:rPr>
          <w:rStyle w:val="WW8Num6z0"/>
          <w:color w:val="000000"/>
          <w:lang w:val="hu-HU"/>
        </w:rPr>
        <w:t> mg</w:t>
      </w:r>
      <w:r w:rsidRPr="00D045B3">
        <w:rPr>
          <w:rStyle w:val="WW8Num6z0"/>
          <w:color w:val="000000"/>
          <w:lang w:val="hu-HU" w:eastAsia="hu-HU"/>
        </w:rPr>
        <w:t>/m</w:t>
      </w:r>
      <w:r w:rsidRPr="00D045B3">
        <w:rPr>
          <w:rStyle w:val="WW8Num6z0"/>
          <w:color w:val="000000"/>
          <w:vertAlign w:val="superscript"/>
          <w:lang w:val="hu-HU" w:eastAsia="hu-HU"/>
        </w:rPr>
        <w:t>2</w:t>
      </w:r>
      <w:r w:rsidRPr="00D045B3">
        <w:rPr>
          <w:rStyle w:val="WW8Num6z0"/>
          <w:color w:val="000000"/>
          <w:lang w:val="hu-HU"/>
        </w:rPr>
        <w:noBreakHyphen/>
      </w:r>
      <w:r w:rsidRPr="00D045B3">
        <w:rPr>
          <w:rStyle w:val="WW8Num6z0"/>
          <w:color w:val="000000"/>
          <w:lang w:val="hu-HU" w:eastAsia="hu-HU"/>
        </w:rPr>
        <w:t>es (a</w:t>
      </w:r>
      <w:r w:rsidRPr="00D045B3">
        <w:rPr>
          <w:rStyle w:val="WW8Num6z0"/>
          <w:color w:val="000000"/>
          <w:lang w:val="hu-HU"/>
        </w:rPr>
        <w:t xml:space="preserve"> nap</w:t>
      </w:r>
      <w:r w:rsidRPr="00D045B3">
        <w:rPr>
          <w:rStyle w:val="WW8Num6z0"/>
          <w:color w:val="000000"/>
          <w:lang w:val="hu-HU" w:eastAsia="hu-HU"/>
        </w:rPr>
        <w:t>i egyszeri 600</w:t>
      </w:r>
      <w:r w:rsidRPr="00D045B3">
        <w:rPr>
          <w:rStyle w:val="WW8Num6z0"/>
          <w:color w:val="000000"/>
          <w:lang w:val="hu-HU"/>
        </w:rPr>
        <w:t> mg</w:t>
      </w:r>
      <w:r w:rsidRPr="00D045B3">
        <w:rPr>
          <w:rStyle w:val="WW8Num6z0"/>
          <w:color w:val="000000"/>
          <w:lang w:val="hu-HU"/>
        </w:rPr>
        <w:noBreakHyphen/>
      </w:r>
      <w:r w:rsidRPr="00D045B3">
        <w:rPr>
          <w:rStyle w:val="WW8Num6z0"/>
          <w:color w:val="000000"/>
          <w:lang w:val="hu-HU" w:eastAsia="hu-HU"/>
        </w:rPr>
        <w:t xml:space="preserve">ot nem meghaladó) </w:t>
      </w:r>
      <w:r w:rsidR="00C74779" w:rsidRPr="00D045B3">
        <w:rPr>
          <w:rStyle w:val="WW8Num6z0"/>
          <w:color w:val="000000"/>
          <w:lang w:val="hu-HU" w:eastAsia="hu-HU"/>
        </w:rPr>
        <w:t xml:space="preserve">dózis esetén a náluk mért </w:t>
      </w:r>
      <w:r w:rsidRPr="00D045B3">
        <w:rPr>
          <w:rStyle w:val="WW8Num6z0"/>
          <w:color w:val="000000"/>
          <w:lang w:val="hu-HU" w:eastAsia="hu-HU"/>
        </w:rPr>
        <w:t>imatinib</w:t>
      </w:r>
      <w:r w:rsidRPr="00D045B3">
        <w:rPr>
          <w:rStyle w:val="WW8Num6z0"/>
          <w:color w:val="000000"/>
          <w:lang w:val="hu-HU"/>
        </w:rPr>
        <w:noBreakHyphen/>
      </w:r>
      <w:r w:rsidRPr="00D045B3">
        <w:rPr>
          <w:rStyle w:val="WW8Num6z0"/>
          <w:color w:val="000000"/>
          <w:lang w:val="hu-HU" w:eastAsia="hu-HU"/>
        </w:rPr>
        <w:t>expozíció azokéhoz a felnőtt betegekéhez volt hasonló, akik</w:t>
      </w:r>
      <w:r w:rsidRPr="00D045B3">
        <w:rPr>
          <w:rStyle w:val="WW8Num6z0"/>
          <w:color w:val="000000"/>
          <w:lang w:val="hu-HU"/>
        </w:rPr>
        <w:t xml:space="preserve"> nap</w:t>
      </w:r>
      <w:r w:rsidRPr="00D045B3">
        <w:rPr>
          <w:rStyle w:val="WW8Num6z0"/>
          <w:color w:val="000000"/>
          <w:lang w:val="hu-HU" w:eastAsia="hu-HU"/>
        </w:rPr>
        <w:t>onta egyszer 400</w:t>
      </w:r>
      <w:r w:rsidRPr="00D045B3">
        <w:rPr>
          <w:rStyle w:val="WW8Num6z0"/>
          <w:color w:val="000000"/>
          <w:lang w:val="hu-HU"/>
        </w:rPr>
        <w:t> mg</w:t>
      </w:r>
      <w:r w:rsidRPr="00D045B3">
        <w:rPr>
          <w:rStyle w:val="WW8Num6z0"/>
          <w:color w:val="000000"/>
          <w:lang w:val="hu-HU" w:eastAsia="hu-HU"/>
        </w:rPr>
        <w:t xml:space="preserve"> vagy 600</w:t>
      </w:r>
      <w:r w:rsidRPr="00D045B3">
        <w:rPr>
          <w:rStyle w:val="WW8Num6z0"/>
          <w:color w:val="000000"/>
          <w:lang w:val="hu-HU"/>
        </w:rPr>
        <w:t> mg</w:t>
      </w:r>
      <w:r w:rsidRPr="00D045B3">
        <w:rPr>
          <w:rStyle w:val="WW8Num6z0"/>
          <w:color w:val="000000"/>
          <w:lang w:val="hu-HU" w:eastAsia="hu-HU"/>
        </w:rPr>
        <w:t xml:space="preserve"> imatinibet kaptak.</w:t>
      </w:r>
    </w:p>
    <w:p w14:paraId="1E927427" w14:textId="77777777" w:rsidR="00F417CB" w:rsidRPr="00D045B3" w:rsidRDefault="00F417CB" w:rsidP="00CA41FD">
      <w:pPr>
        <w:pStyle w:val="KeinLeerraum"/>
        <w:rPr>
          <w:rFonts w:ascii="Times New Roman" w:hAnsi="Times New Roman"/>
        </w:rPr>
      </w:pPr>
    </w:p>
    <w:p w14:paraId="1E927428" w14:textId="3D4427E1" w:rsidR="009E12FC" w:rsidRPr="00D045B3" w:rsidRDefault="00C74779" w:rsidP="009D393F">
      <w:pPr>
        <w:pStyle w:val="KeinLeerraum"/>
        <w:keepNext/>
        <w:rPr>
          <w:rFonts w:ascii="Times New Roman" w:hAnsi="Times New Roman"/>
          <w:u w:val="single"/>
        </w:rPr>
      </w:pPr>
      <w:r w:rsidRPr="00D045B3">
        <w:rPr>
          <w:rFonts w:ascii="Times New Roman" w:hAnsi="Times New Roman"/>
          <w:u w:val="single"/>
        </w:rPr>
        <w:t>Károsodott s</w:t>
      </w:r>
      <w:r w:rsidR="009E12FC" w:rsidRPr="00D045B3">
        <w:rPr>
          <w:rFonts w:ascii="Times New Roman" w:hAnsi="Times New Roman"/>
          <w:u w:val="single"/>
        </w:rPr>
        <w:t>zervműködés</w:t>
      </w:r>
    </w:p>
    <w:p w14:paraId="1E927429" w14:textId="4C0D82F8" w:rsidR="009E12FC" w:rsidRPr="00D045B3" w:rsidRDefault="009E12FC" w:rsidP="00CA41FD">
      <w:pPr>
        <w:pStyle w:val="KeinLeerraum"/>
        <w:rPr>
          <w:rFonts w:ascii="Times New Roman" w:hAnsi="Times New Roman"/>
        </w:rPr>
      </w:pPr>
      <w:r w:rsidRPr="00D045B3">
        <w:rPr>
          <w:rFonts w:ascii="Times New Roman" w:hAnsi="Times New Roman"/>
        </w:rPr>
        <w:t>Az imatinib és metabolitjai nem ürülnek jelentős mértékben a vesén át. Az enyhe vagy közepes</w:t>
      </w:r>
      <w:r w:rsidR="000D57F6" w:rsidRPr="00D045B3">
        <w:rPr>
          <w:rFonts w:ascii="Times New Roman" w:hAnsi="Times New Roman"/>
        </w:rPr>
        <w:t xml:space="preserve"> mértékű</w:t>
      </w:r>
      <w:r w:rsidRPr="00D045B3">
        <w:rPr>
          <w:rFonts w:ascii="Times New Roman" w:hAnsi="Times New Roman"/>
        </w:rPr>
        <w:t xml:space="preserve"> vesekárosodásban szenvedő betegeknél magasabbnak tűnik a plazma expozíció mértéke, mint az egészséges vesefunkciójú betegek esetében. A növekedés körülbelül 1,5–2</w:t>
      </w:r>
      <w:r w:rsidRPr="00D045B3">
        <w:rPr>
          <w:rFonts w:ascii="Times New Roman" w:hAnsi="Times New Roman"/>
        </w:rPr>
        <w:noBreakHyphen/>
        <w:t>szeres, ami a plazma AGP</w:t>
      </w:r>
      <w:r w:rsidRPr="00D045B3">
        <w:rPr>
          <w:rFonts w:ascii="Times New Roman" w:hAnsi="Times New Roman"/>
        </w:rPr>
        <w:noBreakHyphen/>
        <w:t>szint 1,5</w:t>
      </w:r>
      <w:r w:rsidRPr="00D045B3">
        <w:rPr>
          <w:rFonts w:ascii="Times New Roman" w:hAnsi="Times New Roman"/>
        </w:rPr>
        <w:noBreakHyphen/>
        <w:t>szeres emelkedésének felel meg (az imatinib erősen kötődik az AGP</w:t>
      </w:r>
      <w:r w:rsidRPr="00D045B3">
        <w:rPr>
          <w:rFonts w:ascii="Times New Roman" w:hAnsi="Times New Roman"/>
        </w:rPr>
        <w:noBreakHyphen/>
        <w:t xml:space="preserve">hez). Az imatinib szabad gyógyszer clearance-e valószínűleg hasonló a </w:t>
      </w:r>
      <w:r w:rsidR="000D57F6" w:rsidRPr="00D045B3">
        <w:rPr>
          <w:rFonts w:ascii="Times New Roman" w:hAnsi="Times New Roman"/>
        </w:rPr>
        <w:t xml:space="preserve">károsodott </w:t>
      </w:r>
      <w:r w:rsidRPr="00D045B3">
        <w:rPr>
          <w:rFonts w:ascii="Times New Roman" w:hAnsi="Times New Roman"/>
        </w:rPr>
        <w:t xml:space="preserve">és az egészséges vesefunkciójú betegek esetében, mivel a renális kiválasztás csak kismértékben játszik szerepet az imatinib eliminációjában (lásd 4.2 és 4.4 pont). </w:t>
      </w:r>
    </w:p>
    <w:p w14:paraId="1E92742A" w14:textId="77777777" w:rsidR="009E12FC" w:rsidRPr="00D045B3" w:rsidRDefault="009E12FC" w:rsidP="009E12FC">
      <w:pPr>
        <w:pStyle w:val="KeinLeerraum"/>
        <w:rPr>
          <w:rFonts w:ascii="Times New Roman" w:hAnsi="Times New Roman"/>
        </w:rPr>
      </w:pPr>
    </w:p>
    <w:p w14:paraId="1E92742B" w14:textId="77777777" w:rsidR="009E12FC" w:rsidRPr="00D045B3" w:rsidRDefault="009E12FC" w:rsidP="00CA41FD">
      <w:pPr>
        <w:pStyle w:val="KeinLeerraum"/>
        <w:rPr>
          <w:rFonts w:ascii="Times New Roman" w:hAnsi="Times New Roman"/>
        </w:rPr>
      </w:pPr>
      <w:r w:rsidRPr="00D045B3">
        <w:rPr>
          <w:rFonts w:ascii="Times New Roman" w:hAnsi="Times New Roman"/>
        </w:rPr>
        <w:t>Bár a farmakokinetikai elemzések eredményei azt mutatták, hogy számottevő az egyének közötti variáció, az átlagos imatinib expozíció a normális májműködésű betegekhez viszonyítva nem fokozódott a különböző mértékben beszűkült májfunkciójú betegek esetében (lásd 4.2, 4.4, és 4.8 pont).</w:t>
      </w:r>
    </w:p>
    <w:p w14:paraId="1E92742C" w14:textId="77777777" w:rsidR="009E12FC" w:rsidRPr="00D045B3" w:rsidRDefault="009E12FC" w:rsidP="00CA41FD">
      <w:pPr>
        <w:pStyle w:val="KeinLeerraum"/>
        <w:rPr>
          <w:rFonts w:ascii="Times New Roman" w:hAnsi="Times New Roman"/>
        </w:rPr>
      </w:pPr>
    </w:p>
    <w:p w14:paraId="1E92742D" w14:textId="77777777" w:rsidR="009E12FC" w:rsidRPr="00D045B3" w:rsidRDefault="009E12FC" w:rsidP="008A6837">
      <w:pPr>
        <w:pStyle w:val="KeinLeerraum"/>
        <w:keepNext/>
        <w:tabs>
          <w:tab w:val="left" w:pos="567"/>
        </w:tabs>
        <w:rPr>
          <w:rFonts w:ascii="Times New Roman" w:hAnsi="Times New Roman"/>
          <w:b/>
        </w:rPr>
      </w:pPr>
      <w:r w:rsidRPr="00D045B3">
        <w:rPr>
          <w:rFonts w:ascii="Times New Roman" w:hAnsi="Times New Roman"/>
          <w:b/>
        </w:rPr>
        <w:t>5.3</w:t>
      </w:r>
      <w:r w:rsidRPr="00D045B3">
        <w:rPr>
          <w:rFonts w:ascii="Times New Roman" w:hAnsi="Times New Roman"/>
          <w:b/>
        </w:rPr>
        <w:tab/>
        <w:t xml:space="preserve">A preklinikai biztonságossági vizsgálatok eredményei </w:t>
      </w:r>
    </w:p>
    <w:p w14:paraId="1E92742E" w14:textId="77777777" w:rsidR="009E12FC" w:rsidRPr="00D045B3" w:rsidRDefault="009E12FC" w:rsidP="008A6837">
      <w:pPr>
        <w:pStyle w:val="KeinLeerraum"/>
        <w:keepNext/>
        <w:rPr>
          <w:rFonts w:ascii="Times New Roman" w:hAnsi="Times New Roman"/>
        </w:rPr>
      </w:pPr>
    </w:p>
    <w:p w14:paraId="1E92742F" w14:textId="77777777" w:rsidR="009E12FC" w:rsidRPr="00D045B3" w:rsidRDefault="009E12FC" w:rsidP="00CA41FD">
      <w:pPr>
        <w:pStyle w:val="KeinLeerraum"/>
        <w:rPr>
          <w:rFonts w:ascii="Times New Roman" w:hAnsi="Times New Roman"/>
        </w:rPr>
      </w:pPr>
      <w:r w:rsidRPr="00D045B3">
        <w:rPr>
          <w:rFonts w:ascii="Times New Roman" w:hAnsi="Times New Roman"/>
        </w:rPr>
        <w:t xml:space="preserve">Az imatinib preklinikai biztonságossági profilját patkányokban, kutyákban, majmokban és nyulakban vizsgálták. </w:t>
      </w:r>
    </w:p>
    <w:p w14:paraId="1E927430" w14:textId="77777777" w:rsidR="009E12FC" w:rsidRPr="00D045B3" w:rsidRDefault="009E12FC" w:rsidP="009E12FC">
      <w:pPr>
        <w:pStyle w:val="KeinLeerraum"/>
        <w:rPr>
          <w:rFonts w:ascii="Times New Roman" w:hAnsi="Times New Roman"/>
        </w:rPr>
      </w:pPr>
    </w:p>
    <w:p w14:paraId="1E927431" w14:textId="77777777" w:rsidR="009E12FC" w:rsidRPr="00D045B3" w:rsidRDefault="009E12FC" w:rsidP="009E12FC">
      <w:pPr>
        <w:pStyle w:val="KeinLeerraum"/>
        <w:rPr>
          <w:rFonts w:ascii="Times New Roman" w:hAnsi="Times New Roman"/>
        </w:rPr>
      </w:pPr>
      <w:r w:rsidRPr="00D045B3">
        <w:rPr>
          <w:rFonts w:ascii="Times New Roman" w:hAnsi="Times New Roman"/>
        </w:rPr>
        <w:t>Ismételt dózisú toxicitás vizsgálatok enyhe</w:t>
      </w:r>
      <w:r w:rsidRPr="00D045B3">
        <w:rPr>
          <w:rFonts w:ascii="Times New Roman" w:hAnsi="Times New Roman"/>
        </w:rPr>
        <w:noBreakHyphen/>
        <w:t xml:space="preserve">közepesen súlyos fokú hematológiai elváltozást mutattak patkányoknál, kutyáknál és majmoknál, amit csontvelőeltérés kísért a patkányok és kutyák esetében. </w:t>
      </w:r>
    </w:p>
    <w:p w14:paraId="1E927432" w14:textId="77777777" w:rsidR="009E12FC" w:rsidRPr="00D045B3" w:rsidRDefault="009E12FC" w:rsidP="009E12FC">
      <w:pPr>
        <w:pStyle w:val="KeinLeerraum"/>
        <w:rPr>
          <w:rFonts w:ascii="Times New Roman" w:hAnsi="Times New Roman"/>
        </w:rPr>
      </w:pPr>
    </w:p>
    <w:p w14:paraId="1E927433" w14:textId="77777777" w:rsidR="009E12FC" w:rsidRPr="00D045B3" w:rsidRDefault="009E12FC" w:rsidP="009E12FC">
      <w:pPr>
        <w:pStyle w:val="KeinLeerraum"/>
        <w:rPr>
          <w:rFonts w:ascii="Times New Roman" w:hAnsi="Times New Roman"/>
        </w:rPr>
      </w:pPr>
      <w:r w:rsidRPr="00D045B3">
        <w:rPr>
          <w:rFonts w:ascii="Times New Roman" w:hAnsi="Times New Roman"/>
        </w:rPr>
        <w:t>Patkányoknál és kutyáknál a célszerv a máj volt. Mindkét fajnál enyhe</w:t>
      </w:r>
      <w:r w:rsidRPr="00D045B3">
        <w:rPr>
          <w:rFonts w:ascii="Times New Roman" w:hAnsi="Times New Roman"/>
        </w:rPr>
        <w:noBreakHyphen/>
        <w:t>közepesen súlyos transzaminázszint emelkedést és csekély mértékű koleszterin</w:t>
      </w:r>
      <w:r w:rsidRPr="00D045B3">
        <w:rPr>
          <w:rFonts w:ascii="Times New Roman" w:hAnsi="Times New Roman"/>
        </w:rPr>
        <w:noBreakHyphen/>
        <w:t>, triglicerid</w:t>
      </w:r>
      <w:r w:rsidRPr="00D045B3">
        <w:rPr>
          <w:rFonts w:ascii="Times New Roman" w:hAnsi="Times New Roman"/>
        </w:rPr>
        <w:noBreakHyphen/>
        <w:t>, összfehérje</w:t>
      </w:r>
      <w:r w:rsidRPr="00D045B3">
        <w:rPr>
          <w:rFonts w:ascii="Times New Roman" w:hAnsi="Times New Roman"/>
        </w:rPr>
        <w:noBreakHyphen/>
        <w:t xml:space="preserve"> és albuminszint csökkenést figyeltek meg. Patkányok májában hisztopatológiai eltérést nem észleltek. Két hétig kezelt kutyákban súlyos májtoxicitást észleltek, emelkedett májenzimszint értékekkel, hepatocellularis necrosissal, epeút necrosissal és epeút hyperplasiával. </w:t>
      </w:r>
    </w:p>
    <w:p w14:paraId="1E927434" w14:textId="77777777" w:rsidR="009E12FC" w:rsidRPr="00D045B3" w:rsidRDefault="009E12FC" w:rsidP="009E12FC">
      <w:pPr>
        <w:pStyle w:val="KeinLeerraum"/>
        <w:rPr>
          <w:rFonts w:ascii="Times New Roman" w:hAnsi="Times New Roman"/>
        </w:rPr>
      </w:pPr>
    </w:p>
    <w:p w14:paraId="1E927435" w14:textId="77777777" w:rsidR="009E12FC" w:rsidRPr="00D045B3" w:rsidRDefault="009E12FC" w:rsidP="009E12FC">
      <w:pPr>
        <w:pStyle w:val="KeinLeerraum"/>
        <w:rPr>
          <w:rFonts w:ascii="Times New Roman" w:hAnsi="Times New Roman"/>
        </w:rPr>
      </w:pPr>
      <w:r w:rsidRPr="00D045B3">
        <w:rPr>
          <w:rFonts w:ascii="Times New Roman" w:hAnsi="Times New Roman"/>
        </w:rPr>
        <w:t>Két hétig kezelt majmoknál vesetoxicitást észleltek, a vesetubulusok focalis mineralisatiójával és dilatatiójával, valamint tubularis nephrosissal. Ezek közül több majomnál megnövekedett karbamid</w:t>
      </w:r>
      <w:r w:rsidRPr="00D045B3">
        <w:rPr>
          <w:rFonts w:ascii="Times New Roman" w:hAnsi="Times New Roman"/>
        </w:rPr>
        <w:noBreakHyphen/>
        <w:t xml:space="preserve">nitrogén (BUN) és kreatininszint volt észlelhető. Patkányok esetében, egy 13 hetes vizsgálatban, </w:t>
      </w:r>
      <w:r w:rsidRPr="00D045B3">
        <w:rPr>
          <w:rFonts w:ascii="Times New Roman" w:eastAsia="Symbol" w:hAnsi="Times New Roman"/>
          <w:u w:val="single"/>
        </w:rPr>
        <w:t>&gt;</w:t>
      </w:r>
      <w:r w:rsidRPr="00D045B3">
        <w:rPr>
          <w:rFonts w:ascii="Times New Roman" w:hAnsi="Times New Roman"/>
        </w:rPr>
        <w:t>6 mg/ttkg dózisok alkalmazása mellett a vesepapilla és a húgyhólyag transitionalis epitheliumának hyperplasiáját észlelték szérum</w:t>
      </w:r>
      <w:r w:rsidRPr="00D045B3">
        <w:rPr>
          <w:rFonts w:ascii="Times New Roman" w:hAnsi="Times New Roman"/>
        </w:rPr>
        <w:noBreakHyphen/>
        <w:t xml:space="preserve">, ill. vizeleteltérés nélkül. Krónikus imatinib kezeléskor az opportunista fertőzések gyakoribb előfordulását észlelték. </w:t>
      </w:r>
    </w:p>
    <w:p w14:paraId="1E927436" w14:textId="77777777" w:rsidR="009E12FC" w:rsidRPr="00D045B3" w:rsidRDefault="009E12FC" w:rsidP="009E12FC">
      <w:pPr>
        <w:pStyle w:val="KeinLeerraum"/>
        <w:rPr>
          <w:rFonts w:ascii="Times New Roman" w:hAnsi="Times New Roman"/>
        </w:rPr>
      </w:pPr>
    </w:p>
    <w:p w14:paraId="1E927437" w14:textId="77777777" w:rsidR="009E12FC" w:rsidRPr="00D045B3" w:rsidRDefault="009E12FC" w:rsidP="009E12FC">
      <w:pPr>
        <w:pStyle w:val="KeinLeerraum"/>
        <w:rPr>
          <w:rFonts w:ascii="Times New Roman" w:hAnsi="Times New Roman"/>
        </w:rPr>
      </w:pPr>
      <w:r w:rsidRPr="00D045B3">
        <w:rPr>
          <w:rFonts w:ascii="Times New Roman" w:hAnsi="Times New Roman"/>
        </w:rPr>
        <w:t>Egy 39 hetes, majmokkal végzett vizsgálatban, a legalacsonyabb 15 mg/ttkg dózis – körülbelül egyharmada a testfelületre számított maximális, 800 mg</w:t>
      </w:r>
      <w:r w:rsidRPr="00D045B3">
        <w:rPr>
          <w:rFonts w:ascii="Times New Roman" w:hAnsi="Times New Roman"/>
        </w:rPr>
        <w:noBreakHyphen/>
        <w:t xml:space="preserve">os humán dózisnak – alkalmazása mellett nem állapították meg a „nem észlelhető kedvezőtlen hatás szintet” (NOAEL – no observed adverse effect level). Ezeknél az állatoknál a kezelés a normálisan szuppresszált malariás infectio rosszabbodását eredményezte. </w:t>
      </w:r>
    </w:p>
    <w:p w14:paraId="1E927438" w14:textId="77777777" w:rsidR="009E12FC" w:rsidRPr="00D045B3" w:rsidRDefault="009E12FC" w:rsidP="009E12FC">
      <w:pPr>
        <w:pStyle w:val="KeinLeerraum"/>
        <w:rPr>
          <w:rFonts w:ascii="Times New Roman" w:hAnsi="Times New Roman"/>
        </w:rPr>
      </w:pPr>
    </w:p>
    <w:p w14:paraId="1E927439"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Az imatinib nem bizonyult genotoxikusnak </w:t>
      </w:r>
      <w:r w:rsidRPr="00D045B3">
        <w:rPr>
          <w:rFonts w:ascii="Times New Roman" w:hAnsi="Times New Roman"/>
          <w:i/>
          <w:iCs/>
        </w:rPr>
        <w:t xml:space="preserve">in vitro </w:t>
      </w:r>
      <w:r w:rsidRPr="00D045B3">
        <w:rPr>
          <w:rFonts w:ascii="Times New Roman" w:hAnsi="Times New Roman"/>
        </w:rPr>
        <w:t xml:space="preserve">baktériumsejt assay-ben (Ames teszt), </w:t>
      </w:r>
      <w:r w:rsidRPr="00D045B3">
        <w:rPr>
          <w:rFonts w:ascii="Times New Roman" w:hAnsi="Times New Roman"/>
          <w:i/>
          <w:iCs/>
        </w:rPr>
        <w:t xml:space="preserve">in vitro </w:t>
      </w:r>
      <w:r w:rsidRPr="00D045B3">
        <w:rPr>
          <w:rFonts w:ascii="Times New Roman" w:hAnsi="Times New Roman"/>
        </w:rPr>
        <w:t xml:space="preserve">emlőssejt tesztben (egér lymphoma) és </w:t>
      </w:r>
      <w:r w:rsidRPr="00D045B3">
        <w:rPr>
          <w:rFonts w:ascii="Times New Roman" w:hAnsi="Times New Roman"/>
          <w:i/>
          <w:iCs/>
        </w:rPr>
        <w:t xml:space="preserve">in vivo </w:t>
      </w:r>
      <w:r w:rsidRPr="00D045B3">
        <w:rPr>
          <w:rFonts w:ascii="Times New Roman" w:hAnsi="Times New Roman"/>
        </w:rPr>
        <w:t xml:space="preserve">patkány micronucleus tesztben. Pozitív genotoxikus hatást figyeltek meg egy </w:t>
      </w:r>
      <w:r w:rsidRPr="00D045B3">
        <w:rPr>
          <w:rFonts w:ascii="Times New Roman" w:hAnsi="Times New Roman"/>
          <w:i/>
          <w:iCs/>
        </w:rPr>
        <w:t xml:space="preserve">in vitro </w:t>
      </w:r>
      <w:r w:rsidRPr="00D045B3">
        <w:rPr>
          <w:rFonts w:ascii="Times New Roman" w:hAnsi="Times New Roman"/>
        </w:rPr>
        <w:t xml:space="preserve">emlőssejt assay-ben (kínai hörcsög ovarium) clastogenicitást tekintve (chromosoma aberratio) metabolikus aktiváció fennállásakor. Ames tesztben a gyártási folyamat két közbenső vegyülete - ami a végtermékben is jelen van - pozitív mutagén hatásúnak bizonyult. A közbenső vegyületek egyike egér lymphoma tesztben is pozitív hatásúnak bizonyult. </w:t>
      </w:r>
    </w:p>
    <w:p w14:paraId="1E92743A" w14:textId="77777777" w:rsidR="009E12FC" w:rsidRPr="00D045B3" w:rsidRDefault="009E12FC" w:rsidP="009E12FC">
      <w:pPr>
        <w:pStyle w:val="KeinLeerraum"/>
        <w:rPr>
          <w:rFonts w:ascii="Times New Roman" w:hAnsi="Times New Roman"/>
        </w:rPr>
      </w:pPr>
    </w:p>
    <w:p w14:paraId="1E92743B" w14:textId="77777777" w:rsidR="009E12FC" w:rsidRPr="00D045B3" w:rsidRDefault="009E12FC" w:rsidP="009E12FC">
      <w:pPr>
        <w:pStyle w:val="KeinLeerraum"/>
        <w:rPr>
          <w:rFonts w:ascii="Times New Roman" w:hAnsi="Times New Roman"/>
        </w:rPr>
      </w:pPr>
      <w:r w:rsidRPr="00D045B3">
        <w:rPr>
          <w:rFonts w:ascii="Times New Roman" w:hAnsi="Times New Roman"/>
        </w:rPr>
        <w:t>Fertilitási vizsgálatban hím patkányoknál a párosodást megelőző 70 napban adott 60 mg/ttkg dózis alkalmazásakor - ami körülbelül megfelel a testfelületre számított 800 mg/nap maximális klinikai dózisnak - a testicularis és epididymalis tömeg, valamint a mozgó spermiumok arányának csökkenését észlelték. Mindez ≤ 20 mg/ttkg alkalmazott dózisban nem volt megfigyelhető. Kutyáknál ≥ 30 mg/ttkg orális dózis mellett a spermatogenesis kismértékű</w:t>
      </w:r>
      <w:r w:rsidRPr="00D045B3">
        <w:rPr>
          <w:rFonts w:ascii="Times New Roman" w:hAnsi="Times New Roman"/>
        </w:rPr>
        <w:noBreakHyphen/>
        <w:t xml:space="preserve"> mérsékelt terjedő csökkenését figyelték meg. Amikor nőstény patkányokat kezeltek a párosodást megelőző 14 napban és a 6. gestációs napig, az adott kezelés nem volt hatással a párosodásra, és a vemhessé vált patkányok számára. Nőstény patkányoknál 60 mg/ttkg dózis szignifikáns mértékben fokozta a postimplantációs spontán abortus előfordulását, és csökkentette az élő foetusok számát, mely ≤ 20 mg/ttkg esetén nem észlelhető. </w:t>
      </w:r>
    </w:p>
    <w:p w14:paraId="1E92743C" w14:textId="77777777" w:rsidR="009E12FC" w:rsidRPr="00D045B3" w:rsidRDefault="009E12FC" w:rsidP="009E12FC">
      <w:pPr>
        <w:pStyle w:val="KeinLeerraum"/>
        <w:rPr>
          <w:rFonts w:ascii="Times New Roman" w:hAnsi="Times New Roman"/>
        </w:rPr>
      </w:pPr>
    </w:p>
    <w:p w14:paraId="1E92743D" w14:textId="77777777" w:rsidR="009E12FC" w:rsidRPr="00D045B3" w:rsidRDefault="009E12FC" w:rsidP="009E12FC">
      <w:pPr>
        <w:pStyle w:val="KeinLeerraum"/>
        <w:rPr>
          <w:rFonts w:ascii="Times New Roman" w:hAnsi="Times New Roman"/>
        </w:rPr>
      </w:pPr>
      <w:r w:rsidRPr="00D045B3">
        <w:rPr>
          <w:rFonts w:ascii="Times New Roman" w:hAnsi="Times New Roman"/>
        </w:rPr>
        <w:t>Egy, a patkányokkal végzett orális pre</w:t>
      </w:r>
      <w:r w:rsidRPr="00D045B3">
        <w:rPr>
          <w:rFonts w:ascii="Times New Roman" w:hAnsi="Times New Roman"/>
        </w:rPr>
        <w:noBreakHyphen/>
        <w:t>, ill. postnatalis fejlődési vizsgálatban vörös hüvelyi folyás mutatkozott a 14. vagy a 15. gestatiós napon a 45 mg/ttkg/nap adagot kapó csoportban. Ugyanezen adag mellett a halvaszületési arány és az első négy napban bekövetkező magzati halálozási arány megnövekedett. Az F</w:t>
      </w:r>
      <w:r w:rsidRPr="00D045B3">
        <w:rPr>
          <w:rFonts w:ascii="Times New Roman" w:hAnsi="Times New Roman"/>
          <w:vertAlign w:val="subscript"/>
        </w:rPr>
        <w:t>1</w:t>
      </w:r>
      <w:r w:rsidRPr="00D045B3">
        <w:rPr>
          <w:rFonts w:ascii="Times New Roman" w:hAnsi="Times New Roman"/>
        </w:rPr>
        <w:t xml:space="preserve"> utódok esetében – ugyanezen adag mellett – kisebb volt az átlagos testtömeg a születéstől elhullásukig, és a praeputialis elkülönítést szükségessé tevő alomszám némileg csökkent. Bár az F</w:t>
      </w:r>
      <w:r w:rsidRPr="00D045B3">
        <w:rPr>
          <w:rFonts w:ascii="Times New Roman" w:hAnsi="Times New Roman"/>
          <w:vertAlign w:val="subscript"/>
        </w:rPr>
        <w:t>1</w:t>
      </w:r>
      <w:r w:rsidRPr="00D045B3">
        <w:rPr>
          <w:rFonts w:ascii="Times New Roman" w:hAnsi="Times New Roman"/>
        </w:rPr>
        <w:t xml:space="preserve"> utódok fertilitása nem csökkent, a 45 mg/kg nap dózisnál, nagyobb számú volt az intrauterin felszívódás, és kisebb számú az életképes foetusok száma. Az anyaállatra és az F</w:t>
      </w:r>
      <w:r w:rsidRPr="00D045B3">
        <w:rPr>
          <w:rFonts w:ascii="Times New Roman" w:hAnsi="Times New Roman"/>
          <w:vertAlign w:val="subscript"/>
        </w:rPr>
        <w:t>1</w:t>
      </w:r>
      <w:r w:rsidRPr="00D045B3">
        <w:rPr>
          <w:rFonts w:ascii="Times New Roman" w:hAnsi="Times New Roman"/>
        </w:rPr>
        <w:t xml:space="preserve"> generációra a „nem észlelhető hatás szint” (NOEL - no observed effect level) értéke 15 mg/ttkg/nap volt, ami a 800 mg maximális humán adag negyedének felel meg. </w:t>
      </w:r>
    </w:p>
    <w:p w14:paraId="1E92743E" w14:textId="77777777" w:rsidR="009E12FC" w:rsidRPr="00D045B3" w:rsidRDefault="009E12FC" w:rsidP="009E12FC">
      <w:pPr>
        <w:pStyle w:val="KeinLeerraum"/>
        <w:rPr>
          <w:rFonts w:ascii="Times New Roman" w:hAnsi="Times New Roman"/>
        </w:rPr>
      </w:pPr>
    </w:p>
    <w:p w14:paraId="1E92743F" w14:textId="77777777" w:rsidR="009E12FC" w:rsidRPr="00D045B3" w:rsidRDefault="009E12FC" w:rsidP="009E12FC">
      <w:pPr>
        <w:pStyle w:val="KeinLeerraum"/>
        <w:rPr>
          <w:rFonts w:ascii="Times New Roman" w:hAnsi="Times New Roman"/>
        </w:rPr>
      </w:pPr>
      <w:r w:rsidRPr="00D045B3">
        <w:rPr>
          <w:rFonts w:ascii="Times New Roman" w:hAnsi="Times New Roman"/>
        </w:rPr>
        <w:t>Patkányoknál az organogenezis ideje alatt alkalmazott ≥ 100 mg/ttkg (ami körülbelül a testfelületre számított 800 mg/nap maximális humán klinikai dózisnak</w:t>
      </w:r>
      <w:r w:rsidR="009B5EDB" w:rsidRPr="00D045B3">
        <w:rPr>
          <w:rFonts w:ascii="Times New Roman" w:hAnsi="Times New Roman"/>
        </w:rPr>
        <w:t xml:space="preserve"> felel meg</w:t>
      </w:r>
      <w:r w:rsidRPr="00D045B3">
        <w:rPr>
          <w:rFonts w:ascii="Times New Roman" w:hAnsi="Times New Roman"/>
        </w:rPr>
        <w:t xml:space="preserve">) imatinib adag teratogénnek bizonyult. A teratogén hatások közé tartozott az exencephalia vagy encephalocele, a frontalis csontok hiánya/hiányos kifejlődése és a partietalis csontok hiánya. Ezek a hatások nem voltak észlelhetők ≤30 mg/ttkg adagokban. </w:t>
      </w:r>
    </w:p>
    <w:p w14:paraId="1E927440" w14:textId="77777777" w:rsidR="009E12FC" w:rsidRPr="00D045B3" w:rsidRDefault="009E12FC" w:rsidP="009E12FC">
      <w:pPr>
        <w:pStyle w:val="KeinLeerraum"/>
        <w:rPr>
          <w:rFonts w:ascii="Times New Roman" w:hAnsi="Times New Roman"/>
        </w:rPr>
      </w:pPr>
    </w:p>
    <w:p w14:paraId="1E927441" w14:textId="77777777" w:rsidR="009C70C3" w:rsidRPr="00D045B3" w:rsidRDefault="009C70C3" w:rsidP="009E12FC">
      <w:pPr>
        <w:pStyle w:val="KeinLeerraum"/>
        <w:rPr>
          <w:rFonts w:ascii="Times New Roman" w:hAnsi="Times New Roman"/>
        </w:rPr>
      </w:pPr>
      <w:r w:rsidRPr="00D045B3">
        <w:rPr>
          <w:rFonts w:ascii="Times New Roman" w:hAnsi="Times New Roman"/>
        </w:rPr>
        <w:t>Fiatal patkányokon végzett fejlődés toxikológiai vizsgálatban (az ellés utáni 10. és 70. napon) a felnőtt patkányokban már ismert célszervekhez képest nem azonosítottak új célszerveket. A juvenilis toxikológiai vizsgál</w:t>
      </w:r>
      <w:r w:rsidR="00784703" w:rsidRPr="00D045B3">
        <w:rPr>
          <w:rFonts w:ascii="Times New Roman" w:hAnsi="Times New Roman"/>
        </w:rPr>
        <w:t>atban a legnagyobb ajánlott 340 </w:t>
      </w:r>
      <w:r w:rsidRPr="00D045B3">
        <w:rPr>
          <w:rFonts w:ascii="Times New Roman" w:hAnsi="Times New Roman"/>
        </w:rPr>
        <w:t>mg/m</w:t>
      </w:r>
      <w:r w:rsidRPr="00D045B3">
        <w:rPr>
          <w:rFonts w:ascii="Times New Roman" w:hAnsi="Times New Roman"/>
          <w:vertAlign w:val="superscript"/>
        </w:rPr>
        <w:t>2</w:t>
      </w:r>
      <w:r w:rsidR="00784703" w:rsidRPr="00D045B3">
        <w:rPr>
          <w:rFonts w:ascii="Times New Roman" w:hAnsi="Times New Roman"/>
        </w:rPr>
        <w:noBreakHyphen/>
      </w:r>
      <w:r w:rsidRPr="00D045B3">
        <w:rPr>
          <w:rFonts w:ascii="Times New Roman" w:hAnsi="Times New Roman"/>
        </w:rPr>
        <w:t>es dózis mellett</w:t>
      </w:r>
      <w:r w:rsidR="00784703" w:rsidRPr="00D045B3">
        <w:rPr>
          <w:rFonts w:ascii="Times New Roman" w:hAnsi="Times New Roman"/>
        </w:rPr>
        <w:t xml:space="preserve"> -</w:t>
      </w:r>
      <w:r w:rsidRPr="00D045B3">
        <w:rPr>
          <w:rFonts w:ascii="Times New Roman" w:hAnsi="Times New Roman"/>
        </w:rPr>
        <w:t xml:space="preserve"> amely az átlagos gyermekgyógyászati expozíció 0,3</w:t>
      </w:r>
      <w:r w:rsidR="00784703" w:rsidRPr="00D045B3">
        <w:rPr>
          <w:rFonts w:ascii="Times New Roman" w:hAnsi="Times New Roman"/>
        </w:rPr>
        <w:noBreakHyphen/>
      </w:r>
      <w:r w:rsidRPr="00D045B3">
        <w:rPr>
          <w:rFonts w:ascii="Times New Roman" w:hAnsi="Times New Roman"/>
        </w:rPr>
        <w:t>2</w:t>
      </w:r>
      <w:r w:rsidR="00784703" w:rsidRPr="00D045B3">
        <w:rPr>
          <w:rFonts w:ascii="Times New Roman" w:hAnsi="Times New Roman"/>
        </w:rPr>
        <w:noBreakHyphen/>
      </w:r>
      <w:r w:rsidRPr="00D045B3">
        <w:rPr>
          <w:rFonts w:ascii="Times New Roman" w:hAnsi="Times New Roman"/>
        </w:rPr>
        <w:t>szerese</w:t>
      </w:r>
      <w:r w:rsidR="00784703" w:rsidRPr="00D045B3">
        <w:rPr>
          <w:rFonts w:ascii="Times New Roman" w:hAnsi="Times New Roman"/>
        </w:rPr>
        <w:t xml:space="preserve"> -</w:t>
      </w:r>
      <w:r w:rsidRPr="00D045B3">
        <w:rPr>
          <w:rFonts w:ascii="Times New Roman" w:hAnsi="Times New Roman"/>
        </w:rPr>
        <w:t xml:space="preserve"> a növekedésre gyakorolt hatásokat, a vagina késői megnyílását és a fityma késői elválását észlelték. Ezen kív</w:t>
      </w:r>
      <w:r w:rsidR="003C0C1A" w:rsidRPr="00D045B3">
        <w:rPr>
          <w:rFonts w:ascii="Times New Roman" w:hAnsi="Times New Roman"/>
        </w:rPr>
        <w:t>ü</w:t>
      </w:r>
      <w:r w:rsidRPr="00D045B3">
        <w:rPr>
          <w:rFonts w:ascii="Times New Roman" w:hAnsi="Times New Roman"/>
        </w:rPr>
        <w:t xml:space="preserve">l </w:t>
      </w:r>
      <w:r w:rsidR="00305617" w:rsidRPr="00D045B3">
        <w:rPr>
          <w:rFonts w:ascii="Times New Roman" w:hAnsi="Times New Roman"/>
        </w:rPr>
        <w:t>a legnagyobb ajánlott 340 mg/m</w:t>
      </w:r>
      <w:r w:rsidR="00305617" w:rsidRPr="00D045B3">
        <w:rPr>
          <w:rFonts w:ascii="Times New Roman" w:hAnsi="Times New Roman"/>
          <w:vertAlign w:val="superscript"/>
        </w:rPr>
        <w:t>2</w:t>
      </w:r>
      <w:r w:rsidR="00305617" w:rsidRPr="00D045B3">
        <w:rPr>
          <w:rFonts w:ascii="Times New Roman" w:hAnsi="Times New Roman"/>
        </w:rPr>
        <w:noBreakHyphen/>
        <w:t>es dózis mellett - amely az átlagos gyermekgyógyászati expozíció 2</w:t>
      </w:r>
      <w:r w:rsidR="00305617" w:rsidRPr="00D045B3">
        <w:rPr>
          <w:rFonts w:ascii="Times New Roman" w:hAnsi="Times New Roman"/>
        </w:rPr>
        <w:noBreakHyphen/>
        <w:t xml:space="preserve">szerese -mortalitást is megfigyeltek a </w:t>
      </w:r>
      <w:r w:rsidRPr="00D045B3">
        <w:rPr>
          <w:rFonts w:ascii="Times New Roman" w:hAnsi="Times New Roman"/>
        </w:rPr>
        <w:t>fiatal állat</w:t>
      </w:r>
      <w:r w:rsidR="00784703" w:rsidRPr="00D045B3">
        <w:rPr>
          <w:rFonts w:ascii="Times New Roman" w:hAnsi="Times New Roman"/>
        </w:rPr>
        <w:t xml:space="preserve">oknál </w:t>
      </w:r>
      <w:r w:rsidR="00305617" w:rsidRPr="00D045B3">
        <w:rPr>
          <w:rFonts w:ascii="Times New Roman" w:hAnsi="Times New Roman"/>
        </w:rPr>
        <w:t>(az elválasztás ideje körül).</w:t>
      </w:r>
    </w:p>
    <w:p w14:paraId="1E927442" w14:textId="77777777" w:rsidR="009C70C3" w:rsidRPr="00D045B3" w:rsidRDefault="009C70C3" w:rsidP="009E12FC">
      <w:pPr>
        <w:pStyle w:val="KeinLeerraum"/>
        <w:rPr>
          <w:rFonts w:ascii="Times New Roman" w:hAnsi="Times New Roman"/>
        </w:rPr>
      </w:pPr>
    </w:p>
    <w:p w14:paraId="1E927443" w14:textId="77777777" w:rsidR="009E12FC" w:rsidRPr="00D045B3" w:rsidRDefault="009E12FC" w:rsidP="009E12FC">
      <w:pPr>
        <w:pStyle w:val="KeinLeerraum"/>
        <w:rPr>
          <w:rFonts w:ascii="Times New Roman" w:hAnsi="Times New Roman"/>
        </w:rPr>
      </w:pPr>
      <w:r w:rsidRPr="00D045B3">
        <w:rPr>
          <w:rFonts w:ascii="Times New Roman" w:hAnsi="Times New Roman"/>
        </w:rPr>
        <w:t>Patkányokon végzett 2 éves karcinogenitási vizsgálatban 15, 30 és 60 mg/kg/nap imatinib adása az élettartam statisztikailag szignifikáns csökkenését eredményezte: hímek esetében 60 mg/kg/nap, nőstények esetében ≥ 30 mg/kg/nap adag mellett. Az elpusztult egyedek hisztopatológiai vizsgálata során kimutatták, hogy a halál és az el nem pusztult egyedek feláldozásának oka elsősorban a cardiomyopathia (mindkét nem esetében), a krónikus progresszív nephropathia (nőstények esetében) és a praeputium</w:t>
      </w:r>
      <w:r w:rsidR="009B5EDB" w:rsidRPr="00D045B3">
        <w:rPr>
          <w:rFonts w:ascii="Times New Roman" w:hAnsi="Times New Roman"/>
        </w:rPr>
        <w:noBreakHyphen/>
      </w:r>
      <w:r w:rsidRPr="00D045B3">
        <w:rPr>
          <w:rFonts w:ascii="Times New Roman" w:hAnsi="Times New Roman"/>
        </w:rPr>
        <w:t>mirigy papilloma volt. A daganatos elváltozások a vesét, a húgyhólyagot, a húgycsövet, a praeputium</w:t>
      </w:r>
      <w:r w:rsidRPr="00D045B3">
        <w:rPr>
          <w:rFonts w:ascii="Times New Roman" w:hAnsi="Times New Roman"/>
        </w:rPr>
        <w:noBreakHyphen/>
        <w:t xml:space="preserve"> és clitoris</w:t>
      </w:r>
      <w:r w:rsidRPr="00D045B3">
        <w:rPr>
          <w:rFonts w:ascii="Times New Roman" w:hAnsi="Times New Roman"/>
        </w:rPr>
        <w:noBreakHyphen/>
        <w:t xml:space="preserve">mirigyeket, a vékonybelet, a mellékpajzsmirigyet, a mellékvesét és a nem mirigyes gyomrot érintették. </w:t>
      </w:r>
    </w:p>
    <w:p w14:paraId="1E927444" w14:textId="77777777" w:rsidR="009E12FC" w:rsidRPr="00D045B3" w:rsidRDefault="009E12FC" w:rsidP="009E12FC">
      <w:pPr>
        <w:pStyle w:val="KeinLeerraum"/>
        <w:rPr>
          <w:rFonts w:ascii="Times New Roman" w:hAnsi="Times New Roman"/>
        </w:rPr>
      </w:pPr>
    </w:p>
    <w:p w14:paraId="1E927445" w14:textId="58E3D8F2" w:rsidR="009E12FC" w:rsidRPr="00D045B3" w:rsidRDefault="009E12FC" w:rsidP="009E12FC">
      <w:pPr>
        <w:pStyle w:val="KeinLeerraum"/>
        <w:rPr>
          <w:rFonts w:ascii="Times New Roman" w:hAnsi="Times New Roman"/>
        </w:rPr>
      </w:pPr>
      <w:r w:rsidRPr="00D045B3">
        <w:rPr>
          <w:rFonts w:ascii="Times New Roman" w:hAnsi="Times New Roman"/>
        </w:rPr>
        <w:t>Praeputium</w:t>
      </w:r>
      <w:r w:rsidRPr="00D045B3">
        <w:rPr>
          <w:rFonts w:ascii="Times New Roman" w:hAnsi="Times New Roman"/>
        </w:rPr>
        <w:noBreakHyphen/>
        <w:t xml:space="preserve"> és clitoris</w:t>
      </w:r>
      <w:r w:rsidRPr="00D045B3">
        <w:rPr>
          <w:rFonts w:ascii="Times New Roman" w:hAnsi="Times New Roman"/>
        </w:rPr>
        <w:noBreakHyphen/>
        <w:t>mirigy papillomák/carcinomák kialakulását 30 mg/ttkg/nap dózistól kezdődően észlelték, amely megfelel a 400 mg/nap humán expozíció (AUC</w:t>
      </w:r>
      <w:r w:rsidRPr="00D045B3">
        <w:rPr>
          <w:rFonts w:ascii="Times New Roman" w:hAnsi="Times New Roman"/>
        </w:rPr>
        <w:noBreakHyphen/>
        <w:t>n alapuló) körülbelül 0,5</w:t>
      </w:r>
      <w:r w:rsidRPr="00D045B3">
        <w:rPr>
          <w:rFonts w:ascii="Times New Roman" w:hAnsi="Times New Roman"/>
        </w:rPr>
        <w:noBreakHyphen/>
        <w:t>szörösének, vagy a 800 mg/nap humán expozíció (AUC-n alapuló) körülbelül 0,3</w:t>
      </w:r>
      <w:r w:rsidRPr="00D045B3">
        <w:rPr>
          <w:rFonts w:ascii="Times New Roman" w:hAnsi="Times New Roman"/>
        </w:rPr>
        <w:noBreakHyphen/>
        <w:t>szorosának, illetve gyermekeknél a 340 mg/m</w:t>
      </w:r>
      <w:r w:rsidRPr="00D045B3">
        <w:rPr>
          <w:rFonts w:ascii="Times New Roman" w:hAnsi="Times New Roman"/>
          <w:vertAlign w:val="superscript"/>
        </w:rPr>
        <w:t>2</w:t>
      </w:r>
      <w:r w:rsidRPr="00D045B3">
        <w:rPr>
          <w:rFonts w:ascii="Times New Roman" w:hAnsi="Times New Roman"/>
        </w:rPr>
        <w:t>/nap expozíció (AUC</w:t>
      </w:r>
      <w:r w:rsidRPr="00D045B3">
        <w:rPr>
          <w:rFonts w:ascii="Times New Roman" w:hAnsi="Times New Roman"/>
        </w:rPr>
        <w:noBreakHyphen/>
        <w:t>n alapuló) 0,4–szeresének. A nem észlelhető hatásszint (NOEL) 15 mg/ttkg/nap volt. Vese adenomát/carcinomát, húgyhólyag</w:t>
      </w:r>
      <w:r w:rsidRPr="00D045B3">
        <w:rPr>
          <w:rFonts w:ascii="Times New Roman" w:hAnsi="Times New Roman"/>
        </w:rPr>
        <w:noBreakHyphen/>
        <w:t xml:space="preserve"> és húgycső papillomát, vékonybél adenocarcinomát, mellékpajzsmirigy adenomát, jó</w:t>
      </w:r>
      <w:r w:rsidRPr="00D045B3">
        <w:rPr>
          <w:rFonts w:ascii="Times New Roman" w:hAnsi="Times New Roman"/>
        </w:rPr>
        <w:noBreakHyphen/>
        <w:t xml:space="preserve"> és rosszindulatú medulláris mellékvese adenomát, valamint nem mirigyes gyomor papillomát/carcinomát 60 mg/ttkg/nap dózisnál figyeltek meg, amely megfelel a 400 vagy 800 mg/nap humán expozíció (AUC</w:t>
      </w:r>
      <w:r w:rsidRPr="00D045B3">
        <w:rPr>
          <w:rFonts w:ascii="Times New Roman" w:hAnsi="Times New Roman"/>
        </w:rPr>
        <w:noBreakHyphen/>
        <w:t>n alapuló) körülbelül 1,7</w:t>
      </w:r>
      <w:r w:rsidRPr="00D045B3">
        <w:rPr>
          <w:rFonts w:ascii="Times New Roman" w:hAnsi="Times New Roman"/>
        </w:rPr>
        <w:noBreakHyphen/>
        <w:t xml:space="preserve"> vagy 1</w:t>
      </w:r>
      <w:r w:rsidRPr="00D045B3">
        <w:rPr>
          <w:rFonts w:ascii="Times New Roman" w:hAnsi="Times New Roman"/>
        </w:rPr>
        <w:noBreakHyphen/>
        <w:t>szeresének, illetve gyermekek</w:t>
      </w:r>
      <w:r w:rsidR="00DB7EEE" w:rsidRPr="00D045B3">
        <w:rPr>
          <w:rFonts w:ascii="Times New Roman" w:hAnsi="Times New Roman"/>
        </w:rPr>
        <w:t>nél</w:t>
      </w:r>
      <w:r w:rsidRPr="00D045B3">
        <w:rPr>
          <w:rFonts w:ascii="Times New Roman" w:hAnsi="Times New Roman"/>
        </w:rPr>
        <w:t xml:space="preserve"> a 340 mg/m</w:t>
      </w:r>
      <w:r w:rsidRPr="00D045B3">
        <w:rPr>
          <w:rFonts w:ascii="Times New Roman" w:hAnsi="Times New Roman"/>
          <w:vertAlign w:val="superscript"/>
        </w:rPr>
        <w:t>2</w:t>
      </w:r>
      <w:r w:rsidRPr="00D045B3">
        <w:rPr>
          <w:rFonts w:ascii="Times New Roman" w:hAnsi="Times New Roman"/>
        </w:rPr>
        <w:t>/nap expozíció (AUC</w:t>
      </w:r>
      <w:r w:rsidRPr="00D045B3">
        <w:rPr>
          <w:rFonts w:ascii="Times New Roman" w:hAnsi="Times New Roman"/>
        </w:rPr>
        <w:noBreakHyphen/>
        <w:t>n alapuló) 1,2</w:t>
      </w:r>
      <w:r w:rsidRPr="00D045B3">
        <w:rPr>
          <w:rFonts w:ascii="Times New Roman" w:hAnsi="Times New Roman"/>
        </w:rPr>
        <w:noBreakHyphen/>
        <w:t xml:space="preserve">szeresének. A nem észlelhető hatásszint (NOEL) 30 mg/ttkg/nap volt. </w:t>
      </w:r>
    </w:p>
    <w:p w14:paraId="1E927446" w14:textId="77777777" w:rsidR="009E12FC" w:rsidRPr="00D045B3" w:rsidRDefault="009E12FC" w:rsidP="009E12FC">
      <w:pPr>
        <w:pStyle w:val="KeinLeerraum"/>
        <w:rPr>
          <w:rFonts w:ascii="Times New Roman" w:hAnsi="Times New Roman"/>
        </w:rPr>
      </w:pPr>
    </w:p>
    <w:p w14:paraId="1E927447" w14:textId="77777777" w:rsidR="009E12FC" w:rsidRPr="00D045B3" w:rsidRDefault="009E12FC" w:rsidP="009E12FC">
      <w:pPr>
        <w:pStyle w:val="KeinLeerraum"/>
        <w:rPr>
          <w:rFonts w:ascii="Times New Roman" w:hAnsi="Times New Roman"/>
        </w:rPr>
      </w:pPr>
      <w:r w:rsidRPr="00D045B3">
        <w:rPr>
          <w:rFonts w:ascii="Times New Roman" w:hAnsi="Times New Roman"/>
        </w:rPr>
        <w:t xml:space="preserve">Még nem tisztázott, hogy a patkány karcinogenitási vizsgálat megállapításainak jelentősége, illetve ezek mechanizmusa vonatkoztatható-e emberre. </w:t>
      </w:r>
    </w:p>
    <w:p w14:paraId="1E927448" w14:textId="77777777" w:rsidR="009E12FC" w:rsidRPr="00D045B3" w:rsidRDefault="009E12FC" w:rsidP="009E12FC">
      <w:pPr>
        <w:pStyle w:val="KeinLeerraum"/>
        <w:rPr>
          <w:rFonts w:ascii="Times New Roman" w:hAnsi="Times New Roman"/>
        </w:rPr>
      </w:pPr>
    </w:p>
    <w:p w14:paraId="1E927449" w14:textId="77777777" w:rsidR="009E12FC" w:rsidRPr="00D045B3" w:rsidRDefault="009E12FC" w:rsidP="009E12FC">
      <w:pPr>
        <w:pStyle w:val="KeinLeerraum"/>
        <w:rPr>
          <w:rFonts w:ascii="Times New Roman" w:hAnsi="Times New Roman"/>
        </w:rPr>
      </w:pPr>
      <w:r w:rsidRPr="00D045B3">
        <w:rPr>
          <w:rFonts w:ascii="Times New Roman" w:hAnsi="Times New Roman"/>
        </w:rPr>
        <w:t>A nem daganatos károsodások – melyeket a korábbi preklinikai vizsgálatok során nem ismertek fel – a cardiovascularis rendszert, a hasnyálmirigyet, az endokrin szerveket és a fogakat érintették. A legfontosabb elváltozások között volt a cardialis hypertrophia és dilatatio, melyek néhány állatban a szívelégtelenség jeleinek kialakulásához vezettek.</w:t>
      </w:r>
    </w:p>
    <w:p w14:paraId="1E92744A" w14:textId="77777777" w:rsidR="009E12FC" w:rsidRPr="00D045B3" w:rsidRDefault="009E12FC" w:rsidP="009E12FC">
      <w:pPr>
        <w:pStyle w:val="KeinLeerraum"/>
        <w:rPr>
          <w:rFonts w:ascii="Times New Roman" w:hAnsi="Times New Roman"/>
        </w:rPr>
      </w:pPr>
    </w:p>
    <w:p w14:paraId="1E92744B" w14:textId="3D663F5B" w:rsidR="009C70C3" w:rsidRPr="00D045B3" w:rsidRDefault="009C70C3" w:rsidP="00D64E74">
      <w:pPr>
        <w:pStyle w:val="KeinLeerraum"/>
        <w:rPr>
          <w:rFonts w:ascii="Times New Roman" w:hAnsi="Times New Roman"/>
        </w:rPr>
      </w:pPr>
      <w:r w:rsidRPr="00D045B3">
        <w:rPr>
          <w:rFonts w:ascii="Times New Roman" w:hAnsi="Times New Roman"/>
        </w:rPr>
        <w:t>Az imatinib hatóanyag környezeti kockázatot jelent az üledék</w:t>
      </w:r>
      <w:r w:rsidR="000D57F6" w:rsidRPr="00D045B3">
        <w:rPr>
          <w:rFonts w:ascii="Times New Roman" w:hAnsi="Times New Roman"/>
        </w:rPr>
        <w:t xml:space="preserve">lakó </w:t>
      </w:r>
      <w:r w:rsidR="00D64E74" w:rsidRPr="00D045B3">
        <w:rPr>
          <w:rFonts w:ascii="Times New Roman" w:hAnsi="Times New Roman"/>
        </w:rPr>
        <w:t>organizmusokra</w:t>
      </w:r>
      <w:r w:rsidRPr="00D045B3">
        <w:rPr>
          <w:rFonts w:ascii="Times New Roman" w:hAnsi="Times New Roman"/>
        </w:rPr>
        <w:t>.</w:t>
      </w:r>
    </w:p>
    <w:p w14:paraId="1E92744C" w14:textId="77777777" w:rsidR="009C70C3" w:rsidRPr="00D045B3" w:rsidRDefault="009C70C3" w:rsidP="009E12FC">
      <w:pPr>
        <w:pStyle w:val="KeinLeerraum"/>
        <w:rPr>
          <w:rFonts w:ascii="Times New Roman" w:hAnsi="Times New Roman"/>
        </w:rPr>
      </w:pPr>
    </w:p>
    <w:p w14:paraId="1E92744D" w14:textId="77777777" w:rsidR="009E12FC" w:rsidRPr="00D045B3" w:rsidRDefault="009E12FC" w:rsidP="009E12FC">
      <w:pPr>
        <w:pStyle w:val="KeinLeerraum"/>
        <w:rPr>
          <w:rFonts w:ascii="Times New Roman" w:hAnsi="Times New Roman"/>
        </w:rPr>
      </w:pPr>
    </w:p>
    <w:p w14:paraId="1E92744E" w14:textId="77777777" w:rsidR="009E12FC" w:rsidRPr="00D045B3" w:rsidRDefault="009E12FC" w:rsidP="009B5EDB">
      <w:pPr>
        <w:pStyle w:val="KeinLeerraum"/>
        <w:keepNext/>
        <w:tabs>
          <w:tab w:val="left" w:pos="567"/>
        </w:tabs>
        <w:rPr>
          <w:rFonts w:ascii="Times New Roman" w:hAnsi="Times New Roman"/>
          <w:b/>
        </w:rPr>
      </w:pPr>
      <w:r w:rsidRPr="00D045B3">
        <w:rPr>
          <w:rFonts w:ascii="Times New Roman" w:hAnsi="Times New Roman"/>
          <w:b/>
        </w:rPr>
        <w:t xml:space="preserve">6. </w:t>
      </w:r>
      <w:r w:rsidRPr="00D045B3">
        <w:rPr>
          <w:rFonts w:ascii="Times New Roman" w:hAnsi="Times New Roman"/>
          <w:b/>
        </w:rPr>
        <w:tab/>
        <w:t xml:space="preserve">GYÓGYSZERÉSZETI JELLEMZŐK </w:t>
      </w:r>
    </w:p>
    <w:p w14:paraId="1E92744F" w14:textId="77777777" w:rsidR="009E12FC" w:rsidRPr="00D045B3" w:rsidRDefault="009E12FC" w:rsidP="009B5EDB">
      <w:pPr>
        <w:pStyle w:val="KeinLeerraum"/>
        <w:keepNext/>
        <w:rPr>
          <w:rFonts w:ascii="Times New Roman" w:hAnsi="Times New Roman"/>
        </w:rPr>
      </w:pPr>
    </w:p>
    <w:p w14:paraId="1E927450" w14:textId="77777777" w:rsidR="009E12FC" w:rsidRPr="00D045B3" w:rsidRDefault="009E12FC" w:rsidP="009B5EDB">
      <w:pPr>
        <w:pStyle w:val="KeinLeerraum"/>
        <w:keepNext/>
        <w:tabs>
          <w:tab w:val="left" w:pos="567"/>
        </w:tabs>
        <w:rPr>
          <w:rFonts w:ascii="Times New Roman" w:hAnsi="Times New Roman"/>
          <w:b/>
        </w:rPr>
      </w:pPr>
      <w:r w:rsidRPr="00D045B3">
        <w:rPr>
          <w:rFonts w:ascii="Times New Roman" w:hAnsi="Times New Roman"/>
          <w:b/>
        </w:rPr>
        <w:t xml:space="preserve">6.1 </w:t>
      </w:r>
      <w:r w:rsidRPr="00D045B3">
        <w:rPr>
          <w:rFonts w:ascii="Times New Roman" w:hAnsi="Times New Roman"/>
          <w:b/>
        </w:rPr>
        <w:tab/>
        <w:t xml:space="preserve">Segédanyagok felsorolása </w:t>
      </w:r>
    </w:p>
    <w:p w14:paraId="1E927451" w14:textId="77777777" w:rsidR="009E12FC" w:rsidRPr="00D045B3" w:rsidRDefault="009E12FC" w:rsidP="009B5EDB">
      <w:pPr>
        <w:pStyle w:val="KeinLeerraum"/>
        <w:keepNext/>
        <w:rPr>
          <w:rFonts w:ascii="Times New Roman" w:hAnsi="Times New Roman"/>
        </w:rPr>
      </w:pPr>
    </w:p>
    <w:p w14:paraId="1E927452" w14:textId="77777777" w:rsidR="00467AC4" w:rsidRPr="00D045B3" w:rsidRDefault="00467AC4" w:rsidP="009B5EDB">
      <w:pPr>
        <w:pStyle w:val="KeinLeerraum"/>
        <w:keepNext/>
        <w:rPr>
          <w:rFonts w:ascii="Times New Roman" w:hAnsi="Times New Roman"/>
          <w:u w:val="single"/>
        </w:rPr>
      </w:pPr>
      <w:r w:rsidRPr="00D045B3">
        <w:rPr>
          <w:rFonts w:ascii="Times New Roman" w:hAnsi="Times New Roman"/>
          <w:u w:val="single"/>
        </w:rPr>
        <w:t xml:space="preserve">Imatinib Actavis 50 mg kemény kapszula </w:t>
      </w:r>
    </w:p>
    <w:p w14:paraId="1E927453" w14:textId="77777777" w:rsidR="009E12FC" w:rsidRPr="00D045B3" w:rsidRDefault="009B5EDB" w:rsidP="009B5EDB">
      <w:pPr>
        <w:pStyle w:val="KeinLeerraum"/>
        <w:keepNext/>
        <w:rPr>
          <w:rFonts w:ascii="Times New Roman" w:hAnsi="Times New Roman"/>
          <w:i/>
        </w:rPr>
      </w:pPr>
      <w:r w:rsidRPr="00D045B3">
        <w:rPr>
          <w:rFonts w:ascii="Times New Roman" w:hAnsi="Times New Roman"/>
          <w:i/>
        </w:rPr>
        <w:t>Kapszulatartalom</w:t>
      </w:r>
    </w:p>
    <w:p w14:paraId="1E927454" w14:textId="77777777" w:rsidR="009E12FC" w:rsidRPr="00D045B3" w:rsidRDefault="009E12FC" w:rsidP="00CA41FD">
      <w:pPr>
        <w:pStyle w:val="KeinLeerraum"/>
        <w:rPr>
          <w:rFonts w:ascii="Times New Roman" w:hAnsi="Times New Roman"/>
        </w:rPr>
      </w:pPr>
      <w:r w:rsidRPr="00D045B3">
        <w:rPr>
          <w:rFonts w:ascii="Times New Roman" w:hAnsi="Times New Roman"/>
        </w:rPr>
        <w:t xml:space="preserve">mikrokristályos cellulóz (E460), </w:t>
      </w:r>
    </w:p>
    <w:p w14:paraId="1E927455" w14:textId="77777777" w:rsidR="009E12FC" w:rsidRPr="00D045B3" w:rsidRDefault="009B5EDB" w:rsidP="009E12FC">
      <w:pPr>
        <w:pStyle w:val="KeinLeerraum"/>
        <w:rPr>
          <w:rFonts w:ascii="Times New Roman" w:hAnsi="Times New Roman"/>
        </w:rPr>
      </w:pPr>
      <w:r w:rsidRPr="00D045B3">
        <w:rPr>
          <w:rFonts w:ascii="Times New Roman" w:hAnsi="Times New Roman"/>
        </w:rPr>
        <w:t>ko</w:t>
      </w:r>
      <w:r w:rsidR="009E12FC" w:rsidRPr="00D045B3">
        <w:rPr>
          <w:rFonts w:ascii="Times New Roman" w:hAnsi="Times New Roman"/>
        </w:rPr>
        <w:t xml:space="preserve">povidon, </w:t>
      </w:r>
    </w:p>
    <w:p w14:paraId="1E927456" w14:textId="77777777" w:rsidR="009E12FC" w:rsidRPr="00D045B3" w:rsidRDefault="009E12FC" w:rsidP="009E12FC">
      <w:pPr>
        <w:pStyle w:val="KeinLeerraum"/>
        <w:rPr>
          <w:rFonts w:ascii="Times New Roman" w:hAnsi="Times New Roman"/>
        </w:rPr>
      </w:pPr>
      <w:r w:rsidRPr="00D045B3">
        <w:rPr>
          <w:rFonts w:ascii="Times New Roman" w:hAnsi="Times New Roman"/>
        </w:rPr>
        <w:t>kroszpovidon,</w:t>
      </w:r>
    </w:p>
    <w:p w14:paraId="1E927457" w14:textId="77777777" w:rsidR="009B5EDB" w:rsidRPr="00D045B3" w:rsidRDefault="009B5EDB" w:rsidP="009E12FC">
      <w:pPr>
        <w:pStyle w:val="KeinLeerraum"/>
        <w:rPr>
          <w:rFonts w:ascii="Times New Roman" w:hAnsi="Times New Roman"/>
        </w:rPr>
      </w:pPr>
      <w:r w:rsidRPr="00D045B3">
        <w:rPr>
          <w:rFonts w:ascii="Times New Roman" w:hAnsi="Times New Roman"/>
        </w:rPr>
        <w:t>nátrium</w:t>
      </w:r>
      <w:r w:rsidRPr="00D045B3">
        <w:rPr>
          <w:rFonts w:ascii="Times New Roman" w:hAnsi="Times New Roman"/>
        </w:rPr>
        <w:noBreakHyphen/>
        <w:t>sztearil</w:t>
      </w:r>
      <w:r w:rsidRPr="00D045B3">
        <w:rPr>
          <w:rFonts w:ascii="Times New Roman" w:hAnsi="Times New Roman"/>
        </w:rPr>
        <w:noBreakHyphen/>
        <w:t>fumarát</w:t>
      </w:r>
    </w:p>
    <w:p w14:paraId="1E927458" w14:textId="77777777" w:rsidR="009B5EDB" w:rsidRPr="00D045B3" w:rsidRDefault="009B5EDB" w:rsidP="009B5EDB">
      <w:pPr>
        <w:pStyle w:val="KeinLeerraum"/>
        <w:rPr>
          <w:rFonts w:ascii="Times New Roman" w:hAnsi="Times New Roman"/>
        </w:rPr>
      </w:pPr>
      <w:r w:rsidRPr="00D045B3">
        <w:rPr>
          <w:rFonts w:ascii="Times New Roman" w:hAnsi="Times New Roman"/>
        </w:rPr>
        <w:t xml:space="preserve">hidrofób, kolloid szilícium dioxid, </w:t>
      </w:r>
    </w:p>
    <w:p w14:paraId="1E927459" w14:textId="77777777" w:rsidR="009E12FC" w:rsidRPr="00D045B3" w:rsidRDefault="009E12FC" w:rsidP="009E12FC">
      <w:pPr>
        <w:pStyle w:val="KeinLeerraum"/>
        <w:rPr>
          <w:rFonts w:ascii="Times New Roman" w:hAnsi="Times New Roman"/>
        </w:rPr>
      </w:pPr>
      <w:r w:rsidRPr="00D045B3">
        <w:rPr>
          <w:rFonts w:ascii="Times New Roman" w:hAnsi="Times New Roman"/>
        </w:rPr>
        <w:t>vízmentes</w:t>
      </w:r>
      <w:r w:rsidR="009B5EDB" w:rsidRPr="00D045B3">
        <w:rPr>
          <w:rFonts w:ascii="Times New Roman" w:hAnsi="Times New Roman"/>
        </w:rPr>
        <w:t>,</w:t>
      </w:r>
      <w:r w:rsidRPr="00D045B3">
        <w:rPr>
          <w:rFonts w:ascii="Times New Roman" w:hAnsi="Times New Roman"/>
        </w:rPr>
        <w:t xml:space="preserve"> kolloid szilícium dioxid, </w:t>
      </w:r>
    </w:p>
    <w:p w14:paraId="1E92745A" w14:textId="77777777" w:rsidR="009E12FC" w:rsidRPr="00D045B3" w:rsidRDefault="009E12FC" w:rsidP="009E12FC">
      <w:pPr>
        <w:pStyle w:val="KeinLeerraum"/>
        <w:rPr>
          <w:rFonts w:ascii="Times New Roman" w:hAnsi="Times New Roman"/>
        </w:rPr>
      </w:pPr>
    </w:p>
    <w:p w14:paraId="1E92745B" w14:textId="77777777" w:rsidR="009E12FC" w:rsidRPr="00D045B3" w:rsidRDefault="009B5EDB" w:rsidP="009B5EDB">
      <w:pPr>
        <w:pStyle w:val="KeinLeerraum"/>
        <w:keepNext/>
        <w:rPr>
          <w:rFonts w:ascii="Times New Roman" w:hAnsi="Times New Roman"/>
          <w:i/>
        </w:rPr>
      </w:pPr>
      <w:r w:rsidRPr="00D045B3">
        <w:rPr>
          <w:rFonts w:ascii="Times New Roman" w:hAnsi="Times New Roman"/>
          <w:i/>
        </w:rPr>
        <w:t>Kapszulahéj</w:t>
      </w:r>
    </w:p>
    <w:p w14:paraId="1E92745C" w14:textId="77777777" w:rsidR="009E12FC" w:rsidRPr="00D045B3" w:rsidRDefault="009B5EDB" w:rsidP="00CA41FD">
      <w:pPr>
        <w:pStyle w:val="KeinLeerraum"/>
        <w:rPr>
          <w:rFonts w:ascii="Times New Roman" w:hAnsi="Times New Roman"/>
        </w:rPr>
      </w:pPr>
      <w:r w:rsidRPr="00D045B3">
        <w:rPr>
          <w:rFonts w:ascii="Times New Roman" w:hAnsi="Times New Roman"/>
        </w:rPr>
        <w:t>hipromellóz,</w:t>
      </w:r>
    </w:p>
    <w:p w14:paraId="1E92745D" w14:textId="77777777" w:rsidR="009B5EDB" w:rsidRPr="00D045B3" w:rsidRDefault="009B5EDB" w:rsidP="00CA41FD">
      <w:pPr>
        <w:pStyle w:val="KeinLeerraum"/>
        <w:rPr>
          <w:rFonts w:ascii="Times New Roman" w:hAnsi="Times New Roman"/>
        </w:rPr>
      </w:pPr>
      <w:r w:rsidRPr="00D045B3">
        <w:rPr>
          <w:rFonts w:ascii="Times New Roman" w:hAnsi="Times New Roman"/>
        </w:rPr>
        <w:t>titán</w:t>
      </w:r>
      <w:r w:rsidRPr="00D045B3">
        <w:rPr>
          <w:rFonts w:ascii="Times New Roman" w:hAnsi="Times New Roman"/>
        </w:rPr>
        <w:noBreakHyphen/>
      </w:r>
      <w:r w:rsidR="00DC685E" w:rsidRPr="00D045B3">
        <w:rPr>
          <w:rFonts w:ascii="Times New Roman" w:hAnsi="Times New Roman"/>
        </w:rPr>
        <w:t>di</w:t>
      </w:r>
      <w:r w:rsidRPr="00D045B3">
        <w:rPr>
          <w:rFonts w:ascii="Times New Roman" w:hAnsi="Times New Roman"/>
        </w:rPr>
        <w:t>oxid</w:t>
      </w:r>
      <w:r w:rsidR="00C83F67" w:rsidRPr="00D045B3">
        <w:rPr>
          <w:rFonts w:ascii="Times New Roman" w:hAnsi="Times New Roman"/>
        </w:rPr>
        <w:t xml:space="preserve"> (E171)</w:t>
      </w:r>
      <w:r w:rsidRPr="00D045B3">
        <w:rPr>
          <w:rFonts w:ascii="Times New Roman" w:hAnsi="Times New Roman"/>
        </w:rPr>
        <w:t>,</w:t>
      </w:r>
    </w:p>
    <w:p w14:paraId="1E92745E" w14:textId="77777777" w:rsidR="009B5EDB" w:rsidRPr="00D045B3" w:rsidRDefault="009B5EDB" w:rsidP="00CA41FD">
      <w:pPr>
        <w:pStyle w:val="KeinLeerraum"/>
        <w:rPr>
          <w:rFonts w:ascii="Times New Roman" w:hAnsi="Times New Roman"/>
        </w:rPr>
      </w:pPr>
      <w:r w:rsidRPr="00D045B3">
        <w:rPr>
          <w:rFonts w:ascii="Times New Roman" w:hAnsi="Times New Roman"/>
        </w:rPr>
        <w:t>sárga vas</w:t>
      </w:r>
      <w:r w:rsidRPr="00D045B3">
        <w:rPr>
          <w:rFonts w:ascii="Times New Roman" w:hAnsi="Times New Roman"/>
        </w:rPr>
        <w:noBreakHyphen/>
        <w:t>oxid,</w:t>
      </w:r>
    </w:p>
    <w:p w14:paraId="1E92745F" w14:textId="77777777" w:rsidR="009B5EDB" w:rsidRPr="00D045B3" w:rsidRDefault="009B5EDB" w:rsidP="009B5EDB">
      <w:pPr>
        <w:pStyle w:val="KeinLeerraum"/>
        <w:rPr>
          <w:rFonts w:ascii="Times New Roman" w:hAnsi="Times New Roman"/>
        </w:rPr>
      </w:pPr>
    </w:p>
    <w:p w14:paraId="1E927460" w14:textId="77777777" w:rsidR="009E12FC" w:rsidRPr="00D045B3" w:rsidRDefault="005F32A1" w:rsidP="00CA41FD">
      <w:pPr>
        <w:pStyle w:val="KeinLeerraum"/>
        <w:keepNext/>
        <w:rPr>
          <w:rFonts w:ascii="Times New Roman" w:hAnsi="Times New Roman"/>
          <w:i/>
        </w:rPr>
      </w:pPr>
      <w:r w:rsidRPr="00D045B3">
        <w:rPr>
          <w:rFonts w:ascii="Times New Roman" w:hAnsi="Times New Roman"/>
          <w:i/>
        </w:rPr>
        <w:t>Jelölő</w:t>
      </w:r>
      <w:r w:rsidR="009B5EDB" w:rsidRPr="00D045B3">
        <w:rPr>
          <w:rFonts w:ascii="Times New Roman" w:hAnsi="Times New Roman"/>
          <w:i/>
        </w:rPr>
        <w:t>festék</w:t>
      </w:r>
    </w:p>
    <w:p w14:paraId="1E927461" w14:textId="77777777" w:rsidR="009B5EDB" w:rsidRPr="00D045B3" w:rsidRDefault="009B5EDB" w:rsidP="009E12FC">
      <w:pPr>
        <w:pStyle w:val="KeinLeerraum"/>
        <w:rPr>
          <w:rFonts w:ascii="Times New Roman" w:hAnsi="Times New Roman"/>
        </w:rPr>
      </w:pPr>
      <w:r w:rsidRPr="00D045B3">
        <w:rPr>
          <w:rFonts w:ascii="Times New Roman" w:hAnsi="Times New Roman"/>
        </w:rPr>
        <w:t>Shellack,</w:t>
      </w:r>
    </w:p>
    <w:p w14:paraId="1E927462" w14:textId="77777777" w:rsidR="009B5EDB" w:rsidRPr="00D045B3" w:rsidRDefault="009B5EDB" w:rsidP="009B5EDB">
      <w:pPr>
        <w:pStyle w:val="KeinLeerraum"/>
        <w:rPr>
          <w:rFonts w:ascii="Times New Roman" w:hAnsi="Times New Roman"/>
        </w:rPr>
      </w:pPr>
      <w:r w:rsidRPr="00D045B3">
        <w:rPr>
          <w:rFonts w:ascii="Times New Roman" w:hAnsi="Times New Roman"/>
        </w:rPr>
        <w:t>fekete vas</w:t>
      </w:r>
      <w:r w:rsidR="00C83F67" w:rsidRPr="00D045B3">
        <w:rPr>
          <w:rFonts w:ascii="Times New Roman" w:hAnsi="Times New Roman"/>
        </w:rPr>
        <w:noBreakHyphen/>
        <w:t>oxid (E1</w:t>
      </w:r>
      <w:r w:rsidRPr="00D045B3">
        <w:rPr>
          <w:rFonts w:ascii="Times New Roman" w:hAnsi="Times New Roman"/>
        </w:rPr>
        <w:t>72),</w:t>
      </w:r>
    </w:p>
    <w:p w14:paraId="1E927463" w14:textId="77777777" w:rsidR="009B5EDB" w:rsidRPr="00D045B3" w:rsidRDefault="009B5EDB" w:rsidP="009E12FC">
      <w:pPr>
        <w:pStyle w:val="KeinLeerraum"/>
        <w:rPr>
          <w:rFonts w:ascii="Times New Roman" w:hAnsi="Times New Roman"/>
        </w:rPr>
      </w:pPr>
      <w:r w:rsidRPr="00D045B3">
        <w:rPr>
          <w:rFonts w:ascii="Times New Roman" w:hAnsi="Times New Roman"/>
        </w:rPr>
        <w:t>propilén</w:t>
      </w:r>
      <w:r w:rsidRPr="00D045B3">
        <w:rPr>
          <w:rFonts w:ascii="Times New Roman" w:hAnsi="Times New Roman"/>
        </w:rPr>
        <w:noBreakHyphen/>
        <w:t>glikol,</w:t>
      </w:r>
    </w:p>
    <w:p w14:paraId="1E927464" w14:textId="77777777" w:rsidR="009B5EDB" w:rsidRPr="00D045B3" w:rsidRDefault="009B5EDB" w:rsidP="009E12FC">
      <w:pPr>
        <w:pStyle w:val="KeinLeerraum"/>
        <w:rPr>
          <w:rFonts w:ascii="Times New Roman" w:hAnsi="Times New Roman"/>
        </w:rPr>
      </w:pPr>
      <w:r w:rsidRPr="00D045B3">
        <w:rPr>
          <w:rFonts w:ascii="Times New Roman" w:hAnsi="Times New Roman"/>
        </w:rPr>
        <w:t xml:space="preserve">ammónia oldat, </w:t>
      </w:r>
    </w:p>
    <w:p w14:paraId="1E927465" w14:textId="77777777" w:rsidR="009B5EDB" w:rsidRPr="00D045B3" w:rsidRDefault="009B5EDB" w:rsidP="009E12FC">
      <w:pPr>
        <w:pStyle w:val="KeinLeerraum"/>
        <w:rPr>
          <w:rFonts w:ascii="Times New Roman" w:hAnsi="Times New Roman"/>
        </w:rPr>
      </w:pPr>
      <w:r w:rsidRPr="00D045B3">
        <w:rPr>
          <w:rFonts w:ascii="Times New Roman" w:hAnsi="Times New Roman"/>
        </w:rPr>
        <w:t>kálium</w:t>
      </w:r>
      <w:r w:rsidRPr="00D045B3">
        <w:rPr>
          <w:rFonts w:ascii="Times New Roman" w:hAnsi="Times New Roman"/>
        </w:rPr>
        <w:noBreakHyphen/>
        <w:t>hidroxid</w:t>
      </w:r>
    </w:p>
    <w:p w14:paraId="1E927466" w14:textId="77777777" w:rsidR="009E12FC" w:rsidRPr="00D045B3" w:rsidRDefault="009E12FC" w:rsidP="009E12FC">
      <w:pPr>
        <w:pStyle w:val="KeinLeerraum"/>
        <w:rPr>
          <w:rFonts w:ascii="Times New Roman" w:hAnsi="Times New Roman"/>
        </w:rPr>
      </w:pPr>
    </w:p>
    <w:p w14:paraId="1E927467" w14:textId="77777777" w:rsidR="00A4368A" w:rsidRPr="00D045B3" w:rsidRDefault="00A4368A" w:rsidP="00A4368A">
      <w:pPr>
        <w:pStyle w:val="KeinLeerraum"/>
        <w:keepNext/>
        <w:rPr>
          <w:rFonts w:ascii="Times New Roman" w:hAnsi="Times New Roman"/>
          <w:u w:val="single"/>
        </w:rPr>
      </w:pPr>
      <w:r w:rsidRPr="00D045B3">
        <w:rPr>
          <w:rFonts w:ascii="Times New Roman" w:hAnsi="Times New Roman"/>
          <w:u w:val="single"/>
        </w:rPr>
        <w:t xml:space="preserve">Imatinib Actavis 100 mg kemény kapszula </w:t>
      </w:r>
    </w:p>
    <w:p w14:paraId="1E927468" w14:textId="77777777" w:rsidR="00A4368A" w:rsidRPr="00D045B3" w:rsidRDefault="00A4368A" w:rsidP="00A4368A">
      <w:pPr>
        <w:pStyle w:val="KeinLeerraum"/>
        <w:keepNext/>
        <w:rPr>
          <w:rFonts w:ascii="Times New Roman" w:hAnsi="Times New Roman"/>
          <w:i/>
        </w:rPr>
      </w:pPr>
      <w:r w:rsidRPr="00D045B3">
        <w:rPr>
          <w:rFonts w:ascii="Times New Roman" w:hAnsi="Times New Roman"/>
          <w:i/>
        </w:rPr>
        <w:t>Kapszulatartalom</w:t>
      </w:r>
    </w:p>
    <w:p w14:paraId="1E927469" w14:textId="77777777" w:rsidR="00A4368A" w:rsidRPr="00D045B3" w:rsidRDefault="00A4368A" w:rsidP="00CA41FD">
      <w:pPr>
        <w:pStyle w:val="KeinLeerraum"/>
        <w:rPr>
          <w:rFonts w:ascii="Times New Roman" w:hAnsi="Times New Roman"/>
        </w:rPr>
      </w:pPr>
      <w:r w:rsidRPr="00D045B3">
        <w:rPr>
          <w:rFonts w:ascii="Times New Roman" w:hAnsi="Times New Roman"/>
        </w:rPr>
        <w:t xml:space="preserve">mikrokristályos cellulóz (E460), </w:t>
      </w:r>
    </w:p>
    <w:p w14:paraId="1E92746A"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kopovidon, </w:t>
      </w:r>
    </w:p>
    <w:p w14:paraId="1E92746B" w14:textId="77777777" w:rsidR="00A4368A" w:rsidRPr="00D045B3" w:rsidRDefault="00A4368A" w:rsidP="00A4368A">
      <w:pPr>
        <w:pStyle w:val="KeinLeerraum"/>
        <w:rPr>
          <w:rFonts w:ascii="Times New Roman" w:hAnsi="Times New Roman"/>
        </w:rPr>
      </w:pPr>
      <w:r w:rsidRPr="00D045B3">
        <w:rPr>
          <w:rFonts w:ascii="Times New Roman" w:hAnsi="Times New Roman"/>
        </w:rPr>
        <w:t>kroszpovidon,</w:t>
      </w:r>
    </w:p>
    <w:p w14:paraId="1E92746C" w14:textId="77777777" w:rsidR="00A4368A" w:rsidRPr="00D045B3" w:rsidRDefault="00A4368A" w:rsidP="00A4368A">
      <w:pPr>
        <w:pStyle w:val="KeinLeerraum"/>
        <w:rPr>
          <w:rFonts w:ascii="Times New Roman" w:hAnsi="Times New Roman"/>
        </w:rPr>
      </w:pPr>
      <w:r w:rsidRPr="00D045B3">
        <w:rPr>
          <w:rFonts w:ascii="Times New Roman" w:hAnsi="Times New Roman"/>
        </w:rPr>
        <w:t>nátrium</w:t>
      </w:r>
      <w:r w:rsidRPr="00D045B3">
        <w:rPr>
          <w:rFonts w:ascii="Times New Roman" w:hAnsi="Times New Roman"/>
        </w:rPr>
        <w:noBreakHyphen/>
        <w:t>sztearil</w:t>
      </w:r>
      <w:r w:rsidRPr="00D045B3">
        <w:rPr>
          <w:rFonts w:ascii="Times New Roman" w:hAnsi="Times New Roman"/>
        </w:rPr>
        <w:noBreakHyphen/>
        <w:t>fumarát</w:t>
      </w:r>
    </w:p>
    <w:p w14:paraId="1E92746D"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hidrofób, kolloid szilícium dioxid, </w:t>
      </w:r>
    </w:p>
    <w:p w14:paraId="1E92746E"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vízmentes, kolloid szilícium dioxid, </w:t>
      </w:r>
    </w:p>
    <w:p w14:paraId="1E92746F" w14:textId="77777777" w:rsidR="00A4368A" w:rsidRPr="00D045B3" w:rsidRDefault="00A4368A" w:rsidP="00A4368A">
      <w:pPr>
        <w:pStyle w:val="KeinLeerraum"/>
        <w:rPr>
          <w:rFonts w:ascii="Times New Roman" w:hAnsi="Times New Roman"/>
        </w:rPr>
      </w:pPr>
    </w:p>
    <w:p w14:paraId="1E927470" w14:textId="77777777" w:rsidR="00A4368A" w:rsidRPr="00D045B3" w:rsidRDefault="00A4368A" w:rsidP="00A4368A">
      <w:pPr>
        <w:pStyle w:val="KeinLeerraum"/>
        <w:keepNext/>
        <w:rPr>
          <w:rFonts w:ascii="Times New Roman" w:hAnsi="Times New Roman"/>
          <w:i/>
        </w:rPr>
      </w:pPr>
      <w:r w:rsidRPr="00D045B3">
        <w:rPr>
          <w:rFonts w:ascii="Times New Roman" w:hAnsi="Times New Roman"/>
          <w:i/>
        </w:rPr>
        <w:t>Kapszulahéj</w:t>
      </w:r>
    </w:p>
    <w:p w14:paraId="1E927471" w14:textId="77777777" w:rsidR="00A4368A" w:rsidRPr="00D045B3" w:rsidRDefault="00A4368A" w:rsidP="00CA41FD">
      <w:pPr>
        <w:pStyle w:val="KeinLeerraum"/>
        <w:rPr>
          <w:rFonts w:ascii="Times New Roman" w:hAnsi="Times New Roman"/>
        </w:rPr>
      </w:pPr>
      <w:r w:rsidRPr="00D045B3">
        <w:rPr>
          <w:rFonts w:ascii="Times New Roman" w:hAnsi="Times New Roman"/>
        </w:rPr>
        <w:t>hipromellóz,</w:t>
      </w:r>
    </w:p>
    <w:p w14:paraId="1E927472" w14:textId="77777777" w:rsidR="00A4368A" w:rsidRPr="00D045B3" w:rsidRDefault="00A4368A" w:rsidP="00CA41FD">
      <w:pPr>
        <w:pStyle w:val="KeinLeerraum"/>
        <w:rPr>
          <w:rFonts w:ascii="Times New Roman" w:hAnsi="Times New Roman"/>
        </w:rPr>
      </w:pPr>
      <w:r w:rsidRPr="00D045B3">
        <w:rPr>
          <w:rFonts w:ascii="Times New Roman" w:hAnsi="Times New Roman"/>
        </w:rPr>
        <w:t>titán</w:t>
      </w:r>
      <w:r w:rsidRPr="00D045B3">
        <w:rPr>
          <w:rFonts w:ascii="Times New Roman" w:hAnsi="Times New Roman"/>
        </w:rPr>
        <w:noBreakHyphen/>
        <w:t>dioxid (E171),</w:t>
      </w:r>
    </w:p>
    <w:p w14:paraId="1E927473" w14:textId="77777777" w:rsidR="00A4368A" w:rsidRPr="00D045B3" w:rsidRDefault="00A4368A" w:rsidP="00CA41FD">
      <w:pPr>
        <w:pStyle w:val="KeinLeerraum"/>
        <w:rPr>
          <w:rFonts w:ascii="Times New Roman" w:hAnsi="Times New Roman"/>
        </w:rPr>
      </w:pPr>
      <w:r w:rsidRPr="00D045B3">
        <w:rPr>
          <w:rFonts w:ascii="Times New Roman" w:hAnsi="Times New Roman"/>
        </w:rPr>
        <w:t>sárga vas</w:t>
      </w:r>
      <w:r w:rsidRPr="00D045B3">
        <w:rPr>
          <w:rFonts w:ascii="Times New Roman" w:hAnsi="Times New Roman"/>
        </w:rPr>
        <w:noBreakHyphen/>
        <w:t>oxid,</w:t>
      </w:r>
    </w:p>
    <w:p w14:paraId="1E927474" w14:textId="77777777" w:rsidR="00A4368A" w:rsidRPr="00D045B3" w:rsidRDefault="00A4368A" w:rsidP="00A4368A">
      <w:pPr>
        <w:pStyle w:val="KeinLeerraum"/>
        <w:rPr>
          <w:rFonts w:ascii="Times New Roman" w:hAnsi="Times New Roman"/>
        </w:rPr>
      </w:pPr>
      <w:r w:rsidRPr="00D045B3">
        <w:rPr>
          <w:rFonts w:ascii="Times New Roman" w:hAnsi="Times New Roman"/>
        </w:rPr>
        <w:t>vörös vas</w:t>
      </w:r>
      <w:r w:rsidRPr="00D045B3">
        <w:rPr>
          <w:rFonts w:ascii="Times New Roman" w:hAnsi="Times New Roman"/>
        </w:rPr>
        <w:noBreakHyphen/>
        <w:t>oxid (E172),</w:t>
      </w:r>
    </w:p>
    <w:p w14:paraId="1E927475" w14:textId="77777777" w:rsidR="00A4368A" w:rsidRPr="00D045B3" w:rsidRDefault="00A4368A" w:rsidP="00A4368A">
      <w:pPr>
        <w:pStyle w:val="KeinLeerraum"/>
        <w:rPr>
          <w:rFonts w:ascii="Times New Roman" w:hAnsi="Times New Roman"/>
        </w:rPr>
      </w:pPr>
    </w:p>
    <w:p w14:paraId="1E927476" w14:textId="77777777" w:rsidR="00A4368A" w:rsidRPr="00D045B3" w:rsidRDefault="00A4368A" w:rsidP="00A4368A">
      <w:pPr>
        <w:pStyle w:val="KeinLeerraum"/>
        <w:keepNext/>
        <w:rPr>
          <w:rFonts w:ascii="Times New Roman" w:hAnsi="Times New Roman"/>
          <w:i/>
        </w:rPr>
      </w:pPr>
      <w:r w:rsidRPr="00D045B3">
        <w:rPr>
          <w:rFonts w:ascii="Times New Roman" w:hAnsi="Times New Roman"/>
          <w:i/>
        </w:rPr>
        <w:t>Jelölőfesték</w:t>
      </w:r>
    </w:p>
    <w:p w14:paraId="1E927477" w14:textId="77777777" w:rsidR="00A4368A" w:rsidRPr="00D045B3" w:rsidRDefault="00A4368A" w:rsidP="00CA41FD">
      <w:pPr>
        <w:pStyle w:val="KeinLeerraum"/>
        <w:rPr>
          <w:rFonts w:ascii="Times New Roman" w:hAnsi="Times New Roman"/>
        </w:rPr>
      </w:pPr>
      <w:r w:rsidRPr="00D045B3">
        <w:rPr>
          <w:rFonts w:ascii="Times New Roman" w:hAnsi="Times New Roman"/>
        </w:rPr>
        <w:t>Shellack,</w:t>
      </w:r>
    </w:p>
    <w:p w14:paraId="1E927478" w14:textId="77777777" w:rsidR="00A4368A" w:rsidRPr="00D045B3" w:rsidRDefault="00A4368A" w:rsidP="00CA41FD">
      <w:pPr>
        <w:pStyle w:val="KeinLeerraum"/>
        <w:rPr>
          <w:rFonts w:ascii="Times New Roman" w:hAnsi="Times New Roman"/>
        </w:rPr>
      </w:pPr>
      <w:r w:rsidRPr="00D045B3">
        <w:rPr>
          <w:rFonts w:ascii="Times New Roman" w:hAnsi="Times New Roman"/>
        </w:rPr>
        <w:t>fekete vas</w:t>
      </w:r>
      <w:r w:rsidRPr="00D045B3">
        <w:rPr>
          <w:rFonts w:ascii="Times New Roman" w:hAnsi="Times New Roman"/>
        </w:rPr>
        <w:noBreakHyphen/>
        <w:t>oxid (E172),</w:t>
      </w:r>
    </w:p>
    <w:p w14:paraId="1E927479" w14:textId="77777777" w:rsidR="00A4368A" w:rsidRPr="00D045B3" w:rsidRDefault="00A4368A" w:rsidP="00A4368A">
      <w:pPr>
        <w:pStyle w:val="KeinLeerraum"/>
        <w:rPr>
          <w:rFonts w:ascii="Times New Roman" w:hAnsi="Times New Roman"/>
        </w:rPr>
      </w:pPr>
      <w:r w:rsidRPr="00D045B3">
        <w:rPr>
          <w:rFonts w:ascii="Times New Roman" w:hAnsi="Times New Roman"/>
        </w:rPr>
        <w:t>propilén</w:t>
      </w:r>
      <w:r w:rsidRPr="00D045B3">
        <w:rPr>
          <w:rFonts w:ascii="Times New Roman" w:hAnsi="Times New Roman"/>
        </w:rPr>
        <w:noBreakHyphen/>
        <w:t>glikol,</w:t>
      </w:r>
    </w:p>
    <w:p w14:paraId="1E92747A"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ammónia oldat, </w:t>
      </w:r>
    </w:p>
    <w:p w14:paraId="1E92747B" w14:textId="77777777" w:rsidR="00A4368A" w:rsidRPr="00D045B3" w:rsidRDefault="00A4368A" w:rsidP="00A4368A">
      <w:pPr>
        <w:pStyle w:val="KeinLeerraum"/>
        <w:rPr>
          <w:rFonts w:ascii="Times New Roman" w:hAnsi="Times New Roman"/>
        </w:rPr>
      </w:pPr>
      <w:r w:rsidRPr="00D045B3">
        <w:rPr>
          <w:rFonts w:ascii="Times New Roman" w:hAnsi="Times New Roman"/>
        </w:rPr>
        <w:t>kálium</w:t>
      </w:r>
      <w:r w:rsidRPr="00D045B3">
        <w:rPr>
          <w:rFonts w:ascii="Times New Roman" w:hAnsi="Times New Roman"/>
        </w:rPr>
        <w:noBreakHyphen/>
        <w:t>hidroxid</w:t>
      </w:r>
    </w:p>
    <w:p w14:paraId="1E92747C" w14:textId="77777777" w:rsidR="00A4368A" w:rsidRPr="00D045B3" w:rsidRDefault="00A4368A" w:rsidP="009E12FC">
      <w:pPr>
        <w:pStyle w:val="KeinLeerraum"/>
        <w:rPr>
          <w:rFonts w:ascii="Times New Roman" w:hAnsi="Times New Roman"/>
        </w:rPr>
      </w:pPr>
    </w:p>
    <w:p w14:paraId="1E92747D" w14:textId="77777777" w:rsidR="00A4368A" w:rsidRPr="00D045B3" w:rsidRDefault="00A4368A" w:rsidP="00A4368A">
      <w:pPr>
        <w:pStyle w:val="KeinLeerraum"/>
        <w:keepNext/>
        <w:rPr>
          <w:rFonts w:ascii="Times New Roman" w:hAnsi="Times New Roman"/>
          <w:u w:val="single"/>
        </w:rPr>
      </w:pPr>
      <w:r w:rsidRPr="00D045B3">
        <w:rPr>
          <w:rFonts w:ascii="Times New Roman" w:hAnsi="Times New Roman"/>
          <w:u w:val="single"/>
        </w:rPr>
        <w:t xml:space="preserve">Imatinib Actavis 400 mg kemény kapszula </w:t>
      </w:r>
    </w:p>
    <w:p w14:paraId="1E92747E" w14:textId="77777777" w:rsidR="00A4368A" w:rsidRPr="00D045B3" w:rsidRDefault="00A4368A" w:rsidP="00A4368A">
      <w:pPr>
        <w:pStyle w:val="KeinLeerraum"/>
        <w:keepNext/>
        <w:rPr>
          <w:rFonts w:ascii="Times New Roman" w:hAnsi="Times New Roman"/>
          <w:u w:val="single"/>
        </w:rPr>
      </w:pPr>
      <w:r w:rsidRPr="00D045B3">
        <w:rPr>
          <w:rFonts w:ascii="Times New Roman" w:hAnsi="Times New Roman"/>
          <w:i/>
        </w:rPr>
        <w:t>Kapsz</w:t>
      </w:r>
      <w:r w:rsidRPr="00D045B3">
        <w:rPr>
          <w:rFonts w:ascii="Times New Roman" w:hAnsi="Times New Roman"/>
          <w:u w:val="single"/>
        </w:rPr>
        <w:t>ulatartalom</w:t>
      </w:r>
    </w:p>
    <w:p w14:paraId="1E92747F" w14:textId="77777777" w:rsidR="00A4368A" w:rsidRPr="00D045B3" w:rsidRDefault="00A4368A" w:rsidP="00CA41FD">
      <w:pPr>
        <w:pStyle w:val="KeinLeerraum"/>
        <w:rPr>
          <w:rFonts w:ascii="Times New Roman" w:hAnsi="Times New Roman"/>
        </w:rPr>
      </w:pPr>
      <w:r w:rsidRPr="00D045B3">
        <w:rPr>
          <w:rFonts w:ascii="Times New Roman" w:hAnsi="Times New Roman"/>
        </w:rPr>
        <w:t xml:space="preserve">mikrokristályos cellulóz , </w:t>
      </w:r>
    </w:p>
    <w:p w14:paraId="1E927480"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kopovidon, </w:t>
      </w:r>
    </w:p>
    <w:p w14:paraId="1E927481" w14:textId="77777777" w:rsidR="00A4368A" w:rsidRPr="00D045B3" w:rsidRDefault="00A4368A" w:rsidP="00A4368A">
      <w:pPr>
        <w:pStyle w:val="KeinLeerraum"/>
        <w:rPr>
          <w:rFonts w:ascii="Times New Roman" w:hAnsi="Times New Roman"/>
        </w:rPr>
      </w:pPr>
      <w:r w:rsidRPr="00D045B3">
        <w:rPr>
          <w:rFonts w:ascii="Times New Roman" w:hAnsi="Times New Roman"/>
        </w:rPr>
        <w:t>kroszpovidon,</w:t>
      </w:r>
    </w:p>
    <w:p w14:paraId="1E927482" w14:textId="77777777" w:rsidR="00A4368A" w:rsidRPr="00D045B3" w:rsidRDefault="00A4368A" w:rsidP="00A4368A">
      <w:pPr>
        <w:pStyle w:val="KeinLeerraum"/>
        <w:rPr>
          <w:rFonts w:ascii="Times New Roman" w:hAnsi="Times New Roman"/>
        </w:rPr>
      </w:pPr>
      <w:r w:rsidRPr="00D045B3">
        <w:rPr>
          <w:rFonts w:ascii="Times New Roman" w:hAnsi="Times New Roman"/>
        </w:rPr>
        <w:t>nátrium</w:t>
      </w:r>
      <w:r w:rsidRPr="00D045B3">
        <w:rPr>
          <w:rFonts w:ascii="Times New Roman" w:hAnsi="Times New Roman"/>
        </w:rPr>
        <w:noBreakHyphen/>
        <w:t>sztearil</w:t>
      </w:r>
      <w:r w:rsidRPr="00D045B3">
        <w:rPr>
          <w:rFonts w:ascii="Times New Roman" w:hAnsi="Times New Roman"/>
        </w:rPr>
        <w:noBreakHyphen/>
        <w:t>fumarát,</w:t>
      </w:r>
    </w:p>
    <w:p w14:paraId="1E927483"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hidrofób, kolloid szilícium dioxid, </w:t>
      </w:r>
    </w:p>
    <w:p w14:paraId="1E927484" w14:textId="77777777" w:rsidR="00A4368A" w:rsidRPr="00D045B3" w:rsidRDefault="00A4368A" w:rsidP="00A4368A">
      <w:pPr>
        <w:pStyle w:val="KeinLeerraum"/>
        <w:rPr>
          <w:rFonts w:ascii="Times New Roman" w:hAnsi="Times New Roman"/>
        </w:rPr>
      </w:pPr>
      <w:r w:rsidRPr="00D045B3">
        <w:rPr>
          <w:rFonts w:ascii="Times New Roman" w:hAnsi="Times New Roman"/>
        </w:rPr>
        <w:t xml:space="preserve">vízmentes, kolloid szilícium dioxid, </w:t>
      </w:r>
    </w:p>
    <w:p w14:paraId="1E927485" w14:textId="77777777" w:rsidR="00A4368A" w:rsidRPr="00D045B3" w:rsidRDefault="00A4368A" w:rsidP="00A4368A">
      <w:pPr>
        <w:pStyle w:val="KeinLeerraum"/>
        <w:rPr>
          <w:rFonts w:ascii="Times New Roman" w:hAnsi="Times New Roman"/>
        </w:rPr>
      </w:pPr>
    </w:p>
    <w:p w14:paraId="1E927486" w14:textId="77777777" w:rsidR="00A4368A" w:rsidRPr="00D045B3" w:rsidRDefault="00A4368A" w:rsidP="00A4368A">
      <w:pPr>
        <w:pStyle w:val="KeinLeerraum"/>
        <w:keepNext/>
        <w:rPr>
          <w:rFonts w:ascii="Times New Roman" w:hAnsi="Times New Roman"/>
          <w:i/>
        </w:rPr>
      </w:pPr>
      <w:r w:rsidRPr="00D045B3">
        <w:rPr>
          <w:rFonts w:ascii="Times New Roman" w:hAnsi="Times New Roman"/>
          <w:i/>
        </w:rPr>
        <w:t>Kapszulahéj</w:t>
      </w:r>
    </w:p>
    <w:p w14:paraId="1E927487" w14:textId="77777777" w:rsidR="00A4368A" w:rsidRPr="00D045B3" w:rsidRDefault="00A4368A" w:rsidP="00CA41FD">
      <w:pPr>
        <w:pStyle w:val="KeinLeerraum"/>
        <w:rPr>
          <w:rFonts w:ascii="Times New Roman" w:hAnsi="Times New Roman"/>
        </w:rPr>
      </w:pPr>
      <w:r w:rsidRPr="00D045B3">
        <w:rPr>
          <w:rFonts w:ascii="Times New Roman" w:hAnsi="Times New Roman"/>
        </w:rPr>
        <w:t>hipromellóz,</w:t>
      </w:r>
    </w:p>
    <w:p w14:paraId="1E927488" w14:textId="77777777" w:rsidR="00A4368A" w:rsidRPr="00D045B3" w:rsidRDefault="00A4368A" w:rsidP="00CA41FD">
      <w:pPr>
        <w:pStyle w:val="KeinLeerraum"/>
        <w:rPr>
          <w:rFonts w:ascii="Times New Roman" w:hAnsi="Times New Roman"/>
        </w:rPr>
      </w:pPr>
      <w:r w:rsidRPr="00D045B3">
        <w:rPr>
          <w:rFonts w:ascii="Times New Roman" w:hAnsi="Times New Roman"/>
        </w:rPr>
        <w:t>titán</w:t>
      </w:r>
      <w:r w:rsidRPr="00D045B3">
        <w:rPr>
          <w:rFonts w:ascii="Times New Roman" w:hAnsi="Times New Roman"/>
        </w:rPr>
        <w:noBreakHyphen/>
        <w:t>dioxid (E171),</w:t>
      </w:r>
    </w:p>
    <w:p w14:paraId="1E927489" w14:textId="77777777" w:rsidR="00A4368A" w:rsidRPr="00D045B3" w:rsidRDefault="00A4368A" w:rsidP="00CA41FD">
      <w:pPr>
        <w:pStyle w:val="KeinLeerraum"/>
        <w:rPr>
          <w:rFonts w:ascii="Times New Roman" w:hAnsi="Times New Roman"/>
        </w:rPr>
      </w:pPr>
      <w:r w:rsidRPr="00D045B3">
        <w:rPr>
          <w:rFonts w:ascii="Times New Roman" w:hAnsi="Times New Roman"/>
        </w:rPr>
        <w:t>sárga vas</w:t>
      </w:r>
      <w:r w:rsidRPr="00D045B3">
        <w:rPr>
          <w:rFonts w:ascii="Times New Roman" w:hAnsi="Times New Roman"/>
        </w:rPr>
        <w:noBreakHyphen/>
        <w:t>oxid(E172),</w:t>
      </w:r>
    </w:p>
    <w:p w14:paraId="1E92748A" w14:textId="77777777" w:rsidR="00A4368A" w:rsidRPr="00D045B3" w:rsidRDefault="00A4368A" w:rsidP="00CA41FD">
      <w:pPr>
        <w:pStyle w:val="KeinLeerraum"/>
        <w:rPr>
          <w:rFonts w:ascii="Times New Roman" w:hAnsi="Times New Roman"/>
        </w:rPr>
      </w:pPr>
      <w:r w:rsidRPr="00D045B3">
        <w:rPr>
          <w:rFonts w:ascii="Times New Roman" w:hAnsi="Times New Roman"/>
        </w:rPr>
        <w:t>vörös vas</w:t>
      </w:r>
      <w:r w:rsidRPr="00D045B3">
        <w:rPr>
          <w:rFonts w:ascii="Times New Roman" w:hAnsi="Times New Roman"/>
        </w:rPr>
        <w:noBreakHyphen/>
        <w:t>oxid (E172),</w:t>
      </w:r>
    </w:p>
    <w:p w14:paraId="1E92748B" w14:textId="77777777" w:rsidR="00A4368A" w:rsidRPr="00D045B3" w:rsidRDefault="00A4368A" w:rsidP="00CA41FD">
      <w:pPr>
        <w:pStyle w:val="KeinLeerraum"/>
        <w:rPr>
          <w:rFonts w:ascii="Times New Roman" w:hAnsi="Times New Roman"/>
        </w:rPr>
      </w:pPr>
      <w:r w:rsidRPr="00D045B3">
        <w:rPr>
          <w:rFonts w:ascii="Times New Roman" w:hAnsi="Times New Roman"/>
        </w:rPr>
        <w:t>fekete vas</w:t>
      </w:r>
      <w:r w:rsidRPr="00D045B3">
        <w:rPr>
          <w:rFonts w:ascii="Times New Roman" w:hAnsi="Times New Roman"/>
        </w:rPr>
        <w:noBreakHyphen/>
        <w:t>oxid (E172),</w:t>
      </w:r>
    </w:p>
    <w:p w14:paraId="1E92748C" w14:textId="77777777" w:rsidR="00A4368A" w:rsidRPr="00D045B3" w:rsidRDefault="00A4368A" w:rsidP="00A4368A">
      <w:pPr>
        <w:pStyle w:val="KeinLeerraum"/>
        <w:rPr>
          <w:rFonts w:ascii="Times New Roman" w:hAnsi="Times New Roman"/>
        </w:rPr>
      </w:pPr>
    </w:p>
    <w:p w14:paraId="1E92748D" w14:textId="77777777" w:rsidR="00A4368A" w:rsidRPr="00D045B3" w:rsidRDefault="00A4368A" w:rsidP="00A4368A">
      <w:pPr>
        <w:pStyle w:val="KeinLeerraum"/>
        <w:keepNext/>
        <w:rPr>
          <w:rFonts w:ascii="Times New Roman" w:hAnsi="Times New Roman"/>
          <w:i/>
        </w:rPr>
      </w:pPr>
      <w:r w:rsidRPr="00D045B3">
        <w:rPr>
          <w:rFonts w:ascii="Times New Roman" w:hAnsi="Times New Roman"/>
          <w:i/>
        </w:rPr>
        <w:t>Jelölőfesték</w:t>
      </w:r>
    </w:p>
    <w:p w14:paraId="1E92748E" w14:textId="77777777" w:rsidR="00A4368A" w:rsidRPr="00D045B3" w:rsidRDefault="00A4368A" w:rsidP="00CA41FD">
      <w:pPr>
        <w:pStyle w:val="KeinLeerraum"/>
        <w:rPr>
          <w:rFonts w:ascii="Times New Roman" w:hAnsi="Times New Roman"/>
        </w:rPr>
      </w:pPr>
      <w:r w:rsidRPr="00D045B3">
        <w:rPr>
          <w:rFonts w:ascii="Times New Roman" w:hAnsi="Times New Roman"/>
        </w:rPr>
        <w:t>Shellack Glaze 45%,</w:t>
      </w:r>
    </w:p>
    <w:p w14:paraId="1E92748F" w14:textId="77777777" w:rsidR="00A4368A" w:rsidRPr="00D045B3" w:rsidRDefault="00A4368A" w:rsidP="00A4368A">
      <w:pPr>
        <w:pStyle w:val="KeinLeerraum"/>
        <w:rPr>
          <w:rFonts w:ascii="Times New Roman" w:hAnsi="Times New Roman"/>
        </w:rPr>
      </w:pPr>
      <w:r w:rsidRPr="00D045B3">
        <w:rPr>
          <w:rFonts w:ascii="Times New Roman" w:hAnsi="Times New Roman"/>
        </w:rPr>
        <w:t>fekete vas</w:t>
      </w:r>
      <w:r w:rsidRPr="00D045B3">
        <w:rPr>
          <w:rFonts w:ascii="Times New Roman" w:hAnsi="Times New Roman"/>
        </w:rPr>
        <w:noBreakHyphen/>
        <w:t>oxid (E172),</w:t>
      </w:r>
    </w:p>
    <w:p w14:paraId="1E927490" w14:textId="77777777" w:rsidR="00A4368A" w:rsidRPr="00D045B3" w:rsidRDefault="00A4368A" w:rsidP="00A4368A">
      <w:pPr>
        <w:pStyle w:val="KeinLeerraum"/>
        <w:rPr>
          <w:rFonts w:ascii="Times New Roman" w:hAnsi="Times New Roman"/>
        </w:rPr>
      </w:pPr>
      <w:r w:rsidRPr="00D045B3">
        <w:rPr>
          <w:rFonts w:ascii="Times New Roman" w:hAnsi="Times New Roman"/>
        </w:rPr>
        <w:t>propilén</w:t>
      </w:r>
      <w:r w:rsidRPr="00D045B3">
        <w:rPr>
          <w:rFonts w:ascii="Times New Roman" w:hAnsi="Times New Roman"/>
        </w:rPr>
        <w:noBreakHyphen/>
        <w:t>glikol,</w:t>
      </w:r>
    </w:p>
    <w:p w14:paraId="1E927491" w14:textId="77777777" w:rsidR="00A4368A" w:rsidRPr="00D045B3" w:rsidRDefault="00A4368A" w:rsidP="00A4368A">
      <w:pPr>
        <w:pStyle w:val="KeinLeerraum"/>
        <w:rPr>
          <w:rFonts w:ascii="Times New Roman" w:hAnsi="Times New Roman"/>
        </w:rPr>
      </w:pPr>
      <w:r w:rsidRPr="00D045B3">
        <w:rPr>
          <w:rFonts w:ascii="Times New Roman" w:hAnsi="Times New Roman"/>
        </w:rPr>
        <w:t>ammónium</w:t>
      </w:r>
      <w:r w:rsidRPr="00D045B3">
        <w:rPr>
          <w:rFonts w:ascii="Times New Roman" w:hAnsi="Times New Roman"/>
        </w:rPr>
        <w:noBreakHyphen/>
        <w:t>hidroxid, 28%</w:t>
      </w:r>
    </w:p>
    <w:p w14:paraId="1E927492" w14:textId="77777777" w:rsidR="00A4368A" w:rsidRPr="00D045B3" w:rsidRDefault="00A4368A" w:rsidP="009E12FC">
      <w:pPr>
        <w:pStyle w:val="KeinLeerraum"/>
        <w:rPr>
          <w:rFonts w:ascii="Times New Roman" w:hAnsi="Times New Roman"/>
        </w:rPr>
      </w:pPr>
    </w:p>
    <w:p w14:paraId="1E927493" w14:textId="77777777" w:rsidR="009E12FC" w:rsidRPr="00D045B3" w:rsidRDefault="009E12FC" w:rsidP="006B783B">
      <w:pPr>
        <w:pStyle w:val="KeinLeerraum"/>
        <w:keepNext/>
        <w:tabs>
          <w:tab w:val="left" w:pos="567"/>
        </w:tabs>
        <w:rPr>
          <w:rFonts w:ascii="Times New Roman" w:hAnsi="Times New Roman"/>
          <w:b/>
        </w:rPr>
      </w:pPr>
      <w:r w:rsidRPr="00D045B3">
        <w:rPr>
          <w:rFonts w:ascii="Times New Roman" w:hAnsi="Times New Roman"/>
          <w:b/>
        </w:rPr>
        <w:t>6.2</w:t>
      </w:r>
      <w:r w:rsidRPr="00D045B3">
        <w:rPr>
          <w:rFonts w:ascii="Times New Roman" w:hAnsi="Times New Roman"/>
          <w:b/>
        </w:rPr>
        <w:tab/>
        <w:t xml:space="preserve">Inkompatibilitások </w:t>
      </w:r>
    </w:p>
    <w:p w14:paraId="1E927494" w14:textId="77777777" w:rsidR="009E12FC" w:rsidRPr="00D045B3" w:rsidRDefault="009E12FC" w:rsidP="006B783B">
      <w:pPr>
        <w:pStyle w:val="KeinLeerraum"/>
        <w:keepNext/>
        <w:rPr>
          <w:rFonts w:ascii="Times New Roman" w:hAnsi="Times New Roman"/>
        </w:rPr>
      </w:pPr>
    </w:p>
    <w:p w14:paraId="1E927495" w14:textId="77777777" w:rsidR="009E12FC" w:rsidRPr="00D045B3" w:rsidRDefault="009E12FC" w:rsidP="006B783B">
      <w:pPr>
        <w:pStyle w:val="KeinLeerraum"/>
        <w:keepNext/>
        <w:rPr>
          <w:rFonts w:ascii="Times New Roman" w:hAnsi="Times New Roman"/>
        </w:rPr>
      </w:pPr>
      <w:r w:rsidRPr="00D045B3">
        <w:rPr>
          <w:rFonts w:ascii="Times New Roman" w:hAnsi="Times New Roman"/>
        </w:rPr>
        <w:t xml:space="preserve">Nem értelmezhető. </w:t>
      </w:r>
    </w:p>
    <w:p w14:paraId="1E927496" w14:textId="77777777" w:rsidR="009E12FC" w:rsidRPr="00D045B3" w:rsidRDefault="009E12FC" w:rsidP="009E12FC">
      <w:pPr>
        <w:pStyle w:val="KeinLeerraum"/>
        <w:rPr>
          <w:rFonts w:ascii="Times New Roman" w:hAnsi="Times New Roman"/>
        </w:rPr>
      </w:pPr>
    </w:p>
    <w:p w14:paraId="1E927497" w14:textId="77777777" w:rsidR="009E12FC" w:rsidRPr="00D045B3" w:rsidRDefault="009E12FC" w:rsidP="006B783B">
      <w:pPr>
        <w:pStyle w:val="KeinLeerraum"/>
        <w:keepNext/>
        <w:tabs>
          <w:tab w:val="left" w:pos="567"/>
        </w:tabs>
        <w:rPr>
          <w:rFonts w:ascii="Times New Roman" w:hAnsi="Times New Roman"/>
          <w:b/>
        </w:rPr>
      </w:pPr>
      <w:r w:rsidRPr="00D045B3">
        <w:rPr>
          <w:rFonts w:ascii="Times New Roman" w:hAnsi="Times New Roman"/>
          <w:b/>
        </w:rPr>
        <w:t>6.3</w:t>
      </w:r>
      <w:r w:rsidRPr="00D045B3">
        <w:rPr>
          <w:rFonts w:ascii="Times New Roman" w:hAnsi="Times New Roman"/>
          <w:b/>
        </w:rPr>
        <w:tab/>
        <w:t xml:space="preserve">Felhasználhatósági időtartam </w:t>
      </w:r>
    </w:p>
    <w:p w14:paraId="1E927498" w14:textId="77777777" w:rsidR="009E12FC" w:rsidRPr="00D045B3" w:rsidRDefault="009E12FC" w:rsidP="006B783B">
      <w:pPr>
        <w:pStyle w:val="KeinLeerraum"/>
        <w:keepNext/>
        <w:rPr>
          <w:rFonts w:ascii="Times New Roman" w:hAnsi="Times New Roman"/>
        </w:rPr>
      </w:pPr>
    </w:p>
    <w:p w14:paraId="1E927499" w14:textId="77777777" w:rsidR="009E12FC" w:rsidRPr="00D045B3" w:rsidRDefault="009E12FC" w:rsidP="006B783B">
      <w:pPr>
        <w:pStyle w:val="KeinLeerraum"/>
        <w:keepNext/>
        <w:rPr>
          <w:rFonts w:ascii="Times New Roman" w:hAnsi="Times New Roman"/>
        </w:rPr>
      </w:pPr>
      <w:r w:rsidRPr="00D045B3">
        <w:rPr>
          <w:rFonts w:ascii="Times New Roman" w:hAnsi="Times New Roman"/>
        </w:rPr>
        <w:t>2</w:t>
      </w:r>
      <w:r w:rsidR="00147E0C" w:rsidRPr="00D045B3">
        <w:rPr>
          <w:rFonts w:ascii="Times New Roman" w:hAnsi="Times New Roman"/>
        </w:rPr>
        <w:t> év</w:t>
      </w:r>
      <w:r w:rsidRPr="00D045B3">
        <w:rPr>
          <w:rFonts w:ascii="Times New Roman" w:hAnsi="Times New Roman"/>
        </w:rPr>
        <w:t xml:space="preserve"> </w:t>
      </w:r>
    </w:p>
    <w:p w14:paraId="1E92749A" w14:textId="77777777" w:rsidR="009E12FC" w:rsidRPr="00D045B3" w:rsidRDefault="009E12FC" w:rsidP="009E12FC">
      <w:pPr>
        <w:pStyle w:val="KeinLeerraum"/>
        <w:rPr>
          <w:rFonts w:ascii="Times New Roman" w:hAnsi="Times New Roman"/>
        </w:rPr>
      </w:pPr>
    </w:p>
    <w:p w14:paraId="1E92749B" w14:textId="77777777" w:rsidR="009E12FC" w:rsidRPr="00D045B3" w:rsidRDefault="009E12FC" w:rsidP="006B783B">
      <w:pPr>
        <w:pStyle w:val="KeinLeerraum"/>
        <w:keepNext/>
        <w:tabs>
          <w:tab w:val="left" w:pos="567"/>
        </w:tabs>
        <w:rPr>
          <w:rFonts w:ascii="Times New Roman" w:hAnsi="Times New Roman"/>
          <w:b/>
        </w:rPr>
      </w:pPr>
      <w:r w:rsidRPr="00D045B3">
        <w:rPr>
          <w:rFonts w:ascii="Times New Roman" w:hAnsi="Times New Roman"/>
          <w:b/>
        </w:rPr>
        <w:t>6.4</w:t>
      </w:r>
      <w:r w:rsidRPr="00D045B3">
        <w:rPr>
          <w:rFonts w:ascii="Times New Roman" w:hAnsi="Times New Roman"/>
          <w:b/>
        </w:rPr>
        <w:tab/>
        <w:t xml:space="preserve">Különleges tárolási előírások </w:t>
      </w:r>
    </w:p>
    <w:p w14:paraId="1E92749C" w14:textId="77777777" w:rsidR="009E12FC" w:rsidRPr="00D045B3" w:rsidRDefault="009E12FC" w:rsidP="006B783B">
      <w:pPr>
        <w:pStyle w:val="KeinLeerraum"/>
        <w:keepNext/>
        <w:rPr>
          <w:rFonts w:ascii="Times New Roman" w:hAnsi="Times New Roman"/>
        </w:rPr>
      </w:pPr>
    </w:p>
    <w:p w14:paraId="1E92749D" w14:textId="77777777" w:rsidR="009B5EDB" w:rsidRPr="00D045B3" w:rsidRDefault="009B5EDB" w:rsidP="006B783B">
      <w:pPr>
        <w:pStyle w:val="KeinLeerraum"/>
        <w:keepNext/>
        <w:rPr>
          <w:rFonts w:ascii="Times New Roman" w:hAnsi="Times New Roman"/>
        </w:rPr>
      </w:pPr>
      <w:r w:rsidRPr="00D045B3">
        <w:rPr>
          <w:rFonts w:ascii="Times New Roman" w:hAnsi="Times New Roman"/>
        </w:rPr>
        <w:t xml:space="preserve">Legfeljebb </w:t>
      </w:r>
      <w:r w:rsidR="00CA2889" w:rsidRPr="00D045B3">
        <w:rPr>
          <w:rFonts w:ascii="Times New Roman" w:hAnsi="Times New Roman"/>
        </w:rPr>
        <w:t>25</w:t>
      </w:r>
      <w:r w:rsidRPr="00D045B3">
        <w:rPr>
          <w:rFonts w:ascii="Times New Roman" w:hAnsi="Times New Roman"/>
        </w:rPr>
        <w:t>°C</w:t>
      </w:r>
      <w:r w:rsidRPr="00D045B3">
        <w:rPr>
          <w:rFonts w:ascii="Times New Roman" w:hAnsi="Times New Roman"/>
        </w:rPr>
        <w:noBreakHyphen/>
        <w:t>on tárolandó.</w:t>
      </w:r>
    </w:p>
    <w:p w14:paraId="1E92749E" w14:textId="77777777" w:rsidR="009E12FC" w:rsidRPr="00D045B3" w:rsidRDefault="009B5EDB" w:rsidP="009E12FC">
      <w:pPr>
        <w:pStyle w:val="KeinLeerraum"/>
        <w:rPr>
          <w:rFonts w:ascii="Times New Roman" w:hAnsi="Times New Roman"/>
        </w:rPr>
      </w:pPr>
      <w:r w:rsidRPr="00D045B3">
        <w:rPr>
          <w:rFonts w:ascii="Times New Roman" w:hAnsi="Times New Roman"/>
        </w:rPr>
        <w:t>A nedvességtől való védelem érdekében az eredeti csomagolásban tárolandó.</w:t>
      </w:r>
      <w:r w:rsidR="009E12FC" w:rsidRPr="00D045B3">
        <w:rPr>
          <w:rFonts w:ascii="Times New Roman" w:hAnsi="Times New Roman"/>
        </w:rPr>
        <w:t xml:space="preserve"> </w:t>
      </w:r>
    </w:p>
    <w:p w14:paraId="1E92749F" w14:textId="77777777" w:rsidR="009E12FC" w:rsidRPr="00D045B3" w:rsidRDefault="009E12FC" w:rsidP="009E12FC">
      <w:pPr>
        <w:pStyle w:val="KeinLeerraum"/>
        <w:rPr>
          <w:rFonts w:ascii="Times New Roman" w:hAnsi="Times New Roman"/>
        </w:rPr>
      </w:pPr>
    </w:p>
    <w:p w14:paraId="1E9274A0" w14:textId="77777777" w:rsidR="009E12FC" w:rsidRPr="00D045B3" w:rsidRDefault="009E12FC" w:rsidP="006B783B">
      <w:pPr>
        <w:pStyle w:val="KeinLeerraum"/>
        <w:keepNext/>
        <w:tabs>
          <w:tab w:val="left" w:pos="567"/>
        </w:tabs>
        <w:rPr>
          <w:rFonts w:ascii="Times New Roman" w:hAnsi="Times New Roman"/>
          <w:b/>
        </w:rPr>
      </w:pPr>
      <w:r w:rsidRPr="00D045B3">
        <w:rPr>
          <w:rFonts w:ascii="Times New Roman" w:hAnsi="Times New Roman"/>
          <w:b/>
        </w:rPr>
        <w:t>6.5</w:t>
      </w:r>
      <w:r w:rsidRPr="00D045B3">
        <w:rPr>
          <w:rFonts w:ascii="Times New Roman" w:hAnsi="Times New Roman"/>
          <w:b/>
        </w:rPr>
        <w:tab/>
        <w:t xml:space="preserve">Csomagolás típusa és kiszerelése </w:t>
      </w:r>
    </w:p>
    <w:p w14:paraId="1E9274A1" w14:textId="77777777" w:rsidR="009E12FC" w:rsidRPr="00D045B3" w:rsidRDefault="009E12FC" w:rsidP="006B783B">
      <w:pPr>
        <w:pStyle w:val="KeinLeerraum"/>
        <w:keepNext/>
        <w:rPr>
          <w:rFonts w:ascii="Times New Roman" w:hAnsi="Times New Roman"/>
        </w:rPr>
      </w:pPr>
    </w:p>
    <w:p w14:paraId="1E9274A2" w14:textId="77777777" w:rsidR="00437835" w:rsidRPr="00D045B3" w:rsidRDefault="00437835" w:rsidP="00437835">
      <w:pPr>
        <w:pStyle w:val="KeinLeerraum"/>
        <w:keepNext/>
        <w:rPr>
          <w:rFonts w:ascii="Times New Roman" w:hAnsi="Times New Roman"/>
          <w:u w:val="single"/>
        </w:rPr>
      </w:pPr>
      <w:r w:rsidRPr="00D045B3">
        <w:rPr>
          <w:rFonts w:ascii="Times New Roman" w:hAnsi="Times New Roman"/>
          <w:u w:val="single"/>
        </w:rPr>
        <w:t xml:space="preserve">Imatinib Actavis 50 mg kemény kapszula </w:t>
      </w:r>
    </w:p>
    <w:p w14:paraId="1E9274A3" w14:textId="77777777" w:rsidR="009B5EDB" w:rsidRPr="00D045B3" w:rsidRDefault="009B5EDB" w:rsidP="00CA41FD">
      <w:pPr>
        <w:pStyle w:val="KeinLeerraum"/>
        <w:rPr>
          <w:rFonts w:ascii="Times New Roman" w:hAnsi="Times New Roman"/>
        </w:rPr>
      </w:pPr>
      <w:r w:rsidRPr="00D045B3">
        <w:rPr>
          <w:rFonts w:ascii="Times New Roman" w:hAnsi="Times New Roman"/>
          <w:bCs/>
        </w:rPr>
        <w:t xml:space="preserve">Al/PVC/Aclar </w:t>
      </w:r>
      <w:r w:rsidRPr="00D045B3">
        <w:rPr>
          <w:rFonts w:ascii="Times New Roman" w:hAnsi="Times New Roman"/>
        </w:rPr>
        <w:t>buborékcsomagolás</w:t>
      </w:r>
      <w:r w:rsidR="00676C37" w:rsidRPr="00D045B3">
        <w:rPr>
          <w:rFonts w:ascii="Times New Roman" w:hAnsi="Times New Roman"/>
        </w:rPr>
        <w:t>. Buborékcsomagolásonként 10 db kapszula.</w:t>
      </w:r>
    </w:p>
    <w:p w14:paraId="1E9274A4" w14:textId="77777777" w:rsidR="006B783B" w:rsidRPr="00D045B3" w:rsidRDefault="006B783B" w:rsidP="009E12FC">
      <w:pPr>
        <w:pStyle w:val="KeinLeerraum"/>
        <w:rPr>
          <w:rFonts w:ascii="Times New Roman" w:hAnsi="Times New Roman"/>
          <w:bCs/>
        </w:rPr>
      </w:pPr>
      <w:r w:rsidRPr="00D045B3">
        <w:rPr>
          <w:rFonts w:ascii="Times New Roman" w:hAnsi="Times New Roman"/>
          <w:bCs/>
        </w:rPr>
        <w:t>30 vagy 90 kapszulát tartalmazó kiszerelés</w:t>
      </w:r>
      <w:r w:rsidR="00437835" w:rsidRPr="00D045B3">
        <w:rPr>
          <w:rFonts w:ascii="Times New Roman" w:hAnsi="Times New Roman"/>
          <w:bCs/>
        </w:rPr>
        <w:t>.</w:t>
      </w:r>
    </w:p>
    <w:p w14:paraId="1E9274A5" w14:textId="77777777" w:rsidR="009E12FC" w:rsidRPr="00D045B3" w:rsidRDefault="009E12FC" w:rsidP="009E12FC">
      <w:pPr>
        <w:rPr>
          <w:rFonts w:eastAsia="Times New Roman"/>
          <w:snapToGrid/>
          <w:szCs w:val="22"/>
          <w:lang w:val="hu-HU" w:eastAsia="en-US"/>
        </w:rPr>
      </w:pPr>
    </w:p>
    <w:p w14:paraId="1E9274A6" w14:textId="77777777" w:rsidR="00437835" w:rsidRPr="00D045B3" w:rsidRDefault="00437835" w:rsidP="00437835">
      <w:pPr>
        <w:pStyle w:val="KeinLeerraum"/>
        <w:keepNext/>
        <w:rPr>
          <w:rFonts w:ascii="Times New Roman" w:hAnsi="Times New Roman"/>
          <w:u w:val="single"/>
        </w:rPr>
      </w:pPr>
      <w:r w:rsidRPr="00D045B3">
        <w:rPr>
          <w:rFonts w:ascii="Times New Roman" w:hAnsi="Times New Roman"/>
          <w:u w:val="single"/>
        </w:rPr>
        <w:t xml:space="preserve">Imatinib Actavis 100 mg kemény kapszula </w:t>
      </w:r>
    </w:p>
    <w:p w14:paraId="1E9274A7" w14:textId="77777777" w:rsidR="00437835" w:rsidRPr="00D045B3" w:rsidRDefault="00437835" w:rsidP="00437835">
      <w:pPr>
        <w:pStyle w:val="KeinLeerraum"/>
        <w:rPr>
          <w:rFonts w:ascii="Times New Roman" w:hAnsi="Times New Roman"/>
        </w:rPr>
      </w:pPr>
      <w:r w:rsidRPr="00D045B3">
        <w:rPr>
          <w:rFonts w:ascii="Times New Roman" w:hAnsi="Times New Roman"/>
          <w:bCs/>
        </w:rPr>
        <w:t xml:space="preserve">Al/PVC/Aclar </w:t>
      </w:r>
      <w:r w:rsidRPr="00D045B3">
        <w:rPr>
          <w:rFonts w:ascii="Times New Roman" w:hAnsi="Times New Roman"/>
        </w:rPr>
        <w:t>buborékcsomagolás. Buborékcsomagolásonként 8 db vagy 10 db kapszula.</w:t>
      </w:r>
    </w:p>
    <w:p w14:paraId="1E9274A8" w14:textId="77777777" w:rsidR="00437835" w:rsidRPr="00D045B3" w:rsidRDefault="00437835" w:rsidP="00437835">
      <w:pPr>
        <w:pStyle w:val="KeinLeerraum"/>
        <w:rPr>
          <w:rFonts w:ascii="Times New Roman" w:hAnsi="Times New Roman"/>
          <w:bCs/>
        </w:rPr>
      </w:pPr>
      <w:r w:rsidRPr="00D045B3">
        <w:rPr>
          <w:rFonts w:ascii="Times New Roman" w:hAnsi="Times New Roman"/>
          <w:bCs/>
        </w:rPr>
        <w:t>24, 48, 60, 96, 120 vagy 180 kapszulát tartalmazó kiszerelés.</w:t>
      </w:r>
    </w:p>
    <w:p w14:paraId="1E9274A9" w14:textId="77777777" w:rsidR="00437835" w:rsidRPr="00D045B3" w:rsidRDefault="00437835" w:rsidP="009E12FC">
      <w:pPr>
        <w:rPr>
          <w:rFonts w:eastAsia="Times New Roman"/>
          <w:snapToGrid/>
          <w:szCs w:val="22"/>
          <w:lang w:val="hu-HU" w:eastAsia="en-US"/>
        </w:rPr>
      </w:pPr>
    </w:p>
    <w:p w14:paraId="1E9274AA" w14:textId="77777777" w:rsidR="00437835" w:rsidRPr="00D045B3" w:rsidRDefault="00437835" w:rsidP="00437835">
      <w:pPr>
        <w:pStyle w:val="KeinLeerraum"/>
        <w:keepNext/>
        <w:rPr>
          <w:rFonts w:ascii="Times New Roman" w:hAnsi="Times New Roman"/>
          <w:u w:val="single"/>
        </w:rPr>
      </w:pPr>
      <w:r w:rsidRPr="00D045B3">
        <w:rPr>
          <w:rFonts w:ascii="Times New Roman" w:hAnsi="Times New Roman"/>
          <w:u w:val="single"/>
        </w:rPr>
        <w:t xml:space="preserve">Imatinib Actavis 400 mg kemény kapszula </w:t>
      </w:r>
    </w:p>
    <w:p w14:paraId="1E9274AB" w14:textId="77777777" w:rsidR="00437835" w:rsidRPr="00D045B3" w:rsidRDefault="00437835" w:rsidP="00437835">
      <w:pPr>
        <w:pStyle w:val="KeinLeerraum"/>
        <w:rPr>
          <w:rFonts w:ascii="Times New Roman" w:hAnsi="Times New Roman"/>
        </w:rPr>
      </w:pPr>
      <w:r w:rsidRPr="00D045B3">
        <w:rPr>
          <w:rFonts w:ascii="Times New Roman" w:hAnsi="Times New Roman"/>
          <w:bCs/>
        </w:rPr>
        <w:t xml:space="preserve">Al/PVC/Aclar </w:t>
      </w:r>
      <w:r w:rsidRPr="00D045B3">
        <w:rPr>
          <w:rFonts w:ascii="Times New Roman" w:hAnsi="Times New Roman"/>
        </w:rPr>
        <w:t>buborékcsomagolás. Buborékcsomagolásonként 10 db kapszula.</w:t>
      </w:r>
    </w:p>
    <w:p w14:paraId="1E9274AC" w14:textId="77777777" w:rsidR="00437835" w:rsidRPr="00D045B3" w:rsidRDefault="00437835" w:rsidP="00437835">
      <w:pPr>
        <w:pStyle w:val="KeinLeerraum"/>
        <w:rPr>
          <w:rFonts w:ascii="Times New Roman" w:hAnsi="Times New Roman"/>
          <w:bCs/>
        </w:rPr>
      </w:pPr>
      <w:r w:rsidRPr="00D045B3">
        <w:rPr>
          <w:rFonts w:ascii="Times New Roman" w:hAnsi="Times New Roman"/>
          <w:bCs/>
        </w:rPr>
        <w:t>10, 30, 60 vagy 90 kapszulát tartalmazó kiszerelés.</w:t>
      </w:r>
    </w:p>
    <w:p w14:paraId="1E9274AD" w14:textId="77777777" w:rsidR="00437835" w:rsidRPr="00D045B3" w:rsidRDefault="00437835" w:rsidP="009E12FC">
      <w:pPr>
        <w:rPr>
          <w:rFonts w:eastAsia="Times New Roman"/>
          <w:snapToGrid/>
          <w:szCs w:val="22"/>
          <w:lang w:val="hu-HU" w:eastAsia="en-US"/>
        </w:rPr>
      </w:pPr>
    </w:p>
    <w:p w14:paraId="1E9274AE" w14:textId="77777777" w:rsidR="009E12FC" w:rsidRPr="00D045B3" w:rsidRDefault="009E12FC" w:rsidP="009E12FC">
      <w:pPr>
        <w:rPr>
          <w:rFonts w:eastAsia="Times New Roman"/>
          <w:snapToGrid/>
          <w:szCs w:val="22"/>
          <w:lang w:val="hu-HU" w:eastAsia="en-US"/>
        </w:rPr>
      </w:pPr>
      <w:r w:rsidRPr="00D045B3">
        <w:rPr>
          <w:rFonts w:eastAsia="Times New Roman"/>
          <w:snapToGrid/>
          <w:szCs w:val="22"/>
          <w:lang w:val="hu-HU" w:eastAsia="en-US"/>
        </w:rPr>
        <w:t>Nem feltétlenül mindegyik kiszerelés kerül kereskedelmi forgalomba.</w:t>
      </w:r>
    </w:p>
    <w:p w14:paraId="1E9274AF" w14:textId="77777777" w:rsidR="009E12FC" w:rsidRPr="00D045B3" w:rsidRDefault="009E12FC" w:rsidP="009E12FC">
      <w:pPr>
        <w:jc w:val="both"/>
        <w:rPr>
          <w:szCs w:val="22"/>
          <w:lang w:val="hu-HU"/>
        </w:rPr>
      </w:pPr>
    </w:p>
    <w:p w14:paraId="1E9274B0" w14:textId="77777777" w:rsidR="009E12FC" w:rsidRPr="00D045B3" w:rsidRDefault="009E12FC" w:rsidP="006B783B">
      <w:pPr>
        <w:pStyle w:val="KeinLeerraum"/>
        <w:keepNext/>
        <w:tabs>
          <w:tab w:val="left" w:pos="567"/>
        </w:tabs>
        <w:rPr>
          <w:rFonts w:ascii="Times New Roman" w:hAnsi="Times New Roman"/>
          <w:b/>
        </w:rPr>
      </w:pPr>
      <w:r w:rsidRPr="00D045B3">
        <w:rPr>
          <w:rFonts w:ascii="Times New Roman" w:hAnsi="Times New Roman"/>
          <w:b/>
        </w:rPr>
        <w:t>6.6</w:t>
      </w:r>
      <w:r w:rsidRPr="00D045B3">
        <w:rPr>
          <w:rFonts w:ascii="Times New Roman" w:hAnsi="Times New Roman"/>
          <w:b/>
        </w:rPr>
        <w:tab/>
        <w:t xml:space="preserve">A megsemmisítésre vonatkozó különleges óvintézkedések </w:t>
      </w:r>
    </w:p>
    <w:p w14:paraId="1E9274B1" w14:textId="77777777" w:rsidR="009E12FC" w:rsidRPr="00D045B3" w:rsidRDefault="009E12FC" w:rsidP="006B783B">
      <w:pPr>
        <w:pStyle w:val="KeinLeerraum"/>
        <w:keepNext/>
        <w:rPr>
          <w:rFonts w:ascii="Times New Roman" w:hAnsi="Times New Roman"/>
        </w:rPr>
      </w:pPr>
    </w:p>
    <w:p w14:paraId="1E9274B2" w14:textId="77777777" w:rsidR="006B783B" w:rsidRPr="00D045B3" w:rsidRDefault="00C83F67" w:rsidP="006B783B">
      <w:pPr>
        <w:pStyle w:val="KeinLeerraum"/>
        <w:rPr>
          <w:rFonts w:ascii="Times New Roman" w:hAnsi="Times New Roman"/>
          <w:u w:val="single"/>
        </w:rPr>
      </w:pPr>
      <w:r w:rsidRPr="00D045B3">
        <w:rPr>
          <w:rFonts w:ascii="Times New Roman" w:hAnsi="Times New Roman"/>
          <w:u w:val="single"/>
        </w:rPr>
        <w:t>Ha</w:t>
      </w:r>
      <w:r w:rsidR="006B783B" w:rsidRPr="00D045B3">
        <w:rPr>
          <w:rFonts w:ascii="Times New Roman" w:hAnsi="Times New Roman"/>
          <w:u w:val="single"/>
        </w:rPr>
        <w:t xml:space="preserve"> fogamzóképes korú nők </w:t>
      </w:r>
      <w:r w:rsidRPr="00D045B3">
        <w:rPr>
          <w:rFonts w:ascii="Times New Roman" w:hAnsi="Times New Roman"/>
          <w:u w:val="single"/>
        </w:rPr>
        <w:t>kezelnek</w:t>
      </w:r>
      <w:r w:rsidR="006B783B" w:rsidRPr="00D045B3">
        <w:rPr>
          <w:rFonts w:ascii="Times New Roman" w:hAnsi="Times New Roman"/>
          <w:u w:val="single"/>
        </w:rPr>
        <w:t xml:space="preserve"> felnyitott kapszulákat </w:t>
      </w:r>
    </w:p>
    <w:p w14:paraId="1E9274B3" w14:textId="77777777" w:rsidR="006B783B" w:rsidRPr="00D045B3" w:rsidRDefault="006B783B" w:rsidP="006B783B">
      <w:pPr>
        <w:pStyle w:val="KeinLeerraum"/>
        <w:rPr>
          <w:rFonts w:ascii="Times New Roman" w:hAnsi="Times New Roman"/>
        </w:rPr>
      </w:pPr>
      <w:r w:rsidRPr="00D045B3">
        <w:rPr>
          <w:rFonts w:ascii="Times New Roman" w:hAnsi="Times New Roman"/>
        </w:rPr>
        <w:t>Mivel állatkísérletekben reprodukcióra gyakorolt toxicitást mutattak ki, és mivel a humán foetusra gyakorolt potenciális kockázatok nem ismertek, azoknak a fogamzóképes korban lévő nőknek, akik felnyitják a kapszulát</w:t>
      </w:r>
      <w:r w:rsidR="00A342BB" w:rsidRPr="00D045B3">
        <w:rPr>
          <w:rFonts w:ascii="Times New Roman" w:hAnsi="Times New Roman"/>
        </w:rPr>
        <w:t>,</w:t>
      </w:r>
      <w:r w:rsidRPr="00D045B3">
        <w:rPr>
          <w:rFonts w:ascii="Times New Roman" w:hAnsi="Times New Roman"/>
        </w:rPr>
        <w:t xml:space="preserve"> megfelelő körültekintéssel kell kezelniük annak tartalmát és el kell kerülniük a szemmel való kontaktust vagy az inhalációt (lásd 4.6 pont). A nyitott kapszulákkal végzett műveletek után azonnal kezet kell mosni. </w:t>
      </w:r>
    </w:p>
    <w:p w14:paraId="1E9274B4" w14:textId="77777777" w:rsidR="006B783B" w:rsidRPr="00D045B3" w:rsidRDefault="006B783B" w:rsidP="006B783B">
      <w:pPr>
        <w:pStyle w:val="KeinLeerraum"/>
        <w:rPr>
          <w:rFonts w:ascii="Times New Roman" w:hAnsi="Times New Roman"/>
        </w:rPr>
      </w:pPr>
    </w:p>
    <w:p w14:paraId="1E9274B6" w14:textId="77777777" w:rsidR="00C35EC1" w:rsidRPr="00D045B3" w:rsidRDefault="00C35EC1" w:rsidP="00C35EC1">
      <w:pPr>
        <w:spacing w:line="240" w:lineRule="auto"/>
        <w:rPr>
          <w:noProof/>
          <w:szCs w:val="24"/>
          <w:lang w:val="hu-HU"/>
        </w:rPr>
      </w:pPr>
      <w:r w:rsidRPr="00D045B3">
        <w:rPr>
          <w:noProof/>
          <w:szCs w:val="24"/>
          <w:lang w:val="hu-HU"/>
        </w:rPr>
        <w:t xml:space="preserve">Bármilyen fel nem használt gyógyszer, illetve hulladékanyag megsemmisítését </w:t>
      </w:r>
      <w:r w:rsidRPr="00D045B3">
        <w:rPr>
          <w:lang w:val="hu-HU"/>
        </w:rPr>
        <w:t xml:space="preserve">a gyógyszerekre vonatkozó </w:t>
      </w:r>
      <w:r w:rsidRPr="00D045B3">
        <w:rPr>
          <w:noProof/>
          <w:szCs w:val="24"/>
          <w:lang w:val="hu-HU"/>
        </w:rPr>
        <w:t>előírások szerint kell végrehajtani.</w:t>
      </w:r>
    </w:p>
    <w:p w14:paraId="1E9274B7" w14:textId="77777777" w:rsidR="009E12FC" w:rsidRPr="00D045B3" w:rsidRDefault="009E12FC" w:rsidP="009E12FC">
      <w:pPr>
        <w:pStyle w:val="KeinLeerraum"/>
        <w:rPr>
          <w:rFonts w:ascii="Times New Roman" w:hAnsi="Times New Roman"/>
        </w:rPr>
      </w:pPr>
    </w:p>
    <w:p w14:paraId="1E9274B8" w14:textId="77777777" w:rsidR="009E12FC" w:rsidRPr="00D045B3" w:rsidRDefault="009E12FC" w:rsidP="009E12FC">
      <w:pPr>
        <w:pStyle w:val="KeinLeerraum"/>
        <w:rPr>
          <w:rFonts w:ascii="Times New Roman" w:hAnsi="Times New Roman"/>
        </w:rPr>
      </w:pPr>
    </w:p>
    <w:p w14:paraId="1E9274B9" w14:textId="77777777" w:rsidR="009E12FC" w:rsidRPr="00D045B3" w:rsidRDefault="009E12FC" w:rsidP="00C83F67">
      <w:pPr>
        <w:pStyle w:val="KeinLeerraum"/>
        <w:keepNext/>
        <w:tabs>
          <w:tab w:val="left" w:pos="567"/>
        </w:tabs>
        <w:rPr>
          <w:rFonts w:ascii="Times New Roman" w:hAnsi="Times New Roman"/>
          <w:b/>
        </w:rPr>
      </w:pPr>
      <w:r w:rsidRPr="00D045B3">
        <w:rPr>
          <w:rFonts w:ascii="Times New Roman" w:hAnsi="Times New Roman"/>
          <w:b/>
        </w:rPr>
        <w:t>7.</w:t>
      </w:r>
      <w:r w:rsidRPr="00D045B3">
        <w:rPr>
          <w:rFonts w:ascii="Times New Roman" w:hAnsi="Times New Roman"/>
          <w:b/>
        </w:rPr>
        <w:tab/>
        <w:t xml:space="preserve">A FORGALOMBA HOZATALI ENGEDÉLY JOGOSULTJA </w:t>
      </w:r>
    </w:p>
    <w:p w14:paraId="1E9274BA" w14:textId="77777777" w:rsidR="009E12FC" w:rsidRPr="00D045B3" w:rsidRDefault="009E12FC" w:rsidP="00C83F67">
      <w:pPr>
        <w:pStyle w:val="KeinLeerraum"/>
        <w:keepNext/>
        <w:rPr>
          <w:rFonts w:ascii="Times New Roman" w:hAnsi="Times New Roman"/>
        </w:rPr>
      </w:pPr>
    </w:p>
    <w:p w14:paraId="1E9274BB" w14:textId="77777777" w:rsidR="006B783B" w:rsidRPr="00D045B3" w:rsidRDefault="006B783B" w:rsidP="00CA41FD">
      <w:pPr>
        <w:autoSpaceDE w:val="0"/>
        <w:autoSpaceDN w:val="0"/>
        <w:adjustRightInd w:val="0"/>
        <w:spacing w:line="240" w:lineRule="auto"/>
        <w:rPr>
          <w:lang w:val="hu-HU"/>
        </w:rPr>
      </w:pPr>
      <w:r w:rsidRPr="00D045B3">
        <w:rPr>
          <w:lang w:val="hu-HU"/>
        </w:rPr>
        <w:t>Actavis Group PTC ehf.</w:t>
      </w:r>
    </w:p>
    <w:p w14:paraId="1E9274BC" w14:textId="77777777" w:rsidR="006B783B" w:rsidRPr="00D045B3" w:rsidRDefault="006B783B" w:rsidP="00CA41FD">
      <w:pPr>
        <w:autoSpaceDE w:val="0"/>
        <w:autoSpaceDN w:val="0"/>
        <w:adjustRightInd w:val="0"/>
        <w:spacing w:line="240" w:lineRule="auto"/>
        <w:rPr>
          <w:lang w:val="hu-HU"/>
        </w:rPr>
      </w:pPr>
      <w:r w:rsidRPr="00D045B3">
        <w:rPr>
          <w:lang w:val="hu-HU"/>
        </w:rPr>
        <w:t>Reykjavíkurvegur 76-78</w:t>
      </w:r>
    </w:p>
    <w:p w14:paraId="1E9274BD" w14:textId="77777777" w:rsidR="006B783B" w:rsidRPr="00D045B3" w:rsidRDefault="006B783B" w:rsidP="006B783B">
      <w:pPr>
        <w:autoSpaceDE w:val="0"/>
        <w:autoSpaceDN w:val="0"/>
        <w:adjustRightInd w:val="0"/>
        <w:spacing w:line="240" w:lineRule="auto"/>
        <w:rPr>
          <w:lang w:val="hu-HU"/>
        </w:rPr>
      </w:pPr>
      <w:r w:rsidRPr="00D045B3">
        <w:rPr>
          <w:lang w:val="hu-HU"/>
        </w:rPr>
        <w:t>IS-220 Hafnarfjörður</w:t>
      </w:r>
    </w:p>
    <w:p w14:paraId="1E9274BE" w14:textId="77777777" w:rsidR="006B783B" w:rsidRPr="00D045B3" w:rsidRDefault="006B783B" w:rsidP="006B783B">
      <w:pPr>
        <w:autoSpaceDE w:val="0"/>
        <w:autoSpaceDN w:val="0"/>
        <w:adjustRightInd w:val="0"/>
        <w:spacing w:line="240" w:lineRule="auto"/>
        <w:rPr>
          <w:lang w:val="hu-HU"/>
        </w:rPr>
      </w:pPr>
      <w:r w:rsidRPr="00D045B3">
        <w:rPr>
          <w:lang w:val="hu-HU"/>
        </w:rPr>
        <w:t>Izland</w:t>
      </w:r>
    </w:p>
    <w:p w14:paraId="1E9274BF" w14:textId="77777777" w:rsidR="009E12FC" w:rsidRPr="00D045B3" w:rsidRDefault="009E12FC" w:rsidP="009E12FC">
      <w:pPr>
        <w:rPr>
          <w:lang w:val="hu-HU"/>
        </w:rPr>
      </w:pPr>
    </w:p>
    <w:p w14:paraId="1E9274C0" w14:textId="77777777" w:rsidR="009E12FC" w:rsidRPr="00D045B3" w:rsidRDefault="009E12FC" w:rsidP="009E12FC">
      <w:pPr>
        <w:pStyle w:val="KeinLeerraum"/>
        <w:rPr>
          <w:rFonts w:ascii="Times New Roman" w:hAnsi="Times New Roman"/>
        </w:rPr>
      </w:pPr>
    </w:p>
    <w:p w14:paraId="1E9274C1" w14:textId="77777777" w:rsidR="009E12FC" w:rsidRPr="00D045B3" w:rsidRDefault="009E12FC" w:rsidP="008A6837">
      <w:pPr>
        <w:pStyle w:val="KeinLeerraum"/>
        <w:keepNext/>
        <w:tabs>
          <w:tab w:val="left" w:pos="567"/>
        </w:tabs>
        <w:rPr>
          <w:rFonts w:ascii="Times New Roman" w:hAnsi="Times New Roman"/>
          <w:b/>
        </w:rPr>
      </w:pPr>
      <w:r w:rsidRPr="00D045B3">
        <w:rPr>
          <w:rFonts w:ascii="Times New Roman" w:hAnsi="Times New Roman"/>
          <w:b/>
        </w:rPr>
        <w:t>8.</w:t>
      </w:r>
      <w:r w:rsidRPr="00D045B3">
        <w:rPr>
          <w:rFonts w:ascii="Times New Roman" w:hAnsi="Times New Roman"/>
          <w:b/>
        </w:rPr>
        <w:tab/>
        <w:t xml:space="preserve">A FORGALOMBA HOZATALI ENGEDÉLY SZÁMA(I) </w:t>
      </w:r>
    </w:p>
    <w:p w14:paraId="1E9274C2" w14:textId="77777777" w:rsidR="009E12FC" w:rsidRPr="00D045B3" w:rsidRDefault="009E12FC" w:rsidP="008A6837">
      <w:pPr>
        <w:pStyle w:val="KeinLeerraum"/>
        <w:keepNext/>
        <w:rPr>
          <w:rFonts w:ascii="Times New Roman" w:hAnsi="Times New Roman"/>
        </w:rPr>
      </w:pPr>
    </w:p>
    <w:p w14:paraId="1E9274C3" w14:textId="77777777" w:rsidR="00437835" w:rsidRPr="00D045B3" w:rsidRDefault="00437835" w:rsidP="00437835">
      <w:pPr>
        <w:pStyle w:val="KeinLeerraum"/>
        <w:keepNext/>
        <w:rPr>
          <w:rFonts w:ascii="Times New Roman" w:hAnsi="Times New Roman"/>
          <w:u w:val="single"/>
        </w:rPr>
      </w:pPr>
      <w:r w:rsidRPr="00D045B3">
        <w:rPr>
          <w:rFonts w:ascii="Times New Roman" w:hAnsi="Times New Roman"/>
          <w:u w:val="single"/>
        </w:rPr>
        <w:t xml:space="preserve">Imatinib Actavis 50 mg kemény kapszula </w:t>
      </w:r>
    </w:p>
    <w:p w14:paraId="1E9274C4" w14:textId="77777777" w:rsidR="009E3F23" w:rsidRPr="00D045B3" w:rsidRDefault="009E3F23" w:rsidP="00CA41FD">
      <w:pPr>
        <w:autoSpaceDE w:val="0"/>
        <w:autoSpaceDN w:val="0"/>
        <w:adjustRightInd w:val="0"/>
        <w:spacing w:line="240" w:lineRule="auto"/>
        <w:rPr>
          <w:lang w:val="hu-HU"/>
        </w:rPr>
      </w:pPr>
      <w:r w:rsidRPr="00D045B3">
        <w:rPr>
          <w:lang w:val="hu-HU"/>
        </w:rPr>
        <w:t>EU/1/13/825/001</w:t>
      </w:r>
    </w:p>
    <w:p w14:paraId="1E9274C5" w14:textId="77777777" w:rsidR="009E12FC" w:rsidRPr="00D045B3" w:rsidRDefault="009E3F23" w:rsidP="009E3F23">
      <w:pPr>
        <w:pStyle w:val="KeinLeerraum"/>
        <w:rPr>
          <w:rFonts w:ascii="Times New Roman" w:hAnsi="Times New Roman"/>
        </w:rPr>
      </w:pPr>
      <w:r w:rsidRPr="00D045B3">
        <w:rPr>
          <w:rFonts w:ascii="Times New Roman" w:hAnsi="Times New Roman"/>
        </w:rPr>
        <w:t>EU/1/13/825/002</w:t>
      </w:r>
    </w:p>
    <w:p w14:paraId="1E9274C6" w14:textId="77777777" w:rsidR="009E3F23" w:rsidRPr="00D045B3" w:rsidRDefault="009E3F23" w:rsidP="009E3F23">
      <w:pPr>
        <w:pStyle w:val="KeinLeerraum"/>
        <w:rPr>
          <w:rFonts w:ascii="Times New Roman" w:hAnsi="Times New Roman"/>
        </w:rPr>
      </w:pPr>
    </w:p>
    <w:p w14:paraId="1E9274C7" w14:textId="77777777" w:rsidR="00437835" w:rsidRPr="00D045B3" w:rsidRDefault="00437835" w:rsidP="00437835">
      <w:pPr>
        <w:pStyle w:val="KeinLeerraum"/>
        <w:keepNext/>
        <w:rPr>
          <w:rFonts w:ascii="Times New Roman" w:hAnsi="Times New Roman"/>
          <w:u w:val="single"/>
        </w:rPr>
      </w:pPr>
      <w:r w:rsidRPr="00D045B3">
        <w:rPr>
          <w:rFonts w:ascii="Times New Roman" w:hAnsi="Times New Roman"/>
          <w:u w:val="single"/>
        </w:rPr>
        <w:t xml:space="preserve">Imatinib Actavis 100 mg kemény kapszula </w:t>
      </w:r>
    </w:p>
    <w:p w14:paraId="1E9274C8" w14:textId="77777777" w:rsidR="00437835" w:rsidRPr="00D045B3" w:rsidRDefault="00437835" w:rsidP="00437835">
      <w:pPr>
        <w:autoSpaceDE w:val="0"/>
        <w:autoSpaceDN w:val="0"/>
        <w:adjustRightInd w:val="0"/>
        <w:spacing w:line="240" w:lineRule="auto"/>
        <w:rPr>
          <w:lang w:val="hu-HU"/>
        </w:rPr>
      </w:pPr>
      <w:r w:rsidRPr="00D045B3">
        <w:rPr>
          <w:lang w:val="hu-HU"/>
        </w:rPr>
        <w:t>EU/1/13/825/003</w:t>
      </w:r>
    </w:p>
    <w:p w14:paraId="1E9274C9" w14:textId="77777777" w:rsidR="00437835" w:rsidRPr="00D045B3" w:rsidRDefault="00437835" w:rsidP="00437835">
      <w:pPr>
        <w:autoSpaceDE w:val="0"/>
        <w:autoSpaceDN w:val="0"/>
        <w:adjustRightInd w:val="0"/>
        <w:spacing w:line="240" w:lineRule="auto"/>
        <w:rPr>
          <w:lang w:val="hu-HU"/>
        </w:rPr>
      </w:pPr>
      <w:r w:rsidRPr="00D045B3">
        <w:rPr>
          <w:lang w:val="hu-HU"/>
        </w:rPr>
        <w:t>EU/1/13/825/004</w:t>
      </w:r>
    </w:p>
    <w:p w14:paraId="1E9274CA" w14:textId="77777777" w:rsidR="00437835" w:rsidRPr="00D045B3" w:rsidRDefault="00437835" w:rsidP="00437835">
      <w:pPr>
        <w:autoSpaceDE w:val="0"/>
        <w:autoSpaceDN w:val="0"/>
        <w:adjustRightInd w:val="0"/>
        <w:spacing w:line="240" w:lineRule="auto"/>
        <w:rPr>
          <w:lang w:val="hu-HU"/>
        </w:rPr>
      </w:pPr>
      <w:r w:rsidRPr="00D045B3">
        <w:rPr>
          <w:lang w:val="hu-HU"/>
        </w:rPr>
        <w:t>EU/1/13/825/005</w:t>
      </w:r>
    </w:p>
    <w:p w14:paraId="1E9274CB" w14:textId="77777777" w:rsidR="00437835" w:rsidRPr="00D045B3" w:rsidRDefault="00437835" w:rsidP="00437835">
      <w:pPr>
        <w:autoSpaceDE w:val="0"/>
        <w:autoSpaceDN w:val="0"/>
        <w:adjustRightInd w:val="0"/>
        <w:spacing w:line="240" w:lineRule="auto"/>
        <w:rPr>
          <w:lang w:val="hu-HU"/>
        </w:rPr>
      </w:pPr>
      <w:r w:rsidRPr="00D045B3">
        <w:rPr>
          <w:lang w:val="hu-HU"/>
        </w:rPr>
        <w:t>EU/1/13/825/006</w:t>
      </w:r>
    </w:p>
    <w:p w14:paraId="1E9274CC" w14:textId="77777777" w:rsidR="00437835" w:rsidRPr="00D045B3" w:rsidRDefault="00437835" w:rsidP="00437835">
      <w:pPr>
        <w:autoSpaceDE w:val="0"/>
        <w:autoSpaceDN w:val="0"/>
        <w:adjustRightInd w:val="0"/>
        <w:spacing w:line="240" w:lineRule="auto"/>
        <w:rPr>
          <w:lang w:val="hu-HU"/>
        </w:rPr>
      </w:pPr>
      <w:r w:rsidRPr="00D045B3">
        <w:rPr>
          <w:lang w:val="hu-HU"/>
        </w:rPr>
        <w:t>EU/1/13/825/007</w:t>
      </w:r>
    </w:p>
    <w:p w14:paraId="1E9274CD" w14:textId="77777777" w:rsidR="00437835" w:rsidRPr="00D045B3" w:rsidRDefault="00437835" w:rsidP="00437835">
      <w:pPr>
        <w:autoSpaceDE w:val="0"/>
        <w:autoSpaceDN w:val="0"/>
        <w:adjustRightInd w:val="0"/>
        <w:spacing w:line="240" w:lineRule="auto"/>
        <w:rPr>
          <w:lang w:val="hu-HU"/>
        </w:rPr>
      </w:pPr>
      <w:r w:rsidRPr="00D045B3">
        <w:rPr>
          <w:lang w:val="hu-HU"/>
        </w:rPr>
        <w:t>EU/1/13/825/019</w:t>
      </w:r>
    </w:p>
    <w:p w14:paraId="1E9274CE" w14:textId="77777777" w:rsidR="009E12FC" w:rsidRPr="00D045B3" w:rsidRDefault="009E12FC" w:rsidP="009E12FC">
      <w:pPr>
        <w:pStyle w:val="KeinLeerraum"/>
        <w:rPr>
          <w:rFonts w:ascii="Times New Roman" w:hAnsi="Times New Roman"/>
        </w:rPr>
      </w:pPr>
    </w:p>
    <w:p w14:paraId="1E9274CF" w14:textId="77777777" w:rsidR="00437835" w:rsidRPr="00D045B3" w:rsidRDefault="00437835" w:rsidP="00437835">
      <w:pPr>
        <w:pStyle w:val="KeinLeerraum"/>
        <w:keepNext/>
        <w:rPr>
          <w:rFonts w:ascii="Times New Roman" w:hAnsi="Times New Roman"/>
          <w:u w:val="single"/>
        </w:rPr>
      </w:pPr>
      <w:r w:rsidRPr="00D045B3">
        <w:rPr>
          <w:rFonts w:ascii="Times New Roman" w:hAnsi="Times New Roman"/>
          <w:u w:val="single"/>
        </w:rPr>
        <w:t xml:space="preserve">Imatinib Actavis 400 mg kemény kapszula </w:t>
      </w:r>
    </w:p>
    <w:p w14:paraId="1E9274D0" w14:textId="77777777" w:rsidR="00437835" w:rsidRPr="00D045B3" w:rsidRDefault="00437835" w:rsidP="00437835">
      <w:pPr>
        <w:autoSpaceDE w:val="0"/>
        <w:autoSpaceDN w:val="0"/>
        <w:adjustRightInd w:val="0"/>
        <w:spacing w:line="240" w:lineRule="auto"/>
        <w:rPr>
          <w:lang w:val="hu-HU"/>
        </w:rPr>
      </w:pPr>
      <w:r w:rsidRPr="00D045B3">
        <w:rPr>
          <w:lang w:val="hu-HU"/>
        </w:rPr>
        <w:t>EU/1/13/825/020</w:t>
      </w:r>
    </w:p>
    <w:p w14:paraId="1E9274D1" w14:textId="77777777" w:rsidR="00437835" w:rsidRPr="00D045B3" w:rsidRDefault="00437835" w:rsidP="00437835">
      <w:pPr>
        <w:autoSpaceDE w:val="0"/>
        <w:autoSpaceDN w:val="0"/>
        <w:adjustRightInd w:val="0"/>
        <w:spacing w:line="240" w:lineRule="auto"/>
        <w:rPr>
          <w:lang w:val="hu-HU"/>
        </w:rPr>
      </w:pPr>
      <w:r w:rsidRPr="00D045B3">
        <w:rPr>
          <w:lang w:val="hu-HU"/>
        </w:rPr>
        <w:t>EU/1/13/825/021</w:t>
      </w:r>
    </w:p>
    <w:p w14:paraId="1E9274D2" w14:textId="77777777" w:rsidR="00437835" w:rsidRPr="00D045B3" w:rsidRDefault="00437835" w:rsidP="00437835">
      <w:pPr>
        <w:autoSpaceDE w:val="0"/>
        <w:autoSpaceDN w:val="0"/>
        <w:adjustRightInd w:val="0"/>
        <w:spacing w:line="240" w:lineRule="auto"/>
        <w:rPr>
          <w:lang w:val="hu-HU"/>
        </w:rPr>
      </w:pPr>
      <w:r w:rsidRPr="00D045B3">
        <w:rPr>
          <w:lang w:val="hu-HU"/>
        </w:rPr>
        <w:t>EU/1/13/825/022</w:t>
      </w:r>
    </w:p>
    <w:p w14:paraId="1E9274D3" w14:textId="77777777" w:rsidR="00437835" w:rsidRPr="00D045B3" w:rsidRDefault="00437835" w:rsidP="00437835">
      <w:pPr>
        <w:autoSpaceDE w:val="0"/>
        <w:autoSpaceDN w:val="0"/>
        <w:adjustRightInd w:val="0"/>
        <w:spacing w:line="240" w:lineRule="auto"/>
        <w:rPr>
          <w:lang w:val="hu-HU"/>
        </w:rPr>
      </w:pPr>
      <w:r w:rsidRPr="00D045B3">
        <w:rPr>
          <w:lang w:val="hu-HU"/>
        </w:rPr>
        <w:t>EU/1/13/825/023</w:t>
      </w:r>
    </w:p>
    <w:p w14:paraId="1E9274D4" w14:textId="77777777" w:rsidR="00437835" w:rsidRPr="00D045B3" w:rsidRDefault="00437835" w:rsidP="009E12FC">
      <w:pPr>
        <w:pStyle w:val="KeinLeerraum"/>
        <w:rPr>
          <w:rFonts w:ascii="Times New Roman" w:hAnsi="Times New Roman"/>
        </w:rPr>
      </w:pPr>
    </w:p>
    <w:p w14:paraId="1E9274D5" w14:textId="77777777" w:rsidR="009E12FC" w:rsidRPr="00D045B3" w:rsidRDefault="009E12FC" w:rsidP="00190CF7">
      <w:pPr>
        <w:pStyle w:val="KeinLeerraum"/>
        <w:keepNext/>
        <w:tabs>
          <w:tab w:val="left" w:pos="567"/>
        </w:tabs>
        <w:ind w:left="567" w:hanging="567"/>
        <w:rPr>
          <w:rFonts w:ascii="Times New Roman" w:hAnsi="Times New Roman"/>
          <w:b/>
        </w:rPr>
      </w:pPr>
      <w:r w:rsidRPr="00D045B3">
        <w:rPr>
          <w:rFonts w:ascii="Times New Roman" w:hAnsi="Times New Roman"/>
          <w:b/>
        </w:rPr>
        <w:t>9.</w:t>
      </w:r>
      <w:r w:rsidRPr="00D045B3">
        <w:rPr>
          <w:rFonts w:ascii="Times New Roman" w:hAnsi="Times New Roman"/>
          <w:b/>
        </w:rPr>
        <w:tab/>
        <w:t xml:space="preserve">A FORGALOMBA HOZATALI ENGEDÉLY ELSŐ KIADÁSÁNAK/ MEGÚJÍTÁSÁNAK DÁTUMA </w:t>
      </w:r>
    </w:p>
    <w:p w14:paraId="1E9274D6" w14:textId="77777777" w:rsidR="00147E0C" w:rsidRPr="00D045B3" w:rsidRDefault="00147E0C" w:rsidP="00C52208">
      <w:pPr>
        <w:pStyle w:val="KeinLeerraum"/>
        <w:keepNext/>
        <w:rPr>
          <w:rFonts w:ascii="Times New Roman" w:hAnsi="Times New Roman"/>
        </w:rPr>
      </w:pPr>
    </w:p>
    <w:p w14:paraId="1E9274D7" w14:textId="77777777" w:rsidR="009E12FC" w:rsidRPr="00D045B3" w:rsidRDefault="00147E0C" w:rsidP="00CA41FD">
      <w:pPr>
        <w:pStyle w:val="KeinLeerraum"/>
        <w:rPr>
          <w:rFonts w:ascii="Times New Roman" w:hAnsi="Times New Roman"/>
        </w:rPr>
      </w:pPr>
      <w:r w:rsidRPr="00D045B3">
        <w:rPr>
          <w:rFonts w:ascii="Times New Roman" w:hAnsi="Times New Roman"/>
        </w:rPr>
        <w:t>A forgalomba hozatali engedély első kiadásának dátuma: 2013. április 17.</w:t>
      </w:r>
    </w:p>
    <w:p w14:paraId="1E9274D9" w14:textId="77777777" w:rsidR="009913DC" w:rsidRPr="00D045B3" w:rsidRDefault="009913DC" w:rsidP="009E12FC">
      <w:pPr>
        <w:pStyle w:val="KeinLeerraum"/>
        <w:rPr>
          <w:rFonts w:ascii="Times New Roman" w:hAnsi="Times New Roman"/>
        </w:rPr>
      </w:pPr>
    </w:p>
    <w:p w14:paraId="1E9274DA" w14:textId="77777777" w:rsidR="009913DC" w:rsidRPr="00D045B3" w:rsidRDefault="009913DC" w:rsidP="009E12FC">
      <w:pPr>
        <w:pStyle w:val="KeinLeerraum"/>
        <w:rPr>
          <w:rFonts w:ascii="Times New Roman" w:hAnsi="Times New Roman"/>
        </w:rPr>
      </w:pPr>
    </w:p>
    <w:p w14:paraId="1E9274DB" w14:textId="77777777" w:rsidR="006B783B" w:rsidRPr="00D045B3" w:rsidRDefault="006B783B" w:rsidP="006B783B">
      <w:pPr>
        <w:spacing w:line="240" w:lineRule="auto"/>
        <w:ind w:left="567" w:hanging="567"/>
        <w:rPr>
          <w:b/>
          <w:color w:val="000000"/>
          <w:lang w:val="hu-HU"/>
        </w:rPr>
      </w:pPr>
      <w:r w:rsidRPr="00D045B3">
        <w:rPr>
          <w:b/>
          <w:color w:val="000000"/>
          <w:lang w:val="hu-HU"/>
        </w:rPr>
        <w:t>10.</w:t>
      </w:r>
      <w:r w:rsidRPr="00D045B3">
        <w:rPr>
          <w:b/>
          <w:color w:val="000000"/>
          <w:lang w:val="hu-HU"/>
        </w:rPr>
        <w:tab/>
        <w:t>A SZÖVEG ELLENŐRZÉSÉNEK DÁTUMA</w:t>
      </w:r>
    </w:p>
    <w:p w14:paraId="1E9274DC" w14:textId="77777777" w:rsidR="006B783B" w:rsidRPr="00D045B3" w:rsidRDefault="006B783B" w:rsidP="006B783B">
      <w:pPr>
        <w:spacing w:line="240" w:lineRule="auto"/>
        <w:ind w:left="567" w:hanging="567"/>
        <w:rPr>
          <w:color w:val="000000"/>
          <w:lang w:val="hu-HU"/>
        </w:rPr>
      </w:pPr>
    </w:p>
    <w:p w14:paraId="1E9274DD" w14:textId="77777777" w:rsidR="006B783B" w:rsidRPr="00D045B3" w:rsidRDefault="006B783B" w:rsidP="006B783B">
      <w:pPr>
        <w:spacing w:line="240" w:lineRule="auto"/>
        <w:rPr>
          <w:bCs/>
          <w:color w:val="000000"/>
          <w:lang w:val="hu-HU"/>
        </w:rPr>
      </w:pPr>
      <w:r w:rsidRPr="00D045B3">
        <w:rPr>
          <w:color w:val="000000"/>
          <w:lang w:val="hu-HU"/>
        </w:rPr>
        <w:t xml:space="preserve">A gyógyszerről részletes információ az Európai Gyógyszerügynökség internetes honlapján </w:t>
      </w:r>
      <w:r w:rsidR="0078699C" w:rsidRPr="00D045B3">
        <w:rPr>
          <w:lang w:val="hu-HU"/>
        </w:rPr>
        <w:t>(</w:t>
      </w:r>
      <w:hyperlink r:id="rId12" w:history="1">
        <w:r w:rsidR="0078699C" w:rsidRPr="00D045B3">
          <w:rPr>
            <w:rStyle w:val="Hyperlink"/>
            <w:lang w:val="hu-HU"/>
          </w:rPr>
          <w:t>http://www.ema.europa.eu</w:t>
        </w:r>
      </w:hyperlink>
      <w:r w:rsidR="0078699C" w:rsidRPr="00D045B3">
        <w:rPr>
          <w:lang w:val="hu-HU"/>
        </w:rPr>
        <w:t xml:space="preserve">) </w:t>
      </w:r>
      <w:r w:rsidRPr="00D045B3">
        <w:rPr>
          <w:iCs/>
          <w:color w:val="000000"/>
          <w:lang w:val="hu-HU"/>
        </w:rPr>
        <w:t>található.</w:t>
      </w:r>
    </w:p>
    <w:p w14:paraId="1E9274DE" w14:textId="77777777" w:rsidR="00171AC0" w:rsidRPr="00D045B3" w:rsidRDefault="00171AC0" w:rsidP="006B783B">
      <w:pPr>
        <w:pStyle w:val="KeinLeerraum"/>
        <w:keepNext/>
        <w:tabs>
          <w:tab w:val="left" w:pos="567"/>
        </w:tabs>
        <w:rPr>
          <w:rFonts w:ascii="Times New Roman" w:hAnsi="Times New Roman"/>
        </w:rPr>
      </w:pPr>
    </w:p>
    <w:p w14:paraId="1E9274DF" w14:textId="77777777" w:rsidR="006B783B" w:rsidRPr="00D045B3" w:rsidRDefault="0002185C" w:rsidP="00AC680A">
      <w:pPr>
        <w:pStyle w:val="KeinLeerraum"/>
        <w:keepNext/>
        <w:tabs>
          <w:tab w:val="left" w:pos="567"/>
        </w:tabs>
        <w:rPr>
          <w:rFonts w:ascii="Times New Roman" w:hAnsi="Times New Roman"/>
          <w:b/>
        </w:rPr>
      </w:pPr>
      <w:r w:rsidRPr="00D045B3">
        <w:rPr>
          <w:rFonts w:ascii="Times New Roman" w:hAnsi="Times New Roman"/>
        </w:rPr>
        <w:br w:type="page"/>
      </w:r>
      <w:r w:rsidR="006B783B" w:rsidRPr="00D045B3">
        <w:rPr>
          <w:rFonts w:ascii="Times New Roman" w:hAnsi="Times New Roman"/>
          <w:b/>
        </w:rPr>
        <w:t>1.</w:t>
      </w:r>
      <w:r w:rsidR="006B783B" w:rsidRPr="00D045B3">
        <w:rPr>
          <w:rFonts w:ascii="Times New Roman" w:hAnsi="Times New Roman"/>
          <w:b/>
        </w:rPr>
        <w:tab/>
        <w:t xml:space="preserve">A GYÓGYSZER NEVE </w:t>
      </w:r>
    </w:p>
    <w:p w14:paraId="1E9274E0" w14:textId="77777777" w:rsidR="006B783B" w:rsidRPr="00D045B3" w:rsidRDefault="006B783B" w:rsidP="006B783B">
      <w:pPr>
        <w:pStyle w:val="KeinLeerraum"/>
        <w:keepNext/>
        <w:rPr>
          <w:rFonts w:ascii="Times New Roman" w:hAnsi="Times New Roman"/>
        </w:rPr>
      </w:pPr>
    </w:p>
    <w:p w14:paraId="1E9274E1" w14:textId="77777777" w:rsidR="006B783B" w:rsidRPr="00D045B3" w:rsidRDefault="006B783B" w:rsidP="006B783B">
      <w:pPr>
        <w:pStyle w:val="KeinLeerraum"/>
        <w:keepNext/>
        <w:rPr>
          <w:rFonts w:ascii="Times New Roman" w:hAnsi="Times New Roman"/>
        </w:rPr>
      </w:pPr>
      <w:r w:rsidRPr="00D045B3">
        <w:rPr>
          <w:rFonts w:ascii="Times New Roman" w:hAnsi="Times New Roman"/>
        </w:rPr>
        <w:t>Imatinib Actavis 10</w:t>
      </w:r>
      <w:r w:rsidR="0002185C" w:rsidRPr="00D045B3">
        <w:rPr>
          <w:rFonts w:ascii="Times New Roman" w:hAnsi="Times New Roman"/>
        </w:rPr>
        <w:t>0</w:t>
      </w:r>
      <w:r w:rsidRPr="00D045B3">
        <w:rPr>
          <w:rFonts w:ascii="Times New Roman" w:hAnsi="Times New Roman"/>
        </w:rPr>
        <w:t xml:space="preserve"> mg </w:t>
      </w:r>
      <w:r w:rsidR="007B38BE" w:rsidRPr="00D045B3">
        <w:rPr>
          <w:rFonts w:ascii="Times New Roman" w:hAnsi="Times New Roman"/>
        </w:rPr>
        <w:t>filmtabletta</w:t>
      </w:r>
      <w:r w:rsidRPr="00D045B3">
        <w:rPr>
          <w:rFonts w:ascii="Times New Roman" w:hAnsi="Times New Roman"/>
        </w:rPr>
        <w:t xml:space="preserve"> </w:t>
      </w:r>
    </w:p>
    <w:p w14:paraId="1E9274E2" w14:textId="77777777" w:rsidR="001C2D59" w:rsidRPr="00D045B3" w:rsidRDefault="001C2D59" w:rsidP="001C2D59">
      <w:pPr>
        <w:pStyle w:val="KeinLeerraum"/>
        <w:keepNext/>
        <w:rPr>
          <w:rFonts w:ascii="Times New Roman" w:hAnsi="Times New Roman"/>
        </w:rPr>
      </w:pPr>
      <w:r w:rsidRPr="00D045B3">
        <w:rPr>
          <w:rFonts w:ascii="Times New Roman" w:hAnsi="Times New Roman"/>
        </w:rPr>
        <w:t xml:space="preserve">Imatinib Actavis 400 mg filmtabletta </w:t>
      </w:r>
    </w:p>
    <w:p w14:paraId="1E9274E3" w14:textId="77777777" w:rsidR="006B783B" w:rsidRPr="00D045B3" w:rsidRDefault="006B783B" w:rsidP="006B783B">
      <w:pPr>
        <w:pStyle w:val="KeinLeerraum"/>
        <w:rPr>
          <w:rFonts w:ascii="Times New Roman" w:hAnsi="Times New Roman"/>
        </w:rPr>
      </w:pPr>
    </w:p>
    <w:p w14:paraId="1E9274E4" w14:textId="77777777" w:rsidR="006B783B" w:rsidRPr="00D045B3" w:rsidRDefault="006B783B" w:rsidP="006B783B">
      <w:pPr>
        <w:pStyle w:val="KeinLeerraum"/>
        <w:rPr>
          <w:rFonts w:ascii="Times New Roman" w:hAnsi="Times New Roman"/>
        </w:rPr>
      </w:pPr>
    </w:p>
    <w:p w14:paraId="1E9274E5"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2.</w:t>
      </w:r>
      <w:r w:rsidRPr="00D045B3">
        <w:rPr>
          <w:rFonts w:ascii="Times New Roman" w:hAnsi="Times New Roman"/>
          <w:b/>
        </w:rPr>
        <w:tab/>
        <w:t xml:space="preserve">MINŐSÉGI ÉS MENNYISÉGI ÖSSZETÉTEL </w:t>
      </w:r>
    </w:p>
    <w:p w14:paraId="1E9274E6" w14:textId="77777777" w:rsidR="006B783B" w:rsidRPr="00D045B3" w:rsidRDefault="006B783B" w:rsidP="006B783B">
      <w:pPr>
        <w:pStyle w:val="KeinLeerraum"/>
        <w:keepNext/>
        <w:rPr>
          <w:rFonts w:ascii="Times New Roman" w:hAnsi="Times New Roman"/>
        </w:rPr>
      </w:pPr>
    </w:p>
    <w:p w14:paraId="1E9274E7" w14:textId="77777777" w:rsidR="001C2D59" w:rsidRPr="00D045B3" w:rsidRDefault="001C2D59" w:rsidP="001C2D59">
      <w:pPr>
        <w:pStyle w:val="KeinLeerraum"/>
        <w:keepNext/>
        <w:rPr>
          <w:rFonts w:ascii="Times New Roman" w:hAnsi="Times New Roman"/>
          <w:u w:val="single"/>
        </w:rPr>
      </w:pPr>
      <w:r w:rsidRPr="00D045B3">
        <w:rPr>
          <w:rFonts w:ascii="Times New Roman" w:hAnsi="Times New Roman"/>
          <w:u w:val="single"/>
        </w:rPr>
        <w:t>Imatinib Actavis 100 mg filmtabletta</w:t>
      </w:r>
    </w:p>
    <w:p w14:paraId="1E9274E8" w14:textId="77777777" w:rsidR="006B783B" w:rsidRPr="00D045B3" w:rsidRDefault="007B38BE" w:rsidP="006B783B">
      <w:pPr>
        <w:pStyle w:val="KeinLeerraum"/>
        <w:rPr>
          <w:rFonts w:ascii="Times New Roman" w:hAnsi="Times New Roman"/>
        </w:rPr>
      </w:pPr>
      <w:r w:rsidRPr="00D045B3">
        <w:rPr>
          <w:rFonts w:ascii="Times New Roman" w:hAnsi="Times New Roman"/>
        </w:rPr>
        <w:t>10</w:t>
      </w:r>
      <w:r w:rsidR="006B783B" w:rsidRPr="00D045B3">
        <w:rPr>
          <w:rFonts w:ascii="Times New Roman" w:hAnsi="Times New Roman"/>
        </w:rPr>
        <w:t xml:space="preserve">0 mg imatinib (mezilát formájában) </w:t>
      </w:r>
      <w:r w:rsidRPr="00D045B3">
        <w:rPr>
          <w:rFonts w:ascii="Times New Roman" w:hAnsi="Times New Roman"/>
        </w:rPr>
        <w:t>filmtablettánként</w:t>
      </w:r>
      <w:r w:rsidR="006B783B" w:rsidRPr="00D045B3">
        <w:rPr>
          <w:rFonts w:ascii="Times New Roman" w:hAnsi="Times New Roman"/>
        </w:rPr>
        <w:t xml:space="preserve">. </w:t>
      </w:r>
    </w:p>
    <w:p w14:paraId="1E9274E9" w14:textId="77777777" w:rsidR="006B783B" w:rsidRPr="00D045B3" w:rsidRDefault="006B783B" w:rsidP="006B783B">
      <w:pPr>
        <w:pStyle w:val="KeinLeerraum"/>
        <w:rPr>
          <w:rFonts w:ascii="Times New Roman" w:hAnsi="Times New Roman"/>
        </w:rPr>
      </w:pPr>
    </w:p>
    <w:p w14:paraId="1E9274EA" w14:textId="77777777" w:rsidR="007B38BE" w:rsidRPr="00D045B3" w:rsidRDefault="007B38BE" w:rsidP="00CA41FD">
      <w:pPr>
        <w:pStyle w:val="KeinLeerraum"/>
        <w:keepNext/>
        <w:rPr>
          <w:rFonts w:ascii="Times New Roman" w:hAnsi="Times New Roman"/>
          <w:i/>
        </w:rPr>
      </w:pPr>
      <w:r w:rsidRPr="00D045B3">
        <w:rPr>
          <w:rFonts w:ascii="Times New Roman" w:hAnsi="Times New Roman"/>
          <w:i/>
        </w:rPr>
        <w:t>Ismert hatású segédanyagok:</w:t>
      </w:r>
    </w:p>
    <w:p w14:paraId="1E9274EB" w14:textId="77777777" w:rsidR="007B38BE" w:rsidRPr="00D045B3" w:rsidRDefault="007B38BE" w:rsidP="006B783B">
      <w:pPr>
        <w:pStyle w:val="KeinLeerraum"/>
        <w:rPr>
          <w:rFonts w:ascii="Times New Roman" w:hAnsi="Times New Roman"/>
        </w:rPr>
      </w:pPr>
      <w:r w:rsidRPr="00D045B3">
        <w:rPr>
          <w:rFonts w:ascii="Times New Roman" w:hAnsi="Times New Roman"/>
        </w:rPr>
        <w:t>0,</w:t>
      </w:r>
      <w:r w:rsidR="001C2D59" w:rsidRPr="00D045B3">
        <w:rPr>
          <w:rFonts w:ascii="Times New Roman" w:hAnsi="Times New Roman"/>
        </w:rPr>
        <w:t>19 </w:t>
      </w:r>
      <w:r w:rsidRPr="00D045B3">
        <w:rPr>
          <w:rFonts w:ascii="Times New Roman" w:hAnsi="Times New Roman"/>
        </w:rPr>
        <w:t>mg (szója) lecitin</w:t>
      </w:r>
      <w:r w:rsidR="001C2D59" w:rsidRPr="00D045B3">
        <w:rPr>
          <w:rFonts w:ascii="Times New Roman" w:hAnsi="Times New Roman"/>
        </w:rPr>
        <w:t>t</w:t>
      </w:r>
      <w:r w:rsidRPr="00D045B3">
        <w:rPr>
          <w:rFonts w:ascii="Times New Roman" w:hAnsi="Times New Roman"/>
        </w:rPr>
        <w:t xml:space="preserve"> (E322)</w:t>
      </w:r>
      <w:r w:rsidR="001C2D59" w:rsidRPr="00D045B3">
        <w:rPr>
          <w:rFonts w:ascii="Times New Roman" w:hAnsi="Times New Roman"/>
        </w:rPr>
        <w:t xml:space="preserve"> tartalmaz filmtablettánként</w:t>
      </w:r>
      <w:r w:rsidRPr="00D045B3">
        <w:rPr>
          <w:rFonts w:ascii="Times New Roman" w:hAnsi="Times New Roman"/>
        </w:rPr>
        <w:t>.</w:t>
      </w:r>
    </w:p>
    <w:p w14:paraId="1E9274EC" w14:textId="77777777" w:rsidR="007B38BE" w:rsidRPr="00D045B3" w:rsidRDefault="007B38BE" w:rsidP="006B783B">
      <w:pPr>
        <w:pStyle w:val="KeinLeerraum"/>
        <w:rPr>
          <w:rFonts w:ascii="Times New Roman" w:hAnsi="Times New Roman"/>
        </w:rPr>
      </w:pPr>
    </w:p>
    <w:p w14:paraId="1E9274ED" w14:textId="77777777" w:rsidR="001C2D59" w:rsidRPr="00D045B3" w:rsidRDefault="001C2D59" w:rsidP="001C2D59">
      <w:pPr>
        <w:pStyle w:val="KeinLeerraum"/>
        <w:keepNext/>
        <w:rPr>
          <w:rFonts w:ascii="Times New Roman" w:hAnsi="Times New Roman"/>
          <w:u w:val="single"/>
        </w:rPr>
      </w:pPr>
      <w:r w:rsidRPr="00D045B3">
        <w:rPr>
          <w:rFonts w:ascii="Times New Roman" w:hAnsi="Times New Roman"/>
          <w:u w:val="single"/>
        </w:rPr>
        <w:t>Imatinib Actavis 400 mg filmtabletta</w:t>
      </w:r>
    </w:p>
    <w:p w14:paraId="1E9274EE" w14:textId="77777777" w:rsidR="001C2D59" w:rsidRPr="00D045B3" w:rsidRDefault="001C2D59" w:rsidP="001C2D59">
      <w:pPr>
        <w:pStyle w:val="KeinLeerraum"/>
        <w:rPr>
          <w:rFonts w:ascii="Times New Roman" w:hAnsi="Times New Roman"/>
        </w:rPr>
      </w:pPr>
      <w:r w:rsidRPr="00D045B3">
        <w:rPr>
          <w:rFonts w:ascii="Times New Roman" w:hAnsi="Times New Roman"/>
        </w:rPr>
        <w:t xml:space="preserve">400 mg imatinib (mezilát formájában) filmtablettánként. </w:t>
      </w:r>
    </w:p>
    <w:p w14:paraId="1E9274EF" w14:textId="77777777" w:rsidR="001C2D59" w:rsidRPr="00D045B3" w:rsidRDefault="001C2D59" w:rsidP="001C2D59">
      <w:pPr>
        <w:pStyle w:val="KeinLeerraum"/>
        <w:rPr>
          <w:rFonts w:ascii="Times New Roman" w:hAnsi="Times New Roman"/>
        </w:rPr>
      </w:pPr>
    </w:p>
    <w:p w14:paraId="1E9274F0" w14:textId="77777777" w:rsidR="001C2D59" w:rsidRPr="00D045B3" w:rsidRDefault="001C2D59" w:rsidP="001C2D59">
      <w:pPr>
        <w:pStyle w:val="KeinLeerraum"/>
        <w:keepNext/>
        <w:rPr>
          <w:rFonts w:ascii="Times New Roman" w:hAnsi="Times New Roman"/>
          <w:i/>
        </w:rPr>
      </w:pPr>
      <w:r w:rsidRPr="00D045B3">
        <w:rPr>
          <w:rFonts w:ascii="Times New Roman" w:hAnsi="Times New Roman"/>
          <w:i/>
        </w:rPr>
        <w:t>Ismert hatású segédanyagok:</w:t>
      </w:r>
    </w:p>
    <w:p w14:paraId="1E9274F1" w14:textId="77777777" w:rsidR="001C2D59" w:rsidRPr="00D045B3" w:rsidRDefault="001C2D59" w:rsidP="001C2D59">
      <w:pPr>
        <w:pStyle w:val="KeinLeerraum"/>
        <w:rPr>
          <w:rFonts w:ascii="Times New Roman" w:hAnsi="Times New Roman"/>
        </w:rPr>
      </w:pPr>
      <w:r w:rsidRPr="00D045B3">
        <w:rPr>
          <w:rFonts w:ascii="Times New Roman" w:hAnsi="Times New Roman"/>
        </w:rPr>
        <w:t>0,75 mg (szója) lecitint (E322) tartalmaz filmtablettánként.</w:t>
      </w:r>
    </w:p>
    <w:p w14:paraId="1E9274F2" w14:textId="77777777" w:rsidR="001C2D59" w:rsidRPr="00D045B3" w:rsidRDefault="001C2D59" w:rsidP="006B783B">
      <w:pPr>
        <w:pStyle w:val="KeinLeerraum"/>
        <w:rPr>
          <w:rFonts w:ascii="Times New Roman" w:hAnsi="Times New Roman"/>
        </w:rPr>
      </w:pPr>
    </w:p>
    <w:p w14:paraId="1E9274F3" w14:textId="77777777" w:rsidR="006B783B" w:rsidRPr="00D045B3" w:rsidRDefault="006B783B" w:rsidP="006B783B">
      <w:pPr>
        <w:pStyle w:val="KeinLeerraum"/>
        <w:rPr>
          <w:rFonts w:ascii="Times New Roman" w:hAnsi="Times New Roman"/>
        </w:rPr>
      </w:pPr>
      <w:r w:rsidRPr="00D045B3">
        <w:rPr>
          <w:rFonts w:ascii="Times New Roman" w:hAnsi="Times New Roman"/>
        </w:rPr>
        <w:t xml:space="preserve">A segédanyagok teljes listáját lásd a 6.1 pontban. </w:t>
      </w:r>
    </w:p>
    <w:p w14:paraId="1E9274F4" w14:textId="77777777" w:rsidR="006B783B" w:rsidRPr="00D045B3" w:rsidRDefault="006B783B" w:rsidP="006B783B">
      <w:pPr>
        <w:pStyle w:val="KeinLeerraum"/>
        <w:rPr>
          <w:rFonts w:ascii="Times New Roman" w:hAnsi="Times New Roman"/>
        </w:rPr>
      </w:pPr>
    </w:p>
    <w:p w14:paraId="1E9274F5" w14:textId="77777777" w:rsidR="006B783B" w:rsidRPr="00D045B3" w:rsidRDefault="006B783B" w:rsidP="006B783B">
      <w:pPr>
        <w:pStyle w:val="KeinLeerraum"/>
        <w:rPr>
          <w:rFonts w:ascii="Times New Roman" w:hAnsi="Times New Roman"/>
        </w:rPr>
      </w:pPr>
    </w:p>
    <w:p w14:paraId="1E9274F6"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3.</w:t>
      </w:r>
      <w:r w:rsidRPr="00D045B3">
        <w:rPr>
          <w:rFonts w:ascii="Times New Roman" w:hAnsi="Times New Roman"/>
          <w:b/>
        </w:rPr>
        <w:tab/>
        <w:t xml:space="preserve">GYÓGYSZERFORMA </w:t>
      </w:r>
    </w:p>
    <w:p w14:paraId="1E9274F7" w14:textId="77777777" w:rsidR="006B783B" w:rsidRPr="00D045B3" w:rsidRDefault="006B783B" w:rsidP="006B783B">
      <w:pPr>
        <w:pStyle w:val="KeinLeerraum"/>
        <w:keepNext/>
        <w:rPr>
          <w:rFonts w:ascii="Times New Roman" w:hAnsi="Times New Roman"/>
        </w:rPr>
      </w:pPr>
    </w:p>
    <w:p w14:paraId="1E9274F8" w14:textId="77777777" w:rsidR="006B783B" w:rsidRPr="00D045B3" w:rsidRDefault="007B38BE" w:rsidP="006B783B">
      <w:pPr>
        <w:pStyle w:val="KeinLeerraum"/>
        <w:keepNext/>
        <w:rPr>
          <w:rFonts w:ascii="Times New Roman" w:hAnsi="Times New Roman"/>
        </w:rPr>
      </w:pPr>
      <w:r w:rsidRPr="00D045B3">
        <w:rPr>
          <w:rFonts w:ascii="Times New Roman" w:hAnsi="Times New Roman"/>
        </w:rPr>
        <w:t>Filmtabletta</w:t>
      </w:r>
      <w:r w:rsidR="006B783B" w:rsidRPr="00D045B3">
        <w:rPr>
          <w:rFonts w:ascii="Times New Roman" w:hAnsi="Times New Roman"/>
        </w:rPr>
        <w:t>.</w:t>
      </w:r>
    </w:p>
    <w:p w14:paraId="1E9274F9" w14:textId="77777777" w:rsidR="001C2D59" w:rsidRPr="00D045B3" w:rsidRDefault="001C2D59" w:rsidP="00CA41FD">
      <w:pPr>
        <w:pStyle w:val="KeinLeerraum"/>
        <w:rPr>
          <w:rFonts w:ascii="Times New Roman" w:hAnsi="Times New Roman"/>
        </w:rPr>
      </w:pPr>
    </w:p>
    <w:p w14:paraId="1E9274FA" w14:textId="77777777" w:rsidR="001C2D59" w:rsidRPr="00D045B3" w:rsidRDefault="001C2D59" w:rsidP="001C2D59">
      <w:pPr>
        <w:pStyle w:val="KeinLeerraum"/>
        <w:keepNext/>
        <w:rPr>
          <w:rFonts w:ascii="Times New Roman" w:hAnsi="Times New Roman"/>
          <w:u w:val="single"/>
        </w:rPr>
      </w:pPr>
      <w:r w:rsidRPr="00D045B3">
        <w:rPr>
          <w:rFonts w:ascii="Times New Roman" w:hAnsi="Times New Roman"/>
          <w:u w:val="single"/>
        </w:rPr>
        <w:t>Imatinib Actavis 100 mg filmtabletta</w:t>
      </w:r>
    </w:p>
    <w:p w14:paraId="1E9274FB" w14:textId="77777777" w:rsidR="007B38BE" w:rsidRPr="00D045B3" w:rsidRDefault="007B38BE" w:rsidP="006B783B">
      <w:pPr>
        <w:pStyle w:val="KeinLeerraum"/>
        <w:rPr>
          <w:rFonts w:ascii="Times New Roman" w:eastAsia="Times New Roman" w:hAnsi="Times New Roman"/>
        </w:rPr>
      </w:pPr>
      <w:r w:rsidRPr="00D045B3">
        <w:rPr>
          <w:rFonts w:ascii="Times New Roman" w:eastAsia="Times New Roman" w:hAnsi="Times New Roman"/>
        </w:rPr>
        <w:t xml:space="preserve">Kerek, 9,2 mm átmérőjű, mindkét oldalán domború, sárga vagy barnás színű filmtabletta [tabletta], egyik oldalán dombornyomással a cég logója, a másikon a „36” jelölés </w:t>
      </w:r>
      <w:r w:rsidR="00301F98" w:rsidRPr="00D045B3">
        <w:rPr>
          <w:rFonts w:ascii="Times New Roman" w:eastAsia="Times New Roman" w:hAnsi="Times New Roman"/>
        </w:rPr>
        <w:t>és bemetszés található.</w:t>
      </w:r>
    </w:p>
    <w:p w14:paraId="1E9274FC" w14:textId="77777777" w:rsidR="00301F98" w:rsidRPr="00D045B3" w:rsidRDefault="00301F98" w:rsidP="006B783B">
      <w:pPr>
        <w:pStyle w:val="KeinLeerraum"/>
        <w:rPr>
          <w:rFonts w:ascii="Times New Roman" w:eastAsia="Times New Roman" w:hAnsi="Times New Roman"/>
        </w:rPr>
      </w:pPr>
      <w:r w:rsidRPr="00D045B3">
        <w:rPr>
          <w:rFonts w:ascii="Times New Roman" w:eastAsia="Times New Roman" w:hAnsi="Times New Roman"/>
        </w:rPr>
        <w:t>A tabletta egyenlő adagokra osztható.</w:t>
      </w:r>
    </w:p>
    <w:p w14:paraId="1E9274FD" w14:textId="77777777" w:rsidR="007B38BE" w:rsidRPr="00D045B3" w:rsidRDefault="007B38BE" w:rsidP="006B783B">
      <w:pPr>
        <w:pStyle w:val="KeinLeerraum"/>
        <w:rPr>
          <w:rFonts w:ascii="Times New Roman" w:eastAsia="Times New Roman" w:hAnsi="Times New Roman"/>
        </w:rPr>
      </w:pPr>
    </w:p>
    <w:p w14:paraId="1E9274FE" w14:textId="77777777" w:rsidR="001C2D59" w:rsidRPr="00D045B3" w:rsidRDefault="001C2D59" w:rsidP="001C2D59">
      <w:pPr>
        <w:pStyle w:val="KeinLeerraum"/>
        <w:keepNext/>
        <w:rPr>
          <w:rFonts w:ascii="Times New Roman" w:hAnsi="Times New Roman"/>
          <w:u w:val="single"/>
        </w:rPr>
      </w:pPr>
      <w:r w:rsidRPr="00D045B3">
        <w:rPr>
          <w:rFonts w:ascii="Times New Roman" w:hAnsi="Times New Roman"/>
          <w:u w:val="single"/>
        </w:rPr>
        <w:t>Imatinib Actavis 400 mg filmtabletta</w:t>
      </w:r>
    </w:p>
    <w:p w14:paraId="1E9274FF" w14:textId="77777777" w:rsidR="001C2D59" w:rsidRPr="00D045B3" w:rsidRDefault="001C2D59" w:rsidP="001C2D59">
      <w:pPr>
        <w:pStyle w:val="KeinLeerraum"/>
        <w:rPr>
          <w:rFonts w:ascii="Times New Roman" w:eastAsia="Times New Roman" w:hAnsi="Times New Roman"/>
        </w:rPr>
      </w:pPr>
      <w:r w:rsidRPr="00D045B3">
        <w:rPr>
          <w:rFonts w:ascii="Times New Roman" w:eastAsia="Times New Roman" w:hAnsi="Times New Roman"/>
        </w:rPr>
        <w:t>Ovális, 18,6</w:t>
      </w:r>
      <w:r w:rsidRPr="00D045B3">
        <w:rPr>
          <w:rFonts w:ascii="Times New Roman" w:hAnsi="Times New Roman"/>
        </w:rPr>
        <w:t> × </w:t>
      </w:r>
      <w:r w:rsidRPr="00D045B3">
        <w:rPr>
          <w:rFonts w:ascii="Times New Roman" w:eastAsia="Times New Roman" w:hAnsi="Times New Roman"/>
        </w:rPr>
        <w:t>6,6 mm méretű, mindkét oldalán domború, sötét sárga vagy barnás színű filmtabletta [tabletta], egyik oldalán dombornyomással a cég logója, a másikon a „37” jelölés és bemetszés található.</w:t>
      </w:r>
    </w:p>
    <w:p w14:paraId="1E927500" w14:textId="77777777" w:rsidR="001C2D59" w:rsidRPr="00D045B3" w:rsidRDefault="001C2D59" w:rsidP="001C2D59">
      <w:pPr>
        <w:pStyle w:val="KeinLeerraum"/>
        <w:rPr>
          <w:rFonts w:ascii="Times New Roman" w:hAnsi="Times New Roman"/>
        </w:rPr>
      </w:pPr>
      <w:r w:rsidRPr="00D045B3">
        <w:rPr>
          <w:rFonts w:ascii="Times New Roman" w:eastAsia="Times New Roman" w:hAnsi="Times New Roman"/>
        </w:rPr>
        <w:t>A tablettán lévő bemetszés nem a tabletta széttörésére szolgál</w:t>
      </w:r>
    </w:p>
    <w:p w14:paraId="1E927501" w14:textId="77777777" w:rsidR="006B783B" w:rsidRPr="00D045B3" w:rsidRDefault="006B783B" w:rsidP="006B783B">
      <w:pPr>
        <w:pStyle w:val="KeinLeerraum"/>
        <w:rPr>
          <w:rFonts w:ascii="Times New Roman" w:hAnsi="Times New Roman"/>
        </w:rPr>
      </w:pPr>
    </w:p>
    <w:p w14:paraId="1E927502" w14:textId="77777777" w:rsidR="001C2D59" w:rsidRPr="00D045B3" w:rsidRDefault="001C2D59" w:rsidP="006B783B">
      <w:pPr>
        <w:pStyle w:val="KeinLeerraum"/>
        <w:rPr>
          <w:rFonts w:ascii="Times New Roman" w:hAnsi="Times New Roman"/>
        </w:rPr>
      </w:pPr>
    </w:p>
    <w:p w14:paraId="1E927503"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w:t>
      </w:r>
      <w:r w:rsidRPr="00D045B3">
        <w:rPr>
          <w:rFonts w:ascii="Times New Roman" w:hAnsi="Times New Roman"/>
          <w:b/>
        </w:rPr>
        <w:tab/>
        <w:t xml:space="preserve">KLINIKAI JELLEMZŐK </w:t>
      </w:r>
    </w:p>
    <w:p w14:paraId="1E927504" w14:textId="77777777" w:rsidR="00FE5992" w:rsidRPr="00D045B3" w:rsidRDefault="00FE5992" w:rsidP="00FE5992">
      <w:pPr>
        <w:pStyle w:val="KeinLeerraum"/>
        <w:keepNext/>
        <w:rPr>
          <w:rFonts w:ascii="Times New Roman" w:hAnsi="Times New Roman"/>
        </w:rPr>
      </w:pPr>
    </w:p>
    <w:p w14:paraId="1E927505"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4.1</w:t>
      </w:r>
      <w:r w:rsidRPr="00D045B3">
        <w:rPr>
          <w:rFonts w:ascii="Times New Roman" w:hAnsi="Times New Roman"/>
          <w:b/>
        </w:rPr>
        <w:tab/>
        <w:t xml:space="preserve">Terápiás javallatok </w:t>
      </w:r>
    </w:p>
    <w:p w14:paraId="1E927506" w14:textId="77777777" w:rsidR="00FE5992" w:rsidRPr="00D045B3" w:rsidRDefault="00FE5992" w:rsidP="00FE5992">
      <w:pPr>
        <w:pStyle w:val="KeinLeerraum"/>
        <w:keepNext/>
        <w:rPr>
          <w:rFonts w:ascii="Times New Roman" w:hAnsi="Times New Roman"/>
        </w:rPr>
      </w:pPr>
    </w:p>
    <w:p w14:paraId="49FA27C2" w14:textId="77777777" w:rsidR="00BA5B21" w:rsidRPr="00D045B3" w:rsidRDefault="00BA5B21" w:rsidP="00BA5B21">
      <w:pPr>
        <w:pStyle w:val="KeinLeerraum"/>
        <w:keepNext/>
        <w:rPr>
          <w:rFonts w:ascii="Times New Roman" w:hAnsi="Times New Roman"/>
        </w:rPr>
      </w:pPr>
      <w:r w:rsidRPr="00D045B3">
        <w:rPr>
          <w:rFonts w:ascii="Times New Roman" w:hAnsi="Times New Roman"/>
        </w:rPr>
        <w:t xml:space="preserve">Az Imatinib Actavis az alábbiak kezelésére javallott: </w:t>
      </w:r>
    </w:p>
    <w:p w14:paraId="1CD423D5" w14:textId="77777777" w:rsidR="00BA5B21" w:rsidRPr="00D045B3" w:rsidRDefault="00BA5B21" w:rsidP="00BA5B21">
      <w:pPr>
        <w:pStyle w:val="KeinLeerraum"/>
        <w:keepNext/>
        <w:numPr>
          <w:ilvl w:val="0"/>
          <w:numId w:val="24"/>
        </w:numPr>
        <w:ind w:left="567" w:hanging="567"/>
        <w:rPr>
          <w:rFonts w:ascii="Times New Roman" w:hAnsi="Times New Roman"/>
        </w:rPr>
      </w:pPr>
      <w:r w:rsidRPr="00D045B3">
        <w:rPr>
          <w:rFonts w:ascii="Times New Roman" w:hAnsi="Times New Roman"/>
        </w:rPr>
        <w:t>újonnan diagnosztizált Philadelphia kromoszóma (bcr</w:t>
      </w:r>
      <w:r w:rsidRPr="00D045B3">
        <w:rPr>
          <w:rFonts w:ascii="Times New Roman" w:hAnsi="Times New Roman"/>
        </w:rPr>
        <w:noBreakHyphen/>
        <w:t xml:space="preserve">abl) pozitív (Ph+), krónikus myeloid leukaemiás (CML) </w:t>
      </w:r>
      <w:r w:rsidRPr="00F67173">
        <w:rPr>
          <w:rFonts w:ascii="Times New Roman" w:eastAsia="Times New Roman" w:hAnsi="Times New Roman"/>
          <w:noProof/>
        </w:rPr>
        <w:t>felnőttek,</w:t>
      </w:r>
      <w:r w:rsidRPr="00D045B3">
        <w:rPr>
          <w:rFonts w:ascii="Times New Roman" w:hAnsi="Times New Roman"/>
        </w:rPr>
        <w:t xml:space="preserve"> gyermekek </w:t>
      </w:r>
      <w:r w:rsidRPr="00F67173">
        <w:rPr>
          <w:rFonts w:ascii="Times New Roman" w:eastAsia="Times New Roman" w:hAnsi="Times New Roman"/>
          <w:noProof/>
        </w:rPr>
        <w:t>és serdülők</w:t>
      </w:r>
      <w:r w:rsidRPr="00D045B3">
        <w:rPr>
          <w:rFonts w:ascii="Times New Roman" w:hAnsi="Times New Roman"/>
        </w:rPr>
        <w:t xml:space="preserve"> kezelése, akiknél a csontvelő</w:t>
      </w:r>
      <w:r w:rsidRPr="00D045B3">
        <w:rPr>
          <w:rFonts w:ascii="Times New Roman" w:hAnsi="Times New Roman"/>
        </w:rPr>
        <w:noBreakHyphen/>
        <w:t xml:space="preserve">transzplantáció elsővonalbeli terápiaként nem jöhet szóba. </w:t>
      </w:r>
    </w:p>
    <w:p w14:paraId="116F5A81" w14:textId="77777777" w:rsidR="00BA5B21" w:rsidRPr="00D045B3" w:rsidRDefault="00BA5B21" w:rsidP="00BA5B21">
      <w:pPr>
        <w:pStyle w:val="KeinLeerraum"/>
        <w:numPr>
          <w:ilvl w:val="0"/>
          <w:numId w:val="24"/>
        </w:numPr>
        <w:ind w:left="567" w:hanging="567"/>
        <w:rPr>
          <w:rFonts w:ascii="Times New Roman" w:hAnsi="Times New Roman"/>
        </w:rPr>
      </w:pPr>
      <w:r w:rsidRPr="00D045B3">
        <w:rPr>
          <w:rFonts w:ascii="Times New Roman" w:hAnsi="Times New Roman"/>
        </w:rPr>
        <w:t>Ph+ CML</w:t>
      </w:r>
      <w:r w:rsidRPr="00D045B3">
        <w:rPr>
          <w:rFonts w:ascii="Times New Roman" w:hAnsi="Times New Roman"/>
        </w:rPr>
        <w:noBreakHyphen/>
        <w:t xml:space="preserve">ben szenvedő, sikertelen alfa interferon kezelés utáni krónikus fázisban, vagy akcelerált fázisban levő gyermekek kezelése. </w:t>
      </w:r>
    </w:p>
    <w:p w14:paraId="77EFBC36" w14:textId="77777777" w:rsidR="00BA5B21" w:rsidRPr="00D045B3" w:rsidRDefault="00BA5B21" w:rsidP="00F67173">
      <w:pPr>
        <w:pStyle w:val="KeinLeerraum"/>
        <w:numPr>
          <w:ilvl w:val="0"/>
          <w:numId w:val="24"/>
        </w:numPr>
        <w:ind w:left="567" w:hanging="567"/>
        <w:rPr>
          <w:rFonts w:ascii="Times New Roman" w:hAnsi="Times New Roman"/>
        </w:rPr>
      </w:pPr>
      <w:r w:rsidRPr="00D045B3">
        <w:rPr>
          <w:rFonts w:ascii="Times New Roman" w:hAnsi="Times New Roman"/>
        </w:rPr>
        <w:t>Ph+ CML</w:t>
      </w:r>
      <w:r w:rsidRPr="00D045B3">
        <w:rPr>
          <w:rFonts w:ascii="Times New Roman" w:hAnsi="Times New Roman"/>
        </w:rPr>
        <w:noBreakHyphen/>
        <w:t>ben szenvedő, blasztos krízisben levő felnőttek, gyermekek és serdülők kezelése.</w:t>
      </w:r>
    </w:p>
    <w:p w14:paraId="43144A0B" w14:textId="165F7C74" w:rsidR="00BA5B21" w:rsidRPr="00D045B3" w:rsidRDefault="00BA5B21" w:rsidP="00BA5B21">
      <w:pPr>
        <w:pStyle w:val="KeinLeerraum"/>
        <w:numPr>
          <w:ilvl w:val="0"/>
          <w:numId w:val="24"/>
        </w:numPr>
        <w:ind w:left="567" w:hanging="567"/>
        <w:rPr>
          <w:rFonts w:ascii="Times New Roman" w:hAnsi="Times New Roman"/>
        </w:rPr>
      </w:pPr>
      <w:r w:rsidRPr="00D045B3">
        <w:rPr>
          <w:rFonts w:ascii="Times New Roman" w:hAnsi="Times New Roman"/>
        </w:rPr>
        <w:t>újonnan diagnosztizált Philadelphia kromoszóma pozitív, akut lymphoblastos leukaemiában (Ph+ALL) szenvedő felnőttek, gyermekek és serdülők kezelése kemoterápiával integrálva.</w:t>
      </w:r>
    </w:p>
    <w:p w14:paraId="7C696D85" w14:textId="77777777" w:rsidR="00BA5B21" w:rsidRPr="00D045B3" w:rsidRDefault="00BA5B21" w:rsidP="00BA5B21">
      <w:pPr>
        <w:pStyle w:val="Default"/>
        <w:numPr>
          <w:ilvl w:val="0"/>
          <w:numId w:val="24"/>
        </w:numPr>
        <w:ind w:left="567" w:hanging="567"/>
        <w:rPr>
          <w:sz w:val="22"/>
          <w:szCs w:val="22"/>
        </w:rPr>
      </w:pPr>
      <w:r w:rsidRPr="00D045B3">
        <w:rPr>
          <w:sz w:val="22"/>
          <w:szCs w:val="22"/>
        </w:rPr>
        <w:t>recidivált vagy refrakter Ph+ ALL</w:t>
      </w:r>
      <w:r w:rsidRPr="00D045B3">
        <w:rPr>
          <w:sz w:val="22"/>
          <w:szCs w:val="22"/>
        </w:rPr>
        <w:noBreakHyphen/>
        <w:t xml:space="preserve">ben szenvedő felnőtt betegek kezelése, monoterápiaként. </w:t>
      </w:r>
    </w:p>
    <w:p w14:paraId="739B8C3D" w14:textId="77777777" w:rsidR="00BA5B21" w:rsidRPr="00D045B3" w:rsidRDefault="00BA5B21" w:rsidP="00BA5B21">
      <w:pPr>
        <w:pStyle w:val="Default"/>
        <w:numPr>
          <w:ilvl w:val="0"/>
          <w:numId w:val="24"/>
        </w:numPr>
        <w:spacing w:after="38"/>
        <w:ind w:left="567" w:hanging="567"/>
        <w:rPr>
          <w:sz w:val="22"/>
          <w:szCs w:val="22"/>
        </w:rPr>
      </w:pPr>
      <w:r w:rsidRPr="00D045B3">
        <w:rPr>
          <w:sz w:val="22"/>
          <w:szCs w:val="22"/>
        </w:rPr>
        <w:t xml:space="preserve">PDGFR („platelet derived growth factor receptor”) génátrendeződéssel társuló myelodysplasiás/myeloproliferatív betegségben (MDS/MPD) szenvedő felnőtt betegek kezelése. </w:t>
      </w:r>
    </w:p>
    <w:p w14:paraId="315FE2D8" w14:textId="68361D1E" w:rsidR="00BA5B21" w:rsidRPr="00D045B3" w:rsidRDefault="00BA5B21" w:rsidP="00BA5B21">
      <w:pPr>
        <w:pStyle w:val="Default"/>
        <w:numPr>
          <w:ilvl w:val="0"/>
          <w:numId w:val="24"/>
        </w:numPr>
        <w:ind w:left="567" w:hanging="567"/>
        <w:rPr>
          <w:sz w:val="22"/>
          <w:szCs w:val="22"/>
        </w:rPr>
      </w:pPr>
      <w:r w:rsidRPr="00D045B3">
        <w:rPr>
          <w:sz w:val="22"/>
          <w:szCs w:val="22"/>
        </w:rPr>
        <w:t>FIP1L1-PDGFR</w:t>
      </w:r>
      <w:r w:rsidRPr="00D045B3">
        <w:rPr>
          <w:rFonts w:eastAsia="Times New Roman"/>
        </w:rPr>
        <w:t>α</w:t>
      </w:r>
      <w:r w:rsidRPr="00D045B3">
        <w:rPr>
          <w:sz w:val="22"/>
          <w:szCs w:val="22"/>
        </w:rPr>
        <w:t xml:space="preserve"> átrendeződéssel járó, előrehaladott hypereosinophilia szindrómában (HES) és/vagy krónikus eosinophiliás leukaemiában (CEL) szenvedő felnőttek kezelése. </w:t>
      </w:r>
    </w:p>
    <w:p w14:paraId="468E347C" w14:textId="77777777" w:rsidR="00BA5B21" w:rsidRPr="00D045B3" w:rsidRDefault="00BA5B21" w:rsidP="00BA5B21">
      <w:pPr>
        <w:pStyle w:val="KeinLeerraum"/>
        <w:rPr>
          <w:rFonts w:ascii="Times New Roman" w:hAnsi="Times New Roman"/>
        </w:rPr>
      </w:pPr>
    </w:p>
    <w:p w14:paraId="1E927510" w14:textId="77777777" w:rsidR="00FE5992" w:rsidRPr="00D045B3" w:rsidRDefault="00FE5992" w:rsidP="00FE5992">
      <w:pPr>
        <w:pStyle w:val="KeinLeerraum"/>
        <w:rPr>
          <w:rFonts w:ascii="Times New Roman" w:hAnsi="Times New Roman"/>
        </w:rPr>
      </w:pPr>
      <w:r w:rsidRPr="00D045B3">
        <w:rPr>
          <w:rFonts w:ascii="Times New Roman" w:hAnsi="Times New Roman"/>
        </w:rPr>
        <w:t>Az imatinib csontvelő</w:t>
      </w:r>
      <w:r w:rsidRPr="00D045B3">
        <w:rPr>
          <w:rFonts w:ascii="Times New Roman" w:hAnsi="Times New Roman"/>
        </w:rPr>
        <w:noBreakHyphen/>
        <w:t>transzplantáció kimenetelére gyakorolt hatását még nem állapították meg.</w:t>
      </w:r>
    </w:p>
    <w:p w14:paraId="1E927511" w14:textId="77777777" w:rsidR="00FE5992" w:rsidRPr="00D045B3" w:rsidRDefault="00FE5992" w:rsidP="00FE5992">
      <w:pPr>
        <w:pStyle w:val="KeinLeerraum"/>
        <w:rPr>
          <w:rFonts w:ascii="Times New Roman" w:hAnsi="Times New Roman"/>
        </w:rPr>
      </w:pPr>
    </w:p>
    <w:p w14:paraId="1E927512" w14:textId="77777777" w:rsidR="00FE5992" w:rsidRPr="00D045B3" w:rsidRDefault="00FE5992" w:rsidP="00FE5992">
      <w:pPr>
        <w:pStyle w:val="Default"/>
        <w:rPr>
          <w:sz w:val="22"/>
          <w:szCs w:val="22"/>
        </w:rPr>
      </w:pPr>
      <w:r w:rsidRPr="00D045B3">
        <w:rPr>
          <w:sz w:val="22"/>
          <w:szCs w:val="22"/>
        </w:rPr>
        <w:t xml:space="preserve">Az Imatinib Actavis alkalmazása javallott: </w:t>
      </w:r>
    </w:p>
    <w:p w14:paraId="1E927513" w14:textId="77777777" w:rsidR="00FE5992" w:rsidRPr="00D045B3" w:rsidRDefault="00FE5992" w:rsidP="00E95370">
      <w:pPr>
        <w:pStyle w:val="Default"/>
        <w:numPr>
          <w:ilvl w:val="0"/>
          <w:numId w:val="25"/>
        </w:numPr>
        <w:ind w:left="567" w:hanging="567"/>
        <w:rPr>
          <w:sz w:val="22"/>
          <w:szCs w:val="22"/>
        </w:rPr>
      </w:pPr>
      <w:r w:rsidRPr="00D045B3">
        <w:rPr>
          <w:sz w:val="22"/>
          <w:szCs w:val="22"/>
        </w:rPr>
        <w:t>nem reszekábilis dermatofibrosarcoma protuberansban (DFSP), valamint recidiváló és/vagy metasztatikus DFSP</w:t>
      </w:r>
      <w:r w:rsidRPr="00D045B3">
        <w:rPr>
          <w:sz w:val="22"/>
          <w:szCs w:val="22"/>
        </w:rPr>
        <w:noBreakHyphen/>
        <w:t xml:space="preserve">ben szenvedő, műtétre nem alkalmas felnőtt betegek kezelésére. </w:t>
      </w:r>
    </w:p>
    <w:p w14:paraId="1E927514" w14:textId="77777777" w:rsidR="00FE5992" w:rsidRPr="00D045B3" w:rsidRDefault="00FE5992" w:rsidP="00FE5992">
      <w:pPr>
        <w:pStyle w:val="KeinLeerraum"/>
        <w:rPr>
          <w:rFonts w:ascii="Times New Roman" w:hAnsi="Times New Roman"/>
        </w:rPr>
      </w:pPr>
    </w:p>
    <w:p w14:paraId="1E927515" w14:textId="7F0803D4" w:rsidR="00FE5992" w:rsidRPr="00D045B3" w:rsidRDefault="00FE5992" w:rsidP="008A6837">
      <w:pPr>
        <w:pStyle w:val="Default"/>
        <w:rPr>
          <w:sz w:val="22"/>
          <w:szCs w:val="22"/>
        </w:rPr>
      </w:pPr>
      <w:r w:rsidRPr="00D045B3">
        <w:rPr>
          <w:sz w:val="22"/>
          <w:szCs w:val="22"/>
        </w:rPr>
        <w:t>Felnőtt és gyermekgyógyászati betegeknél az imatinib CML</w:t>
      </w:r>
      <w:r w:rsidRPr="00D045B3">
        <w:rPr>
          <w:sz w:val="22"/>
          <w:szCs w:val="22"/>
        </w:rPr>
        <w:noBreakHyphen/>
        <w:t>ben mutatott hatásosságát a teljes hematológiai és cytogenetikai válaszarány, valamint a progressziómentes túlélés, Ph+ ALL</w:t>
      </w:r>
      <w:r w:rsidRPr="00D045B3">
        <w:rPr>
          <w:sz w:val="22"/>
          <w:szCs w:val="22"/>
        </w:rPr>
        <w:noBreakHyphen/>
        <w:t>ben és MDS/MPD</w:t>
      </w:r>
      <w:r w:rsidRPr="00D045B3">
        <w:rPr>
          <w:sz w:val="22"/>
          <w:szCs w:val="22"/>
        </w:rPr>
        <w:noBreakHyphen/>
        <w:t>ben a hematológiai és cytogenetikai válaszarány, HES/CEL</w:t>
      </w:r>
      <w:r w:rsidRPr="00D045B3">
        <w:rPr>
          <w:sz w:val="22"/>
          <w:szCs w:val="22"/>
        </w:rPr>
        <w:noBreakHyphen/>
        <w:t>ben a hematológiai válaszarány, nem reszekábilis és/vagy metasztatikus DFSP</w:t>
      </w:r>
      <w:r w:rsidRPr="00D045B3">
        <w:rPr>
          <w:sz w:val="22"/>
          <w:szCs w:val="22"/>
        </w:rPr>
        <w:noBreakHyphen/>
        <w:t>ben szenvedő felnőtteknél pedig az objektív válaszarány határozza meg. PDGFR génátrendeződéssel társuló MDS/MPD</w:t>
      </w:r>
      <w:r w:rsidRPr="00D045B3">
        <w:rPr>
          <w:sz w:val="22"/>
          <w:szCs w:val="22"/>
        </w:rPr>
        <w:noBreakHyphen/>
        <w:t>ben szenvedő betegek imatinib</w:t>
      </w:r>
      <w:r w:rsidRPr="00D045B3">
        <w:rPr>
          <w:sz w:val="22"/>
          <w:szCs w:val="22"/>
        </w:rPr>
        <w:noBreakHyphen/>
        <w:t>kezelésére vonatkozóan csak igen korlátozott számban állnak rendelkezésre tapasztalatok (lásd 5.1 pont). Nin</w:t>
      </w:r>
      <w:r w:rsidRPr="00D045B3">
        <w:rPr>
          <w:color w:val="auto"/>
          <w:sz w:val="22"/>
          <w:szCs w:val="22"/>
        </w:rPr>
        <w:t>csenek olyan kontroll</w:t>
      </w:r>
      <w:r w:rsidR="000D57F6" w:rsidRPr="00D045B3">
        <w:rPr>
          <w:color w:val="auto"/>
          <w:sz w:val="22"/>
          <w:szCs w:val="22"/>
        </w:rPr>
        <w:t>os</w:t>
      </w:r>
      <w:r w:rsidRPr="00D045B3">
        <w:rPr>
          <w:color w:val="auto"/>
          <w:sz w:val="22"/>
          <w:szCs w:val="22"/>
        </w:rPr>
        <w:t xml:space="preserve"> vizsgálatok, amelyek klinikai előnyt, vagy meghosszabbodott túlélést igazolnának ezen betegségek bármelyikében.</w:t>
      </w:r>
    </w:p>
    <w:p w14:paraId="1E927516" w14:textId="77777777" w:rsidR="00FE5992" w:rsidRPr="00D045B3" w:rsidRDefault="00FE5992" w:rsidP="00FE5992">
      <w:pPr>
        <w:pStyle w:val="KeinLeerraum"/>
        <w:rPr>
          <w:rFonts w:ascii="Times New Roman" w:hAnsi="Times New Roman"/>
        </w:rPr>
      </w:pPr>
    </w:p>
    <w:p w14:paraId="1E927517"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4.2</w:t>
      </w:r>
      <w:r w:rsidRPr="00D045B3">
        <w:rPr>
          <w:rFonts w:ascii="Times New Roman" w:hAnsi="Times New Roman"/>
          <w:b/>
        </w:rPr>
        <w:tab/>
        <w:t xml:space="preserve">Adagolás és alkalmazás </w:t>
      </w:r>
    </w:p>
    <w:p w14:paraId="1E927518" w14:textId="77777777" w:rsidR="00FE5992" w:rsidRPr="00D045B3" w:rsidRDefault="00FE5992" w:rsidP="00FE5992">
      <w:pPr>
        <w:pStyle w:val="KeinLeerraum"/>
        <w:keepNext/>
        <w:rPr>
          <w:rFonts w:ascii="Times New Roman" w:hAnsi="Times New Roman"/>
        </w:rPr>
      </w:pPr>
    </w:p>
    <w:p w14:paraId="1E927519" w14:textId="77777777" w:rsidR="00FE5992" w:rsidRPr="00D045B3" w:rsidRDefault="00FE5992" w:rsidP="00FE5992">
      <w:pPr>
        <w:pStyle w:val="KeinLeerraum"/>
        <w:keepNext/>
        <w:rPr>
          <w:rFonts w:ascii="Times New Roman" w:hAnsi="Times New Roman"/>
        </w:rPr>
      </w:pPr>
      <w:r w:rsidRPr="00D045B3">
        <w:rPr>
          <w:rFonts w:ascii="Times New Roman" w:hAnsi="Times New Roman"/>
        </w:rPr>
        <w:t xml:space="preserve">A terápiát - a betegségtől függően – a hematológiai malignitások és malignus sarcomák kezelésében jártas orvosnak kell elindítania. </w:t>
      </w:r>
    </w:p>
    <w:p w14:paraId="1E92751A" w14:textId="77777777" w:rsidR="00FE5992" w:rsidRPr="00D045B3" w:rsidRDefault="00FE5992" w:rsidP="00FE5992">
      <w:pPr>
        <w:pStyle w:val="KeinLeerraum"/>
        <w:rPr>
          <w:rFonts w:ascii="Times New Roman" w:hAnsi="Times New Roman"/>
        </w:rPr>
      </w:pPr>
    </w:p>
    <w:p w14:paraId="1E92751B"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Adagolás</w:t>
      </w:r>
    </w:p>
    <w:p w14:paraId="1E92751C" w14:textId="77777777" w:rsidR="00FE5992" w:rsidRPr="00D045B3" w:rsidRDefault="00FE5992" w:rsidP="00FE5992">
      <w:pPr>
        <w:pStyle w:val="KeinLeerraum"/>
        <w:keepNext/>
        <w:rPr>
          <w:rFonts w:ascii="Times New Roman" w:hAnsi="Times New Roman"/>
        </w:rPr>
      </w:pPr>
    </w:p>
    <w:p w14:paraId="1E92751D"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Adagolás CML</w:t>
      </w:r>
      <w:r w:rsidRPr="00D045B3">
        <w:rPr>
          <w:rFonts w:ascii="Times New Roman" w:hAnsi="Times New Roman"/>
          <w:u w:val="single"/>
        </w:rPr>
        <w:noBreakHyphen/>
        <w:t>ben szenvedő felnőtt betegek számára</w:t>
      </w:r>
    </w:p>
    <w:p w14:paraId="1E927522"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Blasztos krízisben levő felnőtt betegeknek az imatinib ajánlott dózisa 600 mg/nap. A blasztos krízis meghatározása: a blasztsejtek száma a vérben vagy a csontvelőben ≥ 30%, vagy a hepatosplenomegalián kívül más extramedulláris betegség áll fenn. </w:t>
      </w:r>
    </w:p>
    <w:p w14:paraId="1E927523" w14:textId="77777777" w:rsidR="00FE5992" w:rsidRPr="00D045B3" w:rsidRDefault="00FE5992" w:rsidP="00FE5992">
      <w:pPr>
        <w:pStyle w:val="KeinLeerraum"/>
        <w:rPr>
          <w:rFonts w:ascii="Times New Roman" w:hAnsi="Times New Roman"/>
        </w:rPr>
      </w:pPr>
    </w:p>
    <w:p w14:paraId="1E927524" w14:textId="411CB87F" w:rsidR="00FE5992" w:rsidRPr="00D045B3" w:rsidRDefault="00FE5992" w:rsidP="00FE5992">
      <w:pPr>
        <w:pStyle w:val="KeinLeerraum"/>
        <w:rPr>
          <w:rFonts w:ascii="Times New Roman" w:hAnsi="Times New Roman"/>
        </w:rPr>
      </w:pPr>
      <w:r w:rsidRPr="00D045B3">
        <w:rPr>
          <w:rFonts w:ascii="Times New Roman" w:hAnsi="Times New Roman"/>
        </w:rPr>
        <w:t>A kezelés időtartama: Klinikai vizsgálatokban az imatinib</w:t>
      </w:r>
      <w:r w:rsidRPr="00D045B3">
        <w:rPr>
          <w:rFonts w:ascii="Times New Roman" w:hAnsi="Times New Roman"/>
        </w:rPr>
        <w:noBreakHyphen/>
        <w:t xml:space="preserve">kezelést a betegség progressziójáig folytatták. A </w:t>
      </w:r>
      <w:r w:rsidR="000D57F6" w:rsidRPr="00D045B3">
        <w:rPr>
          <w:rFonts w:ascii="Times New Roman" w:hAnsi="Times New Roman"/>
        </w:rPr>
        <w:t xml:space="preserve">kezelés leállításának hatását, ha az a </w:t>
      </w:r>
      <w:r w:rsidRPr="00D045B3">
        <w:rPr>
          <w:rFonts w:ascii="Times New Roman" w:hAnsi="Times New Roman"/>
        </w:rPr>
        <w:t>teljes cytogenetikai válasz elérése után történ</w:t>
      </w:r>
      <w:r w:rsidR="000D57F6" w:rsidRPr="00D045B3">
        <w:rPr>
          <w:rFonts w:ascii="Times New Roman" w:hAnsi="Times New Roman"/>
        </w:rPr>
        <w:t>t,</w:t>
      </w:r>
      <w:r w:rsidRPr="00D045B3">
        <w:rPr>
          <w:rFonts w:ascii="Times New Roman" w:hAnsi="Times New Roman"/>
        </w:rPr>
        <w:t xml:space="preserve"> nem </w:t>
      </w:r>
      <w:r w:rsidR="000D57F6" w:rsidRPr="00D045B3">
        <w:rPr>
          <w:rFonts w:ascii="Times New Roman" w:hAnsi="Times New Roman"/>
        </w:rPr>
        <w:t>vizsgálták</w:t>
      </w:r>
      <w:r w:rsidRPr="00D045B3">
        <w:rPr>
          <w:rFonts w:ascii="Times New Roman" w:hAnsi="Times New Roman"/>
        </w:rPr>
        <w:t xml:space="preserve">. </w:t>
      </w:r>
    </w:p>
    <w:p w14:paraId="1E927525" w14:textId="77777777" w:rsidR="00FE5992" w:rsidRPr="00D045B3" w:rsidRDefault="00FE5992" w:rsidP="00FE5992">
      <w:pPr>
        <w:pStyle w:val="KeinLeerraum"/>
        <w:rPr>
          <w:rFonts w:ascii="Times New Roman" w:hAnsi="Times New Roman"/>
        </w:rPr>
      </w:pPr>
    </w:p>
    <w:p w14:paraId="1E927526" w14:textId="60DCB115" w:rsidR="00FE5992" w:rsidRPr="00D045B3" w:rsidRDefault="00FE5992" w:rsidP="00FE5992">
      <w:pPr>
        <w:pStyle w:val="KeinLeerraum"/>
        <w:rPr>
          <w:rFonts w:ascii="Times New Roman" w:hAnsi="Times New Roman"/>
        </w:rPr>
      </w:pPr>
      <w:r w:rsidRPr="00D045B3">
        <w:rPr>
          <w:rFonts w:ascii="Times New Roman" w:hAnsi="Times New Roman"/>
        </w:rPr>
        <w:t>Blasztos krízisben lévő betegeknél - amennyiben nincs jelen súlyos gyógyszer</w:t>
      </w:r>
      <w:r w:rsidRPr="00D045B3">
        <w:rPr>
          <w:rFonts w:ascii="Times New Roman" w:hAnsi="Times New Roman"/>
        </w:rPr>
        <w:noBreakHyphen/>
        <w:t>mellékhatás, ill. súlyos, nem leukaemiával összefüggő neutropenia vagy thrombocytopenia - megfontolható a dózis 600 mg</w:t>
      </w:r>
      <w:r w:rsidRPr="00D045B3">
        <w:rPr>
          <w:rFonts w:ascii="Times New Roman" w:hAnsi="Times New Roman"/>
        </w:rPr>
        <w:noBreakHyphen/>
        <w:t>ról a maximális 800 mg</w:t>
      </w:r>
      <w:r w:rsidRPr="00D045B3">
        <w:rPr>
          <w:rFonts w:ascii="Times New Roman" w:hAnsi="Times New Roman"/>
        </w:rPr>
        <w:noBreakHyphen/>
        <w:t xml:space="preserve">ra (naponta kétszer 400 mg) emelése a következő esetekben: a betegség (bármely időben bekövetkező) progressziója; ha legalább 3 hónapos kezelést követően sem érhető el megfelelő hematológiai válasz; 12 hónapos kezelés után sincs cytogenetikai válasz; vagy a korábban elért hematológiai és/vagy cytogenetikai válasz már nem tapasztalható. Dózisemeléskor a betegek szoros monitorozása szükséges, mivel magasabb dózisok mellett fokozódik a mellékhatások előfordulásának kockázata. </w:t>
      </w:r>
    </w:p>
    <w:p w14:paraId="1E927527" w14:textId="77777777" w:rsidR="00FE5992" w:rsidRPr="00D045B3" w:rsidRDefault="00FE5992" w:rsidP="00FE5992">
      <w:pPr>
        <w:pStyle w:val="KeinLeerraum"/>
        <w:rPr>
          <w:rFonts w:ascii="Times New Roman" w:hAnsi="Times New Roman"/>
        </w:rPr>
      </w:pPr>
    </w:p>
    <w:p w14:paraId="1E927528"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Adagolás CML</w:t>
      </w:r>
      <w:r w:rsidRPr="00D045B3">
        <w:rPr>
          <w:rFonts w:ascii="Times New Roman" w:hAnsi="Times New Roman"/>
          <w:u w:val="single"/>
        </w:rPr>
        <w:noBreakHyphen/>
        <w:t xml:space="preserve">ben szenvedő gyermekgyógyászati betegek számára </w:t>
      </w:r>
    </w:p>
    <w:p w14:paraId="1E927529" w14:textId="6DBEDB10" w:rsidR="00FE5992" w:rsidRPr="00D045B3" w:rsidRDefault="00FE5992" w:rsidP="00CA41FD">
      <w:pPr>
        <w:pStyle w:val="KeinLeerraum"/>
        <w:rPr>
          <w:rFonts w:ascii="Times New Roman" w:hAnsi="Times New Roman"/>
        </w:rPr>
      </w:pPr>
      <w:r w:rsidRPr="00D045B3">
        <w:rPr>
          <w:rFonts w:ascii="Times New Roman" w:hAnsi="Times New Roman"/>
        </w:rPr>
        <w:t>Gyermekeknél az adagolást a testfelszín (mg/m</w:t>
      </w:r>
      <w:r w:rsidRPr="00D045B3">
        <w:rPr>
          <w:rFonts w:ascii="Times New Roman" w:hAnsi="Times New Roman"/>
          <w:vertAlign w:val="superscript"/>
        </w:rPr>
        <w:t>2</w:t>
      </w:r>
      <w:r w:rsidRPr="00D045B3">
        <w:rPr>
          <w:rFonts w:ascii="Times New Roman" w:hAnsi="Times New Roman"/>
        </w:rPr>
        <w:t>) alapján kell kiszámolni. Gyermekek esetében krónikus, ill. előrehaladott fázisú CML</w:t>
      </w:r>
      <w:r w:rsidRPr="00D045B3">
        <w:rPr>
          <w:rFonts w:ascii="Times New Roman" w:hAnsi="Times New Roman"/>
        </w:rPr>
        <w:noBreakHyphen/>
        <w:t>ben napi 340 mg/m</w:t>
      </w:r>
      <w:r w:rsidRPr="00D045B3">
        <w:rPr>
          <w:rFonts w:ascii="Times New Roman" w:hAnsi="Times New Roman"/>
          <w:vertAlign w:val="superscript"/>
        </w:rPr>
        <w:t>2</w:t>
      </w:r>
      <w:r w:rsidRPr="00D045B3">
        <w:rPr>
          <w:rFonts w:ascii="Times New Roman" w:hAnsi="Times New Roman"/>
        </w:rPr>
        <w:t xml:space="preserve"> dózis ajánlott (a teljes dózis nem haladhatja meg a 800 mg</w:t>
      </w:r>
      <w:r w:rsidRPr="00D045B3">
        <w:rPr>
          <w:rFonts w:ascii="Times New Roman" w:hAnsi="Times New Roman"/>
        </w:rPr>
        <w:noBreakHyphen/>
        <w:t xml:space="preserve">ot). A kezelés napi egyszeri dózisban adható, vagy alternatív megoldásként a napi adagot két (reggeli és esti) részre osztva is be lehet adni. Az adagolási javaslat jelenleg csupán kisszámú gyermekgyógyászati beteg adatain alapul (lásd 5.1 és 5.2 pont). 2 éves kor alatti gyermekek kezelésére vonatkozóan nincs tapasztalat. </w:t>
      </w:r>
    </w:p>
    <w:p w14:paraId="1E92752A" w14:textId="77777777" w:rsidR="00FE5992" w:rsidRPr="00D045B3" w:rsidRDefault="00FE5992" w:rsidP="00FE5992">
      <w:pPr>
        <w:pStyle w:val="KeinLeerraum"/>
        <w:rPr>
          <w:rFonts w:ascii="Times New Roman" w:hAnsi="Times New Roman"/>
        </w:rPr>
      </w:pPr>
    </w:p>
    <w:p w14:paraId="1E92752B" w14:textId="4DE6E761" w:rsidR="00FE5992" w:rsidRPr="00D045B3" w:rsidRDefault="00FE5992" w:rsidP="00FE5992">
      <w:pPr>
        <w:pStyle w:val="KeinLeerraum"/>
        <w:rPr>
          <w:rFonts w:ascii="Times New Roman" w:hAnsi="Times New Roman"/>
        </w:rPr>
      </w:pPr>
      <w:r w:rsidRPr="00D045B3">
        <w:rPr>
          <w:rFonts w:ascii="Times New Roman" w:hAnsi="Times New Roman"/>
        </w:rPr>
        <w:t xml:space="preserve">Ha nem alakul ki súlyos mellékhatás, ill. súlyos – nem a leukaemiával összefüggő – neutropenia vagy thrombocytopenia, </w:t>
      </w:r>
      <w:r w:rsidR="00676C37" w:rsidRPr="00D045B3">
        <w:rPr>
          <w:rFonts w:ascii="Times New Roman" w:hAnsi="Times New Roman"/>
        </w:rPr>
        <w:t xml:space="preserve">gyermekeknél </w:t>
      </w:r>
      <w:r w:rsidRPr="00D045B3">
        <w:rPr>
          <w:rFonts w:ascii="Times New Roman" w:hAnsi="Times New Roman"/>
        </w:rPr>
        <w:t>megfontolható a napi adag 340 mg/m</w:t>
      </w:r>
      <w:r w:rsidRPr="00D045B3">
        <w:rPr>
          <w:rFonts w:ascii="Times New Roman" w:hAnsi="Times New Roman"/>
          <w:vertAlign w:val="superscript"/>
        </w:rPr>
        <w:t>2</w:t>
      </w:r>
      <w:r w:rsidRPr="00D045B3">
        <w:rPr>
          <w:rFonts w:ascii="Times New Roman" w:hAnsi="Times New Roman"/>
        </w:rPr>
        <w:noBreakHyphen/>
        <w:t>ről 570 mg/m</w:t>
      </w:r>
      <w:r w:rsidRPr="00D045B3">
        <w:rPr>
          <w:rFonts w:ascii="Times New Roman" w:hAnsi="Times New Roman"/>
          <w:vertAlign w:val="superscript"/>
        </w:rPr>
        <w:t>2</w:t>
      </w:r>
      <w:r w:rsidRPr="00D045B3">
        <w:rPr>
          <w:rFonts w:ascii="Times New Roman" w:hAnsi="Times New Roman"/>
        </w:rPr>
        <w:noBreakHyphen/>
        <w:t>re emelése (a teljes dózis nem haladhatja meg a 800 mg</w:t>
      </w:r>
      <w:r w:rsidRPr="00D045B3">
        <w:rPr>
          <w:rFonts w:ascii="Times New Roman" w:hAnsi="Times New Roman"/>
        </w:rPr>
        <w:noBreakHyphen/>
        <w:t xml:space="preserve">ot) a következő esetekben: a betegség (bármely időben bekövetkező) progressziója; legalább 3 hónapos kezelést követően sem érhető el megfelelő hematológiai válasz; 12 hónapos kezelés után sincs cytogenetikai válasz; vagy a korábban elért hematológiai és/vagy cytogenetikai válasz már nem tapasztalható. Dózisemeléskor a betegek szoros monitorozása szükséges, mivel a magasabb dózisok mellett fokozódik a mellékhatások előfordulásának kockázata. </w:t>
      </w:r>
    </w:p>
    <w:p w14:paraId="1E92752C" w14:textId="77777777" w:rsidR="00FE5992" w:rsidRPr="00D045B3" w:rsidRDefault="00FE5992" w:rsidP="00FE5992">
      <w:pPr>
        <w:pStyle w:val="KeinLeerraum"/>
        <w:rPr>
          <w:rFonts w:ascii="Times New Roman" w:hAnsi="Times New Roman"/>
        </w:rPr>
      </w:pPr>
    </w:p>
    <w:p w14:paraId="1E92752D" w14:textId="2E4743BD" w:rsidR="00FE5992" w:rsidRPr="00D045B3" w:rsidRDefault="00FE5992" w:rsidP="008A6837">
      <w:pPr>
        <w:pStyle w:val="Default"/>
        <w:keepNext/>
        <w:rPr>
          <w:sz w:val="22"/>
          <w:szCs w:val="22"/>
          <w:u w:val="single"/>
        </w:rPr>
      </w:pPr>
      <w:r w:rsidRPr="00D045B3">
        <w:rPr>
          <w:sz w:val="22"/>
          <w:szCs w:val="22"/>
          <w:u w:val="single"/>
        </w:rPr>
        <w:t>Adagolás Ph+ALL</w:t>
      </w:r>
      <w:r w:rsidRPr="00D045B3">
        <w:rPr>
          <w:sz w:val="22"/>
          <w:szCs w:val="22"/>
          <w:u w:val="single"/>
        </w:rPr>
        <w:noBreakHyphen/>
      </w:r>
      <w:r w:rsidR="001D664C" w:rsidRPr="00D045B3">
        <w:rPr>
          <w:sz w:val="22"/>
          <w:szCs w:val="22"/>
          <w:u w:val="single"/>
        </w:rPr>
        <w:t>es felnőtt betegek számára</w:t>
      </w:r>
    </w:p>
    <w:p w14:paraId="1E92752E" w14:textId="77777777" w:rsidR="00FE5992" w:rsidRPr="00D045B3" w:rsidRDefault="00FE5992" w:rsidP="00CA41FD">
      <w:pPr>
        <w:pStyle w:val="Default"/>
        <w:rPr>
          <w:sz w:val="22"/>
          <w:szCs w:val="22"/>
        </w:rPr>
      </w:pPr>
      <w:r w:rsidRPr="00D045B3">
        <w:rPr>
          <w:sz w:val="22"/>
          <w:szCs w:val="22"/>
        </w:rPr>
        <w:t>Ph+ALL</w:t>
      </w:r>
      <w:r w:rsidRPr="00D045B3">
        <w:rPr>
          <w:sz w:val="22"/>
          <w:szCs w:val="22"/>
        </w:rPr>
        <w:noBreakHyphen/>
        <w:t xml:space="preserve">ben szenvedő felnőtt betegeknek az imatinib ajánlott dózisa 600 mg/nap. A kezelés minden fázisát az ezen kórkép kezelésében jártas hematológus szakorvosnak kell felügyelnie. </w:t>
      </w:r>
    </w:p>
    <w:p w14:paraId="1E92752F" w14:textId="77777777" w:rsidR="00FE5992" w:rsidRPr="00D045B3" w:rsidRDefault="00FE5992" w:rsidP="00FE5992">
      <w:pPr>
        <w:pStyle w:val="Default"/>
        <w:rPr>
          <w:sz w:val="22"/>
          <w:szCs w:val="22"/>
        </w:rPr>
      </w:pPr>
    </w:p>
    <w:p w14:paraId="1E927530" w14:textId="77777777" w:rsidR="00FE5992" w:rsidRPr="00D045B3" w:rsidRDefault="00FE5992" w:rsidP="00FE5992">
      <w:pPr>
        <w:pStyle w:val="Default"/>
        <w:rPr>
          <w:sz w:val="22"/>
          <w:szCs w:val="22"/>
        </w:rPr>
      </w:pPr>
      <w:r w:rsidRPr="00D045B3">
        <w:rPr>
          <w:sz w:val="22"/>
          <w:szCs w:val="22"/>
        </w:rPr>
        <w:t>Kezelési protokoll: a rendelkezésre álló adatok alapján újonnan diagnosztizált Ph+ALL</w:t>
      </w:r>
      <w:r w:rsidRPr="00D045B3">
        <w:rPr>
          <w:sz w:val="22"/>
          <w:szCs w:val="22"/>
        </w:rPr>
        <w:noBreakHyphen/>
        <w:t>ben szenvedő felnőtt betegeknél a kemoterápiával kombinált 600 mg/nap dózisú imatinib hatásos és biztonságos a kemoterápia indukciós, valamint konszolidációs és fenntartó fázisaiban (lásd 5.1 pont). Az imatinib</w:t>
      </w:r>
      <w:r w:rsidRPr="00D045B3">
        <w:rPr>
          <w:sz w:val="22"/>
          <w:szCs w:val="22"/>
        </w:rPr>
        <w:noBreakHyphen/>
        <w:t>terápia időtartama a választott kezelési program függvényében változhat, de a hosszabb imatinib</w:t>
      </w:r>
      <w:r w:rsidRPr="00D045B3">
        <w:rPr>
          <w:sz w:val="22"/>
          <w:szCs w:val="22"/>
        </w:rPr>
        <w:noBreakHyphen/>
        <w:t xml:space="preserve">kezelés általában jobb eredményekkel járt. </w:t>
      </w:r>
    </w:p>
    <w:p w14:paraId="1E927531" w14:textId="77777777" w:rsidR="00FE5992" w:rsidRPr="00D045B3" w:rsidRDefault="00FE5992" w:rsidP="00FE5992">
      <w:pPr>
        <w:pStyle w:val="Default"/>
        <w:rPr>
          <w:sz w:val="22"/>
          <w:szCs w:val="22"/>
        </w:rPr>
      </w:pPr>
    </w:p>
    <w:p w14:paraId="1E927532" w14:textId="77777777" w:rsidR="00FE5992" w:rsidRPr="00D045B3" w:rsidRDefault="00FE5992" w:rsidP="00FE5992">
      <w:pPr>
        <w:pStyle w:val="Default"/>
        <w:rPr>
          <w:sz w:val="22"/>
          <w:szCs w:val="22"/>
        </w:rPr>
      </w:pPr>
      <w:r w:rsidRPr="00D045B3">
        <w:rPr>
          <w:sz w:val="22"/>
          <w:szCs w:val="22"/>
        </w:rPr>
        <w:t>Recidiváló vagy refrakter Ph+ ALL</w:t>
      </w:r>
      <w:r w:rsidRPr="00D045B3">
        <w:rPr>
          <w:sz w:val="22"/>
          <w:szCs w:val="22"/>
        </w:rPr>
        <w:noBreakHyphen/>
        <w:t xml:space="preserve">ben szenvedő felnőtt betegek esetében az imatinib monoterápia 600 mg/nap dózissal biztonságos, hatásos és a betegség progressziójáig alkalmazható. </w:t>
      </w:r>
    </w:p>
    <w:p w14:paraId="1E927533" w14:textId="77777777" w:rsidR="00FE5992" w:rsidRPr="00D045B3" w:rsidRDefault="00FE5992" w:rsidP="00FE5992">
      <w:pPr>
        <w:pStyle w:val="Default"/>
        <w:rPr>
          <w:sz w:val="22"/>
          <w:szCs w:val="22"/>
        </w:rPr>
      </w:pPr>
    </w:p>
    <w:p w14:paraId="1E927534" w14:textId="77777777" w:rsidR="001D664C" w:rsidRPr="00D045B3" w:rsidRDefault="001D664C" w:rsidP="001D664C">
      <w:pPr>
        <w:rPr>
          <w:rFonts w:eastAsia="MS Mincho"/>
          <w:color w:val="000000"/>
          <w:u w:val="single"/>
          <w:lang w:val="hu-HU"/>
        </w:rPr>
      </w:pPr>
      <w:r w:rsidRPr="00D045B3">
        <w:rPr>
          <w:color w:val="000000"/>
          <w:u w:val="single"/>
          <w:lang w:val="hu-HU" w:eastAsia="hu-HU"/>
        </w:rPr>
        <w:t>Adagolás Ph+ALL</w:t>
      </w:r>
      <w:r w:rsidRPr="00D045B3">
        <w:rPr>
          <w:color w:val="000000"/>
          <w:u w:val="single"/>
          <w:lang w:val="hu-HU"/>
        </w:rPr>
        <w:noBreakHyphen/>
        <w:t>es</w:t>
      </w:r>
      <w:r w:rsidRPr="00D045B3">
        <w:rPr>
          <w:color w:val="000000"/>
          <w:u w:val="single"/>
          <w:lang w:val="hu-HU" w:eastAsia="hu-HU"/>
        </w:rPr>
        <w:t xml:space="preserve"> gyermekek</w:t>
      </w:r>
      <w:r w:rsidRPr="00D045B3">
        <w:rPr>
          <w:color w:val="000000"/>
          <w:u w:val="single"/>
          <w:lang w:val="hu-HU"/>
        </w:rPr>
        <w:t xml:space="preserve"> számára</w:t>
      </w:r>
    </w:p>
    <w:p w14:paraId="1E927535" w14:textId="05DEB7A8" w:rsidR="001D664C" w:rsidRPr="00D045B3" w:rsidRDefault="001D664C" w:rsidP="001D664C">
      <w:pPr>
        <w:rPr>
          <w:color w:val="000000"/>
          <w:lang w:val="hu-HU"/>
        </w:rPr>
      </w:pPr>
      <w:r w:rsidRPr="00D045B3">
        <w:rPr>
          <w:lang w:val="hu-HU" w:eastAsia="hu-HU"/>
        </w:rPr>
        <w:t xml:space="preserve">Gyermekeknél az adagolás a testfelszín alapján kell </w:t>
      </w:r>
      <w:r w:rsidR="000D57F6" w:rsidRPr="00D045B3">
        <w:rPr>
          <w:lang w:val="hu-HU" w:eastAsia="hu-HU"/>
        </w:rPr>
        <w:t xml:space="preserve">kiszámolni </w:t>
      </w:r>
      <w:r w:rsidRPr="00D045B3">
        <w:rPr>
          <w:color w:val="000000"/>
          <w:lang w:val="hu-HU" w:eastAsia="hu-HU"/>
        </w:rPr>
        <w:t>(mg/m</w:t>
      </w:r>
      <w:r w:rsidRPr="00D045B3">
        <w:rPr>
          <w:color w:val="000000"/>
          <w:vertAlign w:val="superscript"/>
          <w:lang w:val="hu-HU" w:eastAsia="hu-HU"/>
        </w:rPr>
        <w:t>2</w:t>
      </w:r>
      <w:r w:rsidRPr="00D045B3">
        <w:rPr>
          <w:color w:val="000000"/>
          <w:lang w:val="hu-HU" w:eastAsia="hu-HU"/>
        </w:rPr>
        <w:t xml:space="preserve">). </w:t>
      </w:r>
      <w:r w:rsidRPr="00D045B3">
        <w:rPr>
          <w:lang w:val="hu-HU" w:eastAsia="hu-HU"/>
        </w:rPr>
        <w:t>A Ph+ALL</w:t>
      </w:r>
      <w:r w:rsidRPr="00D045B3">
        <w:rPr>
          <w:lang w:val="hu-HU"/>
        </w:rPr>
        <w:noBreakHyphen/>
      </w:r>
      <w:r w:rsidRPr="00D045B3">
        <w:rPr>
          <w:lang w:val="hu-HU" w:eastAsia="hu-HU"/>
        </w:rPr>
        <w:t>ben szenvedő gyermekeknél</w:t>
      </w:r>
      <w:r w:rsidRPr="00D045B3">
        <w:rPr>
          <w:lang w:val="hu-HU"/>
        </w:rPr>
        <w:t xml:space="preserve"> nap</w:t>
      </w:r>
      <w:r w:rsidRPr="00D045B3">
        <w:rPr>
          <w:lang w:val="hu-HU" w:eastAsia="hu-HU"/>
        </w:rPr>
        <w:t xml:space="preserve">i </w:t>
      </w:r>
      <w:r w:rsidRPr="00D045B3">
        <w:rPr>
          <w:color w:val="000000"/>
          <w:lang w:val="hu-HU" w:eastAsia="hu-HU"/>
        </w:rPr>
        <w:t>340</w:t>
      </w:r>
      <w:r w:rsidRPr="00D045B3">
        <w:rPr>
          <w:color w:val="000000"/>
          <w:lang w:val="hu-HU"/>
        </w:rPr>
        <w:t> mg</w:t>
      </w:r>
      <w:r w:rsidRPr="00D045B3">
        <w:rPr>
          <w:color w:val="000000"/>
          <w:lang w:val="hu-HU" w:eastAsia="hu-HU"/>
        </w:rPr>
        <w:t>/m</w:t>
      </w:r>
      <w:r w:rsidRPr="00D045B3">
        <w:rPr>
          <w:color w:val="000000"/>
          <w:vertAlign w:val="superscript"/>
          <w:lang w:val="hu-HU" w:eastAsia="hu-HU"/>
        </w:rPr>
        <w:t>2</w:t>
      </w:r>
      <w:r w:rsidRPr="00D045B3">
        <w:rPr>
          <w:color w:val="000000"/>
          <w:lang w:val="hu-HU"/>
        </w:rPr>
        <w:noBreakHyphen/>
      </w:r>
      <w:r w:rsidRPr="00D045B3">
        <w:rPr>
          <w:color w:val="000000"/>
          <w:lang w:val="hu-HU" w:eastAsia="hu-HU"/>
        </w:rPr>
        <w:t>es dózis javasolt (ami nem haladja meg a 600</w:t>
      </w:r>
      <w:r w:rsidRPr="00D045B3">
        <w:rPr>
          <w:color w:val="000000"/>
          <w:lang w:val="hu-HU"/>
        </w:rPr>
        <w:t> mg</w:t>
      </w:r>
      <w:r w:rsidRPr="00D045B3">
        <w:rPr>
          <w:color w:val="000000"/>
          <w:lang w:val="hu-HU"/>
        </w:rPr>
        <w:noBreakHyphen/>
      </w:r>
      <w:r w:rsidRPr="00D045B3">
        <w:rPr>
          <w:color w:val="000000"/>
          <w:lang w:val="hu-HU" w:eastAsia="hu-HU"/>
        </w:rPr>
        <w:t>os összdózist).</w:t>
      </w:r>
    </w:p>
    <w:p w14:paraId="1E927536" w14:textId="77777777" w:rsidR="001D664C" w:rsidRPr="00D045B3" w:rsidRDefault="001D664C" w:rsidP="00FE5992">
      <w:pPr>
        <w:pStyle w:val="Default"/>
        <w:rPr>
          <w:sz w:val="22"/>
          <w:szCs w:val="22"/>
        </w:rPr>
      </w:pPr>
    </w:p>
    <w:p w14:paraId="1E927537" w14:textId="77777777" w:rsidR="00FE5992" w:rsidRPr="00D045B3" w:rsidRDefault="00FE5992" w:rsidP="008A6837">
      <w:pPr>
        <w:pStyle w:val="Default"/>
        <w:keepNext/>
        <w:rPr>
          <w:sz w:val="22"/>
          <w:szCs w:val="22"/>
          <w:u w:val="single"/>
        </w:rPr>
      </w:pPr>
      <w:r w:rsidRPr="00D045B3">
        <w:rPr>
          <w:sz w:val="22"/>
          <w:szCs w:val="22"/>
          <w:u w:val="single"/>
        </w:rPr>
        <w:t>Adagolás MDS/MPD</w:t>
      </w:r>
      <w:r w:rsidRPr="00D045B3">
        <w:rPr>
          <w:sz w:val="22"/>
          <w:szCs w:val="22"/>
          <w:u w:val="single"/>
        </w:rPr>
        <w:noBreakHyphen/>
        <w:t>ben</w:t>
      </w:r>
    </w:p>
    <w:p w14:paraId="1E927538" w14:textId="77777777" w:rsidR="00FE5992" w:rsidRPr="00D045B3" w:rsidRDefault="00FE5992" w:rsidP="00CA41FD">
      <w:pPr>
        <w:pStyle w:val="Default"/>
        <w:rPr>
          <w:sz w:val="22"/>
          <w:szCs w:val="22"/>
        </w:rPr>
      </w:pPr>
      <w:r w:rsidRPr="00D045B3">
        <w:rPr>
          <w:sz w:val="22"/>
          <w:szCs w:val="22"/>
        </w:rPr>
        <w:t>MDS/MPD</w:t>
      </w:r>
      <w:r w:rsidRPr="00D045B3">
        <w:rPr>
          <w:sz w:val="22"/>
          <w:szCs w:val="22"/>
        </w:rPr>
        <w:noBreakHyphen/>
        <w:t xml:space="preserve">ben szenvedő felnőtt betegeknek az imatinib ajánlott dózisa 400 mg/nap. </w:t>
      </w:r>
    </w:p>
    <w:p w14:paraId="1E927539" w14:textId="77777777" w:rsidR="00FE5992" w:rsidRPr="00D045B3" w:rsidRDefault="00FE5992" w:rsidP="00FE5992">
      <w:pPr>
        <w:pStyle w:val="Default"/>
        <w:rPr>
          <w:sz w:val="22"/>
          <w:szCs w:val="22"/>
        </w:rPr>
      </w:pPr>
    </w:p>
    <w:p w14:paraId="1E92753A" w14:textId="77777777" w:rsidR="00FE5992" w:rsidRPr="00D045B3" w:rsidRDefault="00FE5992" w:rsidP="00FE5992">
      <w:pPr>
        <w:pStyle w:val="Default"/>
        <w:rPr>
          <w:sz w:val="22"/>
          <w:szCs w:val="22"/>
        </w:rPr>
      </w:pPr>
      <w:r w:rsidRPr="00D045B3">
        <w:rPr>
          <w:sz w:val="22"/>
          <w:szCs w:val="22"/>
        </w:rPr>
        <w:t>A kezelés időtartama: Az eddig elvégzett egyetlen klinikai vizsgálatban az imatinib</w:t>
      </w:r>
      <w:r w:rsidRPr="00D045B3">
        <w:rPr>
          <w:sz w:val="22"/>
          <w:szCs w:val="22"/>
        </w:rPr>
        <w:noBreakHyphen/>
        <w:t>kezelést a betegség progressziójáig folytatták (lásd 5.1 pont). Az analízis időpontjában a kezelés időtartamának medián értéke 47 hónap (24 nap</w:t>
      </w:r>
      <w:r w:rsidRPr="00D045B3">
        <w:rPr>
          <w:sz w:val="22"/>
          <w:szCs w:val="22"/>
        </w:rPr>
        <w:noBreakHyphen/>
        <w:t xml:space="preserve">60 hónap) volt. </w:t>
      </w:r>
    </w:p>
    <w:p w14:paraId="1E92753B" w14:textId="77777777" w:rsidR="00FE5992" w:rsidRPr="00D045B3" w:rsidRDefault="00FE5992" w:rsidP="00FE5992">
      <w:pPr>
        <w:pStyle w:val="Default"/>
        <w:rPr>
          <w:sz w:val="22"/>
          <w:szCs w:val="22"/>
        </w:rPr>
      </w:pPr>
    </w:p>
    <w:p w14:paraId="1E92753C" w14:textId="77777777" w:rsidR="00FE5992" w:rsidRPr="00D045B3" w:rsidRDefault="00FE5992" w:rsidP="008A6837">
      <w:pPr>
        <w:pStyle w:val="Default"/>
        <w:keepNext/>
        <w:rPr>
          <w:sz w:val="22"/>
          <w:szCs w:val="22"/>
          <w:u w:val="single"/>
        </w:rPr>
      </w:pPr>
      <w:r w:rsidRPr="00D045B3">
        <w:rPr>
          <w:sz w:val="22"/>
          <w:szCs w:val="22"/>
          <w:u w:val="single"/>
        </w:rPr>
        <w:t>Adagolás HES/CEL</w:t>
      </w:r>
      <w:r w:rsidRPr="00D045B3">
        <w:rPr>
          <w:sz w:val="22"/>
          <w:szCs w:val="22"/>
          <w:u w:val="single"/>
        </w:rPr>
        <w:noBreakHyphen/>
        <w:t xml:space="preserve">ben </w:t>
      </w:r>
    </w:p>
    <w:p w14:paraId="1E92753D" w14:textId="77777777" w:rsidR="00FE5992" w:rsidRPr="00D045B3" w:rsidRDefault="00FE5992" w:rsidP="00CA41FD">
      <w:pPr>
        <w:pStyle w:val="Default"/>
        <w:rPr>
          <w:sz w:val="22"/>
          <w:szCs w:val="22"/>
        </w:rPr>
      </w:pPr>
      <w:r w:rsidRPr="00D045B3">
        <w:rPr>
          <w:sz w:val="22"/>
          <w:szCs w:val="22"/>
        </w:rPr>
        <w:t>HES/CEL</w:t>
      </w:r>
      <w:r w:rsidRPr="00D045B3">
        <w:rPr>
          <w:sz w:val="22"/>
          <w:szCs w:val="22"/>
        </w:rPr>
        <w:noBreakHyphen/>
        <w:t xml:space="preserve">ben szenvedő felnőtt betegek számára az imatinib ajánlott dózisa 100 mg/nap. </w:t>
      </w:r>
    </w:p>
    <w:p w14:paraId="1E92753E" w14:textId="77777777" w:rsidR="00FE5992" w:rsidRPr="00D045B3" w:rsidRDefault="00FE5992" w:rsidP="001C2D59">
      <w:pPr>
        <w:pStyle w:val="Default"/>
        <w:rPr>
          <w:sz w:val="22"/>
          <w:szCs w:val="22"/>
        </w:rPr>
      </w:pPr>
    </w:p>
    <w:p w14:paraId="1E92753F" w14:textId="77777777" w:rsidR="00FE5992" w:rsidRPr="00D045B3" w:rsidRDefault="00FE5992" w:rsidP="00FE5992">
      <w:pPr>
        <w:pStyle w:val="Default"/>
        <w:rPr>
          <w:sz w:val="22"/>
          <w:szCs w:val="22"/>
        </w:rPr>
      </w:pPr>
      <w:r w:rsidRPr="00D045B3">
        <w:rPr>
          <w:sz w:val="22"/>
          <w:szCs w:val="22"/>
        </w:rPr>
        <w:t>Gyógyszer</w:t>
      </w:r>
      <w:r w:rsidRPr="00D045B3">
        <w:rPr>
          <w:sz w:val="22"/>
          <w:szCs w:val="22"/>
        </w:rPr>
        <w:noBreakHyphen/>
        <w:t>mellékhatások hiányában megfontolható a dózis 100 mg</w:t>
      </w:r>
      <w:r w:rsidRPr="00D045B3">
        <w:rPr>
          <w:sz w:val="22"/>
          <w:szCs w:val="22"/>
        </w:rPr>
        <w:noBreakHyphen/>
        <w:t>ról 400 mg</w:t>
      </w:r>
      <w:r w:rsidRPr="00D045B3">
        <w:rPr>
          <w:sz w:val="22"/>
          <w:szCs w:val="22"/>
        </w:rPr>
        <w:noBreakHyphen/>
        <w:t xml:space="preserve">ra történő emelése, ha az eredmények értékelése elégtelen terápiás választ mutat. </w:t>
      </w:r>
    </w:p>
    <w:p w14:paraId="1E927540" w14:textId="77777777" w:rsidR="00FE5992" w:rsidRPr="00D045B3" w:rsidRDefault="00FE5992" w:rsidP="00FE5992">
      <w:pPr>
        <w:pStyle w:val="Default"/>
        <w:rPr>
          <w:sz w:val="22"/>
          <w:szCs w:val="22"/>
        </w:rPr>
      </w:pPr>
    </w:p>
    <w:p w14:paraId="1E927541" w14:textId="77777777" w:rsidR="00FE5992" w:rsidRPr="00D045B3" w:rsidRDefault="00FE5992" w:rsidP="00FE5992">
      <w:pPr>
        <w:pStyle w:val="Default"/>
        <w:rPr>
          <w:sz w:val="22"/>
          <w:szCs w:val="22"/>
        </w:rPr>
      </w:pPr>
      <w:r w:rsidRPr="00D045B3">
        <w:rPr>
          <w:sz w:val="22"/>
          <w:szCs w:val="22"/>
        </w:rPr>
        <w:t xml:space="preserve">A kezelést mindaddig folytatni kell, amíg az a beteg számára előnyös. </w:t>
      </w:r>
    </w:p>
    <w:p w14:paraId="1E927542" w14:textId="77777777" w:rsidR="00FE5992" w:rsidRPr="00D045B3" w:rsidRDefault="00FE5992" w:rsidP="00FE5992">
      <w:pPr>
        <w:pStyle w:val="Default"/>
        <w:rPr>
          <w:sz w:val="22"/>
          <w:szCs w:val="22"/>
        </w:rPr>
      </w:pPr>
    </w:p>
    <w:p w14:paraId="1E927543" w14:textId="77777777" w:rsidR="00FE5992" w:rsidRPr="00D045B3" w:rsidRDefault="00FE5992" w:rsidP="00CA41FD">
      <w:pPr>
        <w:pStyle w:val="Default"/>
        <w:keepNext/>
        <w:rPr>
          <w:sz w:val="22"/>
          <w:szCs w:val="22"/>
          <w:u w:val="single"/>
        </w:rPr>
      </w:pPr>
      <w:r w:rsidRPr="00D045B3">
        <w:rPr>
          <w:sz w:val="22"/>
          <w:szCs w:val="22"/>
          <w:u w:val="single"/>
        </w:rPr>
        <w:t>Adagolás DFSP</w:t>
      </w:r>
      <w:r w:rsidRPr="00D045B3">
        <w:rPr>
          <w:sz w:val="22"/>
          <w:szCs w:val="22"/>
          <w:u w:val="single"/>
        </w:rPr>
        <w:noBreakHyphen/>
        <w:t xml:space="preserve">ben </w:t>
      </w:r>
    </w:p>
    <w:p w14:paraId="1E927544" w14:textId="77777777" w:rsidR="00FE5992" w:rsidRPr="00D045B3" w:rsidRDefault="00FE5992" w:rsidP="00FE5992">
      <w:pPr>
        <w:pStyle w:val="Default"/>
        <w:rPr>
          <w:sz w:val="22"/>
          <w:szCs w:val="22"/>
        </w:rPr>
      </w:pPr>
      <w:r w:rsidRPr="00D045B3">
        <w:rPr>
          <w:sz w:val="22"/>
          <w:szCs w:val="22"/>
        </w:rPr>
        <w:t>DFSP</w:t>
      </w:r>
      <w:r w:rsidRPr="00D045B3">
        <w:rPr>
          <w:sz w:val="22"/>
          <w:szCs w:val="22"/>
        </w:rPr>
        <w:noBreakHyphen/>
        <w:t xml:space="preserve">ben szenvedő felnőtt betegeknek az imatinib ajánlott dózisa 800 mg/nap. </w:t>
      </w:r>
    </w:p>
    <w:p w14:paraId="1E927545" w14:textId="77777777" w:rsidR="00FE5992" w:rsidRPr="00D045B3" w:rsidRDefault="00FE5992" w:rsidP="00FE5992">
      <w:pPr>
        <w:pStyle w:val="KeinLeerraum"/>
        <w:rPr>
          <w:rFonts w:ascii="Times New Roman" w:hAnsi="Times New Roman"/>
        </w:rPr>
      </w:pPr>
    </w:p>
    <w:p w14:paraId="1E927546"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Dózismódosítás mellékhatások jelentkezése miatt </w:t>
      </w:r>
    </w:p>
    <w:p w14:paraId="1E927547" w14:textId="77777777" w:rsidR="00FE5992" w:rsidRPr="00D045B3" w:rsidRDefault="00FE5992" w:rsidP="00FE5992">
      <w:pPr>
        <w:pStyle w:val="KeinLeerraum"/>
        <w:keepNext/>
        <w:rPr>
          <w:rFonts w:ascii="Times New Roman" w:hAnsi="Times New Roman"/>
        </w:rPr>
      </w:pPr>
      <w:r w:rsidRPr="00D045B3">
        <w:rPr>
          <w:rFonts w:ascii="Times New Roman" w:hAnsi="Times New Roman"/>
          <w:i/>
          <w:iCs/>
        </w:rPr>
        <w:t xml:space="preserve">Nem hematológiai mellékhatások </w:t>
      </w:r>
    </w:p>
    <w:p w14:paraId="1E927548" w14:textId="77777777" w:rsidR="00FE5992" w:rsidRPr="00D045B3" w:rsidRDefault="00FE5992" w:rsidP="00CA41FD">
      <w:pPr>
        <w:pStyle w:val="KeinLeerraum"/>
        <w:rPr>
          <w:rFonts w:ascii="Times New Roman" w:hAnsi="Times New Roman"/>
        </w:rPr>
      </w:pPr>
      <w:r w:rsidRPr="00D045B3">
        <w:rPr>
          <w:rFonts w:ascii="Times New Roman" w:hAnsi="Times New Roman"/>
        </w:rPr>
        <w:t xml:space="preserve">Ha súlyos, nem hematológiai mellékhatás lép fel az imatinib alkalmazása során, a kezelést fel kell függeszteni, amíg az állapot nem rendeződik. Ezután a kezelés szükség szerint újrakezdhető az esemény kezdeti súlyosságától függően. </w:t>
      </w:r>
    </w:p>
    <w:p w14:paraId="1E927549" w14:textId="77777777" w:rsidR="00FE5992" w:rsidRPr="00D045B3" w:rsidRDefault="00FE5992" w:rsidP="00FE5992">
      <w:pPr>
        <w:pStyle w:val="KeinLeerraum"/>
        <w:rPr>
          <w:rFonts w:ascii="Times New Roman" w:hAnsi="Times New Roman"/>
        </w:rPr>
      </w:pPr>
    </w:p>
    <w:p w14:paraId="1E92754A" w14:textId="2BB91DC4" w:rsidR="00FE5992" w:rsidRPr="00D045B3" w:rsidRDefault="00FE5992" w:rsidP="00FE5992">
      <w:pPr>
        <w:pStyle w:val="KeinLeerraum"/>
        <w:rPr>
          <w:rFonts w:ascii="Times New Roman" w:hAnsi="Times New Roman"/>
        </w:rPr>
      </w:pPr>
      <w:r w:rsidRPr="00D045B3">
        <w:rPr>
          <w:rFonts w:ascii="Times New Roman" w:hAnsi="Times New Roman"/>
        </w:rPr>
        <w:t>Ha a bilirubinszint emelkedése meghaladja a helyi normálérték felső határának (Institutional Upper Limit of Normal/IULN) a háromszorosát, vagy a máj transzaminázok esetében az IULN ötszörösét, az imatinib</w:t>
      </w:r>
      <w:r w:rsidRPr="00D045B3">
        <w:rPr>
          <w:rFonts w:ascii="Times New Roman" w:hAnsi="Times New Roman"/>
        </w:rPr>
        <w:noBreakHyphen/>
        <w:t>kezelést fel kell függeszteni addig, amíg a bilirubinszint az IULN kevesebb, mint 1,5</w:t>
      </w:r>
      <w:r w:rsidRPr="00D045B3">
        <w:rPr>
          <w:rFonts w:ascii="Times New Roman" w:hAnsi="Times New Roman"/>
        </w:rPr>
        <w:noBreakHyphen/>
        <w:t>szeresére, illetve a transzamináz érték az IULN kevesebb, mint 2,5</w:t>
      </w:r>
      <w:r w:rsidRPr="00D045B3">
        <w:rPr>
          <w:rFonts w:ascii="Times New Roman" w:hAnsi="Times New Roman"/>
        </w:rPr>
        <w:noBreakHyphen/>
        <w:t>szeresére csökken. Az imatinib</w:t>
      </w:r>
      <w:r w:rsidRPr="00D045B3">
        <w:rPr>
          <w:rFonts w:ascii="Times New Roman" w:hAnsi="Times New Roman"/>
        </w:rPr>
        <w:noBreakHyphen/>
        <w:t>terápia ekkor csökkentett napi dózisokkal folytatható. Felnőttek esetében a dózis napi 400 mg</w:t>
      </w:r>
      <w:r w:rsidRPr="00D045B3">
        <w:rPr>
          <w:rFonts w:ascii="Times New Roman" w:hAnsi="Times New Roman"/>
        </w:rPr>
        <w:noBreakHyphen/>
        <w:t>ról 300 mg</w:t>
      </w:r>
      <w:r w:rsidRPr="00D045B3">
        <w:rPr>
          <w:rFonts w:ascii="Times New Roman" w:hAnsi="Times New Roman"/>
        </w:rPr>
        <w:noBreakHyphen/>
        <w:t>ra, vagy 600 mg</w:t>
      </w:r>
      <w:r w:rsidRPr="00D045B3">
        <w:rPr>
          <w:rFonts w:ascii="Times New Roman" w:hAnsi="Times New Roman"/>
        </w:rPr>
        <w:noBreakHyphen/>
        <w:t>ról 400 mg</w:t>
      </w:r>
      <w:r w:rsidRPr="00D045B3">
        <w:rPr>
          <w:rFonts w:ascii="Times New Roman" w:hAnsi="Times New Roman"/>
        </w:rPr>
        <w:noBreakHyphen/>
        <w:t>ra, vagy 800 mg</w:t>
      </w:r>
      <w:r w:rsidRPr="00D045B3">
        <w:rPr>
          <w:rFonts w:ascii="Times New Roman" w:hAnsi="Times New Roman"/>
        </w:rPr>
        <w:noBreakHyphen/>
        <w:t>ról 600 mg</w:t>
      </w:r>
      <w:r w:rsidRPr="00D045B3">
        <w:rPr>
          <w:rFonts w:ascii="Times New Roman" w:hAnsi="Times New Roman"/>
        </w:rPr>
        <w:noBreakHyphen/>
        <w:t xml:space="preserve">ra, gyermekeknél </w:t>
      </w:r>
      <w:r w:rsidR="000919F6" w:rsidRPr="00D045B3">
        <w:rPr>
          <w:rFonts w:ascii="Times New Roman" w:hAnsi="Times New Roman"/>
        </w:rPr>
        <w:t xml:space="preserve">pedig </w:t>
      </w:r>
      <w:r w:rsidRPr="00D045B3">
        <w:rPr>
          <w:rFonts w:ascii="Times New Roman" w:hAnsi="Times New Roman"/>
        </w:rPr>
        <w:t>340 mg</w:t>
      </w:r>
      <w:r w:rsidR="000D57F6" w:rsidRPr="00D045B3">
        <w:rPr>
          <w:rFonts w:ascii="Times New Roman" w:hAnsi="Times New Roman"/>
        </w:rPr>
        <w:t>/m</w:t>
      </w:r>
      <w:r w:rsidR="000D57F6" w:rsidRPr="00D045B3">
        <w:rPr>
          <w:rFonts w:ascii="Times New Roman" w:hAnsi="Times New Roman"/>
          <w:vertAlign w:val="superscript"/>
        </w:rPr>
        <w:t>2</w:t>
      </w:r>
      <w:r w:rsidR="000D57F6" w:rsidRPr="00D045B3">
        <w:rPr>
          <w:rFonts w:ascii="Times New Roman" w:hAnsi="Times New Roman"/>
        </w:rPr>
        <w:t>/nap</w:t>
      </w:r>
      <w:r w:rsidRPr="00D045B3">
        <w:rPr>
          <w:rFonts w:ascii="Times New Roman" w:hAnsi="Times New Roman"/>
        </w:rPr>
        <w:t>ról 260 mg/m</w:t>
      </w:r>
      <w:r w:rsidRPr="00D045B3">
        <w:rPr>
          <w:rFonts w:ascii="Times New Roman" w:hAnsi="Times New Roman"/>
          <w:vertAlign w:val="superscript"/>
        </w:rPr>
        <w:t>2</w:t>
      </w:r>
      <w:r w:rsidRPr="00D045B3">
        <w:rPr>
          <w:rFonts w:ascii="Times New Roman" w:hAnsi="Times New Roman"/>
        </w:rPr>
        <w:t xml:space="preserve">/napra csökkentendő. </w:t>
      </w:r>
    </w:p>
    <w:p w14:paraId="1E92754B" w14:textId="77777777" w:rsidR="00FE5992" w:rsidRPr="00D045B3" w:rsidRDefault="00FE5992" w:rsidP="00FE5992">
      <w:pPr>
        <w:pStyle w:val="KeinLeerraum"/>
        <w:rPr>
          <w:rFonts w:ascii="Times New Roman" w:hAnsi="Times New Roman"/>
        </w:rPr>
      </w:pPr>
    </w:p>
    <w:p w14:paraId="1E92754C" w14:textId="77777777" w:rsidR="00FE5992" w:rsidRPr="00D045B3" w:rsidRDefault="00FE5992" w:rsidP="00FE5992">
      <w:pPr>
        <w:pStyle w:val="KeinLeerraum"/>
        <w:keepNext/>
        <w:rPr>
          <w:rFonts w:ascii="Times New Roman" w:hAnsi="Times New Roman"/>
        </w:rPr>
      </w:pPr>
      <w:r w:rsidRPr="00D045B3">
        <w:rPr>
          <w:rFonts w:ascii="Times New Roman" w:hAnsi="Times New Roman"/>
          <w:i/>
          <w:iCs/>
        </w:rPr>
        <w:t xml:space="preserve">Hematológiai mellékhatások </w:t>
      </w:r>
    </w:p>
    <w:p w14:paraId="1E92754D" w14:textId="77777777" w:rsidR="00FE5992" w:rsidRPr="00D045B3" w:rsidRDefault="00FE5992" w:rsidP="00CA41FD">
      <w:pPr>
        <w:pStyle w:val="KeinLeerraum"/>
        <w:rPr>
          <w:rFonts w:ascii="Times New Roman" w:hAnsi="Times New Roman"/>
        </w:rPr>
      </w:pPr>
      <w:r w:rsidRPr="00D045B3">
        <w:rPr>
          <w:rFonts w:ascii="Times New Roman" w:hAnsi="Times New Roman"/>
        </w:rPr>
        <w:t xml:space="preserve">Súlyos neutropenia és thrombocytopenia esetén a dózis csökkentése vagy a kezelés megszakítása javasolt az alábbi táblázat szerint. </w:t>
      </w:r>
    </w:p>
    <w:p w14:paraId="1E92754E" w14:textId="77777777" w:rsidR="00FE5992" w:rsidRPr="00D045B3" w:rsidRDefault="00FE5992" w:rsidP="00FE5992">
      <w:pPr>
        <w:pStyle w:val="KeinLeerraum"/>
        <w:rPr>
          <w:rFonts w:ascii="Times New Roman" w:hAnsi="Times New Roman"/>
        </w:rPr>
      </w:pPr>
    </w:p>
    <w:p w14:paraId="1E92754F" w14:textId="77777777" w:rsidR="00FE5992" w:rsidRPr="00D045B3" w:rsidRDefault="00FE5992" w:rsidP="00FE5992">
      <w:pPr>
        <w:pStyle w:val="KeinLeerraum"/>
        <w:keepNext/>
        <w:rPr>
          <w:rFonts w:ascii="Times New Roman" w:hAnsi="Times New Roman"/>
        </w:rPr>
      </w:pPr>
      <w:r w:rsidRPr="00D045B3">
        <w:rPr>
          <w:rFonts w:ascii="Times New Roman" w:hAnsi="Times New Roman"/>
        </w:rPr>
        <w:t xml:space="preserve">Dózismódosítás neutropeniában és thrombocytopeniában: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552"/>
        <w:gridCol w:w="4110"/>
      </w:tblGrid>
      <w:tr w:rsidR="00FE5992" w:rsidRPr="00D045B3" w14:paraId="1E927556" w14:textId="77777777" w:rsidTr="00FE5992">
        <w:tc>
          <w:tcPr>
            <w:tcW w:w="2410" w:type="dxa"/>
            <w:tcBorders>
              <w:top w:val="single" w:sz="4" w:space="0" w:color="000000"/>
              <w:left w:val="single" w:sz="4" w:space="0" w:color="000000"/>
              <w:bottom w:val="single" w:sz="4" w:space="0" w:color="000000"/>
              <w:right w:val="single" w:sz="4" w:space="0" w:color="000000"/>
            </w:tcBorders>
          </w:tcPr>
          <w:p w14:paraId="1E927550" w14:textId="77777777" w:rsidR="00FE5992" w:rsidRPr="00D045B3" w:rsidRDefault="00FE5992" w:rsidP="00FE5992">
            <w:pPr>
              <w:pStyle w:val="Default"/>
              <w:rPr>
                <w:sz w:val="22"/>
                <w:szCs w:val="22"/>
              </w:rPr>
            </w:pPr>
            <w:r w:rsidRPr="00D045B3">
              <w:rPr>
                <w:sz w:val="22"/>
                <w:szCs w:val="22"/>
              </w:rPr>
              <w:t xml:space="preserve">HES/CEL (kezdő dózis 100 mg) </w:t>
            </w:r>
          </w:p>
          <w:p w14:paraId="1E927551" w14:textId="77777777" w:rsidR="00FE5992" w:rsidRPr="00D045B3" w:rsidRDefault="00FE5992" w:rsidP="00FE5992">
            <w:pPr>
              <w:pStyle w:val="KeinLeerraum"/>
              <w:rPr>
                <w:rFonts w:ascii="Times New Roman" w:hAnsi="Times New Roman"/>
              </w:rPr>
            </w:pPr>
          </w:p>
        </w:tc>
        <w:tc>
          <w:tcPr>
            <w:tcW w:w="2552" w:type="dxa"/>
            <w:tcBorders>
              <w:top w:val="single" w:sz="4" w:space="0" w:color="000000"/>
              <w:left w:val="single" w:sz="4" w:space="0" w:color="000000"/>
              <w:bottom w:val="single" w:sz="4" w:space="0" w:color="000000"/>
              <w:right w:val="single" w:sz="4" w:space="0" w:color="000000"/>
            </w:tcBorders>
          </w:tcPr>
          <w:p w14:paraId="1E927552" w14:textId="77777777" w:rsidR="00FE5992" w:rsidRPr="00D045B3" w:rsidRDefault="00FE5992" w:rsidP="00FE5992">
            <w:pPr>
              <w:rPr>
                <w:szCs w:val="22"/>
                <w:lang w:val="hu-HU"/>
              </w:rPr>
            </w:pPr>
            <w:r w:rsidRPr="00D045B3">
              <w:rPr>
                <w:szCs w:val="22"/>
                <w:lang w:val="hu-HU"/>
              </w:rPr>
              <w:t>ANC &lt;1,0 × 10</w:t>
            </w:r>
            <w:r w:rsidRPr="00D045B3">
              <w:rPr>
                <w:szCs w:val="22"/>
                <w:vertAlign w:val="superscript"/>
                <w:lang w:val="hu-HU"/>
              </w:rPr>
              <w:t>9</w:t>
            </w:r>
            <w:r w:rsidRPr="00D045B3">
              <w:rPr>
                <w:szCs w:val="22"/>
                <w:lang w:val="hu-HU"/>
              </w:rPr>
              <w:t>/l és/vagy thrombocytaszám &lt; 50 × 10</w:t>
            </w:r>
            <w:r w:rsidRPr="00D045B3">
              <w:rPr>
                <w:szCs w:val="22"/>
                <w:vertAlign w:val="superscript"/>
                <w:lang w:val="hu-HU"/>
              </w:rPr>
              <w:t>9</w:t>
            </w:r>
            <w:r w:rsidRPr="00D045B3">
              <w:rPr>
                <w:szCs w:val="22"/>
                <w:lang w:val="hu-HU"/>
              </w:rPr>
              <w:t>/l</w:t>
            </w:r>
          </w:p>
        </w:tc>
        <w:tc>
          <w:tcPr>
            <w:tcW w:w="4110" w:type="dxa"/>
            <w:tcBorders>
              <w:top w:val="single" w:sz="4" w:space="0" w:color="000000"/>
              <w:left w:val="single" w:sz="4" w:space="0" w:color="000000"/>
              <w:bottom w:val="single" w:sz="4" w:space="0" w:color="000000"/>
              <w:right w:val="single" w:sz="4" w:space="0" w:color="000000"/>
            </w:tcBorders>
          </w:tcPr>
          <w:p w14:paraId="1E927553" w14:textId="77777777" w:rsidR="00FE5992" w:rsidRPr="00D045B3" w:rsidRDefault="00FE5992" w:rsidP="00FE5992">
            <w:pPr>
              <w:pStyle w:val="Default"/>
              <w:ind w:left="317" w:hanging="317"/>
              <w:rPr>
                <w:sz w:val="22"/>
                <w:szCs w:val="22"/>
              </w:rPr>
            </w:pPr>
            <w:r w:rsidRPr="00D045B3">
              <w:rPr>
                <w:sz w:val="22"/>
                <w:szCs w:val="22"/>
              </w:rPr>
              <w:t>1. Állítsa le az imatinib</w:t>
            </w:r>
            <w:r w:rsidRPr="00D045B3">
              <w:rPr>
                <w:sz w:val="22"/>
                <w:szCs w:val="22"/>
              </w:rPr>
              <w:noBreakHyphen/>
              <w:t>kezelést, amíg az ANC eléri a ≥1,5 × 10</w:t>
            </w:r>
            <w:r w:rsidRPr="00D045B3">
              <w:rPr>
                <w:sz w:val="22"/>
                <w:szCs w:val="22"/>
                <w:vertAlign w:val="superscript"/>
              </w:rPr>
              <w:t>9</w:t>
            </w:r>
            <w:r w:rsidRPr="00D045B3">
              <w:rPr>
                <w:sz w:val="22"/>
                <w:szCs w:val="22"/>
              </w:rPr>
              <w:t>/l, a thrombocytaszám pedig a ≥75 × 10</w:t>
            </w:r>
            <w:r w:rsidRPr="00D045B3">
              <w:rPr>
                <w:sz w:val="22"/>
                <w:szCs w:val="22"/>
                <w:vertAlign w:val="superscript"/>
              </w:rPr>
              <w:t>9</w:t>
            </w:r>
            <w:r w:rsidRPr="00D045B3">
              <w:rPr>
                <w:sz w:val="22"/>
                <w:szCs w:val="22"/>
              </w:rPr>
              <w:t xml:space="preserve">/l értéket. </w:t>
            </w:r>
          </w:p>
          <w:p w14:paraId="1E927554" w14:textId="77777777" w:rsidR="00FE5992" w:rsidRPr="00D045B3" w:rsidRDefault="00FE5992" w:rsidP="008A6837">
            <w:pPr>
              <w:pStyle w:val="KeinLeerraum"/>
              <w:ind w:left="317" w:hanging="317"/>
              <w:rPr>
                <w:rFonts w:ascii="Times New Roman" w:hAnsi="Times New Roman"/>
              </w:rPr>
            </w:pPr>
            <w:r w:rsidRPr="00D045B3">
              <w:rPr>
                <w:rFonts w:ascii="Times New Roman" w:hAnsi="Times New Roman"/>
              </w:rPr>
              <w:t>2. Indítsa újra az imatinib</w:t>
            </w:r>
            <w:r w:rsidRPr="00D045B3">
              <w:rPr>
                <w:rFonts w:ascii="Times New Roman" w:hAnsi="Times New Roman"/>
              </w:rPr>
              <w:noBreakHyphen/>
              <w:t>kezelést a korábban (tehát a súlyos mellékhatás megjelenése előtt) alkalmazott dózissal.</w:t>
            </w:r>
          </w:p>
          <w:p w14:paraId="1E927555" w14:textId="77777777" w:rsidR="00FE5992" w:rsidRPr="00D045B3" w:rsidRDefault="00FE5992" w:rsidP="00FE5992">
            <w:pPr>
              <w:pStyle w:val="KeinLeerraum"/>
              <w:ind w:left="176" w:hanging="176"/>
              <w:rPr>
                <w:rFonts w:ascii="Times New Roman" w:hAnsi="Times New Roman"/>
              </w:rPr>
            </w:pPr>
          </w:p>
        </w:tc>
      </w:tr>
      <w:tr w:rsidR="00FE5992" w:rsidRPr="00D045B3" w14:paraId="1E92755D" w14:textId="77777777" w:rsidTr="00FE5992">
        <w:tc>
          <w:tcPr>
            <w:tcW w:w="2410" w:type="dxa"/>
            <w:tcBorders>
              <w:top w:val="single" w:sz="4" w:space="0" w:color="000000"/>
              <w:left w:val="single" w:sz="4" w:space="0" w:color="000000"/>
              <w:bottom w:val="single" w:sz="4" w:space="0" w:color="000000"/>
              <w:right w:val="single" w:sz="4" w:space="0" w:color="000000"/>
            </w:tcBorders>
          </w:tcPr>
          <w:p w14:paraId="1E927557" w14:textId="5CCD5178" w:rsidR="00FE5992" w:rsidRPr="00D045B3" w:rsidRDefault="00FE5992" w:rsidP="00FE5992">
            <w:pPr>
              <w:pStyle w:val="Default"/>
              <w:rPr>
                <w:sz w:val="22"/>
                <w:szCs w:val="22"/>
              </w:rPr>
            </w:pPr>
            <w:r w:rsidRPr="00D045B3">
              <w:rPr>
                <w:sz w:val="22"/>
                <w:szCs w:val="22"/>
              </w:rPr>
              <w:t xml:space="preserve">MDS/MPD (kezdő dózis 400 mg) </w:t>
            </w:r>
          </w:p>
          <w:p w14:paraId="1E927558" w14:textId="77777777" w:rsidR="00FE5992" w:rsidRPr="00D045B3" w:rsidRDefault="00FE5992" w:rsidP="00FE5992">
            <w:pPr>
              <w:pStyle w:val="KeinLeerraum"/>
              <w:rPr>
                <w:rFonts w:ascii="Times New Roman" w:hAnsi="Times New Roman"/>
              </w:rPr>
            </w:pPr>
            <w:r w:rsidRPr="00D045B3">
              <w:rPr>
                <w:rFonts w:ascii="Times New Roman" w:hAnsi="Times New Roman"/>
              </w:rPr>
              <w:t>HES/CEL (400 mg</w:t>
            </w:r>
            <w:r w:rsidRPr="00D045B3">
              <w:rPr>
                <w:rFonts w:ascii="Times New Roman" w:hAnsi="Times New Roman"/>
              </w:rPr>
              <w:noBreakHyphen/>
              <w:t>os dózis)</w:t>
            </w:r>
            <w:r w:rsidRPr="00D045B3">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E927559" w14:textId="77777777" w:rsidR="00FE5992" w:rsidRPr="00D045B3" w:rsidRDefault="00FE5992" w:rsidP="00FE5992">
            <w:pPr>
              <w:rPr>
                <w:szCs w:val="22"/>
                <w:lang w:val="hu-HU"/>
              </w:rPr>
            </w:pPr>
            <w:r w:rsidRPr="00D045B3">
              <w:rPr>
                <w:szCs w:val="22"/>
                <w:lang w:val="hu-HU"/>
              </w:rPr>
              <w:t>ANC &lt;1,0 × 10</w:t>
            </w:r>
            <w:r w:rsidRPr="00D045B3">
              <w:rPr>
                <w:szCs w:val="22"/>
                <w:vertAlign w:val="superscript"/>
                <w:lang w:val="hu-HU"/>
              </w:rPr>
              <w:t>9</w:t>
            </w:r>
            <w:r w:rsidRPr="00D045B3">
              <w:rPr>
                <w:szCs w:val="22"/>
                <w:lang w:val="hu-HU"/>
              </w:rPr>
              <w:t>/l és/vagy thrombocytaszám &lt; 50 × 10</w:t>
            </w:r>
            <w:r w:rsidRPr="00D045B3">
              <w:rPr>
                <w:szCs w:val="22"/>
                <w:vertAlign w:val="superscript"/>
                <w:lang w:val="hu-HU"/>
              </w:rPr>
              <w:t>9</w:t>
            </w:r>
            <w:r w:rsidRPr="00D045B3">
              <w:rPr>
                <w:szCs w:val="22"/>
                <w:lang w:val="hu-HU"/>
              </w:rPr>
              <w:t>/l</w:t>
            </w:r>
          </w:p>
        </w:tc>
        <w:tc>
          <w:tcPr>
            <w:tcW w:w="4110" w:type="dxa"/>
            <w:tcBorders>
              <w:top w:val="single" w:sz="4" w:space="0" w:color="000000"/>
              <w:left w:val="single" w:sz="4" w:space="0" w:color="000000"/>
              <w:bottom w:val="single" w:sz="4" w:space="0" w:color="000000"/>
              <w:right w:val="single" w:sz="4" w:space="0" w:color="000000"/>
            </w:tcBorders>
          </w:tcPr>
          <w:p w14:paraId="1E92755A" w14:textId="77777777" w:rsidR="00FE5992" w:rsidRPr="00D045B3" w:rsidRDefault="00FE5992" w:rsidP="008A6837">
            <w:pPr>
              <w:pStyle w:val="Default"/>
              <w:ind w:left="317" w:hanging="284"/>
              <w:rPr>
                <w:sz w:val="22"/>
                <w:szCs w:val="22"/>
              </w:rPr>
            </w:pPr>
            <w:r w:rsidRPr="00D045B3">
              <w:rPr>
                <w:sz w:val="22"/>
                <w:szCs w:val="22"/>
              </w:rPr>
              <w:t>1. Állítsa le az imatinib</w:t>
            </w:r>
            <w:r w:rsidRPr="00D045B3">
              <w:rPr>
                <w:sz w:val="22"/>
                <w:szCs w:val="22"/>
              </w:rPr>
              <w:noBreakHyphen/>
              <w:t>kezelést, amíg az ANC eléri a ≥1,5 × 10</w:t>
            </w:r>
            <w:r w:rsidRPr="00D045B3">
              <w:rPr>
                <w:sz w:val="22"/>
                <w:szCs w:val="22"/>
                <w:vertAlign w:val="superscript"/>
              </w:rPr>
              <w:t>9</w:t>
            </w:r>
            <w:r w:rsidRPr="00D045B3">
              <w:rPr>
                <w:sz w:val="22"/>
                <w:szCs w:val="22"/>
              </w:rPr>
              <w:t>/l, a thrombocytaszám pedig a ≥75 × 10</w:t>
            </w:r>
            <w:r w:rsidRPr="00D045B3">
              <w:rPr>
                <w:sz w:val="22"/>
                <w:szCs w:val="22"/>
                <w:vertAlign w:val="superscript"/>
              </w:rPr>
              <w:t>9</w:t>
            </w:r>
            <w:r w:rsidRPr="00D045B3">
              <w:rPr>
                <w:sz w:val="22"/>
                <w:szCs w:val="22"/>
              </w:rPr>
              <w:t xml:space="preserve">/l értéket. </w:t>
            </w:r>
          </w:p>
          <w:p w14:paraId="1E92755B"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2. Indítsa újra az imatinib</w:t>
            </w:r>
            <w:r w:rsidRPr="00D045B3">
              <w:rPr>
                <w:rFonts w:ascii="Times New Roman" w:hAnsi="Times New Roman"/>
              </w:rPr>
              <w:noBreakHyphen/>
              <w:t>kezelést a korábban (tehát a súlyos mellékhatás megjelenése előtt) alkalmazott dózissal.</w:t>
            </w:r>
          </w:p>
          <w:p w14:paraId="1E92755C"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3. Ha az ANC ismét &lt;1,0 × 10</w:t>
            </w:r>
            <w:r w:rsidRPr="00D045B3">
              <w:rPr>
                <w:rFonts w:ascii="Times New Roman" w:hAnsi="Times New Roman"/>
                <w:vertAlign w:val="superscript"/>
              </w:rPr>
              <w:t>9</w:t>
            </w:r>
            <w:r w:rsidRPr="00D045B3">
              <w:rPr>
                <w:rFonts w:ascii="Times New Roman" w:hAnsi="Times New Roman"/>
              </w:rPr>
              <w:t>/l, és/vagy a thrombocytaszám ismét &lt; 50 × 10</w:t>
            </w:r>
            <w:r w:rsidRPr="00D045B3">
              <w:rPr>
                <w:rFonts w:ascii="Times New Roman" w:hAnsi="Times New Roman"/>
                <w:vertAlign w:val="superscript"/>
              </w:rPr>
              <w:t>9</w:t>
            </w:r>
            <w:r w:rsidRPr="00D045B3">
              <w:rPr>
                <w:rFonts w:ascii="Times New Roman" w:hAnsi="Times New Roman"/>
              </w:rPr>
              <w:t>/l, az 1. pont szerint járjon el, majd az imatinib</w:t>
            </w:r>
            <w:r w:rsidRPr="00D045B3">
              <w:rPr>
                <w:rFonts w:ascii="Times New Roman" w:hAnsi="Times New Roman"/>
              </w:rPr>
              <w:noBreakHyphen/>
              <w:t>kezelést 300 mg</w:t>
            </w:r>
            <w:r w:rsidRPr="00D045B3">
              <w:rPr>
                <w:rFonts w:ascii="Times New Roman" w:hAnsi="Times New Roman"/>
              </w:rPr>
              <w:noBreakHyphen/>
              <w:t xml:space="preserve">ra csökkentett dózissal </w:t>
            </w:r>
            <w:r w:rsidRPr="00D045B3">
              <w:t>i</w:t>
            </w:r>
            <w:r w:rsidRPr="00D045B3">
              <w:rPr>
                <w:rFonts w:ascii="Times New Roman" w:hAnsi="Times New Roman"/>
              </w:rPr>
              <w:t>ndítsa újra.</w:t>
            </w:r>
          </w:p>
        </w:tc>
      </w:tr>
      <w:tr w:rsidR="00FE5992" w:rsidRPr="00D045B3" w14:paraId="1E927563" w14:textId="77777777" w:rsidTr="00FE5992">
        <w:tc>
          <w:tcPr>
            <w:tcW w:w="2410" w:type="dxa"/>
          </w:tcPr>
          <w:p w14:paraId="1E92755E" w14:textId="4AEF6E7E" w:rsidR="00FE5992" w:rsidRPr="00D045B3" w:rsidRDefault="00FE5992" w:rsidP="00FE5992">
            <w:pPr>
              <w:pStyle w:val="KeinLeerraum"/>
              <w:rPr>
                <w:rFonts w:ascii="Times New Roman" w:hAnsi="Times New Roman"/>
              </w:rPr>
            </w:pPr>
            <w:r w:rsidRPr="00D045B3">
              <w:rPr>
                <w:rFonts w:ascii="Times New Roman" w:hAnsi="Times New Roman"/>
              </w:rPr>
              <w:t>Gyermek</w:t>
            </w:r>
            <w:r w:rsidR="000D57F6" w:rsidRPr="00D045B3">
              <w:rPr>
                <w:rFonts w:ascii="Times New Roman" w:hAnsi="Times New Roman"/>
              </w:rPr>
              <w:t>- és serdülő</w:t>
            </w:r>
            <w:r w:rsidRPr="00D045B3">
              <w:rPr>
                <w:rFonts w:ascii="Times New Roman" w:hAnsi="Times New Roman"/>
              </w:rPr>
              <w:t>kori krónikus fázisú CML (340 mg/m</w:t>
            </w:r>
            <w:r w:rsidRPr="00D045B3">
              <w:rPr>
                <w:rFonts w:ascii="Times New Roman" w:hAnsi="Times New Roman"/>
                <w:vertAlign w:val="superscript"/>
              </w:rPr>
              <w:t>2</w:t>
            </w:r>
            <w:r w:rsidRPr="00D045B3">
              <w:rPr>
                <w:rFonts w:ascii="Times New Roman" w:hAnsi="Times New Roman"/>
              </w:rPr>
              <w:t xml:space="preserve"> dózisban)</w:t>
            </w:r>
          </w:p>
        </w:tc>
        <w:tc>
          <w:tcPr>
            <w:tcW w:w="2552" w:type="dxa"/>
          </w:tcPr>
          <w:p w14:paraId="1E92755F" w14:textId="77777777" w:rsidR="00FE5992" w:rsidRPr="00D045B3" w:rsidRDefault="00FE5992" w:rsidP="00FE5992">
            <w:pPr>
              <w:rPr>
                <w:lang w:val="hu-HU"/>
              </w:rPr>
            </w:pPr>
            <w:r w:rsidRPr="00D045B3">
              <w:rPr>
                <w:lang w:val="hu-HU"/>
              </w:rPr>
              <w:t>ANC &lt;1,0</w:t>
            </w:r>
            <w:r w:rsidRPr="00D045B3">
              <w:rPr>
                <w:szCs w:val="22"/>
                <w:lang w:val="hu-HU"/>
              </w:rPr>
              <w:t> × </w:t>
            </w:r>
            <w:r w:rsidRPr="00D045B3">
              <w:rPr>
                <w:lang w:val="hu-HU"/>
              </w:rPr>
              <w:t>10</w:t>
            </w:r>
            <w:r w:rsidRPr="00D045B3">
              <w:rPr>
                <w:vertAlign w:val="superscript"/>
                <w:lang w:val="hu-HU"/>
              </w:rPr>
              <w:t>9</w:t>
            </w:r>
            <w:r w:rsidRPr="00D045B3">
              <w:rPr>
                <w:lang w:val="hu-HU"/>
              </w:rPr>
              <w:t>/l és/vagy thrombocytaszám &lt; 50</w:t>
            </w:r>
            <w:r w:rsidRPr="00D045B3">
              <w:rPr>
                <w:szCs w:val="22"/>
                <w:lang w:val="hu-HU"/>
              </w:rPr>
              <w:t> × </w:t>
            </w:r>
            <w:r w:rsidRPr="00D045B3">
              <w:rPr>
                <w:lang w:val="hu-HU"/>
              </w:rPr>
              <w:t>10</w:t>
            </w:r>
            <w:r w:rsidRPr="00D045B3">
              <w:rPr>
                <w:vertAlign w:val="superscript"/>
                <w:lang w:val="hu-HU"/>
              </w:rPr>
              <w:t>9</w:t>
            </w:r>
            <w:r w:rsidRPr="00D045B3">
              <w:rPr>
                <w:lang w:val="hu-HU"/>
              </w:rPr>
              <w:t>/l</w:t>
            </w:r>
          </w:p>
        </w:tc>
        <w:tc>
          <w:tcPr>
            <w:tcW w:w="4110" w:type="dxa"/>
          </w:tcPr>
          <w:p w14:paraId="1E927560"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1. Állítsa le az imatinib</w:t>
            </w:r>
            <w:r w:rsidRPr="00D045B3">
              <w:rPr>
                <w:rFonts w:ascii="Times New Roman" w:hAnsi="Times New Roman"/>
              </w:rPr>
              <w:noBreakHyphen/>
              <w:t xml:space="preserve">kezelést, amíg az ANC eléri a </w:t>
            </w:r>
            <w:r w:rsidRPr="00D045B3">
              <w:rPr>
                <w:rFonts w:ascii="Times New Roman" w:hAnsi="Times New Roman"/>
                <w:sz w:val="20"/>
                <w:szCs w:val="20"/>
              </w:rPr>
              <w:t>≥</w:t>
            </w:r>
            <w:r w:rsidRPr="00D045B3">
              <w:rPr>
                <w:rFonts w:ascii="Times New Roman" w:hAnsi="Times New Roman"/>
              </w:rPr>
              <w:t>1,5 × 10</w:t>
            </w:r>
            <w:r w:rsidRPr="00D045B3">
              <w:rPr>
                <w:rFonts w:ascii="Times New Roman" w:hAnsi="Times New Roman"/>
                <w:vertAlign w:val="superscript"/>
              </w:rPr>
              <w:t>9</w:t>
            </w:r>
            <w:r w:rsidRPr="00D045B3">
              <w:rPr>
                <w:rFonts w:ascii="Times New Roman" w:hAnsi="Times New Roman"/>
              </w:rPr>
              <w:t>/l, a thrombocytaszám pedig a ≥75 × 10</w:t>
            </w:r>
            <w:r w:rsidRPr="00D045B3">
              <w:rPr>
                <w:rFonts w:ascii="Times New Roman" w:hAnsi="Times New Roman"/>
                <w:vertAlign w:val="superscript"/>
              </w:rPr>
              <w:t>9</w:t>
            </w:r>
            <w:r w:rsidRPr="00D045B3">
              <w:rPr>
                <w:rFonts w:ascii="Times New Roman" w:hAnsi="Times New Roman"/>
              </w:rPr>
              <w:t xml:space="preserve">/l értéket. </w:t>
            </w:r>
          </w:p>
          <w:p w14:paraId="1E927561"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2. Folytassa az imatinib</w:t>
            </w:r>
            <w:r w:rsidRPr="00D045B3">
              <w:rPr>
                <w:rFonts w:ascii="Times New Roman" w:hAnsi="Times New Roman"/>
              </w:rPr>
              <w:noBreakHyphen/>
              <w:t>kezelést a korábban (tehát a súlyos mellékhatás megjelenése előtt) alkalmazott dózissal.</w:t>
            </w:r>
          </w:p>
          <w:p w14:paraId="1E927562"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3. Ha az ANC ismét &lt;1,0 × 10</w:t>
            </w:r>
            <w:r w:rsidRPr="00D045B3">
              <w:rPr>
                <w:rFonts w:ascii="Times New Roman" w:hAnsi="Times New Roman"/>
                <w:vertAlign w:val="superscript"/>
              </w:rPr>
              <w:t>9</w:t>
            </w:r>
            <w:r w:rsidRPr="00D045B3">
              <w:rPr>
                <w:rFonts w:ascii="Times New Roman" w:hAnsi="Times New Roman"/>
              </w:rPr>
              <w:t>/l, és/vagy a thrombocytaszám ismét &lt; 50 × 10</w:t>
            </w:r>
            <w:r w:rsidRPr="00D045B3">
              <w:rPr>
                <w:rFonts w:ascii="Times New Roman" w:hAnsi="Times New Roman"/>
                <w:vertAlign w:val="superscript"/>
              </w:rPr>
              <w:t>9</w:t>
            </w:r>
            <w:r w:rsidRPr="00D045B3">
              <w:rPr>
                <w:rFonts w:ascii="Times New Roman" w:hAnsi="Times New Roman"/>
              </w:rPr>
              <w:t>/l, az 1. pont szerint járjon el, majd az imatinib</w:t>
            </w:r>
            <w:r w:rsidRPr="00D045B3">
              <w:rPr>
                <w:rFonts w:ascii="Times New Roman" w:hAnsi="Times New Roman"/>
              </w:rPr>
              <w:noBreakHyphen/>
              <w:t>kezelést 260 mg</w:t>
            </w:r>
            <w:r w:rsidRPr="00D045B3">
              <w:rPr>
                <w:rFonts w:ascii="Times New Roman" w:hAnsi="Times New Roman"/>
              </w:rPr>
              <w:noBreakHyphen/>
              <w:t>ra csökkentett adaggal folytassa.</w:t>
            </w:r>
          </w:p>
        </w:tc>
      </w:tr>
      <w:tr w:rsidR="00FE5992" w:rsidRPr="00D045B3" w14:paraId="1E92756C" w14:textId="77777777" w:rsidTr="00FE59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36"/>
        </w:trPr>
        <w:tc>
          <w:tcPr>
            <w:tcW w:w="2410" w:type="dxa"/>
          </w:tcPr>
          <w:p w14:paraId="1E927564" w14:textId="6313D08F" w:rsidR="00FE5992" w:rsidRPr="00D045B3" w:rsidRDefault="00FE5992" w:rsidP="0059709C">
            <w:pPr>
              <w:pStyle w:val="Default"/>
              <w:keepNext/>
              <w:rPr>
                <w:sz w:val="22"/>
                <w:szCs w:val="22"/>
              </w:rPr>
            </w:pPr>
            <w:r w:rsidRPr="00D045B3">
              <w:rPr>
                <w:sz w:val="22"/>
                <w:szCs w:val="22"/>
              </w:rPr>
              <w:t>CML blasztos krízisben, és Ph+ALL</w:t>
            </w:r>
            <w:r w:rsidR="007B43BC" w:rsidRPr="00D045B3">
              <w:rPr>
                <w:sz w:val="22"/>
                <w:szCs w:val="22"/>
              </w:rPr>
              <w:noBreakHyphen/>
              <w:t>ben</w:t>
            </w:r>
            <w:r w:rsidRPr="00D045B3">
              <w:rPr>
                <w:sz w:val="22"/>
                <w:szCs w:val="22"/>
              </w:rPr>
              <w:t xml:space="preserve"> (kezdő dózis: 600 mg) </w:t>
            </w:r>
          </w:p>
        </w:tc>
        <w:tc>
          <w:tcPr>
            <w:tcW w:w="2552" w:type="dxa"/>
          </w:tcPr>
          <w:p w14:paraId="1E927565" w14:textId="77777777" w:rsidR="00FE5992" w:rsidRPr="00D045B3" w:rsidRDefault="00FE5992" w:rsidP="0059709C">
            <w:pPr>
              <w:pStyle w:val="Default"/>
              <w:keepNext/>
              <w:rPr>
                <w:sz w:val="14"/>
                <w:szCs w:val="14"/>
              </w:rPr>
            </w:pPr>
            <w:r w:rsidRPr="00D045B3">
              <w:rPr>
                <w:sz w:val="22"/>
                <w:szCs w:val="22"/>
                <w:vertAlign w:val="superscript"/>
              </w:rPr>
              <w:t>a</w:t>
            </w:r>
            <w:r w:rsidRPr="00D045B3">
              <w:rPr>
                <w:sz w:val="22"/>
                <w:szCs w:val="22"/>
              </w:rPr>
              <w:t>ANC &lt; 0,5</w:t>
            </w:r>
            <w:r w:rsidRPr="00D045B3">
              <w:t> × </w:t>
            </w:r>
            <w:r w:rsidRPr="00D045B3">
              <w:rPr>
                <w:sz w:val="22"/>
                <w:szCs w:val="22"/>
              </w:rPr>
              <w:t>10</w:t>
            </w:r>
            <w:r w:rsidRPr="00D045B3">
              <w:rPr>
                <w:sz w:val="22"/>
                <w:szCs w:val="22"/>
                <w:vertAlign w:val="superscript"/>
              </w:rPr>
              <w:t>9</w:t>
            </w:r>
            <w:r w:rsidRPr="00D045B3">
              <w:rPr>
                <w:sz w:val="22"/>
                <w:szCs w:val="22"/>
              </w:rPr>
              <w:t>/l</w:t>
            </w:r>
            <w:r w:rsidRPr="00D045B3">
              <w:rPr>
                <w:sz w:val="14"/>
                <w:szCs w:val="14"/>
              </w:rPr>
              <w:t xml:space="preserve"> </w:t>
            </w:r>
          </w:p>
          <w:p w14:paraId="1E927566" w14:textId="77777777" w:rsidR="00FE5992" w:rsidRPr="00D045B3" w:rsidRDefault="00FE5992" w:rsidP="0059709C">
            <w:pPr>
              <w:pStyle w:val="Default"/>
              <w:keepNext/>
              <w:rPr>
                <w:sz w:val="22"/>
                <w:szCs w:val="22"/>
              </w:rPr>
            </w:pPr>
            <w:r w:rsidRPr="00D045B3">
              <w:rPr>
                <w:sz w:val="22"/>
                <w:szCs w:val="22"/>
              </w:rPr>
              <w:t xml:space="preserve">és/vagy thrombocytaszám </w:t>
            </w:r>
          </w:p>
          <w:p w14:paraId="1E927567" w14:textId="77777777" w:rsidR="00FE5992" w:rsidRPr="00D045B3" w:rsidRDefault="00FE5992" w:rsidP="0059709C">
            <w:pPr>
              <w:pStyle w:val="Default"/>
              <w:keepNext/>
              <w:rPr>
                <w:sz w:val="22"/>
                <w:szCs w:val="22"/>
              </w:rPr>
            </w:pPr>
            <w:r w:rsidRPr="00D045B3">
              <w:rPr>
                <w:sz w:val="22"/>
                <w:szCs w:val="22"/>
              </w:rPr>
              <w:t>&lt; 10</w:t>
            </w:r>
            <w:r w:rsidRPr="00D045B3">
              <w:t> × </w:t>
            </w:r>
            <w:r w:rsidRPr="00D045B3">
              <w:rPr>
                <w:sz w:val="22"/>
                <w:szCs w:val="22"/>
              </w:rPr>
              <w:t>10</w:t>
            </w:r>
            <w:r w:rsidRPr="00D045B3">
              <w:rPr>
                <w:sz w:val="22"/>
                <w:szCs w:val="22"/>
                <w:vertAlign w:val="superscript"/>
              </w:rPr>
              <w:t>9</w:t>
            </w:r>
            <w:r w:rsidRPr="00D045B3">
              <w:rPr>
                <w:sz w:val="22"/>
                <w:szCs w:val="22"/>
              </w:rPr>
              <w:t xml:space="preserve">/l </w:t>
            </w:r>
          </w:p>
        </w:tc>
        <w:tc>
          <w:tcPr>
            <w:tcW w:w="4110" w:type="dxa"/>
          </w:tcPr>
          <w:p w14:paraId="1E927568" w14:textId="77777777" w:rsidR="00FE5992" w:rsidRPr="00D045B3" w:rsidRDefault="00FE5992" w:rsidP="0059709C">
            <w:pPr>
              <w:pStyle w:val="Default"/>
              <w:keepNext/>
              <w:ind w:left="317" w:hanging="317"/>
              <w:rPr>
                <w:sz w:val="22"/>
                <w:szCs w:val="22"/>
              </w:rPr>
            </w:pPr>
            <w:r w:rsidRPr="00D045B3">
              <w:rPr>
                <w:sz w:val="22"/>
                <w:szCs w:val="22"/>
              </w:rPr>
              <w:t>1. Ellenőrizni kell, hogy a cytopeni összefügg</w:t>
            </w:r>
            <w:r w:rsidRPr="00D045B3">
              <w:rPr>
                <w:sz w:val="22"/>
                <w:szCs w:val="22"/>
              </w:rPr>
              <w:noBreakHyphen/>
              <w:t xml:space="preserve">e a leukaemiával (csontvelő aspiratio vagy biopsia). </w:t>
            </w:r>
          </w:p>
          <w:p w14:paraId="1E927569" w14:textId="77777777" w:rsidR="00FE5992" w:rsidRPr="00D045B3" w:rsidRDefault="00FE5992" w:rsidP="0059709C">
            <w:pPr>
              <w:pStyle w:val="Default"/>
              <w:keepNext/>
              <w:ind w:left="317" w:hanging="317"/>
              <w:rPr>
                <w:sz w:val="22"/>
                <w:szCs w:val="22"/>
              </w:rPr>
            </w:pPr>
            <w:r w:rsidRPr="00D045B3">
              <w:rPr>
                <w:sz w:val="22"/>
                <w:szCs w:val="22"/>
              </w:rPr>
              <w:t>2. Ha a cytopenia nem a leukaemiával kapcsolatos, csökkentse az imatinb dózisát 400 mg</w:t>
            </w:r>
            <w:r w:rsidRPr="00D045B3">
              <w:rPr>
                <w:sz w:val="22"/>
                <w:szCs w:val="22"/>
              </w:rPr>
              <w:noBreakHyphen/>
              <w:t xml:space="preserve">ra. </w:t>
            </w:r>
          </w:p>
          <w:p w14:paraId="1E92756A" w14:textId="77777777" w:rsidR="00FE5992" w:rsidRPr="00D045B3" w:rsidRDefault="00FE5992" w:rsidP="0059709C">
            <w:pPr>
              <w:pStyle w:val="Default"/>
              <w:keepNext/>
              <w:ind w:left="317" w:hanging="317"/>
              <w:rPr>
                <w:sz w:val="22"/>
                <w:szCs w:val="22"/>
              </w:rPr>
            </w:pPr>
            <w:r w:rsidRPr="00D045B3">
              <w:rPr>
                <w:sz w:val="22"/>
                <w:szCs w:val="22"/>
              </w:rPr>
              <w:t>3. Ha a cytopenia 2 héten keresztül fennmarad, csökkentse tovább az adagot 300 mg</w:t>
            </w:r>
            <w:r w:rsidRPr="00D045B3">
              <w:rPr>
                <w:sz w:val="22"/>
                <w:szCs w:val="22"/>
              </w:rPr>
              <w:noBreakHyphen/>
              <w:t xml:space="preserve">ra. </w:t>
            </w:r>
          </w:p>
          <w:p w14:paraId="1E92756B" w14:textId="77777777" w:rsidR="00FE5992" w:rsidRPr="00D045B3" w:rsidRDefault="00FE5992" w:rsidP="0059709C">
            <w:pPr>
              <w:pStyle w:val="Default"/>
              <w:keepNext/>
              <w:ind w:left="317" w:hanging="317"/>
              <w:rPr>
                <w:sz w:val="22"/>
                <w:szCs w:val="22"/>
              </w:rPr>
            </w:pPr>
            <w:r w:rsidRPr="00D045B3">
              <w:rPr>
                <w:sz w:val="22"/>
                <w:szCs w:val="22"/>
              </w:rPr>
              <w:t>4. Ha a cytopenia 4 héten át fennmarad és továbbra sem a leukaemiával kapcsolatos, állítsa le az imatinib</w:t>
            </w:r>
            <w:r w:rsidRPr="00D045B3">
              <w:rPr>
                <w:sz w:val="22"/>
                <w:szCs w:val="22"/>
              </w:rPr>
              <w:noBreakHyphen/>
              <w:t>kezelést, amíg az ANC</w:t>
            </w:r>
            <w:r w:rsidRPr="00D045B3">
              <w:rPr>
                <w:sz w:val="20"/>
                <w:szCs w:val="20"/>
              </w:rPr>
              <w:t> ≥</w:t>
            </w:r>
            <w:r w:rsidRPr="00D045B3">
              <w:rPr>
                <w:sz w:val="22"/>
                <w:szCs w:val="22"/>
              </w:rPr>
              <w:t>1 × 10</w:t>
            </w:r>
            <w:r w:rsidRPr="00D045B3">
              <w:rPr>
                <w:sz w:val="22"/>
                <w:szCs w:val="22"/>
                <w:vertAlign w:val="superscript"/>
              </w:rPr>
              <w:t>9</w:t>
            </w:r>
            <w:r w:rsidRPr="00D045B3">
              <w:rPr>
                <w:sz w:val="22"/>
                <w:szCs w:val="22"/>
              </w:rPr>
              <w:t>/l és a thrombocytaszám</w:t>
            </w:r>
            <w:r w:rsidRPr="00D045B3">
              <w:rPr>
                <w:sz w:val="20"/>
                <w:szCs w:val="20"/>
              </w:rPr>
              <w:t> ≥</w:t>
            </w:r>
            <w:r w:rsidRPr="00D045B3">
              <w:rPr>
                <w:sz w:val="22"/>
                <w:szCs w:val="22"/>
              </w:rPr>
              <w:t>20 × 10</w:t>
            </w:r>
            <w:r w:rsidRPr="00D045B3">
              <w:rPr>
                <w:sz w:val="22"/>
                <w:szCs w:val="22"/>
                <w:vertAlign w:val="superscript"/>
              </w:rPr>
              <w:t>9</w:t>
            </w:r>
            <w:r w:rsidRPr="00D045B3">
              <w:rPr>
                <w:sz w:val="22"/>
                <w:szCs w:val="22"/>
              </w:rPr>
              <w:t>/l lesz, majd folytassa a kezelést 300 mg</w:t>
            </w:r>
            <w:r w:rsidRPr="00D045B3">
              <w:rPr>
                <w:sz w:val="22"/>
                <w:szCs w:val="22"/>
              </w:rPr>
              <w:noBreakHyphen/>
              <w:t xml:space="preserve">mal. </w:t>
            </w:r>
          </w:p>
        </w:tc>
      </w:tr>
      <w:tr w:rsidR="00FE5992" w:rsidRPr="00D045B3" w14:paraId="1E927574" w14:textId="77777777" w:rsidTr="00FE5992">
        <w:trPr>
          <w:trHeight w:val="4108"/>
        </w:trPr>
        <w:tc>
          <w:tcPr>
            <w:tcW w:w="2410" w:type="dxa"/>
          </w:tcPr>
          <w:p w14:paraId="1E92756D" w14:textId="5E6EBE20" w:rsidR="00FE5992" w:rsidRPr="00D045B3" w:rsidRDefault="00FE5992" w:rsidP="00FE5992">
            <w:pPr>
              <w:pStyle w:val="KeinLeerraum"/>
              <w:rPr>
                <w:rFonts w:ascii="Times New Roman" w:hAnsi="Times New Roman"/>
              </w:rPr>
            </w:pPr>
            <w:r w:rsidRPr="00D045B3">
              <w:rPr>
                <w:rFonts w:ascii="Times New Roman" w:hAnsi="Times New Roman"/>
              </w:rPr>
              <w:t>Gyermek</w:t>
            </w:r>
            <w:r w:rsidR="000D57F6" w:rsidRPr="00D045B3">
              <w:rPr>
                <w:rFonts w:ascii="Times New Roman" w:hAnsi="Times New Roman"/>
              </w:rPr>
              <w:t>- és serdülő</w:t>
            </w:r>
            <w:r w:rsidRPr="00D045B3">
              <w:rPr>
                <w:rFonts w:ascii="Times New Roman" w:hAnsi="Times New Roman"/>
              </w:rPr>
              <w:t>kori</w:t>
            </w:r>
            <w:r w:rsidRPr="00D045B3">
              <w:rPr>
                <w:rStyle w:val="Kommentarzeichen"/>
              </w:rPr>
              <w:t xml:space="preserve"> </w:t>
            </w:r>
            <w:r w:rsidRPr="00D045B3">
              <w:rPr>
                <w:rFonts w:ascii="Times New Roman" w:hAnsi="Times New Roman"/>
              </w:rPr>
              <w:t>CML akcelerált fázis és blasztos krízis (kezdő dózis: 340 mg/m</w:t>
            </w:r>
            <w:r w:rsidRPr="00D045B3">
              <w:rPr>
                <w:rFonts w:ascii="Times New Roman" w:hAnsi="Times New Roman"/>
                <w:vertAlign w:val="superscript"/>
              </w:rPr>
              <w:t>2</w:t>
            </w:r>
            <w:r w:rsidRPr="00D045B3">
              <w:rPr>
                <w:rFonts w:ascii="Times New Roman" w:hAnsi="Times New Roman"/>
              </w:rPr>
              <w:t>)</w:t>
            </w:r>
          </w:p>
        </w:tc>
        <w:tc>
          <w:tcPr>
            <w:tcW w:w="2552" w:type="dxa"/>
          </w:tcPr>
          <w:p w14:paraId="1E92756E" w14:textId="77777777" w:rsidR="00FE5992" w:rsidRPr="00D045B3" w:rsidRDefault="00FE5992" w:rsidP="00FE5992">
            <w:pPr>
              <w:pStyle w:val="KeinLeerraum"/>
              <w:rPr>
                <w:rFonts w:ascii="Times New Roman" w:hAnsi="Times New Roman"/>
              </w:rPr>
            </w:pPr>
            <w:r w:rsidRPr="00D045B3">
              <w:rPr>
                <w:rFonts w:ascii="Times New Roman" w:hAnsi="Times New Roman"/>
              </w:rPr>
              <w:t>ANC &lt; 0,5 × 10</w:t>
            </w:r>
            <w:r w:rsidRPr="00D045B3">
              <w:rPr>
                <w:rFonts w:ascii="Times New Roman" w:hAnsi="Times New Roman"/>
                <w:vertAlign w:val="superscript"/>
              </w:rPr>
              <w:t>9</w:t>
            </w:r>
            <w:r w:rsidRPr="00D045B3">
              <w:rPr>
                <w:rFonts w:ascii="Times New Roman" w:hAnsi="Times New Roman"/>
              </w:rPr>
              <w:t xml:space="preserve">/l </w:t>
            </w:r>
          </w:p>
          <w:p w14:paraId="1E92756F" w14:textId="77777777" w:rsidR="00FE5992" w:rsidRPr="00D045B3" w:rsidRDefault="00FE5992" w:rsidP="00FE5992">
            <w:pPr>
              <w:pStyle w:val="KeinLeerraum"/>
              <w:rPr>
                <w:rFonts w:ascii="Times New Roman" w:hAnsi="Times New Roman"/>
              </w:rPr>
            </w:pPr>
            <w:r w:rsidRPr="00D045B3">
              <w:rPr>
                <w:rFonts w:ascii="Times New Roman" w:hAnsi="Times New Roman"/>
              </w:rPr>
              <w:t>és/vagy thrombocytaszám &lt;10 × 10</w:t>
            </w:r>
            <w:r w:rsidRPr="00D045B3">
              <w:rPr>
                <w:rFonts w:ascii="Times New Roman" w:hAnsi="Times New Roman"/>
                <w:vertAlign w:val="superscript"/>
              </w:rPr>
              <w:t>9</w:t>
            </w:r>
            <w:r w:rsidRPr="00D045B3">
              <w:rPr>
                <w:rFonts w:ascii="Times New Roman" w:hAnsi="Times New Roman"/>
              </w:rPr>
              <w:t>/l</w:t>
            </w:r>
          </w:p>
        </w:tc>
        <w:tc>
          <w:tcPr>
            <w:tcW w:w="4110" w:type="dxa"/>
          </w:tcPr>
          <w:p w14:paraId="1E927570"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1. Ellenőrizni kell, hogy a cytopenia összefügg</w:t>
            </w:r>
            <w:r w:rsidRPr="00D045B3">
              <w:rPr>
                <w:rFonts w:ascii="Times New Roman" w:hAnsi="Times New Roman"/>
              </w:rPr>
              <w:noBreakHyphen/>
              <w:t xml:space="preserve">e a leukaemiával (csontvelő aspiratio vagy biopsia). </w:t>
            </w:r>
          </w:p>
          <w:p w14:paraId="1E927571" w14:textId="77777777" w:rsidR="00FE5992" w:rsidRPr="00D045B3" w:rsidRDefault="00FE5992" w:rsidP="008A6837">
            <w:pPr>
              <w:pStyle w:val="KeinLeerraum"/>
              <w:ind w:left="317" w:hanging="284"/>
              <w:rPr>
                <w:rFonts w:ascii="Times New Roman" w:hAnsi="Times New Roman"/>
              </w:rPr>
            </w:pPr>
            <w:smartTag w:uri="urn:schemas-microsoft-com:office:smarttags" w:element="metricconverter">
              <w:smartTagPr>
                <w:attr w:name="ProductID" w:val="2. Ha"/>
              </w:smartTagPr>
              <w:r w:rsidRPr="00D045B3">
                <w:rPr>
                  <w:rFonts w:ascii="Times New Roman" w:hAnsi="Times New Roman"/>
                </w:rPr>
                <w:t>2. Ha</w:t>
              </w:r>
            </w:smartTag>
            <w:r w:rsidRPr="00D045B3">
              <w:rPr>
                <w:rFonts w:ascii="Times New Roman" w:hAnsi="Times New Roman"/>
              </w:rPr>
              <w:t xml:space="preserve"> a cytopenia nem a leukaemiával kapcsolatos, csökkentse az imatinib dózisát 400 mg</w:t>
            </w:r>
            <w:r w:rsidRPr="00D045B3">
              <w:rPr>
                <w:rFonts w:ascii="Times New Roman" w:hAnsi="Times New Roman"/>
              </w:rPr>
              <w:noBreakHyphen/>
              <w:t xml:space="preserve">ra. </w:t>
            </w:r>
          </w:p>
          <w:p w14:paraId="1E927572" w14:textId="77777777" w:rsidR="00FE5992" w:rsidRPr="00D045B3" w:rsidRDefault="00FE5992" w:rsidP="008A6837">
            <w:pPr>
              <w:pStyle w:val="KeinLeerraum"/>
              <w:ind w:left="317" w:hanging="317"/>
              <w:rPr>
                <w:rFonts w:ascii="Times New Roman" w:hAnsi="Times New Roman"/>
              </w:rPr>
            </w:pPr>
            <w:smartTag w:uri="urn:schemas-microsoft-com:office:smarttags" w:element="metricconverter">
              <w:smartTagPr>
                <w:attr w:name="ProductID" w:val="3. Ha"/>
              </w:smartTagPr>
              <w:r w:rsidRPr="00D045B3">
                <w:rPr>
                  <w:rFonts w:ascii="Times New Roman" w:hAnsi="Times New Roman"/>
                </w:rPr>
                <w:t>3. Ha</w:t>
              </w:r>
            </w:smartTag>
            <w:r w:rsidRPr="00D045B3">
              <w:rPr>
                <w:rFonts w:ascii="Times New Roman" w:hAnsi="Times New Roman"/>
              </w:rPr>
              <w:t xml:space="preserve"> a cytopenia 2 héten át fennmarad, csökkentse tovább az adagot 300 mg</w:t>
            </w:r>
            <w:r w:rsidRPr="00D045B3">
              <w:rPr>
                <w:rFonts w:ascii="Times New Roman" w:hAnsi="Times New Roman"/>
              </w:rPr>
              <w:noBreakHyphen/>
              <w:t xml:space="preserve">ra. </w:t>
            </w:r>
          </w:p>
          <w:p w14:paraId="1E927573" w14:textId="77777777" w:rsidR="00FE5992" w:rsidRPr="00D045B3" w:rsidRDefault="00FE5992" w:rsidP="00FE5992">
            <w:pPr>
              <w:pStyle w:val="KeinLeerraum"/>
              <w:ind w:left="317" w:hanging="317"/>
              <w:rPr>
                <w:rFonts w:ascii="Times New Roman" w:hAnsi="Times New Roman"/>
              </w:rPr>
            </w:pPr>
            <w:smartTag w:uri="urn:schemas-microsoft-com:office:smarttags" w:element="metricconverter">
              <w:smartTagPr>
                <w:attr w:name="ProductID" w:val="4. Ha"/>
              </w:smartTagPr>
              <w:r w:rsidRPr="00D045B3">
                <w:rPr>
                  <w:rFonts w:ascii="Times New Roman" w:hAnsi="Times New Roman"/>
                </w:rPr>
                <w:t>4. Ha</w:t>
              </w:r>
            </w:smartTag>
            <w:r w:rsidRPr="00D045B3">
              <w:rPr>
                <w:rFonts w:ascii="Times New Roman" w:hAnsi="Times New Roman"/>
              </w:rPr>
              <w:t xml:space="preserve"> a cytopenia 4 héten át fennmarad és továbbra sem a leukaemiával kapcsolatos, állítsa le az imatinib</w:t>
            </w:r>
            <w:r w:rsidRPr="00D045B3">
              <w:rPr>
                <w:rFonts w:ascii="Times New Roman" w:hAnsi="Times New Roman"/>
              </w:rPr>
              <w:noBreakHyphen/>
              <w:t>kezelést, amíg az ANC eléri a ≥1 × 10</w:t>
            </w:r>
            <w:r w:rsidRPr="00D045B3">
              <w:rPr>
                <w:rFonts w:ascii="Times New Roman" w:hAnsi="Times New Roman"/>
                <w:vertAlign w:val="superscript"/>
              </w:rPr>
              <w:t>9</w:t>
            </w:r>
            <w:r w:rsidRPr="00D045B3">
              <w:rPr>
                <w:rFonts w:ascii="Times New Roman" w:hAnsi="Times New Roman"/>
              </w:rPr>
              <w:t>/l, a thrombocytaszám pedig a ≥20 × 10</w:t>
            </w:r>
            <w:r w:rsidRPr="00D045B3">
              <w:rPr>
                <w:rFonts w:ascii="Times New Roman" w:hAnsi="Times New Roman"/>
                <w:vertAlign w:val="superscript"/>
              </w:rPr>
              <w:t>9</w:t>
            </w:r>
            <w:r w:rsidRPr="00D045B3">
              <w:rPr>
                <w:rFonts w:ascii="Times New Roman" w:hAnsi="Times New Roman"/>
              </w:rPr>
              <w:t>/l értéket, majd folytassa a kezelést 200  mg/m</w:t>
            </w:r>
            <w:r w:rsidRPr="00D045B3">
              <w:rPr>
                <w:rFonts w:ascii="Times New Roman" w:hAnsi="Times New Roman"/>
                <w:vertAlign w:val="superscript"/>
              </w:rPr>
              <w:t>2</w:t>
            </w:r>
            <w:r w:rsidRPr="00D045B3">
              <w:rPr>
                <w:rFonts w:ascii="Times New Roman" w:hAnsi="Times New Roman"/>
              </w:rPr>
              <w:t xml:space="preserve"> dózissal.</w:t>
            </w:r>
          </w:p>
        </w:tc>
      </w:tr>
      <w:tr w:rsidR="00FE5992" w:rsidRPr="00D045B3" w14:paraId="1E92757A" w14:textId="77777777" w:rsidTr="00FE5992">
        <w:tc>
          <w:tcPr>
            <w:tcW w:w="2410" w:type="dxa"/>
            <w:tcBorders>
              <w:top w:val="single" w:sz="4" w:space="0" w:color="000000"/>
              <w:left w:val="single" w:sz="4" w:space="0" w:color="000000"/>
              <w:bottom w:val="single" w:sz="4" w:space="0" w:color="000000"/>
              <w:right w:val="single" w:sz="4" w:space="0" w:color="000000"/>
            </w:tcBorders>
          </w:tcPr>
          <w:p w14:paraId="1E927575" w14:textId="77777777" w:rsidR="00FE5992" w:rsidRPr="00D045B3" w:rsidRDefault="00FE5992" w:rsidP="008A6837">
            <w:pPr>
              <w:pStyle w:val="Default"/>
              <w:rPr>
                <w:sz w:val="22"/>
                <w:szCs w:val="22"/>
              </w:rPr>
            </w:pPr>
            <w:r w:rsidRPr="00D045B3">
              <w:rPr>
                <w:sz w:val="22"/>
                <w:szCs w:val="22"/>
              </w:rPr>
              <w:t xml:space="preserve">DFSP </w:t>
            </w:r>
            <w:r w:rsidRPr="00D045B3">
              <w:t>(400 </w:t>
            </w:r>
            <w:r w:rsidRPr="00D045B3">
              <w:rPr>
                <w:sz w:val="22"/>
                <w:szCs w:val="22"/>
              </w:rPr>
              <w:t>mg</w:t>
            </w:r>
            <w:r w:rsidRPr="00D045B3">
              <w:noBreakHyphen/>
            </w:r>
            <w:r w:rsidRPr="00D045B3">
              <w:rPr>
                <w:sz w:val="22"/>
                <w:szCs w:val="22"/>
              </w:rPr>
              <w:t xml:space="preserve">os </w:t>
            </w:r>
            <w:r w:rsidRPr="00D045B3">
              <w:t>dózis</w:t>
            </w:r>
            <w:r w:rsidRPr="00D045B3">
              <w:rPr>
                <w:sz w:val="22"/>
                <w:szCs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E927576" w14:textId="77777777" w:rsidR="00FE5992" w:rsidRPr="00D045B3" w:rsidRDefault="00FE5992" w:rsidP="00FE5992">
            <w:pPr>
              <w:rPr>
                <w:szCs w:val="22"/>
                <w:lang w:val="hu-HU"/>
              </w:rPr>
            </w:pPr>
            <w:r w:rsidRPr="00D045B3">
              <w:rPr>
                <w:szCs w:val="22"/>
                <w:lang w:val="hu-HU"/>
              </w:rPr>
              <w:t>ANC &lt;1,0 × 10</w:t>
            </w:r>
            <w:r w:rsidRPr="00D045B3">
              <w:rPr>
                <w:szCs w:val="22"/>
                <w:vertAlign w:val="superscript"/>
                <w:lang w:val="hu-HU"/>
              </w:rPr>
              <w:t>9</w:t>
            </w:r>
            <w:r w:rsidRPr="00D045B3">
              <w:rPr>
                <w:szCs w:val="22"/>
                <w:lang w:val="hu-HU"/>
              </w:rPr>
              <w:t>/l és/vagy thrombocytaszám &lt; 50 × 10</w:t>
            </w:r>
            <w:r w:rsidRPr="00D045B3">
              <w:rPr>
                <w:szCs w:val="22"/>
                <w:vertAlign w:val="superscript"/>
                <w:lang w:val="hu-HU"/>
              </w:rPr>
              <w:t>9</w:t>
            </w:r>
            <w:r w:rsidRPr="00D045B3">
              <w:rPr>
                <w:szCs w:val="22"/>
                <w:lang w:val="hu-HU"/>
              </w:rPr>
              <w:t>/l</w:t>
            </w:r>
          </w:p>
        </w:tc>
        <w:tc>
          <w:tcPr>
            <w:tcW w:w="4110" w:type="dxa"/>
            <w:tcBorders>
              <w:top w:val="single" w:sz="4" w:space="0" w:color="000000"/>
              <w:left w:val="single" w:sz="4" w:space="0" w:color="000000"/>
              <w:bottom w:val="single" w:sz="4" w:space="0" w:color="000000"/>
              <w:right w:val="single" w:sz="4" w:space="0" w:color="000000"/>
            </w:tcBorders>
          </w:tcPr>
          <w:p w14:paraId="1E927577" w14:textId="77777777" w:rsidR="00FE5992" w:rsidRPr="00D045B3" w:rsidRDefault="00FE5992" w:rsidP="00FE5992">
            <w:pPr>
              <w:pStyle w:val="Default"/>
              <w:ind w:left="317" w:hanging="284"/>
              <w:rPr>
                <w:sz w:val="22"/>
                <w:szCs w:val="22"/>
              </w:rPr>
            </w:pPr>
            <w:r w:rsidRPr="00D045B3">
              <w:rPr>
                <w:sz w:val="22"/>
                <w:szCs w:val="22"/>
              </w:rPr>
              <w:t>1. Állítsa le az imatinib</w:t>
            </w:r>
            <w:r w:rsidRPr="00D045B3">
              <w:rPr>
                <w:sz w:val="22"/>
                <w:szCs w:val="22"/>
              </w:rPr>
              <w:noBreakHyphen/>
              <w:t>kezelést, amíg az ANC eléri a ≥1,5 × 10</w:t>
            </w:r>
            <w:r w:rsidRPr="00D045B3">
              <w:rPr>
                <w:sz w:val="22"/>
                <w:szCs w:val="22"/>
                <w:vertAlign w:val="superscript"/>
              </w:rPr>
              <w:t>9</w:t>
            </w:r>
            <w:r w:rsidRPr="00D045B3">
              <w:rPr>
                <w:sz w:val="22"/>
                <w:szCs w:val="22"/>
              </w:rPr>
              <w:t>/l, a thrombocytaszám pedig a ≥75 × 10</w:t>
            </w:r>
            <w:r w:rsidRPr="00D045B3">
              <w:rPr>
                <w:sz w:val="22"/>
                <w:szCs w:val="22"/>
                <w:vertAlign w:val="superscript"/>
              </w:rPr>
              <w:t>9</w:t>
            </w:r>
            <w:r w:rsidRPr="00D045B3">
              <w:rPr>
                <w:sz w:val="22"/>
                <w:szCs w:val="22"/>
              </w:rPr>
              <w:t xml:space="preserve">/l értéket. </w:t>
            </w:r>
          </w:p>
          <w:p w14:paraId="1E927578"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2. Az imatinib</w:t>
            </w:r>
            <w:r w:rsidRPr="00D045B3">
              <w:rPr>
                <w:rFonts w:ascii="Times New Roman" w:hAnsi="Times New Roman"/>
              </w:rPr>
              <w:noBreakHyphen/>
              <w:t>kezelést 600 mg</w:t>
            </w:r>
            <w:r w:rsidRPr="00D045B3">
              <w:rPr>
                <w:rFonts w:ascii="Times New Roman" w:hAnsi="Times New Roman"/>
              </w:rPr>
              <w:noBreakHyphen/>
              <w:t xml:space="preserve">mal </w:t>
            </w:r>
            <w:r w:rsidRPr="00D045B3">
              <w:t>i</w:t>
            </w:r>
            <w:r w:rsidRPr="00D045B3">
              <w:rPr>
                <w:rFonts w:ascii="Times New Roman" w:hAnsi="Times New Roman"/>
              </w:rPr>
              <w:t>ndítsa újra.</w:t>
            </w:r>
          </w:p>
          <w:p w14:paraId="1E927579" w14:textId="77777777" w:rsidR="00FE5992" w:rsidRPr="00D045B3" w:rsidRDefault="00FE5992" w:rsidP="00FE5992">
            <w:pPr>
              <w:pStyle w:val="KeinLeerraum"/>
              <w:ind w:left="317" w:hanging="317"/>
              <w:rPr>
                <w:rFonts w:ascii="Times New Roman" w:hAnsi="Times New Roman"/>
              </w:rPr>
            </w:pPr>
            <w:r w:rsidRPr="00D045B3">
              <w:rPr>
                <w:rFonts w:ascii="Times New Roman" w:hAnsi="Times New Roman"/>
              </w:rPr>
              <w:t>3. Ha az ANC ismét &lt;1,0 × 10</w:t>
            </w:r>
            <w:r w:rsidRPr="00D045B3">
              <w:rPr>
                <w:rFonts w:ascii="Times New Roman" w:hAnsi="Times New Roman"/>
                <w:vertAlign w:val="superscript"/>
              </w:rPr>
              <w:t>9</w:t>
            </w:r>
            <w:r w:rsidRPr="00D045B3">
              <w:rPr>
                <w:rFonts w:ascii="Times New Roman" w:hAnsi="Times New Roman"/>
              </w:rPr>
              <w:t>/l, és/vagy a thrombocytaszám ismét &lt; 50 × 10</w:t>
            </w:r>
            <w:r w:rsidRPr="00D045B3">
              <w:rPr>
                <w:rFonts w:ascii="Times New Roman" w:hAnsi="Times New Roman"/>
                <w:vertAlign w:val="superscript"/>
              </w:rPr>
              <w:t>9</w:t>
            </w:r>
            <w:r w:rsidRPr="00D045B3">
              <w:rPr>
                <w:rFonts w:ascii="Times New Roman" w:hAnsi="Times New Roman"/>
              </w:rPr>
              <w:t>/l, az 1. pont szerint járjon el, majd a kezelést 400 mg</w:t>
            </w:r>
            <w:r w:rsidRPr="00D045B3">
              <w:rPr>
                <w:rFonts w:ascii="Times New Roman" w:hAnsi="Times New Roman"/>
              </w:rPr>
              <w:noBreakHyphen/>
              <w:t xml:space="preserve">ra csökkentett imatinib dózissal </w:t>
            </w:r>
            <w:r w:rsidRPr="00D045B3">
              <w:t>i</w:t>
            </w:r>
            <w:r w:rsidRPr="00D045B3">
              <w:rPr>
                <w:rFonts w:ascii="Times New Roman" w:hAnsi="Times New Roman"/>
              </w:rPr>
              <w:t>ndítsa újra.</w:t>
            </w:r>
          </w:p>
        </w:tc>
      </w:tr>
      <w:tr w:rsidR="00FE5992" w:rsidRPr="00D045B3" w14:paraId="1E92757C" w14:textId="77777777" w:rsidTr="00FE5992">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222"/>
        </w:trPr>
        <w:tc>
          <w:tcPr>
            <w:tcW w:w="9072" w:type="dxa"/>
            <w:gridSpan w:val="3"/>
            <w:tcBorders>
              <w:top w:val="single" w:sz="4" w:space="0" w:color="auto"/>
              <w:left w:val="single" w:sz="4" w:space="0" w:color="auto"/>
              <w:bottom w:val="nil"/>
              <w:right w:val="single" w:sz="4" w:space="0" w:color="auto"/>
            </w:tcBorders>
          </w:tcPr>
          <w:p w14:paraId="1E92757B" w14:textId="77777777" w:rsidR="00FE5992" w:rsidRPr="00D045B3" w:rsidRDefault="00FE5992" w:rsidP="00FE5992">
            <w:pPr>
              <w:pStyle w:val="Default"/>
              <w:rPr>
                <w:sz w:val="22"/>
                <w:szCs w:val="22"/>
              </w:rPr>
            </w:pPr>
            <w:r w:rsidRPr="00D045B3">
              <w:rPr>
                <w:sz w:val="22"/>
                <w:szCs w:val="22"/>
              </w:rPr>
              <w:t xml:space="preserve">ANC = abszolút neutrofilszám </w:t>
            </w:r>
          </w:p>
        </w:tc>
      </w:tr>
      <w:tr w:rsidR="00FE5992" w:rsidRPr="00D045B3" w14:paraId="1E92757E" w14:textId="77777777" w:rsidTr="00FE5992">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222"/>
        </w:trPr>
        <w:tc>
          <w:tcPr>
            <w:tcW w:w="9072" w:type="dxa"/>
            <w:gridSpan w:val="3"/>
            <w:tcBorders>
              <w:top w:val="nil"/>
              <w:left w:val="single" w:sz="4" w:space="0" w:color="auto"/>
              <w:bottom w:val="single" w:sz="4" w:space="0" w:color="auto"/>
              <w:right w:val="single" w:sz="4" w:space="0" w:color="auto"/>
            </w:tcBorders>
          </w:tcPr>
          <w:p w14:paraId="1E92757D" w14:textId="77777777" w:rsidR="00FE5992" w:rsidRPr="00D045B3" w:rsidRDefault="00FE5992" w:rsidP="00FE5992">
            <w:pPr>
              <w:pStyle w:val="Default"/>
              <w:rPr>
                <w:sz w:val="22"/>
                <w:szCs w:val="22"/>
              </w:rPr>
            </w:pPr>
            <w:r w:rsidRPr="00D045B3">
              <w:rPr>
                <w:sz w:val="22"/>
                <w:szCs w:val="22"/>
              </w:rPr>
              <w:t>’</w:t>
            </w:r>
            <w:r w:rsidRPr="00D045B3">
              <w:rPr>
                <w:sz w:val="22"/>
                <w:szCs w:val="22"/>
                <w:vertAlign w:val="superscript"/>
              </w:rPr>
              <w:t>a</w:t>
            </w:r>
            <w:r w:rsidRPr="00D045B3">
              <w:rPr>
                <w:sz w:val="22"/>
                <w:szCs w:val="22"/>
              </w:rPr>
              <w:t>’ legalább egy hónapos kezelés után következik be</w:t>
            </w:r>
          </w:p>
        </w:tc>
      </w:tr>
    </w:tbl>
    <w:p w14:paraId="1E92757F" w14:textId="77777777" w:rsidR="00FE5992" w:rsidRPr="00D045B3" w:rsidRDefault="00FE5992" w:rsidP="00FE5992">
      <w:pPr>
        <w:pStyle w:val="KeinLeerraum"/>
        <w:rPr>
          <w:rFonts w:ascii="Times New Roman" w:hAnsi="Times New Roman"/>
        </w:rPr>
      </w:pPr>
    </w:p>
    <w:p w14:paraId="1E927580"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Különleges betegcsoportok</w:t>
      </w:r>
    </w:p>
    <w:p w14:paraId="1E927581" w14:textId="77777777" w:rsidR="001C2D59" w:rsidRPr="00D045B3" w:rsidRDefault="001C2D59" w:rsidP="00FE5992">
      <w:pPr>
        <w:pStyle w:val="KeinLeerraum"/>
        <w:keepNext/>
        <w:rPr>
          <w:rFonts w:ascii="Times New Roman" w:hAnsi="Times New Roman"/>
          <w:u w:val="single"/>
        </w:rPr>
      </w:pPr>
    </w:p>
    <w:p w14:paraId="1E927582" w14:textId="5980B01C" w:rsidR="00FE5992" w:rsidRPr="00D045B3" w:rsidRDefault="00FE5992" w:rsidP="00FE5992">
      <w:pPr>
        <w:pStyle w:val="Default"/>
        <w:rPr>
          <w:sz w:val="22"/>
          <w:szCs w:val="22"/>
        </w:rPr>
      </w:pPr>
      <w:r w:rsidRPr="00D045B3">
        <w:rPr>
          <w:i/>
          <w:iCs/>
          <w:sz w:val="22"/>
          <w:szCs w:val="22"/>
          <w:u w:val="single"/>
        </w:rPr>
        <w:t>Alkalmazása gyermekeknél</w:t>
      </w:r>
      <w:r w:rsidR="000D57F6" w:rsidRPr="00D045B3">
        <w:rPr>
          <w:i/>
          <w:iCs/>
          <w:sz w:val="22"/>
          <w:szCs w:val="22"/>
          <w:u w:val="single"/>
        </w:rPr>
        <w:t xml:space="preserve"> és serdülőknél</w:t>
      </w:r>
      <w:r w:rsidRPr="00D045B3">
        <w:rPr>
          <w:i/>
          <w:iCs/>
          <w:sz w:val="22"/>
          <w:szCs w:val="22"/>
          <w:u w:val="single"/>
        </w:rPr>
        <w:t xml:space="preserve">: </w:t>
      </w:r>
      <w:r w:rsidRPr="00D045B3">
        <w:rPr>
          <w:sz w:val="22"/>
          <w:szCs w:val="22"/>
        </w:rPr>
        <w:t xml:space="preserve">2 éves kor alatti </w:t>
      </w:r>
      <w:r w:rsidR="00C21EC9" w:rsidRPr="00D045B3">
        <w:rPr>
          <w:sz w:val="22"/>
          <w:szCs w:val="22"/>
        </w:rPr>
        <w:t>CML</w:t>
      </w:r>
      <w:r w:rsidR="00C21EC9" w:rsidRPr="00D045B3">
        <w:rPr>
          <w:sz w:val="22"/>
          <w:szCs w:val="22"/>
        </w:rPr>
        <w:noBreakHyphen/>
        <w:t xml:space="preserve">ben szenvedő gyermekek </w:t>
      </w:r>
      <w:r w:rsidR="001D664C" w:rsidRPr="00D045B3">
        <w:rPr>
          <w:sz w:val="22"/>
          <w:szCs w:val="22"/>
        </w:rPr>
        <w:t xml:space="preserve">és 1 éves kor alatti </w:t>
      </w:r>
      <w:r w:rsidR="001D664C" w:rsidRPr="00D045B3">
        <w:rPr>
          <w:sz w:val="22"/>
          <w:szCs w:val="22"/>
          <w:lang w:eastAsia="hu-HU"/>
        </w:rPr>
        <w:t>Ph+ALL</w:t>
      </w:r>
      <w:r w:rsidR="001D664C" w:rsidRPr="00D045B3">
        <w:rPr>
          <w:sz w:val="22"/>
          <w:szCs w:val="22"/>
        </w:rPr>
        <w:noBreakHyphen/>
        <w:t>ben szenvedő gyermekek esetében</w:t>
      </w:r>
      <w:r w:rsidRPr="00D045B3">
        <w:rPr>
          <w:sz w:val="22"/>
          <w:szCs w:val="22"/>
        </w:rPr>
        <w:t xml:space="preserve"> nincs tapasztalat (lásd 5.1 pont). MDS/MPD</w:t>
      </w:r>
      <w:r w:rsidRPr="00D045B3">
        <w:rPr>
          <w:sz w:val="22"/>
          <w:szCs w:val="22"/>
        </w:rPr>
        <w:noBreakHyphen/>
        <w:t>ben, DFSP</w:t>
      </w:r>
      <w:r w:rsidRPr="00D045B3">
        <w:rPr>
          <w:sz w:val="22"/>
          <w:szCs w:val="22"/>
        </w:rPr>
        <w:noBreakHyphen/>
        <w:t>ben, illetve HES/CEL</w:t>
      </w:r>
      <w:r w:rsidRPr="00D045B3">
        <w:rPr>
          <w:sz w:val="22"/>
          <w:szCs w:val="22"/>
        </w:rPr>
        <w:noBreakHyphen/>
        <w:t>ben szenvedő</w:t>
      </w:r>
      <w:r w:rsidR="00676C37" w:rsidRPr="00D045B3">
        <w:rPr>
          <w:sz w:val="22"/>
          <w:szCs w:val="22"/>
        </w:rPr>
        <w:t xml:space="preserve"> gyermekek</w:t>
      </w:r>
      <w:r w:rsidR="001D664C" w:rsidRPr="00D045B3">
        <w:rPr>
          <w:sz w:val="22"/>
          <w:szCs w:val="22"/>
        </w:rPr>
        <w:t xml:space="preserve"> esetében</w:t>
      </w:r>
      <w:r w:rsidRPr="00D045B3">
        <w:rPr>
          <w:sz w:val="22"/>
          <w:szCs w:val="22"/>
        </w:rPr>
        <w:t xml:space="preserve"> nagyon kevés tapasztalat áll rendelkezésre. </w:t>
      </w:r>
    </w:p>
    <w:p w14:paraId="1E927583" w14:textId="77777777" w:rsidR="00FE5992" w:rsidRPr="00D045B3" w:rsidRDefault="00FE5992" w:rsidP="00FE5992">
      <w:pPr>
        <w:pStyle w:val="Default"/>
        <w:rPr>
          <w:sz w:val="22"/>
          <w:szCs w:val="22"/>
        </w:rPr>
      </w:pPr>
    </w:p>
    <w:p w14:paraId="1E927584" w14:textId="38F0FDE3" w:rsidR="00FE5992" w:rsidRPr="00D045B3" w:rsidRDefault="00FE5992" w:rsidP="00FE5992">
      <w:pPr>
        <w:pStyle w:val="KeinLeerraum"/>
        <w:keepNext/>
        <w:rPr>
          <w:rFonts w:ascii="Times New Roman" w:hAnsi="Times New Roman"/>
        </w:rPr>
      </w:pPr>
      <w:r w:rsidRPr="00D045B3">
        <w:rPr>
          <w:rFonts w:ascii="Times New Roman" w:hAnsi="Times New Roman"/>
        </w:rPr>
        <w:t>Az imatinib hatásosságát és biztonságosságát MDS/MPD</w:t>
      </w:r>
      <w:r w:rsidRPr="00D045B3">
        <w:rPr>
          <w:rFonts w:ascii="Times New Roman" w:hAnsi="Times New Roman"/>
        </w:rPr>
        <w:noBreakHyphen/>
        <w:t>ben, DFSP</w:t>
      </w:r>
      <w:r w:rsidRPr="00D045B3">
        <w:rPr>
          <w:rFonts w:ascii="Times New Roman" w:hAnsi="Times New Roman"/>
        </w:rPr>
        <w:noBreakHyphen/>
        <w:t>ben, és HES/CEL</w:t>
      </w:r>
      <w:r w:rsidRPr="00D045B3">
        <w:rPr>
          <w:rFonts w:ascii="Times New Roman" w:hAnsi="Times New Roman"/>
        </w:rPr>
        <w:noBreakHyphen/>
        <w:t xml:space="preserve">ben szenvedő, 18 évesnél fiatalabb gyermekeknél </w:t>
      </w:r>
      <w:r w:rsidR="000D57F6" w:rsidRPr="00D045B3">
        <w:rPr>
          <w:rFonts w:ascii="Times New Roman" w:hAnsi="Times New Roman"/>
        </w:rPr>
        <w:t xml:space="preserve">és serdülőknél </w:t>
      </w:r>
      <w:r w:rsidRPr="00D045B3">
        <w:rPr>
          <w:rFonts w:ascii="Times New Roman" w:hAnsi="Times New Roman"/>
        </w:rPr>
        <w:t>klinikai vizsgálatokban nem igazolták. A jelenleg rendelkezésre álló, publikált adatok az 5.1 pontban kerültek összegzésre, de az adagolásra vonatkozóan nem adhatók ajánlások.</w:t>
      </w:r>
    </w:p>
    <w:p w14:paraId="1E927585" w14:textId="77777777" w:rsidR="00FE5992" w:rsidRPr="00D045B3" w:rsidRDefault="00FE5992" w:rsidP="00FE5992">
      <w:pPr>
        <w:pStyle w:val="KeinLeerraum"/>
        <w:rPr>
          <w:rFonts w:ascii="Times New Roman" w:hAnsi="Times New Roman"/>
        </w:rPr>
      </w:pPr>
    </w:p>
    <w:p w14:paraId="1E927586" w14:textId="77777777" w:rsidR="00FE5992" w:rsidRPr="00D045B3" w:rsidRDefault="00FE5992" w:rsidP="00FE5992">
      <w:pPr>
        <w:pStyle w:val="KeinLeerraum"/>
        <w:keepNext/>
        <w:rPr>
          <w:rFonts w:ascii="Times New Roman" w:hAnsi="Times New Roman"/>
        </w:rPr>
      </w:pPr>
      <w:r w:rsidRPr="00D045B3">
        <w:rPr>
          <w:rFonts w:ascii="Times New Roman" w:hAnsi="Times New Roman"/>
          <w:i/>
          <w:iCs/>
          <w:u w:val="single"/>
        </w:rPr>
        <w:t>Májelégtelenség</w:t>
      </w:r>
      <w:r w:rsidRPr="00D045B3">
        <w:rPr>
          <w:rFonts w:ascii="Times New Roman" w:hAnsi="Times New Roman"/>
          <w:iCs/>
        </w:rPr>
        <w:t xml:space="preserve">: </w:t>
      </w:r>
      <w:r w:rsidRPr="00D045B3">
        <w:rPr>
          <w:rFonts w:ascii="Times New Roman" w:hAnsi="Times New Roman"/>
        </w:rPr>
        <w:t>Az imatinib főként a májon keresztül metabolizálódik. Enyhe, mérsékelt vagy súlyos májfunkció károsodásban szenvedő betegek számára a napi 400 mg</w:t>
      </w:r>
      <w:r w:rsidRPr="00D045B3">
        <w:rPr>
          <w:rFonts w:ascii="Times New Roman" w:hAnsi="Times New Roman"/>
        </w:rPr>
        <w:noBreakHyphen/>
        <w:t xml:space="preserve">os minimális dózis javasolt. A dózis csökkenthető, ha azt a beteg nem jól tolerálja (lásd 4.4, 4.8, és 5.2 pont). </w:t>
      </w:r>
    </w:p>
    <w:p w14:paraId="1E927587" w14:textId="77777777" w:rsidR="00FE5992" w:rsidRPr="00D045B3" w:rsidRDefault="00FE5992" w:rsidP="00FE5992">
      <w:pPr>
        <w:pStyle w:val="KeinLeerraum"/>
        <w:rPr>
          <w:rFonts w:ascii="Times New Roman" w:hAnsi="Times New Roman"/>
        </w:rPr>
      </w:pPr>
    </w:p>
    <w:p w14:paraId="1E927588" w14:textId="77B7C077" w:rsidR="00FE5992" w:rsidRPr="00D045B3" w:rsidRDefault="00FE5992" w:rsidP="00CA41FD">
      <w:pPr>
        <w:pStyle w:val="KeinLeerraum"/>
        <w:keepNext/>
        <w:rPr>
          <w:rFonts w:ascii="Times New Roman" w:hAnsi="Times New Roman"/>
        </w:rPr>
      </w:pPr>
      <w:r w:rsidRPr="00D045B3">
        <w:rPr>
          <w:rFonts w:ascii="Times New Roman" w:hAnsi="Times New Roman"/>
        </w:rPr>
        <w:t>A májkárosodás osztályozása:</w:t>
      </w:r>
    </w:p>
    <w:p w14:paraId="1E927589" w14:textId="77777777" w:rsidR="00FE5992" w:rsidRPr="00D045B3" w:rsidRDefault="00FE5992" w:rsidP="00CA41FD">
      <w:pPr>
        <w:pStyle w:val="KeinLeerraum"/>
        <w:keepNext/>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836"/>
      </w:tblGrid>
      <w:tr w:rsidR="00FE5992" w:rsidRPr="00D045B3" w14:paraId="1E92758C" w14:textId="77777777" w:rsidTr="00FE5992">
        <w:tc>
          <w:tcPr>
            <w:tcW w:w="2376" w:type="dxa"/>
          </w:tcPr>
          <w:p w14:paraId="1E92758A" w14:textId="5F5F9462" w:rsidR="00FE5992" w:rsidRPr="00D045B3" w:rsidRDefault="00FE5992" w:rsidP="000D57F6">
            <w:pPr>
              <w:pStyle w:val="KeinLeerraum"/>
              <w:rPr>
                <w:rFonts w:ascii="Times New Roman" w:hAnsi="Times New Roman"/>
              </w:rPr>
            </w:pPr>
            <w:r w:rsidRPr="00D045B3">
              <w:rPr>
                <w:rFonts w:ascii="Times New Roman" w:hAnsi="Times New Roman"/>
              </w:rPr>
              <w:t>Májkárosodás</w:t>
            </w:r>
          </w:p>
        </w:tc>
        <w:tc>
          <w:tcPr>
            <w:tcW w:w="6836" w:type="dxa"/>
          </w:tcPr>
          <w:p w14:paraId="1E92758B" w14:textId="77777777" w:rsidR="00FE5992" w:rsidRPr="00D045B3" w:rsidRDefault="00FE5992" w:rsidP="00FE5992">
            <w:pPr>
              <w:pStyle w:val="KeinLeerraum"/>
              <w:rPr>
                <w:rFonts w:ascii="Times New Roman" w:hAnsi="Times New Roman"/>
              </w:rPr>
            </w:pPr>
            <w:r w:rsidRPr="00D045B3">
              <w:rPr>
                <w:rFonts w:ascii="Times New Roman" w:hAnsi="Times New Roman"/>
              </w:rPr>
              <w:t>Májfunkciós vizsgálatok</w:t>
            </w:r>
          </w:p>
        </w:tc>
      </w:tr>
      <w:tr w:rsidR="00FE5992" w:rsidRPr="00D045B3" w14:paraId="1E927590" w14:textId="77777777" w:rsidTr="00FE5992">
        <w:tc>
          <w:tcPr>
            <w:tcW w:w="2376" w:type="dxa"/>
          </w:tcPr>
          <w:p w14:paraId="1E92758D" w14:textId="77777777" w:rsidR="00FE5992" w:rsidRPr="00D045B3" w:rsidRDefault="00FE5992" w:rsidP="00FE5992">
            <w:pPr>
              <w:pStyle w:val="KeinLeerraum"/>
              <w:rPr>
                <w:rFonts w:ascii="Times New Roman" w:hAnsi="Times New Roman"/>
              </w:rPr>
            </w:pPr>
            <w:r w:rsidRPr="00D045B3">
              <w:rPr>
                <w:rFonts w:ascii="Times New Roman" w:hAnsi="Times New Roman"/>
              </w:rPr>
              <w:t>Enyhe</w:t>
            </w:r>
          </w:p>
        </w:tc>
        <w:tc>
          <w:tcPr>
            <w:tcW w:w="6836" w:type="dxa"/>
          </w:tcPr>
          <w:p w14:paraId="1E92758E"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Összbilirubin: = 1,5 ULN </w:t>
            </w:r>
          </w:p>
          <w:p w14:paraId="1E92758F" w14:textId="77777777" w:rsidR="00FE5992" w:rsidRPr="00D045B3" w:rsidRDefault="00FE5992" w:rsidP="00FE5992">
            <w:pPr>
              <w:pStyle w:val="KeinLeerraum"/>
              <w:rPr>
                <w:rFonts w:ascii="Times New Roman" w:hAnsi="Times New Roman"/>
              </w:rPr>
            </w:pPr>
            <w:r w:rsidRPr="00D045B3">
              <w:rPr>
                <w:rFonts w:ascii="Times New Roman" w:hAnsi="Times New Roman"/>
              </w:rPr>
              <w:t>ASAT: &gt;ULN (lehet normális vagy &lt; ULN, ha az összbilirubin &gt; ULN)</w:t>
            </w:r>
          </w:p>
        </w:tc>
      </w:tr>
      <w:tr w:rsidR="00FE5992" w:rsidRPr="00D045B3" w14:paraId="1E927594" w14:textId="77777777" w:rsidTr="00FE5992">
        <w:tc>
          <w:tcPr>
            <w:tcW w:w="2376" w:type="dxa"/>
          </w:tcPr>
          <w:p w14:paraId="1E927591" w14:textId="77777777" w:rsidR="00FE5992" w:rsidRPr="00D045B3" w:rsidRDefault="00FE5992" w:rsidP="00FE5992">
            <w:pPr>
              <w:pStyle w:val="KeinLeerraum"/>
              <w:rPr>
                <w:rFonts w:ascii="Times New Roman" w:hAnsi="Times New Roman"/>
              </w:rPr>
            </w:pPr>
            <w:r w:rsidRPr="00D045B3">
              <w:rPr>
                <w:rFonts w:ascii="Times New Roman" w:hAnsi="Times New Roman"/>
              </w:rPr>
              <w:t>Közepesen súlyos</w:t>
            </w:r>
          </w:p>
        </w:tc>
        <w:tc>
          <w:tcPr>
            <w:tcW w:w="6836" w:type="dxa"/>
          </w:tcPr>
          <w:p w14:paraId="1E927592"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Összbilirubin: &gt;1,5–3,0 ULN </w:t>
            </w:r>
          </w:p>
          <w:p w14:paraId="1E927593" w14:textId="77777777" w:rsidR="00FE5992" w:rsidRPr="00D045B3" w:rsidRDefault="00FE5992" w:rsidP="00FE5992">
            <w:pPr>
              <w:pStyle w:val="KeinLeerraum"/>
              <w:rPr>
                <w:rFonts w:ascii="Times New Roman" w:hAnsi="Times New Roman"/>
              </w:rPr>
            </w:pPr>
            <w:r w:rsidRPr="00D045B3">
              <w:rPr>
                <w:rFonts w:ascii="Times New Roman" w:hAnsi="Times New Roman"/>
              </w:rPr>
              <w:t>ASAT: bármilyen érték</w:t>
            </w:r>
          </w:p>
        </w:tc>
      </w:tr>
      <w:tr w:rsidR="00FE5992" w:rsidRPr="00D045B3" w14:paraId="1E927598" w14:textId="77777777" w:rsidTr="00FE5992">
        <w:tc>
          <w:tcPr>
            <w:tcW w:w="2376" w:type="dxa"/>
          </w:tcPr>
          <w:p w14:paraId="1E927595" w14:textId="77777777" w:rsidR="00FE5992" w:rsidRPr="00D045B3" w:rsidRDefault="00FE5992" w:rsidP="00FE5992">
            <w:pPr>
              <w:pStyle w:val="KeinLeerraum"/>
              <w:rPr>
                <w:rFonts w:ascii="Times New Roman" w:hAnsi="Times New Roman"/>
              </w:rPr>
            </w:pPr>
            <w:r w:rsidRPr="00D045B3">
              <w:rPr>
                <w:rFonts w:ascii="Times New Roman" w:hAnsi="Times New Roman"/>
              </w:rPr>
              <w:t>Súlyos</w:t>
            </w:r>
          </w:p>
        </w:tc>
        <w:tc>
          <w:tcPr>
            <w:tcW w:w="6836" w:type="dxa"/>
          </w:tcPr>
          <w:p w14:paraId="1E927596"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Összbilirubin: &gt;3–10 ULN </w:t>
            </w:r>
          </w:p>
          <w:p w14:paraId="1E927597" w14:textId="77777777" w:rsidR="00FE5992" w:rsidRPr="00D045B3" w:rsidRDefault="00FE5992" w:rsidP="00FE5992">
            <w:pPr>
              <w:pStyle w:val="KeinLeerraum"/>
              <w:rPr>
                <w:rFonts w:ascii="Times New Roman" w:hAnsi="Times New Roman"/>
              </w:rPr>
            </w:pPr>
            <w:r w:rsidRPr="00D045B3">
              <w:rPr>
                <w:rFonts w:ascii="Times New Roman" w:hAnsi="Times New Roman"/>
              </w:rPr>
              <w:t>ASAT: bármilyen érték</w:t>
            </w:r>
          </w:p>
        </w:tc>
      </w:tr>
    </w:tbl>
    <w:p w14:paraId="1E927599"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ULN = az adott intézményben alkalmazott normál tartomány felső határa </w:t>
      </w:r>
    </w:p>
    <w:p w14:paraId="1E92759A" w14:textId="77777777" w:rsidR="00FE5992" w:rsidRPr="00D045B3" w:rsidRDefault="00FE5992" w:rsidP="00FE5992">
      <w:pPr>
        <w:pStyle w:val="KeinLeerraum"/>
        <w:rPr>
          <w:rFonts w:ascii="Times New Roman" w:hAnsi="Times New Roman"/>
        </w:rPr>
      </w:pPr>
      <w:r w:rsidRPr="00D045B3">
        <w:rPr>
          <w:rFonts w:ascii="Times New Roman" w:hAnsi="Times New Roman"/>
        </w:rPr>
        <w:t>ASAT = aszpartát</w:t>
      </w:r>
      <w:r w:rsidRPr="00D045B3">
        <w:rPr>
          <w:rFonts w:ascii="Times New Roman" w:hAnsi="Times New Roman"/>
        </w:rPr>
        <w:noBreakHyphen/>
        <w:t xml:space="preserve">aminotranszferáz </w:t>
      </w:r>
    </w:p>
    <w:p w14:paraId="1E92759B" w14:textId="77777777" w:rsidR="00FE5992" w:rsidRPr="00D045B3" w:rsidRDefault="00FE5992" w:rsidP="00FE5992">
      <w:pPr>
        <w:pStyle w:val="KeinLeerraum"/>
        <w:rPr>
          <w:rFonts w:ascii="Times New Roman" w:hAnsi="Times New Roman"/>
          <w:i/>
          <w:iCs/>
        </w:rPr>
      </w:pPr>
    </w:p>
    <w:p w14:paraId="1E92759C" w14:textId="6A2DE96D" w:rsidR="00FE5992" w:rsidRPr="00D045B3" w:rsidRDefault="00FE5992" w:rsidP="008A6837">
      <w:pPr>
        <w:pStyle w:val="KeinLeerraum"/>
        <w:keepNext/>
        <w:rPr>
          <w:rFonts w:ascii="Times New Roman" w:hAnsi="Times New Roman"/>
        </w:rPr>
      </w:pPr>
      <w:r w:rsidRPr="00D045B3">
        <w:rPr>
          <w:rFonts w:ascii="Times New Roman" w:hAnsi="Times New Roman"/>
          <w:i/>
          <w:iCs/>
          <w:u w:val="single"/>
        </w:rPr>
        <w:t>Veseelégtelenség</w:t>
      </w:r>
      <w:r w:rsidRPr="00D045B3">
        <w:rPr>
          <w:rFonts w:ascii="Times New Roman" w:hAnsi="Times New Roman"/>
          <w:i/>
          <w:iCs/>
        </w:rPr>
        <w:t>:</w:t>
      </w:r>
      <w:r w:rsidRPr="00D045B3">
        <w:rPr>
          <w:rFonts w:ascii="Times New Roman" w:hAnsi="Times New Roman"/>
        </w:rPr>
        <w:t xml:space="preserve"> A vesekárosodásban szenvedő vagy dialízis kezelésben részesülő betegek kezdő adagjaként a napi 400 mg</w:t>
      </w:r>
      <w:r w:rsidRPr="00D045B3">
        <w:rPr>
          <w:rFonts w:ascii="Times New Roman" w:hAnsi="Times New Roman"/>
        </w:rPr>
        <w:noBreakHyphen/>
        <w:t>os legalacsonyabb ajánlott dózist kell alkalmazni. Ezeknél a betegeknél azonban megfelelő körültekintés ajánlott. A dózis csökkenthető, ha azt a beteg nem jól tolerálja. A dózis emelhető, ha a beteg jól tolerálja azt, illetve ha nem tapasztalható megfelelő hatásosság (lásd 4.4 és 5.2 pont).</w:t>
      </w:r>
    </w:p>
    <w:p w14:paraId="1E92759D" w14:textId="77777777" w:rsidR="00FE5992" w:rsidRPr="00D045B3" w:rsidRDefault="00FE5992" w:rsidP="00FE5992">
      <w:pPr>
        <w:pStyle w:val="KeinLeerraum"/>
        <w:rPr>
          <w:rFonts w:ascii="Times New Roman" w:hAnsi="Times New Roman"/>
          <w:iCs/>
        </w:rPr>
      </w:pPr>
    </w:p>
    <w:p w14:paraId="1E92759E" w14:textId="77777777" w:rsidR="00FE5992" w:rsidRPr="00D045B3" w:rsidRDefault="00FE5992" w:rsidP="008A6837">
      <w:pPr>
        <w:pStyle w:val="KeinLeerraum"/>
        <w:keepNext/>
        <w:rPr>
          <w:rFonts w:ascii="Times New Roman" w:hAnsi="Times New Roman"/>
        </w:rPr>
      </w:pPr>
      <w:r w:rsidRPr="00D045B3">
        <w:rPr>
          <w:rFonts w:ascii="Times New Roman" w:hAnsi="Times New Roman"/>
          <w:i/>
          <w:iCs/>
          <w:u w:val="single"/>
        </w:rPr>
        <w:t>Idős</w:t>
      </w:r>
      <w:r w:rsidR="00676C37" w:rsidRPr="00D045B3">
        <w:rPr>
          <w:rFonts w:ascii="Times New Roman" w:hAnsi="Times New Roman"/>
          <w:i/>
          <w:iCs/>
          <w:u w:val="single"/>
        </w:rPr>
        <w:t xml:space="preserve"> betegek</w:t>
      </w:r>
      <w:r w:rsidRPr="00D045B3">
        <w:rPr>
          <w:rFonts w:ascii="Times New Roman" w:hAnsi="Times New Roman"/>
          <w:i/>
          <w:iCs/>
          <w:u w:val="single"/>
        </w:rPr>
        <w:t>:</w:t>
      </w:r>
      <w:r w:rsidRPr="00D045B3">
        <w:rPr>
          <w:rFonts w:ascii="Times New Roman" w:hAnsi="Times New Roman"/>
          <w:i/>
          <w:iCs/>
        </w:rPr>
        <w:t xml:space="preserve"> </w:t>
      </w:r>
      <w:r w:rsidRPr="00D045B3">
        <w:rPr>
          <w:rFonts w:ascii="Times New Roman" w:hAnsi="Times New Roman"/>
          <w:iCs/>
        </w:rPr>
        <w:t>A</w:t>
      </w:r>
      <w:r w:rsidRPr="00D045B3">
        <w:rPr>
          <w:rFonts w:ascii="Times New Roman" w:hAnsi="Times New Roman"/>
        </w:rPr>
        <w:t>z imatinib farmakokinetikáját idősebbeknél specifikusan nem vizsgálták. Az olyan felnőtt betegek bevonásával végzett klinikai vizsgálatokban, amelyekben a résztvevők több mint 20%</w:t>
      </w:r>
      <w:r w:rsidRPr="00D045B3">
        <w:rPr>
          <w:rFonts w:ascii="Times New Roman" w:hAnsi="Times New Roman"/>
        </w:rPr>
        <w:noBreakHyphen/>
        <w:t>a 65 éves vagy ennél idősebb volt, nem tapasztaltak jelentős, korhoz kötött farmakokinetikai különbségeket. Idős</w:t>
      </w:r>
      <w:r w:rsidR="00676C37" w:rsidRPr="00D045B3">
        <w:rPr>
          <w:rFonts w:ascii="Times New Roman" w:hAnsi="Times New Roman"/>
        </w:rPr>
        <w:t>ebb</w:t>
      </w:r>
      <w:r w:rsidRPr="00D045B3">
        <w:rPr>
          <w:rFonts w:ascii="Times New Roman" w:hAnsi="Times New Roman"/>
        </w:rPr>
        <w:t xml:space="preserve"> betegeknél nincs szükség specifikus dózismódosításra. </w:t>
      </w:r>
    </w:p>
    <w:p w14:paraId="1E92759F" w14:textId="77777777" w:rsidR="00FE5992" w:rsidRPr="00D045B3" w:rsidRDefault="00FE5992" w:rsidP="00FE5992">
      <w:pPr>
        <w:pStyle w:val="KeinLeerraum"/>
        <w:rPr>
          <w:rFonts w:ascii="Times New Roman" w:hAnsi="Times New Roman"/>
        </w:rPr>
      </w:pPr>
    </w:p>
    <w:p w14:paraId="1E9275A0"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Az alkalmazás módja</w:t>
      </w:r>
    </w:p>
    <w:p w14:paraId="1E9275A1" w14:textId="77777777" w:rsidR="00FE5992" w:rsidRPr="00D045B3" w:rsidRDefault="00FE5992" w:rsidP="008A6837">
      <w:pPr>
        <w:pStyle w:val="KeinLeerraum"/>
        <w:keepNext/>
        <w:rPr>
          <w:rFonts w:ascii="Times New Roman" w:hAnsi="Times New Roman"/>
        </w:rPr>
      </w:pPr>
    </w:p>
    <w:p w14:paraId="1E9275A2" w14:textId="77777777" w:rsidR="001E6396" w:rsidRPr="00D045B3" w:rsidRDefault="001E6396" w:rsidP="001E6396">
      <w:pPr>
        <w:pStyle w:val="KeinLeerraum"/>
        <w:rPr>
          <w:rFonts w:ascii="Times New Roman" w:hAnsi="Times New Roman"/>
        </w:rPr>
      </w:pPr>
      <w:r w:rsidRPr="00D045B3">
        <w:rPr>
          <w:rFonts w:ascii="Times New Roman" w:hAnsi="Times New Roman"/>
        </w:rPr>
        <w:t>A 400 mg</w:t>
      </w:r>
      <w:r w:rsidRPr="00D045B3">
        <w:rPr>
          <w:rFonts w:ascii="Times New Roman" w:hAnsi="Times New Roman"/>
        </w:rPr>
        <w:noBreakHyphen/>
        <w:t>os és azt meghaladó dózisokhoz (lásd a fenti adagolási javaslatot) a 400 mg</w:t>
      </w:r>
      <w:r w:rsidRPr="00D045B3">
        <w:rPr>
          <w:rFonts w:ascii="Times New Roman" w:hAnsi="Times New Roman"/>
        </w:rPr>
        <w:noBreakHyphen/>
        <w:t>os tabletta (amely nem osztható egyenlő adagokra) áll rendelkezésre.</w:t>
      </w:r>
    </w:p>
    <w:p w14:paraId="1E9275A3" w14:textId="77777777" w:rsidR="001E6396" w:rsidRPr="00D045B3" w:rsidRDefault="00837A25" w:rsidP="001E6396">
      <w:pPr>
        <w:pStyle w:val="KeinLeerraum"/>
        <w:rPr>
          <w:rFonts w:ascii="Times New Roman" w:hAnsi="Times New Roman"/>
        </w:rPr>
      </w:pPr>
      <w:r w:rsidRPr="00D045B3">
        <w:rPr>
          <w:rFonts w:ascii="Times New Roman" w:hAnsi="Times New Roman"/>
        </w:rPr>
        <w:t>A 400 mg-os és 800 mg-os dózisoktól eltérő adagokhoz (lásd a fenti adagolási javaslatot) a 100 mg-os osztható tabletta áll rendelekzésre.</w:t>
      </w:r>
    </w:p>
    <w:p w14:paraId="1E9275A4" w14:textId="77777777" w:rsidR="00837A25" w:rsidRPr="00D045B3" w:rsidRDefault="00837A25" w:rsidP="001E6396">
      <w:pPr>
        <w:pStyle w:val="KeinLeerraum"/>
        <w:rPr>
          <w:rFonts w:ascii="Times New Roman" w:hAnsi="Times New Roman"/>
        </w:rPr>
      </w:pPr>
    </w:p>
    <w:p w14:paraId="1E9275A5" w14:textId="77777777" w:rsidR="001E6396" w:rsidRPr="00D045B3" w:rsidRDefault="001E6396" w:rsidP="001E6396">
      <w:pPr>
        <w:pStyle w:val="KeinLeerraum"/>
        <w:rPr>
          <w:rFonts w:ascii="Times New Roman" w:hAnsi="Times New Roman"/>
        </w:rPr>
      </w:pPr>
      <w:r w:rsidRPr="00D045B3">
        <w:rPr>
          <w:rFonts w:ascii="Times New Roman" w:hAnsi="Times New Roman"/>
        </w:rPr>
        <w:t>Az előírt dózist per os kell bevenni, étkezés közben, egy nagy pohár vízzel, hogy minimálisra lehessen csökkenteni a gastrointestinalis irritáció kockázatát. A 400 mg és 60</w:t>
      </w:r>
      <w:r w:rsidR="00A90B74" w:rsidRPr="00D045B3">
        <w:rPr>
          <w:rFonts w:ascii="Times New Roman" w:hAnsi="Times New Roman"/>
        </w:rPr>
        <w:t>0</w:t>
      </w:r>
      <w:r w:rsidRPr="00D045B3">
        <w:rPr>
          <w:rFonts w:ascii="Times New Roman" w:hAnsi="Times New Roman"/>
        </w:rPr>
        <w:t> mg dózisokat naponta egyszer, míg a 800 mg</w:t>
      </w:r>
      <w:r w:rsidRPr="00D045B3">
        <w:rPr>
          <w:rFonts w:ascii="Times New Roman" w:hAnsi="Times New Roman"/>
        </w:rPr>
        <w:noBreakHyphen/>
        <w:t xml:space="preserve">os adagokat naponta kétszer 400 mg dózisként, reggel és este kell bevenni. </w:t>
      </w:r>
    </w:p>
    <w:p w14:paraId="1E9275A6" w14:textId="77777777" w:rsidR="001E6396" w:rsidRPr="00D045B3" w:rsidRDefault="001E6396" w:rsidP="001E6396">
      <w:pPr>
        <w:pStyle w:val="KeinLeerraum"/>
        <w:rPr>
          <w:rFonts w:ascii="Times New Roman" w:hAnsi="Times New Roman"/>
        </w:rPr>
      </w:pPr>
    </w:p>
    <w:p w14:paraId="1E9275A7" w14:textId="77777777" w:rsidR="001E6396" w:rsidRPr="00D045B3" w:rsidRDefault="001E6396" w:rsidP="001E6396">
      <w:pPr>
        <w:pStyle w:val="KeinLeerraum"/>
        <w:rPr>
          <w:rFonts w:ascii="Times New Roman" w:hAnsi="Times New Roman"/>
        </w:rPr>
      </w:pPr>
      <w:r w:rsidRPr="00D045B3">
        <w:rPr>
          <w:rFonts w:ascii="Times New Roman" w:hAnsi="Times New Roman"/>
        </w:rPr>
        <w:t>Azon betegek számára, akik nem képesek a filmtablettát lenyelni a tabletták feloldhatók egy pohárnyi ásványvízben, tiszta vízben vagy almalében. Az előírt számú tablettát megfelelő mennyiségű (a 100 mg</w:t>
      </w:r>
      <w:r w:rsidRPr="00D045B3">
        <w:rPr>
          <w:rFonts w:ascii="Times New Roman" w:hAnsi="Times New Roman"/>
        </w:rPr>
        <w:noBreakHyphen/>
        <w:t>os tabletta esetében körülbelül 50 ml, a 400 mg</w:t>
      </w:r>
      <w:r w:rsidRPr="00D045B3">
        <w:rPr>
          <w:rFonts w:ascii="Times New Roman" w:hAnsi="Times New Roman"/>
        </w:rPr>
        <w:noBreakHyphen/>
        <w:t>os tabletta esetében pedig 200 ml) folyadékba kell beletenni, majd kanállal elkeverni. A szuszpenziót közvetlenül a tabletta, ill. tabletták teljes feloldódását követően kell meginni.</w:t>
      </w:r>
    </w:p>
    <w:p w14:paraId="1E9275A8" w14:textId="77777777" w:rsidR="00FE5992" w:rsidRPr="00D045B3" w:rsidRDefault="00FE5992" w:rsidP="00FE5992">
      <w:pPr>
        <w:pStyle w:val="KeinLeerraum"/>
        <w:rPr>
          <w:rFonts w:ascii="Times New Roman" w:hAnsi="Times New Roman"/>
        </w:rPr>
      </w:pPr>
    </w:p>
    <w:p w14:paraId="1E9275A9"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4.3</w:t>
      </w:r>
      <w:r w:rsidRPr="00D045B3">
        <w:rPr>
          <w:rFonts w:ascii="Times New Roman" w:hAnsi="Times New Roman"/>
          <w:b/>
        </w:rPr>
        <w:tab/>
        <w:t xml:space="preserve">Ellenjavallatok </w:t>
      </w:r>
    </w:p>
    <w:p w14:paraId="1E9275AA" w14:textId="77777777" w:rsidR="00FE5992" w:rsidRPr="00D045B3" w:rsidRDefault="00FE5992" w:rsidP="00FE5992">
      <w:pPr>
        <w:pStyle w:val="KeinLeerraum"/>
        <w:keepNext/>
        <w:rPr>
          <w:rFonts w:ascii="Times New Roman" w:hAnsi="Times New Roman"/>
        </w:rPr>
      </w:pPr>
    </w:p>
    <w:p w14:paraId="1E9275AB" w14:textId="77777777" w:rsidR="00FE5992" w:rsidRPr="00D045B3" w:rsidRDefault="00FE5992" w:rsidP="00FE5992">
      <w:pPr>
        <w:pStyle w:val="KeinLeerraum"/>
        <w:keepNext/>
        <w:rPr>
          <w:rFonts w:ascii="Times New Roman" w:hAnsi="Times New Roman"/>
        </w:rPr>
      </w:pPr>
      <w:r w:rsidRPr="00D045B3">
        <w:rPr>
          <w:rFonts w:ascii="Times New Roman" w:hAnsi="Times New Roman"/>
        </w:rPr>
        <w:t xml:space="preserve">A készítmény hatóanyagával vagy, a 6.1 pontban felsorolt bármely segédanyagával szembeni túlérzékenység. </w:t>
      </w:r>
    </w:p>
    <w:p w14:paraId="1E9275AC" w14:textId="77777777" w:rsidR="001E6396" w:rsidRPr="00D045B3" w:rsidRDefault="001E6396" w:rsidP="00FE5992">
      <w:pPr>
        <w:pStyle w:val="KeinLeerraum"/>
        <w:rPr>
          <w:rFonts w:ascii="Times New Roman" w:hAnsi="Times New Roman"/>
        </w:rPr>
      </w:pPr>
    </w:p>
    <w:p w14:paraId="1E9275AD" w14:textId="77777777" w:rsidR="001E6396" w:rsidRPr="00D045B3" w:rsidRDefault="001E6396" w:rsidP="001E6396">
      <w:pPr>
        <w:pStyle w:val="KeinLeerraum"/>
        <w:rPr>
          <w:rFonts w:ascii="Times New Roman" w:hAnsi="Times New Roman"/>
        </w:rPr>
      </w:pPr>
      <w:r w:rsidRPr="00D045B3">
        <w:rPr>
          <w:rFonts w:ascii="Times New Roman" w:hAnsi="Times New Roman"/>
        </w:rPr>
        <w:t>Szójával vagy mogyoróval szembeni túlérzékenység.</w:t>
      </w:r>
    </w:p>
    <w:p w14:paraId="1E9275AE" w14:textId="77777777" w:rsidR="001E6396" w:rsidRPr="00D045B3" w:rsidRDefault="001E6396" w:rsidP="00FE5992">
      <w:pPr>
        <w:pStyle w:val="KeinLeerraum"/>
        <w:rPr>
          <w:rFonts w:ascii="Times New Roman" w:hAnsi="Times New Roman"/>
        </w:rPr>
      </w:pPr>
    </w:p>
    <w:p w14:paraId="1E9275AF"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4.4</w:t>
      </w:r>
      <w:r w:rsidRPr="00D045B3">
        <w:rPr>
          <w:rFonts w:ascii="Times New Roman" w:hAnsi="Times New Roman"/>
          <w:b/>
        </w:rPr>
        <w:tab/>
        <w:t xml:space="preserve">Különleges figyelmeztetések és az alkalmazással kapcsolatos óvintézkedések </w:t>
      </w:r>
    </w:p>
    <w:p w14:paraId="1E9275B0" w14:textId="77777777" w:rsidR="00FE5992" w:rsidRPr="00D045B3" w:rsidRDefault="00FE5992" w:rsidP="00FE5992">
      <w:pPr>
        <w:pStyle w:val="KeinLeerraum"/>
        <w:keepNext/>
        <w:rPr>
          <w:rFonts w:ascii="Times New Roman" w:hAnsi="Times New Roman"/>
        </w:rPr>
      </w:pPr>
    </w:p>
    <w:p w14:paraId="1E9275B1" w14:textId="665D805B" w:rsidR="00FE5992" w:rsidRPr="00D045B3" w:rsidRDefault="000D57F6" w:rsidP="00FE5992">
      <w:pPr>
        <w:pStyle w:val="KeinLeerraum"/>
        <w:keepNext/>
        <w:rPr>
          <w:rFonts w:ascii="Times New Roman" w:hAnsi="Times New Roman"/>
        </w:rPr>
      </w:pPr>
      <w:r w:rsidRPr="00D045B3">
        <w:rPr>
          <w:rFonts w:ascii="Times New Roman" w:hAnsi="Times New Roman"/>
        </w:rPr>
        <w:t xml:space="preserve">Ha </w:t>
      </w:r>
      <w:r w:rsidR="00FE5992" w:rsidRPr="00D045B3">
        <w:rPr>
          <w:rFonts w:ascii="Times New Roman" w:hAnsi="Times New Roman"/>
        </w:rPr>
        <w:t>az imatinibet egyéb gyógyszerekkel adják egyidejűleg, számolni kell a gyógyszer-kölcsönhatások kialakulásának lehetőségével. Elővigyázatosság szükséges, ha az imatinibet proteáz</w:t>
      </w:r>
      <w:r w:rsidR="00FE5992" w:rsidRPr="00D045B3">
        <w:rPr>
          <w:rFonts w:ascii="Times New Roman" w:hAnsi="Times New Roman"/>
        </w:rPr>
        <w:noBreakHyphen/>
        <w:t>gátlókkal, azol</w:t>
      </w:r>
      <w:r w:rsidRPr="00D045B3">
        <w:rPr>
          <w:rFonts w:ascii="Times New Roman" w:hAnsi="Times New Roman"/>
        </w:rPr>
        <w:t>-</w:t>
      </w:r>
      <w:r w:rsidR="00FE5992" w:rsidRPr="00D045B3">
        <w:rPr>
          <w:rFonts w:ascii="Times New Roman" w:hAnsi="Times New Roman"/>
        </w:rPr>
        <w:t>típusú gombaelleni szerekkel, bizonyos makrolidokkal, szűk terápiás ablakú CYP3A4</w:t>
      </w:r>
      <w:r w:rsidR="00FE5992" w:rsidRPr="00D045B3">
        <w:rPr>
          <w:rFonts w:ascii="Times New Roman" w:hAnsi="Times New Roman"/>
        </w:rPr>
        <w:noBreakHyphen/>
        <w:t xml:space="preserve">szubsztráttal (pl. ciklosporin, pimozid, takrolimusz, szirolimusz, ergotamin, diergotamin, fentanil, alfentanil, terfenadin, bortezomib, docetaxel, kinidin) vagy warfarinnal, illetve egyéb kumarinszármazékokkal együtt szedik (lásd 4.5 pont). </w:t>
      </w:r>
    </w:p>
    <w:p w14:paraId="1E9275B2" w14:textId="77777777" w:rsidR="00FE5992" w:rsidRPr="00D045B3" w:rsidRDefault="00FE5992" w:rsidP="00FE5992">
      <w:pPr>
        <w:pStyle w:val="KeinLeerraum"/>
        <w:rPr>
          <w:rFonts w:ascii="Times New Roman" w:hAnsi="Times New Roman"/>
        </w:rPr>
      </w:pPr>
    </w:p>
    <w:p w14:paraId="1E9275B3" w14:textId="41848791" w:rsidR="00FE5992" w:rsidRPr="00D045B3" w:rsidRDefault="00FE5992" w:rsidP="00FE5992">
      <w:pPr>
        <w:pStyle w:val="KeinLeerraum"/>
        <w:rPr>
          <w:rFonts w:ascii="Times New Roman" w:hAnsi="Times New Roman"/>
        </w:rPr>
      </w:pPr>
      <w:r w:rsidRPr="00D045B3">
        <w:rPr>
          <w:rFonts w:ascii="Times New Roman" w:hAnsi="Times New Roman"/>
        </w:rPr>
        <w:t>Az imatinib és a CYP3A4</w:t>
      </w:r>
      <w:r w:rsidRPr="00D045B3">
        <w:rPr>
          <w:rFonts w:ascii="Times New Roman" w:hAnsi="Times New Roman"/>
        </w:rPr>
        <w:noBreakHyphen/>
        <w:t xml:space="preserve">et indukáló gyógyszerek (pl dexametazon, fenitoin, karbamazepin, rifampicin, fenobarbitál, vagy </w:t>
      </w:r>
      <w:r w:rsidRPr="00D045B3">
        <w:rPr>
          <w:rFonts w:ascii="Times New Roman" w:hAnsi="Times New Roman"/>
          <w:i/>
          <w:iCs/>
        </w:rPr>
        <w:t xml:space="preserve">Hypericum perforatum, </w:t>
      </w:r>
      <w:r w:rsidRPr="00D045B3">
        <w:rPr>
          <w:rFonts w:ascii="Times New Roman" w:hAnsi="Times New Roman"/>
        </w:rPr>
        <w:t xml:space="preserve">másnéven </w:t>
      </w:r>
      <w:r w:rsidR="00F449F6" w:rsidRPr="00D045B3">
        <w:rPr>
          <w:rFonts w:ascii="Times New Roman" w:hAnsi="Times New Roman"/>
        </w:rPr>
        <w:t xml:space="preserve">közönséges </w:t>
      </w:r>
      <w:r w:rsidRPr="00D045B3">
        <w:rPr>
          <w:rFonts w:ascii="Times New Roman" w:hAnsi="Times New Roman"/>
        </w:rPr>
        <w:t>orbáncfű) egyidejű alkalmazásakor a terápiás hatás jelentősen csökkenhet Az imatinib expozíció, potenciálisan fokozza a terápiás elégtelenség kockázatát. Ezért kerülni kell az erős CYP3A4</w:t>
      </w:r>
      <w:r w:rsidRPr="00D045B3">
        <w:rPr>
          <w:rFonts w:ascii="Times New Roman" w:hAnsi="Times New Roman"/>
        </w:rPr>
        <w:noBreakHyphen/>
        <w:t xml:space="preserve">induktorok és imatinib együttadását (lásd 4.5 pont). </w:t>
      </w:r>
    </w:p>
    <w:p w14:paraId="1E9275B4" w14:textId="77777777" w:rsidR="00FE5992" w:rsidRPr="00D045B3" w:rsidRDefault="00FE5992" w:rsidP="00FE5992">
      <w:pPr>
        <w:pStyle w:val="KeinLeerraum"/>
        <w:rPr>
          <w:rFonts w:ascii="Times New Roman" w:hAnsi="Times New Roman"/>
        </w:rPr>
      </w:pPr>
    </w:p>
    <w:p w14:paraId="1E9275B5"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 xml:space="preserve">Hypothyreosis </w:t>
      </w:r>
    </w:p>
    <w:p w14:paraId="1E9275B6" w14:textId="77777777" w:rsidR="00FE5992" w:rsidRPr="00D045B3" w:rsidRDefault="00FE5992" w:rsidP="00CA41FD">
      <w:pPr>
        <w:pStyle w:val="KeinLeerraum"/>
        <w:rPr>
          <w:rFonts w:ascii="Times New Roman" w:hAnsi="Times New Roman"/>
        </w:rPr>
      </w:pPr>
      <w:r w:rsidRPr="00D045B3">
        <w:rPr>
          <w:rFonts w:ascii="Times New Roman" w:hAnsi="Times New Roman"/>
        </w:rPr>
        <w:t xml:space="preserve">Thyreoidectomián átesett, levotiroxin pótlás alatt álló betegek imatinib kezelése során hypothyreosis klinikai eseteiről számoltak be (lásd 4.5 pont). Ebben a betegcsoportban a pajzsmirigyserkentő hormon (TSH) szinteket szorosan ellenőrizni kell. </w:t>
      </w:r>
    </w:p>
    <w:p w14:paraId="1E9275B7" w14:textId="77777777" w:rsidR="00FE5992" w:rsidRPr="00D045B3" w:rsidRDefault="00FE5992" w:rsidP="00FE5992">
      <w:pPr>
        <w:pStyle w:val="KeinLeerraum"/>
        <w:rPr>
          <w:rFonts w:ascii="Times New Roman" w:hAnsi="Times New Roman"/>
        </w:rPr>
      </w:pPr>
    </w:p>
    <w:p w14:paraId="1E9275B8"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 xml:space="preserve">Hepatotoxicitás </w:t>
      </w:r>
    </w:p>
    <w:p w14:paraId="1E9275B9" w14:textId="77777777" w:rsidR="00FE5992" w:rsidRPr="00D045B3" w:rsidRDefault="00FE5992" w:rsidP="00CA41FD">
      <w:pPr>
        <w:pStyle w:val="KeinLeerraum"/>
        <w:rPr>
          <w:rFonts w:ascii="Times New Roman" w:hAnsi="Times New Roman"/>
        </w:rPr>
      </w:pPr>
      <w:r w:rsidRPr="00D045B3">
        <w:rPr>
          <w:rFonts w:ascii="Times New Roman" w:hAnsi="Times New Roman"/>
        </w:rPr>
        <w:t>Az imatinib főként a májon keresztül metabolizálódik, csak 13%</w:t>
      </w:r>
      <w:r w:rsidRPr="00D045B3">
        <w:rPr>
          <w:rFonts w:ascii="Times New Roman" w:hAnsi="Times New Roman"/>
        </w:rPr>
        <w:noBreakHyphen/>
        <w:t>a ürül a vesén át. Enyhe, közepesen súlyos vagy súlyos májkárosodásban szenvedő betegeknél a perifériás vérképet és a májenzim értékeket gondosan monitorozni kell (lásd 4.2, 4.8 és 5.2 pont).</w:t>
      </w:r>
      <w:r w:rsidR="001D664C" w:rsidRPr="00D045B3">
        <w:rPr>
          <w:rFonts w:ascii="Times New Roman" w:hAnsi="Times New Roman"/>
        </w:rPr>
        <w:t xml:space="preserve"> </w:t>
      </w:r>
      <w:r w:rsidR="001D664C" w:rsidRPr="00D045B3">
        <w:rPr>
          <w:rFonts w:ascii="Times New Roman" w:hAnsi="Times New Roman"/>
          <w:color w:val="000000"/>
        </w:rPr>
        <w:t>Megjegyzendő, hogy GIST</w:t>
      </w:r>
      <w:r w:rsidR="001D664C" w:rsidRPr="00D045B3">
        <w:rPr>
          <w:rFonts w:ascii="Times New Roman" w:hAnsi="Times New Roman"/>
          <w:color w:val="000000"/>
        </w:rPr>
        <w:noBreakHyphen/>
        <w:t>es betegeknek májmetasztázisa is lehet, ami májelégtelenséghez vezethet.</w:t>
      </w:r>
    </w:p>
    <w:p w14:paraId="1E9275BA" w14:textId="77777777" w:rsidR="00FE5992" w:rsidRPr="00D045B3" w:rsidRDefault="00FE5992" w:rsidP="00FE5992">
      <w:pPr>
        <w:pStyle w:val="KeinLeerraum"/>
        <w:rPr>
          <w:rFonts w:ascii="Times New Roman" w:hAnsi="Times New Roman"/>
        </w:rPr>
      </w:pPr>
    </w:p>
    <w:p w14:paraId="1E9275BB"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Májkárosodás eseteit – beleértve a májelégtelenséget és a májnekrózist – figyelték meg az imatinib alkalmazása mellett. Ha az imatinibet nagy dózisú kemoterápiás kezeléssel kombinációban alkalmazzák, a súlyos májreakciók gyakoriságának a növekedését figyelték meg. A májfunkciót gondosan ellenőrizni kell, ha az imatinibet olyan kemoterápiás protokollal alkalmazzák kombinációban, amely ismerten a májfunkció zavaraival járhat (lásd 4.5 és 4.8 pont). </w:t>
      </w:r>
    </w:p>
    <w:p w14:paraId="1E9275BC" w14:textId="77777777" w:rsidR="00FE5992" w:rsidRPr="00D045B3" w:rsidRDefault="00FE5992" w:rsidP="00FE5992">
      <w:pPr>
        <w:pStyle w:val="KeinLeerraum"/>
        <w:rPr>
          <w:rFonts w:ascii="Times New Roman" w:hAnsi="Times New Roman"/>
        </w:rPr>
      </w:pPr>
    </w:p>
    <w:p w14:paraId="1E9275BD"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 xml:space="preserve">Folyadékretenció </w:t>
      </w:r>
    </w:p>
    <w:p w14:paraId="1E9275BE" w14:textId="2C11FF72" w:rsidR="00FE5992" w:rsidRPr="00D045B3" w:rsidRDefault="00FE5992" w:rsidP="00CA41FD">
      <w:pPr>
        <w:pStyle w:val="KeinLeerraum"/>
        <w:rPr>
          <w:rFonts w:ascii="Times New Roman" w:hAnsi="Times New Roman"/>
        </w:rPr>
      </w:pPr>
      <w:r w:rsidRPr="00D045B3">
        <w:rPr>
          <w:rFonts w:ascii="Times New Roman" w:hAnsi="Times New Roman"/>
        </w:rPr>
        <w:t>Súlyos folyadékretencióról (pleuralis folyadék, oedema, tüdőoedema, ascites, felületes oedema) az imatinibet szedő, újonnan diagnosztizált CML</w:t>
      </w:r>
      <w:r w:rsidRPr="00D045B3">
        <w:rPr>
          <w:rFonts w:ascii="Times New Roman" w:hAnsi="Times New Roman"/>
        </w:rPr>
        <w:noBreakHyphen/>
        <w:t>es betegek 2,5%</w:t>
      </w:r>
      <w:r w:rsidRPr="00D045B3">
        <w:rPr>
          <w:rFonts w:ascii="Times New Roman" w:hAnsi="Times New Roman"/>
        </w:rPr>
        <w:noBreakHyphen/>
        <w:t>ánál számoltak be. Ezért kifejezetten javasolt a betegek testtömegének rendszeres ellenőrzése. A váratlan, gyors testtömeg gyarapodást gondosan ki kell vizsgálni, és amennyiben szükséges, mérlegelni kell a megfelelő szupportív ellátás és kezelés elkezdését. Klinikai vizsgálatokban ezen tünetek gyakorisága nagyobb volt az idősebb betegeknél, illetve azoknál, akiknek az anamnézisében szívbetegség szerepelt. Ezért a szívbeteg</w:t>
      </w:r>
      <w:r w:rsidR="00F449F6" w:rsidRPr="00D045B3">
        <w:rPr>
          <w:rFonts w:ascii="Times New Roman" w:hAnsi="Times New Roman"/>
        </w:rPr>
        <w:t>eknél</w:t>
      </w:r>
      <w:r w:rsidRPr="00D045B3">
        <w:rPr>
          <w:rFonts w:ascii="Times New Roman" w:hAnsi="Times New Roman"/>
        </w:rPr>
        <w:t xml:space="preserve"> elővigyázatosság szükséges. </w:t>
      </w:r>
    </w:p>
    <w:p w14:paraId="1E9275BF" w14:textId="77777777" w:rsidR="00FE5992" w:rsidRPr="00D045B3" w:rsidRDefault="00FE5992" w:rsidP="00FE5992">
      <w:pPr>
        <w:pStyle w:val="KeinLeerraum"/>
        <w:rPr>
          <w:rFonts w:ascii="Times New Roman" w:hAnsi="Times New Roman"/>
        </w:rPr>
      </w:pPr>
    </w:p>
    <w:p w14:paraId="1E9275C0"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Szívbetegségben szenvedő betegek </w:t>
      </w:r>
    </w:p>
    <w:p w14:paraId="1E9275C1" w14:textId="77777777" w:rsidR="00FE5992" w:rsidRPr="00D045B3" w:rsidRDefault="00FE5992" w:rsidP="00CA41FD">
      <w:pPr>
        <w:pStyle w:val="KeinLeerraum"/>
        <w:rPr>
          <w:rFonts w:ascii="Times New Roman" w:hAnsi="Times New Roman"/>
        </w:rPr>
      </w:pPr>
      <w:r w:rsidRPr="00D045B3">
        <w:rPr>
          <w:rFonts w:ascii="Times New Roman" w:hAnsi="Times New Roman"/>
        </w:rPr>
        <w:t>Szívbetegség, a szívelégtelenség kockázati tényezőinek fennállása vagy korábban fennálló veseelégtelenség esetén a betegek gondos monitorozása szükséges. A szív</w:t>
      </w:r>
      <w:r w:rsidRPr="00D045B3">
        <w:rPr>
          <w:rFonts w:ascii="Times New Roman" w:hAnsi="Times New Roman"/>
        </w:rPr>
        <w:noBreakHyphen/>
        <w:t xml:space="preserve"> vagy veseelégtelenség tüneteit mutató betegeket ki kell vizsgálni és ennek megfelelően kell kezelni. </w:t>
      </w:r>
    </w:p>
    <w:p w14:paraId="1E9275C2" w14:textId="77777777" w:rsidR="00FE5992" w:rsidRPr="00D045B3" w:rsidRDefault="00FE5992" w:rsidP="00FE5992">
      <w:pPr>
        <w:pStyle w:val="KeinLeerraum"/>
        <w:rPr>
          <w:rFonts w:ascii="Times New Roman" w:hAnsi="Times New Roman"/>
        </w:rPr>
      </w:pPr>
    </w:p>
    <w:p w14:paraId="1E9275C3" w14:textId="498190D4" w:rsidR="00FE5992" w:rsidRPr="00D045B3" w:rsidRDefault="00FE5992" w:rsidP="00FE5992">
      <w:pPr>
        <w:pStyle w:val="KeinLeerraum"/>
        <w:rPr>
          <w:rFonts w:ascii="Times New Roman" w:hAnsi="Times New Roman"/>
        </w:rPr>
      </w:pPr>
      <w:r w:rsidRPr="00D045B3">
        <w:rPr>
          <w:rFonts w:ascii="Times New Roman" w:hAnsi="Times New Roman"/>
        </w:rPr>
        <w:t>Azon hypereosinophilia szindrómás (HES) betegek</w:t>
      </w:r>
      <w:r w:rsidR="002A7E15" w:rsidRPr="00D045B3">
        <w:rPr>
          <w:rFonts w:ascii="Times New Roman" w:hAnsi="Times New Roman"/>
        </w:rPr>
        <w:t>nél</w:t>
      </w:r>
      <w:r w:rsidRPr="00D045B3">
        <w:rPr>
          <w:rFonts w:ascii="Times New Roman" w:hAnsi="Times New Roman"/>
        </w:rPr>
        <w:t>, akiknél a myocardiumon belül okkult HES</w:t>
      </w:r>
      <w:r w:rsidRPr="00D045B3">
        <w:rPr>
          <w:rFonts w:ascii="Times New Roman" w:hAnsi="Times New Roman"/>
        </w:rPr>
        <w:noBreakHyphen/>
        <w:t>sejt infiltráció következett be, elszigetelt esetekben az imatinib</w:t>
      </w:r>
      <w:r w:rsidRPr="00D045B3">
        <w:rPr>
          <w:rFonts w:ascii="Times New Roman" w:hAnsi="Times New Roman"/>
        </w:rPr>
        <w:noBreakHyphen/>
        <w:t>kezelés elindításával összefüggésben HES</w:t>
      </w:r>
      <w:r w:rsidRPr="00D045B3">
        <w:rPr>
          <w:rFonts w:ascii="Times New Roman" w:hAnsi="Times New Roman"/>
        </w:rPr>
        <w:noBreakHyphen/>
        <w:t>sejt degranulációval járó cardiogen sokk/balkamra dysfunctio lépett fel. A beszámolók szerint az állapot szisztémás szteroidok adására, keringéstámogatásra és az imatinib</w:t>
      </w:r>
      <w:r w:rsidRPr="00D045B3">
        <w:rPr>
          <w:rFonts w:ascii="Times New Roman" w:hAnsi="Times New Roman"/>
        </w:rPr>
        <w:noBreakHyphen/>
        <w:t>kezelés átmenetei felfüggesztésére reverzíbilisnek bizonyult. Mivel az imatinib alkalmazása kapcsán nem gyakran cardialis mellékhatásokat jelentettek, ezért a HES/CEL</w:t>
      </w:r>
      <w:r w:rsidRPr="00D045B3">
        <w:rPr>
          <w:rFonts w:ascii="Times New Roman" w:hAnsi="Times New Roman"/>
        </w:rPr>
        <w:noBreakHyphen/>
        <w:t>ben szenvedő betegek esetében az imatinib</w:t>
      </w:r>
      <w:r w:rsidRPr="00D045B3">
        <w:rPr>
          <w:rFonts w:ascii="Times New Roman" w:hAnsi="Times New Roman"/>
        </w:rPr>
        <w:noBreakHyphen/>
        <w:t xml:space="preserve"> kezelés megkezdése előtt megfontolandó az előny/kockázat arányának gondos értékelése. </w:t>
      </w:r>
    </w:p>
    <w:p w14:paraId="1E9275C4" w14:textId="77777777" w:rsidR="00FE5992" w:rsidRPr="00D045B3" w:rsidRDefault="00FE5992" w:rsidP="00FE5992">
      <w:pPr>
        <w:pStyle w:val="KeinLeerraum"/>
        <w:rPr>
          <w:rFonts w:ascii="Times New Roman" w:hAnsi="Times New Roman"/>
        </w:rPr>
      </w:pPr>
    </w:p>
    <w:p w14:paraId="1E9275C5" w14:textId="0A9DFBBF" w:rsidR="00FE5992" w:rsidRPr="00D045B3" w:rsidRDefault="00FE5992" w:rsidP="00FE5992">
      <w:pPr>
        <w:pStyle w:val="KeinLeerraum"/>
        <w:rPr>
          <w:rFonts w:ascii="Times New Roman" w:hAnsi="Times New Roman"/>
        </w:rPr>
      </w:pPr>
      <w:r w:rsidRPr="00D045B3">
        <w:rPr>
          <w:rFonts w:ascii="Times New Roman" w:hAnsi="Times New Roman"/>
        </w:rPr>
        <w:t>A PDGFR génátrendeződéssel társuló myelodysplasiás/myeloproliferatív kórképek magas eosinophil sejtszámmal járhatnak. Ennek megfelelően HES/CEL, illetve MDS/MPD miatt kezelt betegek</w:t>
      </w:r>
      <w:r w:rsidR="002A7E15" w:rsidRPr="00D045B3">
        <w:rPr>
          <w:rFonts w:ascii="Times New Roman" w:hAnsi="Times New Roman"/>
        </w:rPr>
        <w:t xml:space="preserve"> esetében</w:t>
      </w:r>
      <w:r w:rsidRPr="00D045B3">
        <w:rPr>
          <w:rFonts w:ascii="Times New Roman" w:hAnsi="Times New Roman"/>
        </w:rPr>
        <w:t xml:space="preserve"> magas eosinophilszám esetén az imatinib</w:t>
      </w:r>
      <w:r w:rsidRPr="00D045B3">
        <w:rPr>
          <w:rFonts w:ascii="Times New Roman" w:hAnsi="Times New Roman"/>
        </w:rPr>
        <w:noBreakHyphen/>
        <w:t>kezelés elindítása előtt megfontolandó a kardiológiai kivizsgálás, echocardiográfia elvégzése és a szérum troponinszintjének a meghatározása. Amennyiben ezek bármelyike kóros, megfontolandó a kardiológiai ellenőrző vizsgálatok elvégzése, valamint profilaktikus szisztémás szteroid (1</w:t>
      </w:r>
      <w:r w:rsidRPr="00D045B3">
        <w:rPr>
          <w:rFonts w:ascii="Times New Roman" w:hAnsi="Times New Roman"/>
        </w:rPr>
        <w:noBreakHyphen/>
        <w:t>2 mg/ttkg) 1</w:t>
      </w:r>
      <w:r w:rsidRPr="00D045B3">
        <w:rPr>
          <w:rFonts w:ascii="Times New Roman" w:hAnsi="Times New Roman"/>
        </w:rPr>
        <w:noBreakHyphen/>
        <w:t xml:space="preserve">2 hétig tartó egyidejű alkalmazása a terápia megkezdésekor. </w:t>
      </w:r>
    </w:p>
    <w:p w14:paraId="1E9275C6" w14:textId="77777777" w:rsidR="00FE5992" w:rsidRPr="00D045B3" w:rsidRDefault="00FE5992" w:rsidP="00FE5992">
      <w:pPr>
        <w:pStyle w:val="KeinLeerraum"/>
        <w:rPr>
          <w:rFonts w:ascii="Times New Roman" w:hAnsi="Times New Roman"/>
        </w:rPr>
      </w:pPr>
    </w:p>
    <w:p w14:paraId="1E9275C7"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Gastrointestinalis vérzés </w:t>
      </w:r>
    </w:p>
    <w:p w14:paraId="1E9275C8" w14:textId="77777777" w:rsidR="00E6607C" w:rsidRPr="00D045B3" w:rsidRDefault="00E6607C" w:rsidP="00E6607C">
      <w:pPr>
        <w:pStyle w:val="Textkrper"/>
        <w:spacing w:line="240" w:lineRule="auto"/>
        <w:rPr>
          <w:b w:val="0"/>
          <w:i w:val="0"/>
          <w:color w:val="000000"/>
          <w:lang w:val="hu-HU"/>
        </w:rPr>
      </w:pPr>
      <w:r w:rsidRPr="00D045B3">
        <w:rPr>
          <w:b w:val="0"/>
          <w:i w:val="0"/>
          <w:color w:val="000000"/>
          <w:lang w:val="hu-HU"/>
        </w:rPr>
        <w:t>A nem reszekábilis és/vagy metasztatikus GIST</w:t>
      </w:r>
      <w:r w:rsidRPr="00D045B3">
        <w:rPr>
          <w:b w:val="0"/>
          <w:i w:val="0"/>
          <w:color w:val="000000"/>
          <w:lang w:val="hu-HU"/>
        </w:rPr>
        <w:noBreakHyphen/>
        <w:t>ben szenvedő betegek vizsgálata során mind gastrointestinalis, mind intratumoralis vérzésről beszámoltak (lásd 4.8 pont). A rendelkezésre álló adatok alapján nem azonosítottak olyan prediszponáló faktort (pl. a tumor mérete, lokalizációja, véralvadási zavarok), amely a GIST</w:t>
      </w:r>
      <w:r w:rsidRPr="00D045B3">
        <w:rPr>
          <w:b w:val="0"/>
          <w:i w:val="0"/>
          <w:color w:val="000000"/>
          <w:lang w:val="hu-HU"/>
        </w:rPr>
        <w:noBreakHyphen/>
        <w:t>es betegekre nézve nagyobb kockázatot jelentene valamely típusú vérzésre. Mivel a vascularizáltság és vérzékenység eleve fokozott a GIST természetéből és klinikai lefolyásából adódóan, minden betegnél a szokásos gyakorlatot és eljárásokat kell követni a vérzés monitorozására és kezelésére.</w:t>
      </w:r>
    </w:p>
    <w:p w14:paraId="1E9275C9" w14:textId="77777777" w:rsidR="00E6607C" w:rsidRPr="00D045B3" w:rsidRDefault="00E6607C" w:rsidP="00190CF7">
      <w:pPr>
        <w:pStyle w:val="KeinLeerraum"/>
        <w:rPr>
          <w:rFonts w:ascii="Times New Roman" w:hAnsi="Times New Roman"/>
        </w:rPr>
      </w:pPr>
    </w:p>
    <w:p w14:paraId="1E9275CA" w14:textId="77777777" w:rsidR="00E905E4" w:rsidRPr="00D045B3" w:rsidRDefault="00E6607C" w:rsidP="00190CF7">
      <w:pPr>
        <w:pStyle w:val="KeinLeerraum"/>
        <w:rPr>
          <w:rFonts w:ascii="Times New Roman" w:hAnsi="Times New Roman"/>
        </w:rPr>
      </w:pPr>
      <w:r w:rsidRPr="00D045B3">
        <w:rPr>
          <w:rFonts w:ascii="Times New Roman" w:hAnsi="Times New Roman"/>
        </w:rPr>
        <w:t xml:space="preserve">Emellett a </w:t>
      </w:r>
      <w:r w:rsidR="00E905E4" w:rsidRPr="00D045B3">
        <w:rPr>
          <w:rFonts w:ascii="Times New Roman" w:hAnsi="Times New Roman"/>
        </w:rPr>
        <w:t>CML</w:t>
      </w:r>
      <w:r w:rsidR="00E905E4" w:rsidRPr="00D045B3">
        <w:rPr>
          <w:rFonts w:ascii="Times New Roman" w:hAnsi="Times New Roman"/>
        </w:rPr>
        <w:noBreakHyphen/>
        <w:t>ben, ALL</w:t>
      </w:r>
      <w:r w:rsidR="00E905E4" w:rsidRPr="00D045B3">
        <w:rPr>
          <w:rFonts w:ascii="Times New Roman" w:hAnsi="Times New Roman"/>
        </w:rPr>
        <w:noBreakHyphen/>
        <w:t>ben és egyéb betegségekben szenvedő betegeknél gastricus antralis vascularis ectasiáról (GAVE), a gastrointestinalis vérzés egy ritka okáról számoltak be a forgalomba hozatalt követően (lásd 4.8 pont). Amikor szükséges, megfontolható az imatinib</w:t>
      </w:r>
      <w:r w:rsidR="00E905E4" w:rsidRPr="00D045B3">
        <w:rPr>
          <w:rFonts w:ascii="Times New Roman" w:hAnsi="Times New Roman"/>
        </w:rPr>
        <w:noBreakHyphen/>
        <w:t>kezelés leállítása.</w:t>
      </w:r>
    </w:p>
    <w:p w14:paraId="1E9275CB" w14:textId="77777777" w:rsidR="00FE5992" w:rsidRPr="00D045B3" w:rsidRDefault="00FE5992" w:rsidP="00FE5992">
      <w:pPr>
        <w:pStyle w:val="KeinLeerraum"/>
        <w:rPr>
          <w:rFonts w:ascii="Times New Roman" w:hAnsi="Times New Roman"/>
        </w:rPr>
      </w:pPr>
    </w:p>
    <w:p w14:paraId="1E9275CC"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Tumor lízis szindróma </w:t>
      </w:r>
    </w:p>
    <w:p w14:paraId="1E9275CD" w14:textId="77777777" w:rsidR="00FE5992" w:rsidRPr="00D045B3" w:rsidRDefault="00FE5992" w:rsidP="00CA41FD">
      <w:pPr>
        <w:pStyle w:val="KeinLeerraum"/>
        <w:rPr>
          <w:rFonts w:ascii="Times New Roman" w:hAnsi="Times New Roman"/>
        </w:rPr>
      </w:pPr>
      <w:r w:rsidRPr="00D045B3">
        <w:rPr>
          <w:rFonts w:ascii="Times New Roman" w:hAnsi="Times New Roman"/>
        </w:rPr>
        <w:t>A tumor lízis szindróma (tumour lysis syndrome (TLS)) lehetséges előfordulása miatt az imatinib</w:t>
      </w:r>
      <w:r w:rsidRPr="00D045B3">
        <w:rPr>
          <w:rFonts w:ascii="Times New Roman" w:hAnsi="Times New Roman"/>
        </w:rPr>
        <w:noBreakHyphen/>
        <w:t xml:space="preserve">kezelés megkezdése előtt javasolt a klinikailag jelentős mértékű dehidrációt korrigálni, illetve a magas húgysavszintet kezelni (lásd 4.8 pont). </w:t>
      </w:r>
    </w:p>
    <w:p w14:paraId="1E9275CE" w14:textId="77777777" w:rsidR="00D0591D" w:rsidRPr="00D045B3" w:rsidRDefault="00D0591D" w:rsidP="00D0591D">
      <w:pPr>
        <w:pStyle w:val="KeinLeerraum"/>
        <w:rPr>
          <w:rFonts w:ascii="Times New Roman" w:hAnsi="Times New Roman"/>
        </w:rPr>
      </w:pPr>
    </w:p>
    <w:p w14:paraId="1E9275CF" w14:textId="77777777" w:rsidR="00D0591D" w:rsidRPr="00D045B3" w:rsidRDefault="00D0591D" w:rsidP="00CA41FD">
      <w:pPr>
        <w:pStyle w:val="KeinLeerraum"/>
        <w:keepNext/>
        <w:rPr>
          <w:rFonts w:ascii="Times New Roman" w:hAnsi="Times New Roman"/>
          <w:u w:val="single"/>
        </w:rPr>
      </w:pPr>
      <w:r w:rsidRPr="00D045B3">
        <w:rPr>
          <w:rFonts w:ascii="Times New Roman" w:hAnsi="Times New Roman"/>
          <w:u w:val="single"/>
        </w:rPr>
        <w:t xml:space="preserve">Hepatitis B reaktiváció </w:t>
      </w:r>
    </w:p>
    <w:p w14:paraId="1E9275D0" w14:textId="69CF82FC" w:rsidR="00D0591D" w:rsidRPr="00D045B3" w:rsidRDefault="00D0591D" w:rsidP="00D0591D">
      <w:pPr>
        <w:pStyle w:val="KeinLeerraum"/>
        <w:rPr>
          <w:rFonts w:ascii="Times New Roman" w:hAnsi="Times New Roman"/>
        </w:rPr>
      </w:pPr>
      <w:r w:rsidRPr="00D045B3">
        <w:rPr>
          <w:rFonts w:ascii="Times New Roman" w:hAnsi="Times New Roman"/>
        </w:rPr>
        <w:t>A hepatitis B reaktivációja fordult elő krónikus vírushordozó betegeknél, miután ezek a betegek BCR-ABL tirozin-kináz inhibitorokat kaptak. Egyes esetekben akut májelégtelenség vagy fulmináns hepatitis alakult ki, amely májtranszplantáció</w:t>
      </w:r>
      <w:r w:rsidR="00F449F6" w:rsidRPr="00D045B3">
        <w:rPr>
          <w:rFonts w:ascii="Times New Roman" w:hAnsi="Times New Roman"/>
        </w:rPr>
        <w:t>t tett szükségessé</w:t>
      </w:r>
      <w:r w:rsidRPr="00D045B3">
        <w:rPr>
          <w:rFonts w:ascii="Times New Roman" w:hAnsi="Times New Roman"/>
        </w:rPr>
        <w:t xml:space="preserve"> vagy a beteg halálához vezetett. </w:t>
      </w:r>
    </w:p>
    <w:p w14:paraId="1E9275D1" w14:textId="77777777" w:rsidR="00D0591D" w:rsidRPr="00D045B3" w:rsidRDefault="00D0591D" w:rsidP="00D0591D">
      <w:pPr>
        <w:pStyle w:val="KeinLeerraum"/>
        <w:rPr>
          <w:rFonts w:ascii="Times New Roman" w:hAnsi="Times New Roman"/>
        </w:rPr>
      </w:pPr>
      <w:r w:rsidRPr="00D045B3">
        <w:rPr>
          <w:rFonts w:ascii="Times New Roman" w:hAnsi="Times New Roman"/>
        </w:rPr>
        <w:t>Az Imatinib Actavis kezelés megkezdése előtt a betegeknél a HBV fertőzöttség kivizsgálására van szükség. A májbetegségek és a hepatitis B kezelés szakértőivel kell konzultálni a kezelés megkezdése előtt a pozitív hepatitis B szerológiájú betegeknél (beleértve az aktív betegséget is), valamint olyan betegek esetében, akiknél a kezelés közben derül ki a HBV fertőzés. Az Imatinib Actavis kezelést igénylő HBV hordozókat szorosan ellenőrizni kell a kezelés közben, valamint a kezelés befejezését követően több hónapon keresztül, hogy nem alakulnak-e ki az aktív HBV fertőzés jelei és tünetei (lásd 4.8 pont).</w:t>
      </w:r>
    </w:p>
    <w:p w14:paraId="1E9275D2" w14:textId="77777777" w:rsidR="00E6607C" w:rsidRPr="00D045B3" w:rsidRDefault="00E6607C" w:rsidP="00E6607C">
      <w:pPr>
        <w:pStyle w:val="Endnotentext"/>
        <w:keepNext/>
        <w:widowControl w:val="0"/>
        <w:tabs>
          <w:tab w:val="left" w:pos="720"/>
        </w:tabs>
        <w:rPr>
          <w:snapToGrid w:val="0"/>
          <w:color w:val="000000"/>
          <w:szCs w:val="22"/>
          <w:u w:val="single"/>
          <w:lang w:val="hu-HU"/>
        </w:rPr>
      </w:pPr>
    </w:p>
    <w:p w14:paraId="1E9275D3" w14:textId="77777777" w:rsidR="00E6607C" w:rsidRPr="00D045B3" w:rsidRDefault="00E6607C" w:rsidP="00E6607C">
      <w:pPr>
        <w:pStyle w:val="Endnotentext"/>
        <w:keepNext/>
        <w:widowControl w:val="0"/>
        <w:tabs>
          <w:tab w:val="left" w:pos="720"/>
        </w:tabs>
        <w:rPr>
          <w:snapToGrid w:val="0"/>
          <w:color w:val="000000"/>
          <w:szCs w:val="22"/>
          <w:u w:val="single"/>
          <w:lang w:val="hu-HU"/>
        </w:rPr>
      </w:pPr>
      <w:r w:rsidRPr="00D045B3">
        <w:rPr>
          <w:snapToGrid w:val="0"/>
          <w:color w:val="000000"/>
          <w:szCs w:val="22"/>
          <w:u w:val="single"/>
          <w:lang w:val="hu-HU"/>
        </w:rPr>
        <w:t>Fototoxicitás</w:t>
      </w:r>
    </w:p>
    <w:p w14:paraId="1E9275D4" w14:textId="649064D1" w:rsidR="00E6607C" w:rsidRPr="00D045B3" w:rsidRDefault="00E6607C" w:rsidP="00E6607C">
      <w:pPr>
        <w:pStyle w:val="Endnotentext"/>
        <w:widowControl w:val="0"/>
        <w:tabs>
          <w:tab w:val="left" w:pos="720"/>
        </w:tabs>
        <w:rPr>
          <w:snapToGrid w:val="0"/>
          <w:color w:val="000000"/>
          <w:szCs w:val="22"/>
          <w:lang w:val="hu-HU"/>
        </w:rPr>
      </w:pPr>
      <w:r w:rsidRPr="00D045B3">
        <w:rPr>
          <w:snapToGrid w:val="0"/>
          <w:color w:val="000000"/>
          <w:szCs w:val="22"/>
          <w:lang w:val="hu-HU"/>
        </w:rPr>
        <w:t>Az imatinib</w:t>
      </w:r>
      <w:r w:rsidRPr="00D045B3">
        <w:rPr>
          <w:snapToGrid w:val="0"/>
          <w:color w:val="000000"/>
          <w:szCs w:val="22"/>
          <w:lang w:val="hu-HU"/>
        </w:rPr>
        <w:noBreakHyphen/>
        <w:t>kezeléssel összefüggő fototoxicitás kockázata miatt a napfény általi közvetlen besugárzást kerülni vagy minimalizálni kell. A betegeket tájékoztatni kell arról, hogy öltözékükkel védekezzenek és használjanak magas fényvédő faktorszámú naptejet.</w:t>
      </w:r>
    </w:p>
    <w:p w14:paraId="1278A2D6" w14:textId="390B975A" w:rsidR="00BD1C51" w:rsidRPr="00D045B3" w:rsidRDefault="00BD1C51" w:rsidP="00BD1C51">
      <w:pPr>
        <w:rPr>
          <w:lang w:val="hu-HU" w:bidi="th-TH"/>
        </w:rPr>
      </w:pPr>
    </w:p>
    <w:p w14:paraId="5C677952" w14:textId="77777777" w:rsidR="00BD1C51" w:rsidRPr="00D045B3" w:rsidRDefault="00BD1C51" w:rsidP="00BD1C51">
      <w:pPr>
        <w:pStyle w:val="Endnotentext"/>
        <w:keepNext/>
        <w:widowControl w:val="0"/>
        <w:rPr>
          <w:snapToGrid w:val="0"/>
          <w:color w:val="000000"/>
          <w:szCs w:val="22"/>
          <w:u w:val="single"/>
          <w:lang w:val="hu-HU"/>
        </w:rPr>
      </w:pPr>
      <w:r w:rsidRPr="00D045B3">
        <w:rPr>
          <w:snapToGrid w:val="0"/>
          <w:color w:val="000000"/>
          <w:szCs w:val="22"/>
          <w:u w:val="single"/>
          <w:lang w:val="hu-HU"/>
        </w:rPr>
        <w:t>Thromboticus microangiopathia</w:t>
      </w:r>
    </w:p>
    <w:p w14:paraId="0CBA2699" w14:textId="4589DDA9" w:rsidR="00BD1C51" w:rsidRPr="00D045B3" w:rsidRDefault="00BD1C51" w:rsidP="00A074F7">
      <w:pPr>
        <w:pStyle w:val="Endnotentext"/>
        <w:widowControl w:val="0"/>
        <w:rPr>
          <w:rFonts w:eastAsia="SimSun" w:cs="Times New Roman"/>
          <w:snapToGrid w:val="0"/>
          <w:color w:val="000000"/>
          <w:szCs w:val="22"/>
          <w:lang w:val="hu-HU" w:bidi="ar-SA"/>
        </w:rPr>
      </w:pPr>
      <w:r w:rsidRPr="00D045B3">
        <w:rPr>
          <w:rFonts w:cs="Times New Roman"/>
          <w:szCs w:val="22"/>
          <w:lang w:val="hu-HU"/>
        </w:rPr>
        <w:t>A BCR</w:t>
      </w:r>
      <w:r w:rsidRPr="00D045B3">
        <w:rPr>
          <w:rFonts w:cs="Times New Roman"/>
          <w:szCs w:val="22"/>
          <w:lang w:val="hu-HU"/>
        </w:rPr>
        <w:noBreakHyphen/>
        <w:t>ABL tirozin</w:t>
      </w:r>
      <w:r w:rsidRPr="00D045B3">
        <w:rPr>
          <w:rFonts w:cs="Times New Roman"/>
          <w:szCs w:val="22"/>
          <w:lang w:val="hu-HU"/>
        </w:rPr>
        <w:noBreakHyphen/>
        <w:t>kináz inhibitorok (TKI</w:t>
      </w:r>
      <w:r w:rsidRPr="00D045B3">
        <w:rPr>
          <w:rFonts w:cs="Times New Roman"/>
          <w:szCs w:val="22"/>
          <w:lang w:val="hu-HU"/>
        </w:rPr>
        <w:noBreakHyphen/>
        <w:t xml:space="preserve">k) </w:t>
      </w:r>
      <w:r w:rsidR="00F449F6" w:rsidRPr="00D045B3">
        <w:rPr>
          <w:rFonts w:cs="Times New Roman"/>
          <w:szCs w:val="22"/>
          <w:lang w:val="hu-HU"/>
        </w:rPr>
        <w:t xml:space="preserve">alkalmazása során </w:t>
      </w:r>
      <w:r w:rsidRPr="00D045B3">
        <w:rPr>
          <w:color w:val="000000"/>
          <w:szCs w:val="22"/>
          <w:lang w:val="hu-HU"/>
        </w:rPr>
        <w:t xml:space="preserve">thromboticus </w:t>
      </w:r>
      <w:r w:rsidR="00F449F6" w:rsidRPr="00D045B3">
        <w:rPr>
          <w:color w:val="000000"/>
          <w:szCs w:val="22"/>
          <w:lang w:val="hu-HU"/>
        </w:rPr>
        <w:t xml:space="preserve">microangiopathiát </w:t>
      </w:r>
      <w:r w:rsidRPr="00D045B3">
        <w:rPr>
          <w:color w:val="000000"/>
          <w:szCs w:val="22"/>
          <w:lang w:val="hu-HU"/>
        </w:rPr>
        <w:t xml:space="preserve">(TMA) </w:t>
      </w:r>
      <w:r w:rsidR="00F449F6" w:rsidRPr="00D045B3">
        <w:rPr>
          <w:color w:val="000000"/>
          <w:szCs w:val="22"/>
          <w:lang w:val="hu-HU"/>
        </w:rPr>
        <w:t>jelentettek</w:t>
      </w:r>
      <w:r w:rsidRPr="00D045B3">
        <w:rPr>
          <w:color w:val="000000"/>
          <w:szCs w:val="22"/>
          <w:lang w:val="hu-HU"/>
        </w:rPr>
        <w:t>, beleértve az Imatinib Actavis-szel kapcsolatos egyedi esetjelentéseket (lásd 4.8 pont). Ha az Imatinib Actavis</w:t>
      </w:r>
      <w:r w:rsidRPr="00D045B3">
        <w:rPr>
          <w:color w:val="000000"/>
          <w:szCs w:val="22"/>
          <w:lang w:val="hu-HU"/>
        </w:rPr>
        <w:noBreakHyphen/>
      </w:r>
      <w:r w:rsidR="00F449F6" w:rsidRPr="00D045B3">
        <w:rPr>
          <w:color w:val="000000"/>
          <w:szCs w:val="22"/>
          <w:lang w:val="hu-HU"/>
        </w:rPr>
        <w:t>szel kezelt</w:t>
      </w:r>
      <w:r w:rsidRPr="00D045B3">
        <w:rPr>
          <w:color w:val="000000"/>
          <w:szCs w:val="22"/>
          <w:lang w:val="hu-HU"/>
        </w:rPr>
        <w:t xml:space="preserve"> betegnél a TMA laboratóriumi vagy klinikai jelei fordulnak elő, a kezelést fel kell függeszteni, és a TMA alapos kivizsgálása szükséges, beleértve az ADAMTS13 aktivitást és az anti-ADAMTS13-antitest meghatározást. Ha az anti-ADAMTS13-antitest szint magas és az ADAMTS13 aktivitás alacsony, az Imatinib Actavis</w:t>
      </w:r>
      <w:r w:rsidRPr="00D045B3">
        <w:rPr>
          <w:color w:val="000000"/>
          <w:szCs w:val="22"/>
          <w:lang w:val="hu-HU"/>
        </w:rPr>
        <w:noBreakHyphen/>
        <w:t>kezelést nem szabad folytatni.</w:t>
      </w:r>
    </w:p>
    <w:p w14:paraId="1E9275D5" w14:textId="77777777" w:rsidR="00FE5992" w:rsidRPr="00D045B3" w:rsidRDefault="00FE5992" w:rsidP="00FE5992">
      <w:pPr>
        <w:pStyle w:val="KeinLeerraum"/>
        <w:rPr>
          <w:rFonts w:ascii="Times New Roman" w:hAnsi="Times New Roman"/>
        </w:rPr>
      </w:pPr>
    </w:p>
    <w:p w14:paraId="1E9275D6"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Laboratóriumi vizsgálatok</w:t>
      </w:r>
    </w:p>
    <w:p w14:paraId="1E9275D7" w14:textId="64A28924" w:rsidR="00FE5992" w:rsidRPr="00D045B3" w:rsidRDefault="00FE5992" w:rsidP="00CA41FD">
      <w:pPr>
        <w:pStyle w:val="KeinLeerraum"/>
        <w:rPr>
          <w:rFonts w:ascii="Times New Roman" w:hAnsi="Times New Roman"/>
        </w:rPr>
      </w:pPr>
      <w:r w:rsidRPr="00D045B3">
        <w:rPr>
          <w:rFonts w:ascii="Times New Roman" w:hAnsi="Times New Roman"/>
        </w:rPr>
        <w:t>Az imatinib</w:t>
      </w:r>
      <w:r w:rsidRPr="00D045B3">
        <w:rPr>
          <w:rFonts w:ascii="Times New Roman" w:hAnsi="Times New Roman"/>
        </w:rPr>
        <w:noBreakHyphen/>
        <w:t>kezelés során rendszeresen ellenőrizni kell a teljes vérképet. A CML</w:t>
      </w:r>
      <w:r w:rsidR="00F449F6" w:rsidRPr="00D045B3">
        <w:rPr>
          <w:rFonts w:ascii="Times New Roman" w:hAnsi="Times New Roman"/>
        </w:rPr>
        <w:t>-es</w:t>
      </w:r>
      <w:r w:rsidRPr="00D045B3">
        <w:rPr>
          <w:rFonts w:ascii="Times New Roman" w:hAnsi="Times New Roman"/>
        </w:rPr>
        <w:t xml:space="preserve"> betegek imatinib</w:t>
      </w:r>
      <w:r w:rsidRPr="00D045B3">
        <w:rPr>
          <w:rFonts w:ascii="Times New Roman" w:hAnsi="Times New Roman"/>
        </w:rPr>
        <w:noBreakHyphen/>
        <w:t>kezelésekor neutropeniát vagy thrombocytopeniát figyeltek meg. Ezen cytopeniák előfordulása azonban valószínűleg a kezelendő betegség stádiumától függ, és sokkal gyakoribb az akcelerált fázisú CML</w:t>
      </w:r>
      <w:r w:rsidRPr="00D045B3">
        <w:rPr>
          <w:rFonts w:ascii="Times New Roman" w:hAnsi="Times New Roman"/>
        </w:rPr>
        <w:noBreakHyphen/>
        <w:t>es betegek</w:t>
      </w:r>
      <w:r w:rsidR="001E231E" w:rsidRPr="00D045B3">
        <w:rPr>
          <w:rFonts w:ascii="Times New Roman" w:hAnsi="Times New Roman"/>
        </w:rPr>
        <w:t>nél</w:t>
      </w:r>
      <w:r w:rsidRPr="00D045B3">
        <w:rPr>
          <w:rFonts w:ascii="Times New Roman" w:hAnsi="Times New Roman"/>
        </w:rPr>
        <w:t xml:space="preserve"> vagy blasztos krízisben, mint a krónikus fázisban. Ilyen esetben az imatinib</w:t>
      </w:r>
      <w:r w:rsidRPr="00D045B3">
        <w:rPr>
          <w:rFonts w:ascii="Times New Roman" w:hAnsi="Times New Roman"/>
        </w:rPr>
        <w:noBreakHyphen/>
        <w:t>kezelést le kell állítani, vagy csökkenteni kell az alkalmazott adagot, a 4.2 pontban javasoltak szerint.</w:t>
      </w:r>
    </w:p>
    <w:p w14:paraId="1E9275D8"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 </w:t>
      </w:r>
    </w:p>
    <w:p w14:paraId="1E9275D9" w14:textId="77777777" w:rsidR="00FE5992" w:rsidRPr="00D045B3" w:rsidRDefault="00FE5992" w:rsidP="00FE5992">
      <w:pPr>
        <w:pStyle w:val="KeinLeerraum"/>
        <w:rPr>
          <w:rFonts w:ascii="Times New Roman" w:hAnsi="Times New Roman"/>
        </w:rPr>
      </w:pPr>
      <w:r w:rsidRPr="00D045B3">
        <w:rPr>
          <w:rFonts w:ascii="Times New Roman" w:hAnsi="Times New Roman"/>
        </w:rPr>
        <w:t>A májfunkciót (transzaminázok, bilirubin, alkalikus</w:t>
      </w:r>
      <w:r w:rsidRPr="00D045B3">
        <w:rPr>
          <w:rFonts w:ascii="Times New Roman" w:hAnsi="Times New Roman"/>
        </w:rPr>
        <w:noBreakHyphen/>
        <w:t>foszfatáz) rendszeresen ellenőrizni kell az imatinib</w:t>
      </w:r>
      <w:r w:rsidRPr="00D045B3">
        <w:rPr>
          <w:rFonts w:ascii="Times New Roman" w:hAnsi="Times New Roman"/>
        </w:rPr>
        <w:noBreakHyphen/>
        <w:t xml:space="preserve">kezelésben részesülő betegeknél. </w:t>
      </w:r>
    </w:p>
    <w:p w14:paraId="1E9275DA" w14:textId="77777777" w:rsidR="00FE5992" w:rsidRPr="00D045B3" w:rsidRDefault="00FE5992" w:rsidP="00FE5992">
      <w:pPr>
        <w:pStyle w:val="KeinLeerraum"/>
        <w:rPr>
          <w:rFonts w:ascii="Times New Roman" w:hAnsi="Times New Roman"/>
        </w:rPr>
      </w:pPr>
    </w:p>
    <w:p w14:paraId="1E9275DB" w14:textId="65645F61" w:rsidR="00FE5992" w:rsidRPr="00D045B3" w:rsidRDefault="00F449F6" w:rsidP="00FE5992">
      <w:pPr>
        <w:pStyle w:val="KeinLeerraum"/>
        <w:rPr>
          <w:rFonts w:ascii="Times New Roman" w:hAnsi="Times New Roman"/>
        </w:rPr>
      </w:pPr>
      <w:r w:rsidRPr="00D045B3">
        <w:rPr>
          <w:rFonts w:ascii="Times New Roman" w:hAnsi="Times New Roman"/>
        </w:rPr>
        <w:t>Vesekárosodásban szenvedő</w:t>
      </w:r>
      <w:r w:rsidR="00FE5992" w:rsidRPr="00D045B3">
        <w:rPr>
          <w:rFonts w:ascii="Times New Roman" w:hAnsi="Times New Roman"/>
        </w:rPr>
        <w:t xml:space="preserve"> betegek</w:t>
      </w:r>
      <w:r w:rsidRPr="00D045B3">
        <w:rPr>
          <w:rFonts w:ascii="Times New Roman" w:hAnsi="Times New Roman"/>
        </w:rPr>
        <w:t>nél</w:t>
      </w:r>
      <w:r w:rsidR="00FE5992" w:rsidRPr="00D045B3">
        <w:rPr>
          <w:rFonts w:ascii="Times New Roman" w:hAnsi="Times New Roman"/>
        </w:rPr>
        <w:t xml:space="preserve"> esetében az imatinib plazma expozíciója magasabbnak tűnik, mint az egészséges vesefunkciójú betegeknél. Ennek oka valószínűleg az, hogy az ilyen betegeknél megemelkedik az imatinibet megkötő savas alfa glikoprotein (AGP) plazmaszintje. Vesekárosodásban szenvedő betegeknél a legkisebb kezdő dózist kell alkalmazni. </w:t>
      </w:r>
      <w:r w:rsidR="007530AE" w:rsidRPr="00D045B3">
        <w:rPr>
          <w:rFonts w:ascii="Times New Roman" w:hAnsi="Times New Roman"/>
        </w:rPr>
        <w:t>S</w:t>
      </w:r>
      <w:r w:rsidR="00FE5992" w:rsidRPr="00D045B3">
        <w:rPr>
          <w:rFonts w:ascii="Times New Roman" w:hAnsi="Times New Roman"/>
        </w:rPr>
        <w:t xml:space="preserve">úlyos vesekárosodásban szenvedő betegek kezelése óvatosságot igényel. Az adagot csökkenteni lehet, amennyiben azt a beteg nem jól tolerálja (lásd 4.2 és 5.2 pont). </w:t>
      </w:r>
    </w:p>
    <w:p w14:paraId="1E9275DC" w14:textId="77777777" w:rsidR="00E905E4" w:rsidRPr="00D045B3" w:rsidRDefault="00E905E4" w:rsidP="00FE5992">
      <w:pPr>
        <w:pStyle w:val="KeinLeerraum"/>
        <w:rPr>
          <w:rFonts w:ascii="Times New Roman" w:hAnsi="Times New Roman"/>
          <w:lang w:eastAsia="is-IS"/>
        </w:rPr>
      </w:pPr>
    </w:p>
    <w:p w14:paraId="1E9275DD" w14:textId="77777777" w:rsidR="00FE5992" w:rsidRPr="00D045B3" w:rsidRDefault="00E905E4" w:rsidP="00FE5992">
      <w:pPr>
        <w:pStyle w:val="KeinLeerraum"/>
        <w:rPr>
          <w:rFonts w:ascii="Times New Roman" w:hAnsi="Times New Roman"/>
          <w:lang w:eastAsia="is-IS"/>
        </w:rPr>
      </w:pPr>
      <w:r w:rsidRPr="00D045B3">
        <w:rPr>
          <w:rFonts w:ascii="Times New Roman" w:hAnsi="Times New Roman"/>
          <w:lang w:eastAsia="is-IS"/>
        </w:rPr>
        <w:t>A tartós imatinib</w:t>
      </w:r>
      <w:r w:rsidRPr="00D045B3">
        <w:rPr>
          <w:rFonts w:ascii="Times New Roman" w:hAnsi="Times New Roman"/>
          <w:lang w:eastAsia="is-IS"/>
        </w:rPr>
        <w:noBreakHyphen/>
        <w:t>kezelés a vesefunkció klinikailag szignifikáns mértékű romlásával hozható összefüggésbe. Ezért a veseműködést ellenőrizni kell az imatinib</w:t>
      </w:r>
      <w:r w:rsidRPr="00D045B3">
        <w:rPr>
          <w:rFonts w:ascii="Times New Roman" w:hAnsi="Times New Roman"/>
          <w:lang w:eastAsia="is-IS"/>
        </w:rPr>
        <w:noBreakHyphen/>
        <w:t>kezelés elindítása előtt, majd szoros monitorozás alatt kell tartani a terápia alatt, különleges figyelmet fordítva azokra a betegekre, akiknél jelen vannak a veseműködés károsodás kockázati tényezői. Veseműködés károsodás észlelésekor megfelelő ellátást és kezelést kell előírni az általánosan elfogadott kezelési irányelveknek megfelelően.</w:t>
      </w:r>
    </w:p>
    <w:p w14:paraId="1E9275DE" w14:textId="77777777" w:rsidR="00075D8E" w:rsidRPr="00D045B3" w:rsidRDefault="00075D8E" w:rsidP="00FE5992">
      <w:pPr>
        <w:pStyle w:val="KeinLeerraum"/>
        <w:rPr>
          <w:rFonts w:ascii="Times New Roman" w:hAnsi="Times New Roman"/>
        </w:rPr>
      </w:pPr>
    </w:p>
    <w:p w14:paraId="1E9275DF" w14:textId="77777777" w:rsidR="00E6046F" w:rsidRPr="00D045B3" w:rsidRDefault="00FE5992" w:rsidP="00FE5992">
      <w:pPr>
        <w:pStyle w:val="KeinLeerraum"/>
        <w:keepNext/>
        <w:rPr>
          <w:rFonts w:ascii="Times New Roman" w:hAnsi="Times New Roman"/>
          <w:u w:val="single"/>
        </w:rPr>
      </w:pPr>
      <w:r w:rsidRPr="00D045B3">
        <w:rPr>
          <w:rFonts w:ascii="Times New Roman" w:hAnsi="Times New Roman"/>
          <w:u w:val="single"/>
        </w:rPr>
        <w:t>Gyermek</w:t>
      </w:r>
      <w:r w:rsidR="00811718" w:rsidRPr="00D045B3">
        <w:rPr>
          <w:rFonts w:ascii="Times New Roman" w:hAnsi="Times New Roman"/>
          <w:u w:val="single"/>
        </w:rPr>
        <w:t>ek</w:t>
      </w:r>
      <w:r w:rsidRPr="00D045B3">
        <w:rPr>
          <w:rFonts w:ascii="Times New Roman" w:hAnsi="Times New Roman"/>
          <w:u w:val="single"/>
        </w:rPr>
        <w:t xml:space="preserve"> </w:t>
      </w:r>
      <w:r w:rsidR="00E6046F" w:rsidRPr="00D045B3">
        <w:rPr>
          <w:rFonts w:ascii="Times New Roman" w:hAnsi="Times New Roman"/>
          <w:u w:val="single"/>
        </w:rPr>
        <w:t>és serdülők</w:t>
      </w:r>
    </w:p>
    <w:p w14:paraId="1E9275E0" w14:textId="0B735623" w:rsidR="00FE5992" w:rsidRPr="00D045B3" w:rsidRDefault="00FE5992" w:rsidP="00CA41FD">
      <w:pPr>
        <w:pStyle w:val="KeinLeerraum"/>
        <w:rPr>
          <w:rFonts w:ascii="Times New Roman" w:hAnsi="Times New Roman"/>
        </w:rPr>
      </w:pPr>
      <w:r w:rsidRPr="00D045B3">
        <w:rPr>
          <w:rFonts w:ascii="Times New Roman" w:hAnsi="Times New Roman"/>
        </w:rPr>
        <w:t>Az imatinib</w:t>
      </w:r>
      <w:r w:rsidR="00F449F6" w:rsidRPr="00D045B3">
        <w:rPr>
          <w:rFonts w:ascii="Times New Roman" w:hAnsi="Times New Roman"/>
        </w:rPr>
        <w:t>bel kezelt</w:t>
      </w:r>
      <w:r w:rsidRPr="00D045B3">
        <w:rPr>
          <w:rFonts w:ascii="Times New Roman" w:hAnsi="Times New Roman"/>
        </w:rPr>
        <w:t xml:space="preserve"> gyermekeknél és a serdülőkor előtt állóknál növekedés</w:t>
      </w:r>
      <w:r w:rsidR="00A832B1" w:rsidRPr="00D045B3">
        <w:rPr>
          <w:rFonts w:ascii="Times New Roman" w:hAnsi="Times New Roman"/>
        </w:rPr>
        <w:t>i</w:t>
      </w:r>
      <w:r w:rsidR="00F449F6" w:rsidRPr="00D045B3">
        <w:rPr>
          <w:rFonts w:ascii="Times New Roman" w:hAnsi="Times New Roman"/>
        </w:rPr>
        <w:t xml:space="preserve"> retardáció</w:t>
      </w:r>
      <w:r w:rsidRPr="00D045B3">
        <w:rPr>
          <w:rFonts w:ascii="Times New Roman" w:hAnsi="Times New Roman"/>
        </w:rPr>
        <w:t xml:space="preserve"> kialakulásá</w:t>
      </w:r>
      <w:r w:rsidR="00F449F6" w:rsidRPr="00D045B3">
        <w:rPr>
          <w:rFonts w:ascii="Times New Roman" w:hAnsi="Times New Roman"/>
        </w:rPr>
        <w:t>ról szóló esetismertetések jelentek meg</w:t>
      </w:r>
      <w:r w:rsidRPr="00D045B3">
        <w:rPr>
          <w:rFonts w:ascii="Times New Roman" w:hAnsi="Times New Roman"/>
        </w:rPr>
        <w:t xml:space="preserve">. </w:t>
      </w:r>
      <w:r w:rsidR="00614441" w:rsidRPr="00D045B3">
        <w:rPr>
          <w:rFonts w:ascii="Times New Roman" w:hAnsi="Times New Roman"/>
          <w:color w:val="000000"/>
        </w:rPr>
        <w:t>Egy megfigyeléses vizsgálatban, 12 és 24 hónapos kezelés után, a CML</w:t>
      </w:r>
      <w:r w:rsidR="00614441" w:rsidRPr="00D045B3">
        <w:rPr>
          <w:rFonts w:ascii="Times New Roman" w:hAnsi="Times New Roman"/>
          <w:color w:val="000000"/>
        </w:rPr>
        <w:noBreakHyphen/>
        <w:t>ben szenvedő gyermek</w:t>
      </w:r>
      <w:r w:rsidR="00F449F6" w:rsidRPr="00D045B3">
        <w:rPr>
          <w:rFonts w:ascii="Times New Roman" w:hAnsi="Times New Roman"/>
          <w:color w:val="000000"/>
        </w:rPr>
        <w:t>ek és serdülők</w:t>
      </w:r>
      <w:r w:rsidR="00614441" w:rsidRPr="00D045B3">
        <w:rPr>
          <w:rFonts w:ascii="Times New Roman" w:hAnsi="Times New Roman"/>
          <w:color w:val="000000"/>
        </w:rPr>
        <w:t xml:space="preserve"> két</w:t>
      </w:r>
      <w:r w:rsidR="00F449F6" w:rsidRPr="00D045B3">
        <w:rPr>
          <w:rFonts w:ascii="Times New Roman" w:hAnsi="Times New Roman"/>
          <w:color w:val="000000"/>
        </w:rPr>
        <w:t xml:space="preserve"> kisebb</w:t>
      </w:r>
      <w:r w:rsidR="00614441" w:rsidRPr="00D045B3">
        <w:rPr>
          <w:rFonts w:ascii="Times New Roman" w:hAnsi="Times New Roman"/>
          <w:color w:val="000000"/>
        </w:rPr>
        <w:t>, pubertás</w:t>
      </w:r>
      <w:r w:rsidR="00A832B1" w:rsidRPr="00D045B3">
        <w:rPr>
          <w:rFonts w:ascii="Times New Roman" w:hAnsi="Times New Roman"/>
          <w:color w:val="000000"/>
        </w:rPr>
        <w:t>-</w:t>
      </w:r>
      <w:r w:rsidR="00614441" w:rsidRPr="00D045B3">
        <w:rPr>
          <w:rFonts w:ascii="Times New Roman" w:hAnsi="Times New Roman"/>
          <w:color w:val="000000"/>
        </w:rPr>
        <w:t>státusztól és nemtől független alcsoportjában a medián testmagasságra vonatkozó standard deviációs pontszám statisztikailag szignifikáns csökkenését jelentették (melynek klinikai jelentősége bizonytalan). A</w:t>
      </w:r>
      <w:r w:rsidRPr="00D045B3">
        <w:rPr>
          <w:rFonts w:ascii="Times New Roman" w:hAnsi="Times New Roman"/>
        </w:rPr>
        <w:t>z imatinib</w:t>
      </w:r>
      <w:r w:rsidRPr="00D045B3">
        <w:rPr>
          <w:rFonts w:ascii="Times New Roman" w:hAnsi="Times New Roman"/>
        </w:rPr>
        <w:noBreakHyphen/>
        <w:t xml:space="preserve">kezelés alatt álló gyermekek növekedésének </w:t>
      </w:r>
      <w:r w:rsidR="00F449F6" w:rsidRPr="00D045B3">
        <w:rPr>
          <w:rFonts w:ascii="Times New Roman" w:hAnsi="Times New Roman"/>
        </w:rPr>
        <w:t xml:space="preserve">szoros </w:t>
      </w:r>
      <w:r w:rsidRPr="00D045B3">
        <w:rPr>
          <w:rFonts w:ascii="Times New Roman" w:hAnsi="Times New Roman"/>
        </w:rPr>
        <w:t xml:space="preserve">monitorozása javasolt (lásd 4.8 pont). </w:t>
      </w:r>
    </w:p>
    <w:p w14:paraId="1E9275E1" w14:textId="77777777" w:rsidR="00FE5992" w:rsidRPr="00D045B3" w:rsidRDefault="00FE5992" w:rsidP="00FE5992">
      <w:pPr>
        <w:pStyle w:val="KeinLeerraum"/>
        <w:rPr>
          <w:rFonts w:ascii="Times New Roman" w:hAnsi="Times New Roman"/>
          <w:b/>
        </w:rPr>
      </w:pPr>
    </w:p>
    <w:p w14:paraId="1E9275E2" w14:textId="35EB3EB9" w:rsidR="001025E5" w:rsidRPr="00D045B3" w:rsidRDefault="001025E5" w:rsidP="001025E5">
      <w:pPr>
        <w:pStyle w:val="KeinLeerraum"/>
        <w:keepNext/>
        <w:rPr>
          <w:rFonts w:ascii="Times New Roman" w:hAnsi="Times New Roman"/>
          <w:u w:val="single"/>
        </w:rPr>
      </w:pPr>
      <w:r w:rsidRPr="00D045B3">
        <w:rPr>
          <w:rFonts w:ascii="Times New Roman" w:hAnsi="Times New Roman"/>
          <w:u w:val="single"/>
        </w:rPr>
        <w:t>Segédanyagok</w:t>
      </w:r>
    </w:p>
    <w:p w14:paraId="1CD20544" w14:textId="4020D52C" w:rsidR="009D410C" w:rsidRPr="00D045B3" w:rsidRDefault="009D410C" w:rsidP="001025E5">
      <w:pPr>
        <w:pStyle w:val="KeinLeerraum"/>
        <w:keepNext/>
        <w:rPr>
          <w:rFonts w:ascii="Times New Roman" w:hAnsi="Times New Roman"/>
          <w:u w:val="single"/>
        </w:rPr>
      </w:pPr>
    </w:p>
    <w:p w14:paraId="469EE029" w14:textId="365F17E6" w:rsidR="009D410C" w:rsidRPr="00D045B3" w:rsidRDefault="009D410C" w:rsidP="001025E5">
      <w:pPr>
        <w:pStyle w:val="KeinLeerraum"/>
        <w:keepNext/>
        <w:rPr>
          <w:rFonts w:ascii="Times New Roman" w:hAnsi="Times New Roman"/>
          <w:i/>
          <w:iCs/>
          <w:u w:val="single"/>
        </w:rPr>
      </w:pPr>
      <w:r w:rsidRPr="00D045B3">
        <w:rPr>
          <w:rFonts w:ascii="Times New Roman" w:hAnsi="Times New Roman"/>
          <w:i/>
          <w:iCs/>
          <w:u w:val="single"/>
        </w:rPr>
        <w:t>Lecitin (szója)</w:t>
      </w:r>
    </w:p>
    <w:p w14:paraId="1E9275E3" w14:textId="580A634E" w:rsidR="001025E5" w:rsidRPr="00D045B3" w:rsidRDefault="001025E5" w:rsidP="00BC4F3D">
      <w:pPr>
        <w:pStyle w:val="KeinLeerraum"/>
        <w:rPr>
          <w:rFonts w:ascii="Times New Roman" w:hAnsi="Times New Roman"/>
        </w:rPr>
      </w:pPr>
      <w:r w:rsidRPr="00D045B3">
        <w:rPr>
          <w:rFonts w:ascii="Times New Roman" w:hAnsi="Times New Roman"/>
        </w:rPr>
        <w:t>Ez a gyógyszer (szója) lecitint tartalmaz. A mogyoróra vagy szójára allergiás betegek nem szedhetik ezt a gyógyszert.</w:t>
      </w:r>
    </w:p>
    <w:p w14:paraId="21907C15" w14:textId="3EF4F5D0" w:rsidR="009D410C" w:rsidRPr="00D045B3" w:rsidRDefault="009D410C" w:rsidP="00BC4F3D">
      <w:pPr>
        <w:pStyle w:val="KeinLeerraum"/>
        <w:rPr>
          <w:rFonts w:ascii="Times New Roman" w:hAnsi="Times New Roman"/>
        </w:rPr>
      </w:pPr>
    </w:p>
    <w:p w14:paraId="0D6CD208" w14:textId="77777777" w:rsidR="009D410C" w:rsidRPr="00D045B3" w:rsidRDefault="009D410C" w:rsidP="009D410C">
      <w:pPr>
        <w:pStyle w:val="KeinLeerraum"/>
        <w:rPr>
          <w:rFonts w:ascii="Times New Roman" w:hAnsi="Times New Roman"/>
          <w:i/>
          <w:iCs/>
          <w:u w:val="single"/>
        </w:rPr>
      </w:pPr>
      <w:r w:rsidRPr="00D045B3">
        <w:rPr>
          <w:rFonts w:ascii="Times New Roman" w:hAnsi="Times New Roman"/>
          <w:i/>
          <w:iCs/>
          <w:u w:val="single"/>
        </w:rPr>
        <w:t>Nátrium</w:t>
      </w:r>
    </w:p>
    <w:p w14:paraId="568711A4" w14:textId="6DE872FF" w:rsidR="009D410C" w:rsidRPr="00D045B3" w:rsidRDefault="006970F2" w:rsidP="00A074F7">
      <w:pPr>
        <w:rPr>
          <w:lang w:val="hu-HU"/>
        </w:rPr>
      </w:pPr>
      <w:r w:rsidRPr="00D045B3">
        <w:rPr>
          <w:lang w:val="hu-HU"/>
        </w:rPr>
        <w:t>A készítmény kevesebb, mint 1 mmol (23 </w:t>
      </w:r>
      <w:r w:rsidR="009D410C" w:rsidRPr="00D045B3">
        <w:rPr>
          <w:lang w:val="hu-HU"/>
        </w:rPr>
        <w:t>mg) nátriumot tartalmaz filmtablettánként, azaz gyakorlatilag „nátriummentes”.</w:t>
      </w:r>
    </w:p>
    <w:p w14:paraId="1E9275E4" w14:textId="77777777" w:rsidR="001025E5" w:rsidRPr="00D045B3" w:rsidRDefault="001025E5" w:rsidP="00BC4F3D">
      <w:pPr>
        <w:pStyle w:val="KeinLeerraum"/>
        <w:rPr>
          <w:rFonts w:ascii="Times New Roman" w:hAnsi="Times New Roman"/>
          <w:b/>
        </w:rPr>
      </w:pPr>
    </w:p>
    <w:p w14:paraId="1E9275E5" w14:textId="1441D5D5"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4.5</w:t>
      </w:r>
      <w:r w:rsidRPr="00D045B3">
        <w:rPr>
          <w:rFonts w:ascii="Times New Roman" w:hAnsi="Times New Roman"/>
          <w:b/>
        </w:rPr>
        <w:tab/>
        <w:t xml:space="preserve">Gyógyszerkölcsönhatások és egyéb interakciók </w:t>
      </w:r>
    </w:p>
    <w:p w14:paraId="1E9275E6" w14:textId="77777777" w:rsidR="00FE5992" w:rsidRPr="00D045B3" w:rsidRDefault="00FE5992" w:rsidP="00FE5992">
      <w:pPr>
        <w:pStyle w:val="KeinLeerraum"/>
        <w:keepNext/>
        <w:rPr>
          <w:rFonts w:ascii="Times New Roman" w:hAnsi="Times New Roman"/>
        </w:rPr>
      </w:pPr>
    </w:p>
    <w:p w14:paraId="1E9275E7"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Hatóanyagok, melyek </w:t>
      </w:r>
      <w:r w:rsidRPr="00D045B3">
        <w:rPr>
          <w:rFonts w:ascii="Times New Roman" w:hAnsi="Times New Roman"/>
          <w:b/>
          <w:u w:val="single"/>
        </w:rPr>
        <w:t>növelhetik az imatinib</w:t>
      </w:r>
      <w:r w:rsidRPr="00D045B3">
        <w:rPr>
          <w:rFonts w:ascii="Times New Roman" w:hAnsi="Times New Roman"/>
          <w:u w:val="single"/>
        </w:rPr>
        <w:t xml:space="preserve"> plazmakoncentrációját: </w:t>
      </w:r>
    </w:p>
    <w:p w14:paraId="1E9275E8" w14:textId="77777777" w:rsidR="00FE5992" w:rsidRPr="00D045B3" w:rsidRDefault="00FE5992" w:rsidP="00BC4F3D">
      <w:pPr>
        <w:pStyle w:val="KeinLeerraum"/>
        <w:rPr>
          <w:rFonts w:ascii="Times New Roman" w:hAnsi="Times New Roman"/>
        </w:rPr>
      </w:pPr>
      <w:r w:rsidRPr="00D045B3">
        <w:rPr>
          <w:rFonts w:ascii="Times New Roman" w:hAnsi="Times New Roman"/>
        </w:rPr>
        <w:t>Azok az anyagok, melyek a citokróm P450 CYP3A4 izoenzim aktivitását gátolják (pl. olyan proteázgátlók, mint az indinavir, lopinavir/ritonavir, ritonavir, szakvinavir, telaprevir, nelfinavir, boceprevir; azol</w:t>
      </w:r>
      <w:r w:rsidRPr="00D045B3">
        <w:rPr>
          <w:rFonts w:ascii="Times New Roman" w:hAnsi="Times New Roman"/>
        </w:rPr>
        <w:noBreakHyphen/>
        <w:t>típusú gombaelleni szerek, többek között a ketokonazol, itrakonazol, pozakonazol, vorikonazol, egyes makrolidok, mint pl. az eritromicin, klaritromicin és a telitromicin) csökkenthetik az imatinib metabolizmusát és növelhetik koncentrációját. Egészséges önkénteseknél az imatinib expozíció szignifikáns növekedését észlelték (az imatinib átlagos C</w:t>
      </w:r>
      <w:r w:rsidRPr="00D045B3">
        <w:rPr>
          <w:rFonts w:ascii="Times New Roman" w:hAnsi="Times New Roman"/>
          <w:vertAlign w:val="subscript"/>
        </w:rPr>
        <w:t>max</w:t>
      </w:r>
      <w:r w:rsidRPr="00D045B3">
        <w:rPr>
          <w:rFonts w:ascii="Times New Roman" w:hAnsi="Times New Roman"/>
        </w:rPr>
        <w:noBreakHyphen/>
        <w:t xml:space="preserve"> és AUC</w:t>
      </w:r>
      <w:r w:rsidRPr="00D045B3">
        <w:rPr>
          <w:rFonts w:ascii="Times New Roman" w:hAnsi="Times New Roman"/>
        </w:rPr>
        <w:noBreakHyphen/>
        <w:t>értékei 26%, ill. 40%</w:t>
      </w:r>
      <w:r w:rsidRPr="00D045B3">
        <w:rPr>
          <w:rFonts w:ascii="Times New Roman" w:hAnsi="Times New Roman"/>
        </w:rPr>
        <w:noBreakHyphen/>
        <w:t>kal emelkedtek) egyszeri dózisú ketokonazol (CYP3A4</w:t>
      </w:r>
      <w:r w:rsidRPr="00D045B3">
        <w:rPr>
          <w:rFonts w:ascii="Times New Roman" w:hAnsi="Times New Roman"/>
        </w:rPr>
        <w:noBreakHyphen/>
        <w:t>gátló) egyidejű adásakor. Imatinib és CYP3A4</w:t>
      </w:r>
      <w:r w:rsidRPr="00D045B3">
        <w:rPr>
          <w:rFonts w:ascii="Times New Roman" w:hAnsi="Times New Roman"/>
        </w:rPr>
        <w:noBreakHyphen/>
        <w:t>gátló tulajdonságú hatóanyagok együttes alkalmazásakor óvatosság szükséges.</w:t>
      </w:r>
    </w:p>
    <w:p w14:paraId="1E9275E9" w14:textId="77777777" w:rsidR="00FE5992" w:rsidRPr="00D045B3" w:rsidRDefault="00FE5992" w:rsidP="00FE5992">
      <w:pPr>
        <w:pStyle w:val="KeinLeerraum"/>
        <w:rPr>
          <w:rFonts w:ascii="Times New Roman" w:hAnsi="Times New Roman"/>
        </w:rPr>
      </w:pPr>
    </w:p>
    <w:p w14:paraId="1E9275EA"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Hatóanyagok, melyek </w:t>
      </w:r>
      <w:r w:rsidRPr="00D045B3">
        <w:rPr>
          <w:rFonts w:ascii="Times New Roman" w:hAnsi="Times New Roman"/>
          <w:b/>
          <w:u w:val="single"/>
        </w:rPr>
        <w:t>csökkenthetik az imatinib</w:t>
      </w:r>
      <w:r w:rsidRPr="00D045B3">
        <w:rPr>
          <w:rFonts w:ascii="Times New Roman" w:hAnsi="Times New Roman"/>
          <w:u w:val="single"/>
        </w:rPr>
        <w:t xml:space="preserve"> plazmakoncentrációját: </w:t>
      </w:r>
    </w:p>
    <w:p w14:paraId="1E9275EB" w14:textId="5082B36D" w:rsidR="00FE5992" w:rsidRPr="00D045B3" w:rsidRDefault="00FE5992" w:rsidP="00BC4F3D">
      <w:pPr>
        <w:pStyle w:val="KeinLeerraum"/>
        <w:rPr>
          <w:rFonts w:ascii="Times New Roman" w:hAnsi="Times New Roman"/>
        </w:rPr>
      </w:pPr>
      <w:r w:rsidRPr="00D045B3">
        <w:rPr>
          <w:rFonts w:ascii="Times New Roman" w:hAnsi="Times New Roman"/>
        </w:rPr>
        <w:t xml:space="preserve">A CYP3A4 aktivitását indukáló anyagok (pl. dexametazon, fenitoin, karbamazepin, rifampicin, fenobarbitál, foszfenitoin, primidon vagy a </w:t>
      </w:r>
      <w:r w:rsidRPr="00D045B3">
        <w:rPr>
          <w:rFonts w:ascii="Times New Roman" w:hAnsi="Times New Roman"/>
          <w:i/>
          <w:iCs/>
        </w:rPr>
        <w:t xml:space="preserve">Hypericum perforatum </w:t>
      </w:r>
      <w:r w:rsidRPr="00D045B3">
        <w:rPr>
          <w:rFonts w:ascii="Times New Roman" w:hAnsi="Times New Roman"/>
        </w:rPr>
        <w:t>[</w:t>
      </w:r>
      <w:r w:rsidR="00555616" w:rsidRPr="00D045B3">
        <w:rPr>
          <w:rFonts w:ascii="Times New Roman" w:hAnsi="Times New Roman"/>
        </w:rPr>
        <w:t xml:space="preserve">közönséges </w:t>
      </w:r>
      <w:r w:rsidRPr="00D045B3">
        <w:rPr>
          <w:rFonts w:ascii="Times New Roman" w:hAnsi="Times New Roman"/>
        </w:rPr>
        <w:t>orbáncfű]) szignifikáns mértékben csökkenthetik az imatinib expozíciót, potenciálisan növelve a terápia sikertelenségének lehetőségét. 600 mg</w:t>
      </w:r>
      <w:r w:rsidRPr="00D045B3">
        <w:rPr>
          <w:rFonts w:ascii="Times New Roman" w:hAnsi="Times New Roman"/>
        </w:rPr>
        <w:noBreakHyphen/>
        <w:t>os, ismételt dózisú rifampicin előkezelést követő egyszeri 400 mg imatinib bevétele a C</w:t>
      </w:r>
      <w:r w:rsidRPr="00D045B3">
        <w:rPr>
          <w:rFonts w:ascii="Times New Roman" w:hAnsi="Times New Roman"/>
          <w:vertAlign w:val="subscript"/>
        </w:rPr>
        <w:t>max</w:t>
      </w:r>
      <w:r w:rsidRPr="00D045B3">
        <w:rPr>
          <w:rFonts w:ascii="Times New Roman" w:hAnsi="Times New Roman"/>
        </w:rPr>
        <w:noBreakHyphen/>
        <w:t>, valamint az AUC</w:t>
      </w:r>
      <w:r w:rsidRPr="00D045B3">
        <w:rPr>
          <w:rFonts w:ascii="Times New Roman" w:hAnsi="Times New Roman"/>
          <w:vertAlign w:val="subscript"/>
        </w:rPr>
        <w:t>0-∞</w:t>
      </w:r>
      <w:r w:rsidRPr="00D045B3">
        <w:rPr>
          <w:rFonts w:ascii="Times New Roman" w:hAnsi="Times New Roman"/>
        </w:rPr>
        <w:noBreakHyphen/>
        <w:t>értékeiben sorrendben legalább 54%, ill. 74%</w:t>
      </w:r>
      <w:r w:rsidRPr="00D045B3">
        <w:rPr>
          <w:rFonts w:ascii="Times New Roman" w:hAnsi="Times New Roman"/>
        </w:rPr>
        <w:noBreakHyphen/>
        <w:t>os csökkenést okozott a rifampicin nélküli kezeléshez képest. Hasonló eredményeket figyeltek meg azoknál a malignus gliómában szenvedő, imatinibbel kezelt betegeknél, akik egyidejűleg enzimindukáló antiepileptikum (pl. karbamazepin, oxkarbazepin, fenitoin) kezelésben részesültek. Az imatinib plazma AUC</w:t>
      </w:r>
      <w:r w:rsidRPr="00D045B3">
        <w:rPr>
          <w:rFonts w:ascii="Times New Roman" w:hAnsi="Times New Roman"/>
        </w:rPr>
        <w:noBreakHyphen/>
        <w:t>értéke 73%</w:t>
      </w:r>
      <w:r w:rsidRPr="00D045B3">
        <w:rPr>
          <w:rFonts w:ascii="Times New Roman" w:hAnsi="Times New Roman"/>
        </w:rPr>
        <w:noBreakHyphen/>
        <w:t xml:space="preserve">kal csökkent az enzimindukáló antiepileptikumot nem szedő betegekhez képest. Rifampicin vagy más erős CYP3A4 induktor és imatinib egyidejű adása kerülendő. </w:t>
      </w:r>
    </w:p>
    <w:p w14:paraId="1E9275EC" w14:textId="77777777" w:rsidR="00FE5992" w:rsidRPr="00D045B3" w:rsidRDefault="00FE5992" w:rsidP="00FE5992">
      <w:pPr>
        <w:pStyle w:val="KeinLeerraum"/>
        <w:rPr>
          <w:rFonts w:ascii="Times New Roman" w:hAnsi="Times New Roman"/>
        </w:rPr>
      </w:pPr>
    </w:p>
    <w:p w14:paraId="1E9275ED"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Hatóanyagok, melyek plazmakoncentrációját az imatinib megváltoztathatja </w:t>
      </w:r>
    </w:p>
    <w:p w14:paraId="1E9275EE" w14:textId="77777777" w:rsidR="00FE5992" w:rsidRPr="00D045B3" w:rsidRDefault="00FE5992" w:rsidP="00BC4F3D">
      <w:pPr>
        <w:pStyle w:val="KeinLeerraum"/>
        <w:rPr>
          <w:rFonts w:ascii="Times New Roman" w:hAnsi="Times New Roman"/>
        </w:rPr>
      </w:pPr>
      <w:r w:rsidRPr="00D045B3">
        <w:rPr>
          <w:rFonts w:ascii="Times New Roman" w:hAnsi="Times New Roman"/>
        </w:rPr>
        <w:t>Az imatinib a szimvasztatin (CYP3A4 szubsztrát) átlagos C</w:t>
      </w:r>
      <w:r w:rsidRPr="00D045B3">
        <w:rPr>
          <w:rFonts w:ascii="Times New Roman" w:hAnsi="Times New Roman"/>
          <w:vertAlign w:val="subscript"/>
        </w:rPr>
        <w:t>max</w:t>
      </w:r>
      <w:r w:rsidRPr="00D045B3">
        <w:rPr>
          <w:rFonts w:ascii="Times New Roman" w:hAnsi="Times New Roman"/>
        </w:rPr>
        <w:noBreakHyphen/>
        <w:t>, ill. AUC</w:t>
      </w:r>
      <w:r w:rsidRPr="00D045B3">
        <w:rPr>
          <w:rFonts w:ascii="Times New Roman" w:hAnsi="Times New Roman"/>
        </w:rPr>
        <w:noBreakHyphen/>
        <w:t>értékét sorrendben 2</w:t>
      </w:r>
      <w:r w:rsidRPr="00D045B3">
        <w:rPr>
          <w:rFonts w:ascii="Times New Roman" w:hAnsi="Times New Roman"/>
        </w:rPr>
        <w:noBreakHyphen/>
        <w:t>, ill. 3,5</w:t>
      </w:r>
      <w:r w:rsidRPr="00D045B3">
        <w:rPr>
          <w:rFonts w:ascii="Times New Roman" w:hAnsi="Times New Roman"/>
        </w:rPr>
        <w:noBreakHyphen/>
        <w:t>szeresére növeli, ami arra utal, hogy az imatinib gátolja a CYP3A4 izoenzim aktivitását. Ezért óvatosság ajánlott, amikor az imatinibet szűk terápiás tartományú CYP3A4 szubsztrátokkal (pl.ciklosporin, pimozid, takrolimusz, szirolimusz, ergotamin, diergotamin, fentanil, alfentanil, terfenadin, bortezomib, docetaxel és kinidin) adják együtt. Az imatinib növelheti az egyéb, CYP3A4 enzimrendszeren keresztül metabolizálódó gyógyszerek (pl. triazolo</w:t>
      </w:r>
      <w:r w:rsidRPr="00D045B3">
        <w:rPr>
          <w:rFonts w:ascii="Times New Roman" w:hAnsi="Times New Roman"/>
        </w:rPr>
        <w:noBreakHyphen/>
        <w:t>benzodiazepinek, dihidropiridin kalciumcsatorna</w:t>
      </w:r>
      <w:r w:rsidRPr="00D045B3">
        <w:rPr>
          <w:rFonts w:ascii="Times New Roman" w:hAnsi="Times New Roman"/>
        </w:rPr>
        <w:noBreakHyphen/>
        <w:t>blokkolók, egyes HMG</w:t>
      </w:r>
      <w:r w:rsidRPr="00D045B3">
        <w:rPr>
          <w:rFonts w:ascii="Times New Roman" w:hAnsi="Times New Roman"/>
        </w:rPr>
        <w:noBreakHyphen/>
        <w:t>CoA</w:t>
      </w:r>
      <w:r w:rsidRPr="00D045B3">
        <w:rPr>
          <w:rFonts w:ascii="Times New Roman" w:hAnsi="Times New Roman"/>
        </w:rPr>
        <w:noBreakHyphen/>
        <w:t>reduktáz</w:t>
      </w:r>
      <w:r w:rsidRPr="00D045B3">
        <w:rPr>
          <w:rFonts w:ascii="Times New Roman" w:hAnsi="Times New Roman"/>
        </w:rPr>
        <w:noBreakHyphen/>
        <w:t xml:space="preserve">inhibitorok, pl. sztatinok stb.) plazmaszintjét. </w:t>
      </w:r>
    </w:p>
    <w:p w14:paraId="1E9275EF" w14:textId="77777777" w:rsidR="00FE5992" w:rsidRPr="00D045B3" w:rsidRDefault="00FE5992" w:rsidP="00FE5992">
      <w:pPr>
        <w:pStyle w:val="KeinLeerraum"/>
        <w:rPr>
          <w:rFonts w:ascii="Times New Roman" w:hAnsi="Times New Roman"/>
        </w:rPr>
      </w:pPr>
    </w:p>
    <w:p w14:paraId="1E9275F0"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Az imatinib alkalmazásával összefüggő fokozott vérzési (pl. haemorrhagiás) kockázat miatt az antikoaguláns kezelésre szoruló betegeknek kis molekulatömegű vagy standard heparint kell kapniuk az olyan kumarinszármazékok helyett, mint amilyen a warfarin. </w:t>
      </w:r>
    </w:p>
    <w:p w14:paraId="1E9275F1" w14:textId="77777777" w:rsidR="00FE5992" w:rsidRPr="00D045B3" w:rsidRDefault="00FE5992" w:rsidP="00FE5992">
      <w:pPr>
        <w:pStyle w:val="KeinLeerraum"/>
        <w:rPr>
          <w:rFonts w:ascii="Times New Roman" w:hAnsi="Times New Roman"/>
          <w:i/>
          <w:iCs/>
        </w:rPr>
      </w:pPr>
    </w:p>
    <w:p w14:paraId="1E9275F2" w14:textId="77777777" w:rsidR="00FE5992" w:rsidRPr="00D045B3" w:rsidRDefault="00FE5992" w:rsidP="00FE5992">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az imatinib a CYP3A4 működést befolyásoló koncentrációhoz hasonló koncentrációban gátolja a citokróm P450 CYP2D6 izoenzim aktivitását. Az imatinib napi 2</w:t>
      </w:r>
      <w:r w:rsidRPr="00D045B3">
        <w:t> × </w:t>
      </w:r>
      <w:r w:rsidRPr="00D045B3">
        <w:rPr>
          <w:rFonts w:ascii="Times New Roman" w:hAnsi="Times New Roman"/>
        </w:rPr>
        <w:t>400 mg dózisban gátló hatást gyakorolt a metoprolol CYP2D6 által mediált metabolizmusára, melynek következtében a metoprolol C</w:t>
      </w:r>
      <w:r w:rsidRPr="00D045B3">
        <w:rPr>
          <w:rFonts w:ascii="Times New Roman" w:hAnsi="Times New Roman"/>
          <w:vertAlign w:val="subscript"/>
        </w:rPr>
        <w:t>max</w:t>
      </w:r>
      <w:r w:rsidRPr="00D045B3">
        <w:rPr>
          <w:rFonts w:ascii="Times New Roman" w:hAnsi="Times New Roman"/>
        </w:rPr>
        <w:noBreakHyphen/>
        <w:t xml:space="preserve"> és AUC</w:t>
      </w:r>
      <w:r w:rsidRPr="00D045B3">
        <w:rPr>
          <w:rFonts w:ascii="Times New Roman" w:hAnsi="Times New Roman"/>
        </w:rPr>
        <w:noBreakHyphen/>
        <w:t>értékei körülbelül 23%</w:t>
      </w:r>
      <w:r w:rsidRPr="00D045B3">
        <w:rPr>
          <w:rFonts w:ascii="Times New Roman" w:hAnsi="Times New Roman"/>
        </w:rPr>
        <w:noBreakHyphen/>
        <w:t>kal növekedtek (90%CI [1,16</w:t>
      </w:r>
      <w:r w:rsidRPr="00D045B3">
        <w:rPr>
          <w:rFonts w:ascii="Times New Roman" w:hAnsi="Times New Roman"/>
        </w:rPr>
        <w:noBreakHyphen/>
        <w:t xml:space="preserve">1,30]). Úgy tűnik, hogy az imatinib és a CYP2D6 szubsztrátok egyidejű alkalmazása esetén nincs szükség dózismódosításra, azonban óvatosság javasolt a szűk terápiás tartományú CYP2D6 szubsztrátok (pl. metoprolol) esetén. Metoprolollal kezelt betegeknél megfontolandó a rendszeres klinikai ellenőrzés. </w:t>
      </w:r>
    </w:p>
    <w:p w14:paraId="1E9275F3" w14:textId="77777777" w:rsidR="00FE5992" w:rsidRPr="00D045B3" w:rsidRDefault="00FE5992" w:rsidP="00FE5992">
      <w:pPr>
        <w:pStyle w:val="KeinLeerraum"/>
        <w:rPr>
          <w:rFonts w:ascii="Times New Roman" w:hAnsi="Times New Roman"/>
        </w:rPr>
      </w:pPr>
    </w:p>
    <w:p w14:paraId="1E9275F4" w14:textId="412A40DA" w:rsidR="00FE5992" w:rsidRPr="00D045B3" w:rsidRDefault="00FE5992" w:rsidP="00FE5992">
      <w:pPr>
        <w:pStyle w:val="KeinLeerraum"/>
        <w:rPr>
          <w:rFonts w:ascii="Times New Roman" w:hAnsi="Times New Roman"/>
        </w:rPr>
      </w:pPr>
      <w:r w:rsidRPr="00D045B3">
        <w:rPr>
          <w:rFonts w:ascii="Times New Roman" w:hAnsi="Times New Roman"/>
        </w:rPr>
        <w:t xml:space="preserve">Az imatinib </w:t>
      </w:r>
      <w:r w:rsidRPr="00D045B3">
        <w:rPr>
          <w:rFonts w:ascii="Times New Roman" w:hAnsi="Times New Roman"/>
          <w:i/>
          <w:iCs/>
        </w:rPr>
        <w:t xml:space="preserve">in vitro </w:t>
      </w:r>
      <w:r w:rsidRPr="00D045B3">
        <w:rPr>
          <w:rFonts w:ascii="Times New Roman" w:hAnsi="Times New Roman"/>
        </w:rPr>
        <w:t>gátolja a paracetamol O</w:t>
      </w:r>
      <w:r w:rsidRPr="00D045B3">
        <w:rPr>
          <w:rFonts w:ascii="Times New Roman" w:hAnsi="Times New Roman"/>
        </w:rPr>
        <w:noBreakHyphen/>
        <w:t>glukuronidációját 58,5 mikromol/l Ki</w:t>
      </w:r>
      <w:r w:rsidRPr="00D045B3">
        <w:rPr>
          <w:rFonts w:ascii="Times New Roman" w:hAnsi="Times New Roman"/>
        </w:rPr>
        <w:noBreakHyphen/>
        <w:t xml:space="preserve">érték mellett. Ez a gátló hatás </w:t>
      </w:r>
      <w:r w:rsidRPr="00D045B3">
        <w:rPr>
          <w:rFonts w:ascii="Times New Roman" w:hAnsi="Times New Roman"/>
          <w:i/>
          <w:iCs/>
        </w:rPr>
        <w:t>in vivo</w:t>
      </w:r>
      <w:r w:rsidRPr="00D045B3">
        <w:rPr>
          <w:rFonts w:ascii="Times New Roman" w:hAnsi="Times New Roman"/>
        </w:rPr>
        <w:t>, 400 mg imatinib és 1000 mg paracetamol beadása után nem volt tapasztalható. Magasabb imatinib</w:t>
      </w:r>
      <w:r w:rsidR="00555616" w:rsidRPr="00D045B3">
        <w:rPr>
          <w:rFonts w:ascii="Times New Roman" w:hAnsi="Times New Roman"/>
        </w:rPr>
        <w:t>-</w:t>
      </w:r>
      <w:r w:rsidRPr="00D045B3">
        <w:rPr>
          <w:rFonts w:ascii="Times New Roman" w:hAnsi="Times New Roman"/>
        </w:rPr>
        <w:t xml:space="preserve"> és paracetamol dózis egyidejű alkalmazását nem vizsgálták. </w:t>
      </w:r>
    </w:p>
    <w:p w14:paraId="1E9275F5" w14:textId="77777777" w:rsidR="00FE5992" w:rsidRPr="00D045B3" w:rsidRDefault="00FE5992" w:rsidP="00FE5992">
      <w:pPr>
        <w:pStyle w:val="KeinLeerraum"/>
        <w:rPr>
          <w:rFonts w:ascii="Times New Roman" w:hAnsi="Times New Roman"/>
        </w:rPr>
      </w:pPr>
    </w:p>
    <w:p w14:paraId="1E9275F6"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Ezért imatinib és paracetamol egyidejű, nagy dózisokban történő alkalmazása során óvatosságra van szükség. </w:t>
      </w:r>
    </w:p>
    <w:p w14:paraId="1E9275F7" w14:textId="77777777" w:rsidR="00FE5992" w:rsidRPr="00D045B3" w:rsidRDefault="00FE5992" w:rsidP="00FE5992">
      <w:pPr>
        <w:pStyle w:val="KeinLeerraum"/>
        <w:rPr>
          <w:rFonts w:ascii="Times New Roman" w:hAnsi="Times New Roman"/>
        </w:rPr>
      </w:pPr>
    </w:p>
    <w:p w14:paraId="1E9275F8"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Levotiroxin kezelésben részesülő, thyreoidectomián átesett betegeknél imatinib egyidejű alkalmazása esetén a levotiroxin plazma expozíciója csökkenhet (lásd 4.4 pont). Ezért ilyen esetben óvatosság javasolt. A megfigyelt interakció mechanizmusa azonban jelenleg nem ismert. </w:t>
      </w:r>
    </w:p>
    <w:p w14:paraId="1E9275F9" w14:textId="77777777" w:rsidR="00FE5992" w:rsidRPr="00D045B3" w:rsidRDefault="00FE5992" w:rsidP="00FE5992">
      <w:pPr>
        <w:pStyle w:val="KeinLeerraum"/>
        <w:rPr>
          <w:rFonts w:ascii="Times New Roman" w:hAnsi="Times New Roman"/>
        </w:rPr>
      </w:pPr>
    </w:p>
    <w:p w14:paraId="1E9275FA" w14:textId="77777777" w:rsidR="00FE5992" w:rsidRPr="00D045B3" w:rsidRDefault="00FE5992" w:rsidP="00FE5992">
      <w:pPr>
        <w:pStyle w:val="KeinLeerraum"/>
        <w:rPr>
          <w:rFonts w:ascii="Times New Roman" w:hAnsi="Times New Roman"/>
        </w:rPr>
      </w:pPr>
      <w:r w:rsidRPr="00D045B3">
        <w:rPr>
          <w:rFonts w:ascii="Times New Roman" w:hAnsi="Times New Roman"/>
        </w:rPr>
        <w:t>Ph+ ALL</w:t>
      </w:r>
      <w:r w:rsidRPr="00D045B3">
        <w:rPr>
          <w:rFonts w:ascii="Times New Roman" w:hAnsi="Times New Roman"/>
        </w:rPr>
        <w:noBreakHyphen/>
        <w:t>es betegek esetében rendelkezésre áll az imatinib kemoterápiával történő egyidejű alkalmazására vonatkozó klinikai tapasztalat (lásd 5.1 pont), bár az imatinib és a kemoterápiás szerek közötti gyógyszerkölcsönhatást még nem határozták meg pontosan. Az imatinib által kiváltott mellékhatások (pl. hepatotoxicitás, myelosuppressio, stb) előfordulási gyakorisága megnövekedhet, valamint beszámoltak arról, hogy az imatinib L</w:t>
      </w:r>
      <w:r w:rsidRPr="00D045B3">
        <w:rPr>
          <w:rFonts w:ascii="Times New Roman" w:hAnsi="Times New Roman"/>
        </w:rPr>
        <w:noBreakHyphen/>
        <w:t xml:space="preserve">aszparaginázzal történő egyidejű alkalmazása fokozott hepatotoxicitással járhat (lásd 4.8 pont). Ezért az imatinib kombinációban történő alkalmazása fokozott körültekintést igényel. </w:t>
      </w:r>
    </w:p>
    <w:p w14:paraId="1E9275FB" w14:textId="77777777" w:rsidR="00FE5992" w:rsidRPr="00D045B3" w:rsidRDefault="00FE5992" w:rsidP="00FE5992">
      <w:pPr>
        <w:pStyle w:val="KeinLeerraum"/>
        <w:rPr>
          <w:rFonts w:ascii="Times New Roman" w:hAnsi="Times New Roman"/>
          <w:b/>
        </w:rPr>
      </w:pPr>
    </w:p>
    <w:p w14:paraId="1E9275FC"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4.6</w:t>
      </w:r>
      <w:r w:rsidRPr="00D045B3">
        <w:rPr>
          <w:rFonts w:ascii="Times New Roman" w:hAnsi="Times New Roman"/>
          <w:b/>
        </w:rPr>
        <w:tab/>
        <w:t xml:space="preserve">Termékenység, terhesség és szoptatás </w:t>
      </w:r>
    </w:p>
    <w:p w14:paraId="1E9275FD" w14:textId="77777777" w:rsidR="00FE5992" w:rsidRPr="00D045B3" w:rsidRDefault="00FE5992" w:rsidP="00FE5992">
      <w:pPr>
        <w:pStyle w:val="KeinLeerraum"/>
        <w:keepNext/>
        <w:rPr>
          <w:rFonts w:ascii="Times New Roman" w:hAnsi="Times New Roman"/>
        </w:rPr>
      </w:pPr>
    </w:p>
    <w:p w14:paraId="1E9275FE" w14:textId="77777777" w:rsidR="00FE5992" w:rsidRPr="00D045B3" w:rsidRDefault="00FE5992" w:rsidP="00CA41FD">
      <w:pPr>
        <w:pStyle w:val="KeinLeerraum"/>
        <w:keepNext/>
        <w:rPr>
          <w:rFonts w:ascii="Times New Roman" w:hAnsi="Times New Roman"/>
          <w:u w:val="single"/>
        </w:rPr>
      </w:pPr>
      <w:r w:rsidRPr="00D045B3">
        <w:rPr>
          <w:rFonts w:ascii="Times New Roman" w:hAnsi="Times New Roman"/>
          <w:u w:val="single"/>
        </w:rPr>
        <w:t>Fogamzóképes korú nők</w:t>
      </w:r>
    </w:p>
    <w:p w14:paraId="1E9275FF" w14:textId="25EB94FB" w:rsidR="00FE5992" w:rsidRPr="00D045B3" w:rsidRDefault="00FE5992" w:rsidP="00FE5992">
      <w:pPr>
        <w:pStyle w:val="KeinLeerraum"/>
        <w:rPr>
          <w:rFonts w:ascii="Times New Roman" w:hAnsi="Times New Roman"/>
        </w:rPr>
      </w:pPr>
      <w:r w:rsidRPr="00D045B3">
        <w:rPr>
          <w:rFonts w:ascii="Times New Roman" w:hAnsi="Times New Roman"/>
        </w:rPr>
        <w:t>A fogamzóképes korban lévő nőknek azt kell javasolni, hogy alkalmazzanak hatékony fogamzásgátlást a kezelés ideje alatt</w:t>
      </w:r>
      <w:r w:rsidR="004143A4" w:rsidRPr="00D045B3">
        <w:rPr>
          <w:rFonts w:ascii="Times New Roman" w:hAnsi="Times New Roman"/>
        </w:rPr>
        <w:t>, és még legalább 15 napig az Imatinib Actavis-kezelés befejezését követően</w:t>
      </w:r>
      <w:r w:rsidRPr="00D045B3">
        <w:rPr>
          <w:rFonts w:ascii="Times New Roman" w:hAnsi="Times New Roman"/>
        </w:rPr>
        <w:t xml:space="preserve">. </w:t>
      </w:r>
    </w:p>
    <w:p w14:paraId="1E927600" w14:textId="77777777" w:rsidR="00FE5992" w:rsidRPr="00D045B3" w:rsidRDefault="00FE5992" w:rsidP="00BC4F3D">
      <w:pPr>
        <w:pStyle w:val="KeinLeerraum"/>
        <w:rPr>
          <w:rFonts w:ascii="Times New Roman" w:hAnsi="Times New Roman"/>
        </w:rPr>
      </w:pPr>
    </w:p>
    <w:p w14:paraId="1E927601"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Terhesség </w:t>
      </w:r>
    </w:p>
    <w:p w14:paraId="1E927602" w14:textId="5FD87451" w:rsidR="00FE5992" w:rsidRPr="00D045B3" w:rsidRDefault="00FE5992" w:rsidP="00C137EF">
      <w:pPr>
        <w:pStyle w:val="KeinLeerraum"/>
        <w:rPr>
          <w:rFonts w:ascii="Times New Roman" w:hAnsi="Times New Roman"/>
        </w:rPr>
      </w:pPr>
      <w:r w:rsidRPr="00D045B3">
        <w:rPr>
          <w:rFonts w:ascii="Times New Roman" w:hAnsi="Times New Roman"/>
        </w:rPr>
        <w:t xml:space="preserve">Az imatinib terhes nőknél történő alkalmazása tekintetében korlátozott mennyiségű információ áll rendelkezésre. </w:t>
      </w:r>
      <w:r w:rsidR="00555616" w:rsidRPr="00D045B3">
        <w:rPr>
          <w:rFonts w:ascii="Times New Roman" w:hAnsi="Times New Roman"/>
        </w:rPr>
        <w:t>I</w:t>
      </w:r>
      <w:r w:rsidR="00CE4874" w:rsidRPr="00D045B3">
        <w:rPr>
          <w:rFonts w:ascii="Times New Roman" w:hAnsi="Times New Roman"/>
        </w:rPr>
        <w:t>matinibet szedő nők</w:t>
      </w:r>
      <w:r w:rsidR="00555616" w:rsidRPr="00D045B3">
        <w:rPr>
          <w:rFonts w:ascii="Times New Roman" w:hAnsi="Times New Roman"/>
        </w:rPr>
        <w:t xml:space="preserve"> </w:t>
      </w:r>
      <w:r w:rsidR="00C137EF" w:rsidRPr="00D045B3">
        <w:rPr>
          <w:rFonts w:ascii="Times New Roman" w:hAnsi="Times New Roman"/>
        </w:rPr>
        <w:t>esetében</w:t>
      </w:r>
      <w:r w:rsidR="00555616" w:rsidRPr="00D045B3">
        <w:rPr>
          <w:rFonts w:ascii="Times New Roman" w:hAnsi="Times New Roman"/>
        </w:rPr>
        <w:t xml:space="preserve"> a forgalomba hoztatalt követően beszámoltak</w:t>
      </w:r>
      <w:r w:rsidR="00CE4874" w:rsidRPr="00D045B3">
        <w:rPr>
          <w:rFonts w:ascii="Times New Roman" w:hAnsi="Times New Roman"/>
        </w:rPr>
        <w:t xml:space="preserve"> spontán abortuszról és fejlődési rendellenességekkel született </w:t>
      </w:r>
      <w:r w:rsidR="00555616" w:rsidRPr="00D045B3">
        <w:rPr>
          <w:rFonts w:ascii="Times New Roman" w:hAnsi="Times New Roman"/>
        </w:rPr>
        <w:t>újszülöttekről</w:t>
      </w:r>
      <w:r w:rsidR="00CE4874" w:rsidRPr="00D045B3">
        <w:rPr>
          <w:rFonts w:ascii="Times New Roman" w:hAnsi="Times New Roman"/>
        </w:rPr>
        <w:t xml:space="preserve">. </w:t>
      </w:r>
      <w:r w:rsidR="00555616" w:rsidRPr="00D045B3">
        <w:rPr>
          <w:rFonts w:ascii="Times New Roman" w:hAnsi="Times New Roman"/>
        </w:rPr>
        <w:t>Továbbá</w:t>
      </w:r>
      <w:r w:rsidRPr="00D045B3">
        <w:rPr>
          <w:rFonts w:ascii="Times New Roman" w:hAnsi="Times New Roman"/>
        </w:rPr>
        <w:t xml:space="preserve">, az állatkísérletek során reproduktív toxicitást igazoltak (lásd 5.3 pont), továbbá a magzatra gyakorolt potenciális </w:t>
      </w:r>
      <w:r w:rsidR="00555616" w:rsidRPr="00D045B3">
        <w:rPr>
          <w:rFonts w:ascii="Times New Roman" w:hAnsi="Times New Roman"/>
        </w:rPr>
        <w:t xml:space="preserve">kockázat </w:t>
      </w:r>
      <w:r w:rsidRPr="00D045B3">
        <w:rPr>
          <w:rFonts w:ascii="Times New Roman" w:hAnsi="Times New Roman"/>
        </w:rPr>
        <w:t>nem ismert. Az imatinib nem alkalmazható a terhesség alatt, kivéve, ha erre egyértelműen szükség van. Amennyiben terhesség során alkalmazzák, a beteg</w:t>
      </w:r>
      <w:r w:rsidR="00555616" w:rsidRPr="00D045B3">
        <w:rPr>
          <w:rFonts w:ascii="Times New Roman" w:hAnsi="Times New Roman"/>
        </w:rPr>
        <w:t>et tájékoztatni</w:t>
      </w:r>
      <w:r w:rsidRPr="00D045B3">
        <w:rPr>
          <w:rFonts w:ascii="Times New Roman" w:hAnsi="Times New Roman"/>
        </w:rPr>
        <w:t xml:space="preserve"> kell a foetusra gyakorolt potenciális kockázat</w:t>
      </w:r>
      <w:r w:rsidR="00555616" w:rsidRPr="00D045B3">
        <w:rPr>
          <w:rFonts w:ascii="Times New Roman" w:hAnsi="Times New Roman"/>
        </w:rPr>
        <w:t>ról</w:t>
      </w:r>
      <w:r w:rsidRPr="00D045B3">
        <w:rPr>
          <w:rFonts w:ascii="Times New Roman" w:hAnsi="Times New Roman"/>
        </w:rPr>
        <w:t>.</w:t>
      </w:r>
    </w:p>
    <w:p w14:paraId="1E927603" w14:textId="77777777" w:rsidR="00FE5992" w:rsidRPr="00D045B3" w:rsidRDefault="00FE5992" w:rsidP="00FE5992">
      <w:pPr>
        <w:pStyle w:val="KeinLeerraum"/>
        <w:rPr>
          <w:rFonts w:ascii="Times New Roman" w:hAnsi="Times New Roman"/>
        </w:rPr>
      </w:pPr>
    </w:p>
    <w:p w14:paraId="1E927604"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Szoptatás </w:t>
      </w:r>
    </w:p>
    <w:p w14:paraId="1E927605" w14:textId="0DF32CCF" w:rsidR="00FE5992" w:rsidRPr="00D045B3" w:rsidRDefault="00FE5992" w:rsidP="00CA41FD">
      <w:pPr>
        <w:pStyle w:val="KeinLeerraum"/>
        <w:rPr>
          <w:rFonts w:ascii="Times New Roman" w:hAnsi="Times New Roman"/>
        </w:rPr>
      </w:pPr>
      <w:r w:rsidRPr="00D045B3">
        <w:rPr>
          <w:rFonts w:ascii="Times New Roman" w:hAnsi="Times New Roman"/>
        </w:rPr>
        <w:t>Korlátozott információ áll rendelkezésre arról, hogy az imatinib bejut</w:t>
      </w:r>
      <w:r w:rsidRPr="00D045B3">
        <w:rPr>
          <w:rFonts w:ascii="Times New Roman" w:hAnsi="Times New Roman"/>
        </w:rPr>
        <w:noBreakHyphen/>
        <w:t>e az emberi anyatejbe. Két szoptató nő bevonásával végzett vizsgálatban kimutatták, hogy mind az imatinib, mind annak aktív metabolitja bejuthat az emberi anyatejbe. A meghatározott tej – plazma arány - melyet egyetlen betegnél vizsgáltak – 0,5 volt az imatinibre és 0,9 a metabolitra vonatkozóan, ami arra utal, hogy a metabolit nagyobb mértékben jut be a tejbe. Tekintettel az imatinib és a metabolit együttes koncentrációjára és a csecsemők napi maximális tejfogyasztására, a teljes expozíció várhatóan alacsony lesz (a terápiás dózis kb. 10%</w:t>
      </w:r>
      <w:r w:rsidRPr="00D045B3">
        <w:rPr>
          <w:rFonts w:ascii="Times New Roman" w:hAnsi="Times New Roman"/>
        </w:rPr>
        <w:noBreakHyphen/>
        <w:t xml:space="preserve">a). Mivel azonban a csecsemőket érő alacsony dózisú imatinib expozíció hatása nem ismert, az </w:t>
      </w:r>
      <w:r w:rsidR="0098458C" w:rsidRPr="00F67173">
        <w:rPr>
          <w:rFonts w:ascii="Times New Roman" w:hAnsi="Times New Roman"/>
        </w:rPr>
        <w:t>any</w:t>
      </w:r>
      <w:r w:rsidR="00565B6E" w:rsidRPr="00D045B3">
        <w:rPr>
          <w:rFonts w:ascii="Times New Roman" w:hAnsi="Times New Roman"/>
        </w:rPr>
        <w:t>a a kezelés alatt és az Imatinib Actavis</w:t>
      </w:r>
      <w:r w:rsidR="0098458C" w:rsidRPr="00F67173">
        <w:rPr>
          <w:rFonts w:ascii="Times New Roman" w:hAnsi="Times New Roman"/>
        </w:rPr>
        <w:t>-kezelés befej</w:t>
      </w:r>
      <w:r w:rsidR="00371E88" w:rsidRPr="00D045B3">
        <w:rPr>
          <w:rFonts w:ascii="Times New Roman" w:hAnsi="Times New Roman"/>
        </w:rPr>
        <w:t>ezését követően még legalább 15 </w:t>
      </w:r>
      <w:r w:rsidR="0098458C" w:rsidRPr="00F67173">
        <w:rPr>
          <w:rFonts w:ascii="Times New Roman" w:hAnsi="Times New Roman"/>
        </w:rPr>
        <w:t>napig nem szoptathat</w:t>
      </w:r>
      <w:r w:rsidRPr="00D045B3">
        <w:rPr>
          <w:rFonts w:ascii="Times New Roman" w:hAnsi="Times New Roman"/>
        </w:rPr>
        <w:t xml:space="preserve">. </w:t>
      </w:r>
    </w:p>
    <w:p w14:paraId="1E927606" w14:textId="77777777" w:rsidR="00FE5992" w:rsidRPr="00D045B3" w:rsidRDefault="00FE5992" w:rsidP="00FE5992">
      <w:pPr>
        <w:pStyle w:val="KeinLeerraum"/>
        <w:rPr>
          <w:rFonts w:ascii="Times New Roman" w:hAnsi="Times New Roman"/>
        </w:rPr>
      </w:pPr>
    </w:p>
    <w:p w14:paraId="1E927607"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 xml:space="preserve">Termékenység </w:t>
      </w:r>
    </w:p>
    <w:p w14:paraId="1E927608" w14:textId="26D213CE" w:rsidR="00FE5992" w:rsidRPr="00D045B3" w:rsidRDefault="00FE5992" w:rsidP="00CA41FD">
      <w:pPr>
        <w:pStyle w:val="KeinLeerraum"/>
        <w:rPr>
          <w:rFonts w:ascii="Times New Roman" w:hAnsi="Times New Roman"/>
        </w:rPr>
      </w:pPr>
      <w:r w:rsidRPr="00D045B3">
        <w:rPr>
          <w:rFonts w:ascii="Times New Roman" w:hAnsi="Times New Roman"/>
        </w:rPr>
        <w:t>Nem klinikai vizsgálatokban a hím és nőstény patkányok termékenységét a gyógyszer nem befolyásolta</w:t>
      </w:r>
      <w:r w:rsidR="0098458C" w:rsidRPr="00D045B3">
        <w:rPr>
          <w:rFonts w:ascii="Times New Roman" w:hAnsi="Times New Roman"/>
        </w:rPr>
        <w:t>, bár tapasztaltak a reproduktív paraméterekre kifejtett hatásokat</w:t>
      </w:r>
      <w:r w:rsidRPr="00D045B3">
        <w:rPr>
          <w:rFonts w:ascii="Times New Roman" w:hAnsi="Times New Roman"/>
        </w:rPr>
        <w:t xml:space="preserve"> (lásd 5.3 pont). Imatinibet szedő betegeknél nem végeztek a fertilitásra és a gametogenesisre gyakorolt hatásokat értékelő vizsgálatokat. Az imatinib</w:t>
      </w:r>
      <w:r w:rsidRPr="00D045B3">
        <w:rPr>
          <w:rFonts w:ascii="Times New Roman" w:hAnsi="Times New Roman"/>
        </w:rPr>
        <w:noBreakHyphen/>
        <w:t xml:space="preserve">kezelést kapó, a termékenységük miatt aggódó betegeknek beszélniük kell kezelőorvosukkal. </w:t>
      </w:r>
    </w:p>
    <w:p w14:paraId="1E927609" w14:textId="77777777" w:rsidR="00FE5992" w:rsidRPr="00D045B3" w:rsidRDefault="00FE5992" w:rsidP="00FE5992">
      <w:pPr>
        <w:pStyle w:val="KeinLeerraum"/>
        <w:keepNext/>
        <w:rPr>
          <w:rFonts w:ascii="Times New Roman" w:hAnsi="Times New Roman"/>
        </w:rPr>
      </w:pPr>
    </w:p>
    <w:p w14:paraId="1E92760A"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4.7</w:t>
      </w:r>
      <w:r w:rsidRPr="00D045B3">
        <w:rPr>
          <w:rFonts w:ascii="Times New Roman" w:hAnsi="Times New Roman"/>
          <w:b/>
        </w:rPr>
        <w:tab/>
        <w:t xml:space="preserve">A készítmény hatásai a gépjárművezetéshez és a gépek kezeléséhez szükséges képességekre </w:t>
      </w:r>
    </w:p>
    <w:p w14:paraId="1E92760B" w14:textId="77777777" w:rsidR="00FE5992" w:rsidRPr="00D045B3" w:rsidRDefault="00FE5992" w:rsidP="00FE5992">
      <w:pPr>
        <w:pStyle w:val="KeinLeerraum"/>
        <w:keepNext/>
        <w:rPr>
          <w:rFonts w:ascii="Times New Roman" w:hAnsi="Times New Roman"/>
        </w:rPr>
      </w:pPr>
    </w:p>
    <w:p w14:paraId="1E92760C" w14:textId="24C65993" w:rsidR="00FE5992" w:rsidRPr="00D045B3" w:rsidRDefault="00FE5992" w:rsidP="00CA41FD">
      <w:pPr>
        <w:pStyle w:val="KeinLeerraum"/>
        <w:rPr>
          <w:rFonts w:ascii="Times New Roman" w:hAnsi="Times New Roman"/>
        </w:rPr>
      </w:pPr>
      <w:r w:rsidRPr="00D045B3">
        <w:rPr>
          <w:rFonts w:ascii="Times New Roman" w:hAnsi="Times New Roman"/>
        </w:rPr>
        <w:t>A betegeket figyelmeztetni kell, hogy az imatinib</w:t>
      </w:r>
      <w:r w:rsidRPr="00D045B3">
        <w:rPr>
          <w:rFonts w:ascii="Times New Roman" w:hAnsi="Times New Roman"/>
        </w:rPr>
        <w:noBreakHyphen/>
        <w:t xml:space="preserve">terápia ideje alatt előfordulhatnak olyan mellékhatások, mint a szédülés, homályos látás és aluszékonyság. Ezért óvatosság javasolt gépjárművezetés és gépkezelés ideje alatt. </w:t>
      </w:r>
    </w:p>
    <w:p w14:paraId="1E92760D" w14:textId="77777777" w:rsidR="00FE5992" w:rsidRPr="00D045B3" w:rsidRDefault="00FE5992" w:rsidP="00FE5992">
      <w:pPr>
        <w:pStyle w:val="KeinLeerraum"/>
        <w:rPr>
          <w:rFonts w:ascii="Times New Roman" w:hAnsi="Times New Roman"/>
        </w:rPr>
      </w:pPr>
    </w:p>
    <w:p w14:paraId="1E92760E"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4.8</w:t>
      </w:r>
      <w:r w:rsidRPr="00D045B3">
        <w:rPr>
          <w:rFonts w:ascii="Times New Roman" w:hAnsi="Times New Roman"/>
          <w:b/>
        </w:rPr>
        <w:tab/>
        <w:t xml:space="preserve">Nemkívánatos hatások, mellékhatások </w:t>
      </w:r>
    </w:p>
    <w:p w14:paraId="1E92760F" w14:textId="77777777" w:rsidR="00FE5992" w:rsidRPr="00D045B3" w:rsidRDefault="00FE5992" w:rsidP="00FE5992">
      <w:pPr>
        <w:pStyle w:val="KeinLeerraum"/>
        <w:keepNext/>
        <w:rPr>
          <w:rFonts w:ascii="Times New Roman" w:hAnsi="Times New Roman"/>
        </w:rPr>
      </w:pPr>
    </w:p>
    <w:p w14:paraId="1E927610"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A biztonságossági profil összefoglalása</w:t>
      </w:r>
    </w:p>
    <w:p w14:paraId="1E927611" w14:textId="4C8A4D0E" w:rsidR="00FE5992" w:rsidRPr="00D045B3" w:rsidRDefault="00FE5992" w:rsidP="00CA41FD">
      <w:pPr>
        <w:pStyle w:val="KeinLeerraum"/>
        <w:rPr>
          <w:rFonts w:ascii="Times New Roman" w:hAnsi="Times New Roman"/>
        </w:rPr>
      </w:pPr>
      <w:r w:rsidRPr="00D045B3">
        <w:rPr>
          <w:rFonts w:ascii="Times New Roman" w:hAnsi="Times New Roman"/>
        </w:rPr>
        <w:t>Az előrehaladott stádiumú rosszindulatú betegségben szenvedő betegekn</w:t>
      </w:r>
      <w:r w:rsidR="00F72425" w:rsidRPr="00D045B3">
        <w:rPr>
          <w:rFonts w:ascii="Times New Roman" w:hAnsi="Times New Roman"/>
        </w:rPr>
        <w:t>él</w:t>
      </w:r>
      <w:r w:rsidRPr="00D045B3">
        <w:rPr>
          <w:rFonts w:ascii="Times New Roman" w:hAnsi="Times New Roman"/>
        </w:rPr>
        <w:t xml:space="preserve"> számos </w:t>
      </w:r>
      <w:r w:rsidR="005C40B6" w:rsidRPr="00D045B3">
        <w:rPr>
          <w:rFonts w:ascii="Times New Roman" w:hAnsi="Times New Roman"/>
        </w:rPr>
        <w:t>olyan</w:t>
      </w:r>
      <w:r w:rsidRPr="00D045B3">
        <w:rPr>
          <w:rFonts w:ascii="Times New Roman" w:hAnsi="Times New Roman"/>
        </w:rPr>
        <w:t xml:space="preserve"> orvosi kezelést igénylő problémája </w:t>
      </w:r>
      <w:r w:rsidR="002274AF" w:rsidRPr="00D045B3">
        <w:rPr>
          <w:rFonts w:ascii="Times New Roman" w:hAnsi="Times New Roman"/>
        </w:rPr>
        <w:t>jelentkezhet</w:t>
      </w:r>
      <w:r w:rsidRPr="00D045B3">
        <w:rPr>
          <w:rFonts w:ascii="Times New Roman" w:hAnsi="Times New Roman"/>
        </w:rPr>
        <w:t xml:space="preserve">, amelyek </w:t>
      </w:r>
      <w:r w:rsidR="002274AF" w:rsidRPr="00D045B3">
        <w:rPr>
          <w:rFonts w:ascii="Times New Roman" w:hAnsi="Times New Roman"/>
        </w:rPr>
        <w:t xml:space="preserve">megtévesztőek lehetnek, illetve </w:t>
      </w:r>
      <w:r w:rsidRPr="00D045B3">
        <w:rPr>
          <w:rFonts w:ascii="Times New Roman" w:hAnsi="Times New Roman"/>
        </w:rPr>
        <w:t>megnehezítik a mellékhatások ok</w:t>
      </w:r>
      <w:r w:rsidRPr="00D045B3">
        <w:rPr>
          <w:rFonts w:ascii="Times New Roman" w:hAnsi="Times New Roman"/>
        </w:rPr>
        <w:noBreakHyphen/>
        <w:t>okozati összefüggéseinek megállapítását, mivel a különböző tünetek</w:t>
      </w:r>
      <w:r w:rsidR="002274AF" w:rsidRPr="00D045B3">
        <w:rPr>
          <w:rFonts w:ascii="Times New Roman" w:hAnsi="Times New Roman"/>
        </w:rPr>
        <w:t>et</w:t>
      </w:r>
      <w:r w:rsidRPr="00D045B3">
        <w:rPr>
          <w:rFonts w:ascii="Times New Roman" w:hAnsi="Times New Roman"/>
        </w:rPr>
        <w:t xml:space="preserve"> az alapbetegség, a betegség progressziója, illetve az egyidejűleg</w:t>
      </w:r>
      <w:r w:rsidR="00F72425" w:rsidRPr="00D045B3">
        <w:rPr>
          <w:rFonts w:ascii="Times New Roman" w:hAnsi="Times New Roman"/>
        </w:rPr>
        <w:t xml:space="preserve"> kapott</w:t>
      </w:r>
      <w:r w:rsidRPr="00D045B3">
        <w:rPr>
          <w:rFonts w:ascii="Times New Roman" w:hAnsi="Times New Roman"/>
        </w:rPr>
        <w:t xml:space="preserve"> adott számos más gyógyszern is </w:t>
      </w:r>
      <w:r w:rsidR="002274AF" w:rsidRPr="00D045B3">
        <w:rPr>
          <w:rFonts w:ascii="Times New Roman" w:hAnsi="Times New Roman"/>
        </w:rPr>
        <w:t>okozhatja</w:t>
      </w:r>
      <w:r w:rsidRPr="00D045B3">
        <w:rPr>
          <w:rFonts w:ascii="Times New Roman" w:hAnsi="Times New Roman"/>
        </w:rPr>
        <w:t xml:space="preserve">. </w:t>
      </w:r>
    </w:p>
    <w:p w14:paraId="0E4BAD65" w14:textId="77777777" w:rsidR="00F1375C" w:rsidRPr="00D045B3" w:rsidRDefault="00F1375C" w:rsidP="00F1375C">
      <w:pPr>
        <w:pStyle w:val="KeinLeerraum"/>
        <w:rPr>
          <w:rFonts w:ascii="Times New Roman" w:hAnsi="Times New Roman"/>
        </w:rPr>
      </w:pPr>
    </w:p>
    <w:p w14:paraId="0847B05F" w14:textId="4F3306AC" w:rsidR="00F1375C" w:rsidRPr="00D045B3" w:rsidRDefault="00F1375C" w:rsidP="00F1375C">
      <w:pPr>
        <w:pStyle w:val="KeinLeerraum"/>
        <w:rPr>
          <w:rFonts w:ascii="Times New Roman" w:hAnsi="Times New Roman"/>
        </w:rPr>
      </w:pPr>
      <w:r w:rsidRPr="00D045B3">
        <w:rPr>
          <w:rFonts w:ascii="Times New Roman" w:hAnsi="Times New Roman"/>
        </w:rPr>
        <w:t>CML</w:t>
      </w:r>
      <w:r w:rsidRPr="00D045B3">
        <w:rPr>
          <w:rFonts w:ascii="Times New Roman" w:hAnsi="Times New Roman"/>
        </w:rPr>
        <w:noBreakHyphen/>
        <w:t>es betegek bevonásával végzett klinikai vizsgálatokban a gyógyszerszedést gyógyszerrel összefüggő mellékhatások miatt felfüggesztették az újonnan diagnosztizált betegek 2,4%</w:t>
      </w:r>
      <w:r w:rsidRPr="00D045B3">
        <w:rPr>
          <w:rFonts w:ascii="Times New Roman" w:hAnsi="Times New Roman"/>
        </w:rPr>
        <w:noBreakHyphen/>
        <w:t>ánál, a késői krónikus fázisban sikertelen interferon</w:t>
      </w:r>
      <w:r w:rsidRPr="00D045B3">
        <w:rPr>
          <w:rFonts w:ascii="Times New Roman" w:hAnsi="Times New Roman"/>
        </w:rPr>
        <w:noBreakHyphen/>
      </w:r>
      <w:r w:rsidRPr="00D045B3">
        <w:rPr>
          <w:rFonts w:ascii="Times New Roman" w:hAnsi="Times New Roman"/>
        </w:rPr>
        <w:noBreakHyphen/>
        <w:t>kezelést követően a betegek 4%</w:t>
      </w:r>
      <w:r w:rsidRPr="00D045B3">
        <w:rPr>
          <w:rFonts w:ascii="Times New Roman" w:hAnsi="Times New Roman"/>
        </w:rPr>
        <w:noBreakHyphen/>
        <w:t>ánál, akcelerált fázisban sikertelen interferon</w:t>
      </w:r>
      <w:r w:rsidRPr="00D045B3">
        <w:rPr>
          <w:rFonts w:ascii="Times New Roman" w:hAnsi="Times New Roman"/>
        </w:rPr>
        <w:noBreakHyphen/>
        <w:t>kezelést követően a betegek 4%</w:t>
      </w:r>
      <w:r w:rsidRPr="00D045B3">
        <w:rPr>
          <w:rFonts w:ascii="Times New Roman" w:hAnsi="Times New Roman"/>
        </w:rPr>
        <w:noBreakHyphen/>
        <w:t>ánál, és sikertelen inetrferon</w:t>
      </w:r>
      <w:r w:rsidRPr="00D045B3">
        <w:rPr>
          <w:rFonts w:ascii="Times New Roman" w:hAnsi="Times New Roman"/>
        </w:rPr>
        <w:noBreakHyphen/>
        <w:t>kezelést követően a blasztos krízisben szenvedő betegek 5%</w:t>
      </w:r>
      <w:r w:rsidRPr="00D045B3">
        <w:rPr>
          <w:rFonts w:ascii="Times New Roman" w:hAnsi="Times New Roman"/>
        </w:rPr>
        <w:noBreakHyphen/>
        <w:t>ánál. A GIST vizsgálatban a betegek 4%</w:t>
      </w:r>
      <w:r w:rsidRPr="00D045B3">
        <w:rPr>
          <w:rFonts w:ascii="Times New Roman" w:hAnsi="Times New Roman"/>
        </w:rPr>
        <w:noBreakHyphen/>
        <w:t xml:space="preserve">ánál kellett a gyógyszerszedést felfüggeszteni a gyógyszerfüggő mellékhatások miatt. </w:t>
      </w:r>
    </w:p>
    <w:p w14:paraId="4145D439" w14:textId="77777777" w:rsidR="00F1375C" w:rsidRPr="00D045B3" w:rsidRDefault="00F1375C" w:rsidP="00F1375C">
      <w:pPr>
        <w:pStyle w:val="KeinLeerraum"/>
        <w:rPr>
          <w:rFonts w:ascii="Times New Roman" w:hAnsi="Times New Roman"/>
        </w:rPr>
      </w:pPr>
    </w:p>
    <w:p w14:paraId="1E927615" w14:textId="7393D91C" w:rsidR="00FE5992" w:rsidRPr="00D045B3" w:rsidRDefault="00FE5992" w:rsidP="00FE5992">
      <w:pPr>
        <w:pStyle w:val="KeinLeerraum"/>
        <w:rPr>
          <w:rFonts w:ascii="Times New Roman" w:hAnsi="Times New Roman"/>
        </w:rPr>
      </w:pPr>
      <w:r w:rsidRPr="00D045B3">
        <w:rPr>
          <w:rFonts w:ascii="Times New Roman" w:hAnsi="Times New Roman"/>
        </w:rPr>
        <w:t>A mellékhatások két kivételtől eltekintve, minden indikáció esetén hasonlóak voltak. Több myelosuppressio volt megfigyelhető a CML</w:t>
      </w:r>
      <w:r w:rsidRPr="00D045B3">
        <w:rPr>
          <w:rFonts w:ascii="Times New Roman" w:hAnsi="Times New Roman"/>
        </w:rPr>
        <w:noBreakHyphen/>
        <w:t>es, mint a GIST betegeknél, valószínűleg az alapbetegség miatt. A nem reszekábilis és/vagy metasztatikus GIST</w:t>
      </w:r>
      <w:r w:rsidRPr="00D045B3">
        <w:rPr>
          <w:rFonts w:ascii="Times New Roman" w:hAnsi="Times New Roman"/>
        </w:rPr>
        <w:noBreakHyphen/>
        <w:t>ben szenvedő betegekkel végzett vizsgálatban 7 beteg</w:t>
      </w:r>
      <w:r w:rsidR="002274AF" w:rsidRPr="00D045B3">
        <w:rPr>
          <w:rFonts w:ascii="Times New Roman" w:hAnsi="Times New Roman"/>
        </w:rPr>
        <w:t>nél</w:t>
      </w:r>
      <w:r w:rsidRPr="00D045B3">
        <w:rPr>
          <w:rFonts w:ascii="Times New Roman" w:hAnsi="Times New Roman"/>
        </w:rPr>
        <w:t xml:space="preserve"> (5%) jelentkezett ¾ CTC fokú vérzés: gastrointestinalis vérzés 3 betegnél, intratumoralis vérzés 3 betegnél és mindkettő 1 betegnél. A gastrointestinalis vérzés forrása a gastrointestinalis tumor lehetett (lásd 4.4 pont). A gastrointestinalis, ill. tumoralis vérzés súlyos és esetenként halálos kimenetelű is lehet. A leggyakrabban (</w:t>
      </w:r>
      <w:r w:rsidRPr="00D045B3">
        <w:rPr>
          <w:rFonts w:ascii="Times New Roman" w:eastAsia="Symbol" w:hAnsi="Times New Roman"/>
          <w:u w:val="single"/>
        </w:rPr>
        <w:t>&gt;</w:t>
      </w:r>
      <w:r w:rsidRPr="00D045B3">
        <w:rPr>
          <w:rFonts w:ascii="Times New Roman" w:hAnsi="Times New Roman"/>
        </w:rPr>
        <w:t xml:space="preserve"> 10%) észlelt </w:t>
      </w:r>
      <w:r w:rsidR="00C21EC9" w:rsidRPr="00D045B3">
        <w:rPr>
          <w:rFonts w:ascii="Times New Roman" w:hAnsi="Times New Roman"/>
        </w:rPr>
        <w:t xml:space="preserve">készítményfüggő </w:t>
      </w:r>
      <w:r w:rsidRPr="00D045B3">
        <w:rPr>
          <w:rFonts w:ascii="Times New Roman" w:hAnsi="Times New Roman"/>
        </w:rPr>
        <w:t>mellékhatások mindkét betegségben</w:t>
      </w:r>
      <w:r w:rsidR="00EB14FB" w:rsidRPr="00D045B3">
        <w:rPr>
          <w:rFonts w:ascii="Times New Roman" w:hAnsi="Times New Roman"/>
        </w:rPr>
        <w:t>:</w:t>
      </w:r>
      <w:r w:rsidRPr="00D045B3">
        <w:rPr>
          <w:rFonts w:ascii="Times New Roman" w:hAnsi="Times New Roman"/>
        </w:rPr>
        <w:t xml:space="preserve"> enyhe hányinger, hányás, hasmenés, hasi fájdalom, fáradékonyság, myalgia és izomgörcsök, valamint bőrkiütés voltak. Valamennyi vizsgálatban gyakori jelenség volt a felületes oedema, amit elsősorban periorbitálisan vagy az alsó végtagokon lehetett észlelni. Ezek az oedemák azonban csak ritkán voltak súlyosak, és diuretikummal vagy egyéb szupportív módon, ill. az imatinib dózisának csökkentésével kezelhetők voltak. </w:t>
      </w:r>
    </w:p>
    <w:p w14:paraId="1E927616" w14:textId="77777777" w:rsidR="00FE5992" w:rsidRPr="00D045B3" w:rsidRDefault="00FE5992" w:rsidP="00FE5992">
      <w:pPr>
        <w:pStyle w:val="KeinLeerraum"/>
        <w:rPr>
          <w:rFonts w:ascii="Times New Roman" w:hAnsi="Times New Roman"/>
        </w:rPr>
      </w:pPr>
    </w:p>
    <w:p w14:paraId="1E927617" w14:textId="77777777" w:rsidR="00FE5992" w:rsidRPr="00D045B3" w:rsidRDefault="00FE5992" w:rsidP="00FE5992">
      <w:pPr>
        <w:pStyle w:val="KeinLeerraum"/>
        <w:rPr>
          <w:rFonts w:ascii="Times New Roman" w:hAnsi="Times New Roman"/>
        </w:rPr>
      </w:pPr>
      <w:r w:rsidRPr="00D045B3">
        <w:rPr>
          <w:rFonts w:ascii="Times New Roman" w:hAnsi="Times New Roman"/>
        </w:rPr>
        <w:t>Amikor Ph+ALL</w:t>
      </w:r>
      <w:r w:rsidRPr="00D045B3">
        <w:rPr>
          <w:rFonts w:ascii="Times New Roman" w:hAnsi="Times New Roman"/>
        </w:rPr>
        <w:noBreakHyphen/>
        <w:t>es betegeknél az imatinibet nagy dózisú kemoterápiával kombinációban alkalmazták, átmeneti hepatotoxicitást figyeltek meg, ami a transzamináz</w:t>
      </w:r>
      <w:r w:rsidRPr="00D045B3">
        <w:rPr>
          <w:rFonts w:ascii="Times New Roman" w:hAnsi="Times New Roman"/>
        </w:rPr>
        <w:noBreakHyphen/>
        <w:t>szintek emelkedésével és hyperbilirubinaemiával jelentkezett.</w:t>
      </w:r>
      <w:r w:rsidR="00E6607C" w:rsidRPr="00D045B3">
        <w:rPr>
          <w:rFonts w:ascii="Times New Roman" w:hAnsi="Times New Roman"/>
        </w:rPr>
        <w:t xml:space="preserve"> </w:t>
      </w:r>
      <w:r w:rsidR="00E6607C" w:rsidRPr="00D045B3">
        <w:rPr>
          <w:rFonts w:ascii="Times New Roman" w:hAnsi="Times New Roman"/>
          <w:color w:val="000000"/>
          <w:lang w:eastAsia="hu-HU"/>
        </w:rPr>
        <w:t>A korlátozott biztonsági adatbázis alapján az eddig gyermekeknél jelentett nemkívánatos események a Ph+ALL</w:t>
      </w:r>
      <w:r w:rsidR="00E6607C" w:rsidRPr="00D045B3">
        <w:rPr>
          <w:rFonts w:ascii="Times New Roman" w:hAnsi="Times New Roman"/>
          <w:color w:val="000000"/>
        </w:rPr>
        <w:noBreakHyphen/>
      </w:r>
      <w:r w:rsidR="00E6607C" w:rsidRPr="00D045B3">
        <w:rPr>
          <w:rFonts w:ascii="Times New Roman" w:hAnsi="Times New Roman"/>
          <w:color w:val="000000"/>
          <w:lang w:eastAsia="hu-HU"/>
        </w:rPr>
        <w:t>ben szenvedő felnőtt betegek ismert biztonságossági profiljához hasonlók. A Ph+ALL</w:t>
      </w:r>
      <w:r w:rsidR="00E6607C" w:rsidRPr="00D045B3">
        <w:rPr>
          <w:rFonts w:ascii="Times New Roman" w:hAnsi="Times New Roman"/>
          <w:color w:val="000000"/>
        </w:rPr>
        <w:noBreakHyphen/>
      </w:r>
      <w:r w:rsidR="00E6607C" w:rsidRPr="00D045B3">
        <w:rPr>
          <w:rFonts w:ascii="Times New Roman" w:hAnsi="Times New Roman"/>
          <w:color w:val="000000"/>
          <w:lang w:eastAsia="hu-HU"/>
        </w:rPr>
        <w:t>ben szenvedő gyermekek biztonsági adatbázisa nagyon korlátozott, bár új biztonságossági aggályokat nem azonosítottak.</w:t>
      </w:r>
    </w:p>
    <w:p w14:paraId="1E927618" w14:textId="77777777" w:rsidR="00FE5992" w:rsidRPr="00D045B3" w:rsidRDefault="00FE5992" w:rsidP="00FE5992">
      <w:pPr>
        <w:pStyle w:val="KeinLeerraum"/>
        <w:rPr>
          <w:rFonts w:ascii="Times New Roman" w:hAnsi="Times New Roman"/>
        </w:rPr>
      </w:pPr>
    </w:p>
    <w:p w14:paraId="1E927619" w14:textId="6A5C4A98" w:rsidR="00FE5992" w:rsidRPr="00D045B3" w:rsidRDefault="00FE5992" w:rsidP="00FE5992">
      <w:pPr>
        <w:pStyle w:val="KeinLeerraum"/>
        <w:rPr>
          <w:rFonts w:ascii="Times New Roman" w:hAnsi="Times New Roman"/>
        </w:rPr>
      </w:pPr>
      <w:r w:rsidRPr="00D045B3">
        <w:rPr>
          <w:rFonts w:ascii="Times New Roman" w:hAnsi="Times New Roman"/>
        </w:rPr>
        <w:t>Az egyéb mellékhatások, mint a pleuralis folyadék, ascites, tüdőoedema és a gyors testtömeg</w:t>
      </w:r>
      <w:r w:rsidRPr="00D045B3">
        <w:rPr>
          <w:rFonts w:ascii="Times New Roman" w:hAnsi="Times New Roman"/>
        </w:rPr>
        <w:noBreakHyphen/>
        <w:t>gyarapodás felszíni oedemával vagy anélkül, a „folyadékretenciós szindróma” gyűjtőnévvel jellemezhetők. Ezen mellékhatások általában az imatinib alkalmazásának átmeneti felfüggesztésével és diuretikummal, valamint egyéb megfelelő szupportív ellátással kezelhetők. Mindazonáltal ezen mellékhatások némelyike súlyos, életet veszélyeztető is lehet és számos blasztos krízisben lévő beteg halt meg pleurális folyadékgyülem, pangásos szívelégtelenség és veseelégtelenség komplex klinikai képe kíséretben. A gyermek</w:t>
      </w:r>
      <w:r w:rsidR="002274AF" w:rsidRPr="00D045B3">
        <w:rPr>
          <w:rFonts w:ascii="Times New Roman" w:hAnsi="Times New Roman"/>
        </w:rPr>
        <w:t>- és serdülőkorú betegek bevonásával végzett</w:t>
      </w:r>
      <w:r w:rsidRPr="00D045B3">
        <w:rPr>
          <w:rFonts w:ascii="Times New Roman" w:hAnsi="Times New Roman"/>
        </w:rPr>
        <w:t xml:space="preserve"> klinikai vizsgálatok nem </w:t>
      </w:r>
      <w:r w:rsidR="002274AF" w:rsidRPr="00D045B3">
        <w:rPr>
          <w:rFonts w:ascii="Times New Roman" w:hAnsi="Times New Roman"/>
        </w:rPr>
        <w:t xml:space="preserve">eredményeztek </w:t>
      </w:r>
      <w:r w:rsidRPr="00D045B3">
        <w:rPr>
          <w:rFonts w:ascii="Times New Roman" w:hAnsi="Times New Roman"/>
        </w:rPr>
        <w:t xml:space="preserve">speciális gyógyszerbiztonságossági </w:t>
      </w:r>
      <w:r w:rsidR="002274AF" w:rsidRPr="00D045B3">
        <w:rPr>
          <w:rFonts w:ascii="Times New Roman" w:hAnsi="Times New Roman"/>
        </w:rPr>
        <w:t>megállapításokat</w:t>
      </w:r>
      <w:r w:rsidRPr="00D045B3">
        <w:rPr>
          <w:rFonts w:ascii="Times New Roman" w:hAnsi="Times New Roman"/>
        </w:rPr>
        <w:t xml:space="preserve">. </w:t>
      </w:r>
    </w:p>
    <w:p w14:paraId="1E92761A" w14:textId="77777777" w:rsidR="00FE5992" w:rsidRPr="00D045B3" w:rsidRDefault="00FE5992" w:rsidP="00FE5992">
      <w:pPr>
        <w:pStyle w:val="KeinLeerraum"/>
        <w:rPr>
          <w:rFonts w:ascii="Times New Roman" w:hAnsi="Times New Roman"/>
        </w:rPr>
      </w:pPr>
    </w:p>
    <w:p w14:paraId="1E92761B"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 xml:space="preserve">Mellékhatások </w:t>
      </w:r>
    </w:p>
    <w:p w14:paraId="1E92761C" w14:textId="77777777" w:rsidR="00FE5992" w:rsidRPr="00D045B3" w:rsidRDefault="00FE5992" w:rsidP="00CA41FD">
      <w:pPr>
        <w:pStyle w:val="KeinLeerraum"/>
        <w:rPr>
          <w:rFonts w:ascii="Times New Roman" w:hAnsi="Times New Roman"/>
        </w:rPr>
      </w:pPr>
      <w:r w:rsidRPr="00D045B3">
        <w:rPr>
          <w:rFonts w:ascii="Times New Roman" w:hAnsi="Times New Roman"/>
        </w:rPr>
        <w:t>Az elszigetelt eseteknél gyakrabban észlelt mellékhatások az alábbi táblázatban, szervrendszerek és gyakoriság szerint kerülnek felsorolásra. A gyakorisági kategóriák meghatározása a következő konvenciók szerint történt: nagyon gyakori (</w:t>
      </w:r>
      <w:r w:rsidRPr="00D045B3">
        <w:rPr>
          <w:rFonts w:ascii="Times New Roman" w:hAnsi="Times New Roman"/>
          <w:spacing w:val="1"/>
        </w:rPr>
        <w:t>≥</w:t>
      </w:r>
      <w:r w:rsidRPr="00D045B3">
        <w:rPr>
          <w:rFonts w:ascii="Times New Roman" w:hAnsi="Times New Roman"/>
        </w:rPr>
        <w:t>1/10), gyakori (</w:t>
      </w:r>
      <w:r w:rsidRPr="00D045B3">
        <w:rPr>
          <w:rFonts w:ascii="Times New Roman" w:hAnsi="Times New Roman"/>
          <w:spacing w:val="1"/>
        </w:rPr>
        <w:t>≥</w:t>
      </w:r>
      <w:r w:rsidRPr="00D045B3">
        <w:rPr>
          <w:rFonts w:ascii="Times New Roman" w:hAnsi="Times New Roman"/>
        </w:rPr>
        <w:t>1/100</w:t>
      </w:r>
      <w:r w:rsidRPr="00D045B3">
        <w:rPr>
          <w:rFonts w:ascii="Times New Roman" w:hAnsi="Times New Roman"/>
        </w:rPr>
        <w:noBreakHyphen/>
        <w:t>&lt;1/10), nem gyakori (</w:t>
      </w:r>
      <w:r w:rsidRPr="00D045B3">
        <w:rPr>
          <w:rFonts w:ascii="Times New Roman" w:hAnsi="Times New Roman"/>
          <w:spacing w:val="1"/>
        </w:rPr>
        <w:t>≥</w:t>
      </w:r>
      <w:r w:rsidRPr="00D045B3">
        <w:rPr>
          <w:rFonts w:ascii="Times New Roman" w:hAnsi="Times New Roman"/>
        </w:rPr>
        <w:t>1/1000</w:t>
      </w:r>
      <w:r w:rsidRPr="00D045B3">
        <w:rPr>
          <w:rFonts w:ascii="Times New Roman" w:hAnsi="Times New Roman"/>
        </w:rPr>
        <w:noBreakHyphen/>
        <w:t>&lt;1/100), ritka (</w:t>
      </w:r>
      <w:r w:rsidRPr="00D045B3">
        <w:rPr>
          <w:rFonts w:ascii="Times New Roman" w:hAnsi="Times New Roman"/>
          <w:spacing w:val="1"/>
        </w:rPr>
        <w:t>≥</w:t>
      </w:r>
      <w:r w:rsidRPr="00D045B3">
        <w:rPr>
          <w:rFonts w:ascii="Times New Roman" w:hAnsi="Times New Roman"/>
        </w:rPr>
        <w:t>1/10 000</w:t>
      </w:r>
      <w:r w:rsidRPr="00D045B3">
        <w:rPr>
          <w:rFonts w:ascii="Times New Roman" w:hAnsi="Times New Roman"/>
        </w:rPr>
        <w:noBreakHyphen/>
        <w:t xml:space="preserve">&lt;1/1000), nagyon ritka (&lt;1/10 000), nem ismert (a gyakoriság a rendelkezésre álló adatokból nem állapítható meg). </w:t>
      </w:r>
    </w:p>
    <w:p w14:paraId="1E92761D" w14:textId="77777777" w:rsidR="00FE5992" w:rsidRPr="00D045B3" w:rsidRDefault="00FE5992" w:rsidP="00FE5992">
      <w:pPr>
        <w:pStyle w:val="KeinLeerraum"/>
        <w:rPr>
          <w:rFonts w:ascii="Times New Roman" w:hAnsi="Times New Roman"/>
        </w:rPr>
      </w:pPr>
    </w:p>
    <w:p w14:paraId="1E92761E" w14:textId="77777777" w:rsidR="00FE5992" w:rsidRPr="00D045B3" w:rsidRDefault="00FE5992" w:rsidP="00FE5992">
      <w:pPr>
        <w:rPr>
          <w:lang w:val="hu-HU"/>
        </w:rPr>
      </w:pPr>
      <w:r w:rsidRPr="00D045B3">
        <w:rPr>
          <w:lang w:val="hu-HU"/>
        </w:rPr>
        <w:t>Az egyes gyakorisági kategóriákon belül a mellékhatások csökkenő súlyosság szerint kerülnek megadásra</w:t>
      </w:r>
      <w:r w:rsidRPr="00D045B3">
        <w:rPr>
          <w:i/>
          <w:lang w:val="hu-HU"/>
        </w:rPr>
        <w:t xml:space="preserve">, </w:t>
      </w:r>
      <w:r w:rsidRPr="00D045B3">
        <w:rPr>
          <w:lang w:val="hu-HU"/>
        </w:rPr>
        <w:t>elsőként a leggyakoribb mellékhatás szerepel.</w:t>
      </w:r>
    </w:p>
    <w:p w14:paraId="1E92761F" w14:textId="77777777" w:rsidR="00FE5992" w:rsidRPr="00D045B3" w:rsidRDefault="00FE5992" w:rsidP="00FE5992">
      <w:pPr>
        <w:rPr>
          <w:lang w:val="hu-HU"/>
        </w:rPr>
      </w:pPr>
    </w:p>
    <w:p w14:paraId="1E927620" w14:textId="77777777" w:rsidR="00E905E4" w:rsidRPr="00D045B3" w:rsidRDefault="00E905E4" w:rsidP="00E905E4">
      <w:pPr>
        <w:pStyle w:val="KeinLeerraum"/>
        <w:rPr>
          <w:rFonts w:ascii="Times New Roman" w:hAnsi="Times New Roman"/>
        </w:rPr>
      </w:pPr>
      <w:r w:rsidRPr="00D045B3">
        <w:rPr>
          <w:rFonts w:ascii="Times New Roman" w:hAnsi="Times New Roman"/>
        </w:rPr>
        <w:t>A mellékhatásokat, illetve azok gyakoriságát az 1. táblázat ismerteti.</w:t>
      </w:r>
    </w:p>
    <w:p w14:paraId="1E927621" w14:textId="77777777" w:rsidR="00E905E4" w:rsidRPr="00D045B3" w:rsidRDefault="00E905E4" w:rsidP="00190CF7">
      <w:pPr>
        <w:pStyle w:val="KeinLeerraum"/>
        <w:rPr>
          <w:rFonts w:ascii="Times New Roman" w:hAnsi="Times New Roman"/>
        </w:rPr>
      </w:pPr>
    </w:p>
    <w:p w14:paraId="1E927622" w14:textId="77777777" w:rsidR="00E905E4" w:rsidRPr="00D045B3" w:rsidRDefault="00E905E4" w:rsidP="00CA41FD">
      <w:pPr>
        <w:pStyle w:val="KeinLeerraum"/>
        <w:keepNext/>
        <w:rPr>
          <w:rFonts w:ascii="Times New Roman" w:hAnsi="Times New Roman"/>
          <w:b/>
          <w:bCs/>
        </w:rPr>
      </w:pPr>
      <w:r w:rsidRPr="00D045B3">
        <w:rPr>
          <w:rFonts w:ascii="Times New Roman" w:hAnsi="Times New Roman"/>
          <w:b/>
        </w:rPr>
        <w:t xml:space="preserve">1. táblázat A mellékhatások </w:t>
      </w:r>
      <w:r w:rsidRPr="00D045B3">
        <w:rPr>
          <w:rFonts w:ascii="Times New Roman" w:hAnsi="Times New Roman"/>
          <w:b/>
          <w:bCs/>
        </w:rPr>
        <w:t>táblázatos összefoglalása</w:t>
      </w:r>
    </w:p>
    <w:p w14:paraId="1E927623" w14:textId="77777777" w:rsidR="002E6DBA" w:rsidRPr="00D045B3" w:rsidRDefault="002E6DBA" w:rsidP="00CA41FD">
      <w:pPr>
        <w:pStyle w:val="KeinLeerraum"/>
        <w:keepNext/>
        <w:rPr>
          <w:rFonts w:ascii="Times New Roman" w:hAnsi="Times New Roman"/>
          <w:b/>
        </w:rPr>
      </w:pPr>
    </w:p>
    <w:tbl>
      <w:tblPr>
        <w:tblW w:w="9072" w:type="dxa"/>
        <w:tblInd w:w="108" w:type="dxa"/>
        <w:tblBorders>
          <w:top w:val="nil"/>
          <w:left w:val="nil"/>
          <w:bottom w:val="nil"/>
          <w:right w:val="nil"/>
        </w:tblBorders>
        <w:tblLayout w:type="fixed"/>
        <w:tblLook w:val="0000" w:firstRow="0" w:lastRow="0" w:firstColumn="0" w:lastColumn="0" w:noHBand="0" w:noVBand="0"/>
      </w:tblPr>
      <w:tblGrid>
        <w:gridCol w:w="2552"/>
        <w:gridCol w:w="6520"/>
      </w:tblGrid>
      <w:tr w:rsidR="002E6DBA" w:rsidRPr="00D045B3" w14:paraId="1E927625" w14:textId="77777777" w:rsidTr="002C1361">
        <w:trPr>
          <w:trHeight w:val="204"/>
        </w:trPr>
        <w:tc>
          <w:tcPr>
            <w:tcW w:w="9072" w:type="dxa"/>
            <w:gridSpan w:val="2"/>
            <w:tcBorders>
              <w:top w:val="single" w:sz="4" w:space="0" w:color="auto"/>
              <w:left w:val="single" w:sz="4" w:space="0" w:color="auto"/>
              <w:bottom w:val="single" w:sz="4" w:space="0" w:color="auto"/>
              <w:right w:val="single" w:sz="4" w:space="0" w:color="auto"/>
            </w:tcBorders>
          </w:tcPr>
          <w:p w14:paraId="1E927624" w14:textId="77777777" w:rsidR="002E6DBA" w:rsidRPr="00D045B3" w:rsidRDefault="002E6DBA" w:rsidP="002C1361">
            <w:pPr>
              <w:pStyle w:val="KeinLeerraum"/>
              <w:rPr>
                <w:rFonts w:ascii="Times New Roman" w:hAnsi="Times New Roman"/>
              </w:rPr>
            </w:pPr>
            <w:r w:rsidRPr="00D045B3">
              <w:rPr>
                <w:rFonts w:ascii="Times New Roman" w:hAnsi="Times New Roman"/>
                <w:b/>
              </w:rPr>
              <w:t>Fertőző betegségek és parazitafertőzések</w:t>
            </w:r>
          </w:p>
        </w:tc>
      </w:tr>
      <w:tr w:rsidR="002E6DBA" w:rsidRPr="00D045B3" w14:paraId="1E927628" w14:textId="77777777" w:rsidTr="002C1361">
        <w:trPr>
          <w:trHeight w:val="383"/>
        </w:trPr>
        <w:tc>
          <w:tcPr>
            <w:tcW w:w="2552" w:type="dxa"/>
            <w:tcBorders>
              <w:top w:val="single" w:sz="4" w:space="0" w:color="auto"/>
              <w:left w:val="single" w:sz="4" w:space="0" w:color="auto"/>
              <w:bottom w:val="single" w:sz="4" w:space="0" w:color="auto"/>
              <w:right w:val="single" w:sz="4" w:space="0" w:color="auto"/>
            </w:tcBorders>
          </w:tcPr>
          <w:p w14:paraId="1E927626" w14:textId="77777777" w:rsidR="002E6DBA" w:rsidRPr="00D045B3" w:rsidRDefault="002E6DBA" w:rsidP="002C1361">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27" w14:textId="77777777" w:rsidR="002E6DBA" w:rsidRPr="00D045B3" w:rsidRDefault="002E6DBA" w:rsidP="002C1361">
            <w:pPr>
              <w:pStyle w:val="KeinLeerraum"/>
              <w:rPr>
                <w:rFonts w:ascii="Times New Roman" w:hAnsi="Times New Roman"/>
              </w:rPr>
            </w:pPr>
            <w:r w:rsidRPr="00D045B3">
              <w:rPr>
                <w:rFonts w:ascii="Times New Roman" w:hAnsi="Times New Roman"/>
              </w:rPr>
              <w:t>Herpes zoster, herpes simplex, nasopharyngitis, pneumonia</w:t>
            </w:r>
            <w:r w:rsidRPr="00D045B3">
              <w:rPr>
                <w:rFonts w:ascii="Times New Roman" w:hAnsi="Times New Roman"/>
                <w:vertAlign w:val="superscript"/>
              </w:rPr>
              <w:t>1</w:t>
            </w:r>
            <w:r w:rsidRPr="00D045B3">
              <w:rPr>
                <w:rFonts w:ascii="Times New Roman" w:hAnsi="Times New Roman"/>
              </w:rPr>
              <w:t xml:space="preserve">, sinusitis, cellulitis, felső légúti fertőzés, influenza, húgyúti fertőzés, gastroenteritis, sepsis </w:t>
            </w:r>
          </w:p>
        </w:tc>
      </w:tr>
      <w:tr w:rsidR="002E6DBA" w:rsidRPr="00D045B3" w14:paraId="1E92762B" w14:textId="77777777" w:rsidTr="002C1361">
        <w:trPr>
          <w:trHeight w:val="100"/>
        </w:trPr>
        <w:tc>
          <w:tcPr>
            <w:tcW w:w="2552" w:type="dxa"/>
            <w:tcBorders>
              <w:top w:val="single" w:sz="4" w:space="0" w:color="auto"/>
              <w:left w:val="single" w:sz="4" w:space="0" w:color="auto"/>
              <w:bottom w:val="single" w:sz="4" w:space="0" w:color="auto"/>
              <w:right w:val="single" w:sz="4" w:space="0" w:color="auto"/>
            </w:tcBorders>
          </w:tcPr>
          <w:p w14:paraId="1E927629" w14:textId="77777777" w:rsidR="002E6DBA" w:rsidRPr="00D045B3" w:rsidRDefault="002E6DBA" w:rsidP="002C1361">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2A" w14:textId="77777777" w:rsidR="002E6DBA" w:rsidRPr="00D045B3" w:rsidRDefault="002E6DBA" w:rsidP="002C1361">
            <w:pPr>
              <w:pStyle w:val="KeinLeerraum"/>
              <w:rPr>
                <w:rFonts w:ascii="Times New Roman" w:hAnsi="Times New Roman"/>
              </w:rPr>
            </w:pPr>
            <w:r w:rsidRPr="00D045B3">
              <w:rPr>
                <w:rFonts w:ascii="Times New Roman" w:hAnsi="Times New Roman"/>
              </w:rPr>
              <w:t xml:space="preserve">Gombafertőzés </w:t>
            </w:r>
          </w:p>
        </w:tc>
      </w:tr>
      <w:tr w:rsidR="002E6DBA" w:rsidRPr="00D045B3" w14:paraId="1E92762E" w14:textId="77777777" w:rsidTr="002E6DBA">
        <w:trPr>
          <w:trHeight w:val="100"/>
        </w:trPr>
        <w:tc>
          <w:tcPr>
            <w:tcW w:w="2552" w:type="dxa"/>
            <w:tcBorders>
              <w:top w:val="single" w:sz="4" w:space="0" w:color="auto"/>
              <w:left w:val="single" w:sz="4" w:space="0" w:color="auto"/>
              <w:bottom w:val="single" w:sz="4" w:space="0" w:color="auto"/>
              <w:right w:val="single" w:sz="4" w:space="0" w:color="auto"/>
            </w:tcBorders>
          </w:tcPr>
          <w:p w14:paraId="1E92762C" w14:textId="77777777" w:rsidR="002E6DBA" w:rsidRPr="00D045B3" w:rsidRDefault="002E6DBA" w:rsidP="002C1361">
            <w:pPr>
              <w:pStyle w:val="KeinLeerraum"/>
              <w:rPr>
                <w:rFonts w:ascii="Times New Roman" w:hAnsi="Times New Roman"/>
                <w:i/>
                <w:iCs/>
              </w:rPr>
            </w:pPr>
            <w:r w:rsidRPr="00D045B3">
              <w:rPr>
                <w:rFonts w:ascii="Times New Roman" w:hAnsi="Times New Roman"/>
                <w:i/>
                <w:iCs/>
              </w:rPr>
              <w:t xml:space="preserve">Nem ismert: </w:t>
            </w:r>
          </w:p>
        </w:tc>
        <w:tc>
          <w:tcPr>
            <w:tcW w:w="6520" w:type="dxa"/>
            <w:tcBorders>
              <w:top w:val="single" w:sz="4" w:space="0" w:color="auto"/>
              <w:left w:val="single" w:sz="4" w:space="0" w:color="auto"/>
              <w:bottom w:val="single" w:sz="4" w:space="0" w:color="auto"/>
              <w:right w:val="single" w:sz="4" w:space="0" w:color="auto"/>
            </w:tcBorders>
          </w:tcPr>
          <w:p w14:paraId="1E92762D" w14:textId="77777777" w:rsidR="002E6DBA" w:rsidRPr="00D045B3" w:rsidRDefault="002E6DBA" w:rsidP="002C1361">
            <w:pPr>
              <w:pStyle w:val="KeinLeerraum"/>
              <w:rPr>
                <w:rFonts w:ascii="Times New Roman" w:hAnsi="Times New Roman"/>
              </w:rPr>
            </w:pPr>
            <w:r w:rsidRPr="00D045B3">
              <w:rPr>
                <w:rFonts w:ascii="Times New Roman" w:hAnsi="Times New Roman"/>
              </w:rPr>
              <w:t>Hepatitis B reaktiváció</w:t>
            </w:r>
            <w:r w:rsidR="00DD711E" w:rsidRPr="00D045B3">
              <w:rPr>
                <w:rFonts w:ascii="Times New Roman" w:hAnsi="Times New Roman"/>
              </w:rPr>
              <w:t>*</w:t>
            </w:r>
          </w:p>
        </w:tc>
      </w:tr>
      <w:tr w:rsidR="00E905E4" w:rsidRPr="00D045B3" w14:paraId="1E927630"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2F"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Jó-, rosszindulatú és nem meghatározott daganatok (beleértve a cisztákat és polipokat is) </w:t>
            </w:r>
          </w:p>
        </w:tc>
      </w:tr>
      <w:tr w:rsidR="00E905E4" w:rsidRPr="00D045B3" w14:paraId="1E927633"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31"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32"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Tumor lízis szindróma </w:t>
            </w:r>
          </w:p>
        </w:tc>
      </w:tr>
      <w:tr w:rsidR="00E905E4" w:rsidRPr="00D045B3" w14:paraId="1E927636"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34" w14:textId="77777777" w:rsidR="00E905E4" w:rsidRPr="00D045B3" w:rsidRDefault="00E905E4" w:rsidP="00634196">
            <w:pPr>
              <w:autoSpaceDE w:val="0"/>
              <w:autoSpaceDN w:val="0"/>
              <w:adjustRightInd w:val="0"/>
              <w:spacing w:line="240" w:lineRule="auto"/>
              <w:rPr>
                <w:i/>
                <w:iCs/>
                <w:szCs w:val="22"/>
                <w:lang w:val="hu-HU"/>
              </w:rPr>
            </w:pPr>
            <w:r w:rsidRPr="00D045B3">
              <w:rPr>
                <w:i/>
                <w:iCs/>
                <w:szCs w:val="22"/>
                <w:lang w:val="hu-HU"/>
              </w:rPr>
              <w:t>Nem ismert</w:t>
            </w:r>
          </w:p>
        </w:tc>
        <w:tc>
          <w:tcPr>
            <w:tcW w:w="6520" w:type="dxa"/>
          </w:tcPr>
          <w:p w14:paraId="1E927635"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Tumorvérzés/tumornecrosis*</w:t>
            </w:r>
          </w:p>
        </w:tc>
      </w:tr>
      <w:tr w:rsidR="00E905E4" w:rsidRPr="00D045B3" w14:paraId="1E927638"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072" w:type="dxa"/>
            <w:gridSpan w:val="2"/>
          </w:tcPr>
          <w:p w14:paraId="1E927637" w14:textId="77777777" w:rsidR="00E905E4" w:rsidRPr="00D045B3" w:rsidRDefault="00E905E4" w:rsidP="00634196">
            <w:pPr>
              <w:autoSpaceDE w:val="0"/>
              <w:autoSpaceDN w:val="0"/>
              <w:adjustRightInd w:val="0"/>
              <w:spacing w:line="240" w:lineRule="auto"/>
              <w:rPr>
                <w:szCs w:val="22"/>
                <w:lang w:val="hu-HU"/>
              </w:rPr>
            </w:pPr>
            <w:r w:rsidRPr="00D045B3">
              <w:rPr>
                <w:b/>
                <w:szCs w:val="22"/>
                <w:lang w:val="hu-HU"/>
              </w:rPr>
              <w:t>Immunrendszeri betegségek és tünetek</w:t>
            </w:r>
          </w:p>
        </w:tc>
      </w:tr>
      <w:tr w:rsidR="00E905E4" w:rsidRPr="00D045B3" w14:paraId="1E92763B"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39" w14:textId="77777777" w:rsidR="00E905E4" w:rsidRPr="00D045B3" w:rsidRDefault="00E905E4" w:rsidP="00634196">
            <w:pPr>
              <w:autoSpaceDE w:val="0"/>
              <w:autoSpaceDN w:val="0"/>
              <w:adjustRightInd w:val="0"/>
              <w:spacing w:line="240" w:lineRule="auto"/>
              <w:rPr>
                <w:i/>
                <w:iCs/>
                <w:szCs w:val="22"/>
                <w:lang w:val="hu-HU"/>
              </w:rPr>
            </w:pPr>
            <w:r w:rsidRPr="00D045B3">
              <w:rPr>
                <w:i/>
                <w:iCs/>
                <w:szCs w:val="22"/>
                <w:lang w:val="hu-HU"/>
              </w:rPr>
              <w:t>Nem ismert</w:t>
            </w:r>
          </w:p>
        </w:tc>
        <w:tc>
          <w:tcPr>
            <w:tcW w:w="6520" w:type="dxa"/>
          </w:tcPr>
          <w:p w14:paraId="1E92763A"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Anafilaxiás sokk*</w:t>
            </w:r>
          </w:p>
        </w:tc>
      </w:tr>
      <w:tr w:rsidR="00E905E4" w:rsidRPr="00D045B3" w14:paraId="1E92763D"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3C"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Vérképzőszervi és nyirokrendszeri betegségek és tünetek </w:t>
            </w:r>
          </w:p>
        </w:tc>
      </w:tr>
      <w:tr w:rsidR="00E905E4" w:rsidRPr="00D045B3" w14:paraId="1E927640"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3E"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63F"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Neutropenia, thrombocytopenia, anaemia </w:t>
            </w:r>
          </w:p>
        </w:tc>
      </w:tr>
      <w:tr w:rsidR="00E905E4" w:rsidRPr="00D045B3" w14:paraId="1E927643"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41"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42"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Pancytopenia, febrilis neutropenia </w:t>
            </w:r>
          </w:p>
        </w:tc>
      </w:tr>
      <w:tr w:rsidR="00E905E4" w:rsidRPr="00D045B3" w14:paraId="1E927646" w14:textId="77777777" w:rsidTr="00634196">
        <w:trPr>
          <w:trHeight w:val="230"/>
        </w:trPr>
        <w:tc>
          <w:tcPr>
            <w:tcW w:w="2552" w:type="dxa"/>
            <w:tcBorders>
              <w:top w:val="single" w:sz="4" w:space="0" w:color="auto"/>
              <w:left w:val="single" w:sz="4" w:space="0" w:color="auto"/>
              <w:bottom w:val="single" w:sz="4" w:space="0" w:color="auto"/>
              <w:right w:val="single" w:sz="4" w:space="0" w:color="auto"/>
            </w:tcBorders>
          </w:tcPr>
          <w:p w14:paraId="1E927644"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45"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Thrombocythaemia, lymphopenia, csontvelő depressio, eosinophilia, lymphadenopathia </w:t>
            </w:r>
          </w:p>
        </w:tc>
      </w:tr>
      <w:tr w:rsidR="00E905E4" w:rsidRPr="00D045B3" w14:paraId="1E927649"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47"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48" w14:textId="3638028A" w:rsidR="00E905E4" w:rsidRPr="00D045B3" w:rsidRDefault="00E905E4" w:rsidP="00634196">
            <w:pPr>
              <w:pStyle w:val="KeinLeerraum"/>
              <w:rPr>
                <w:rFonts w:ascii="Times New Roman" w:hAnsi="Times New Roman"/>
              </w:rPr>
            </w:pPr>
            <w:r w:rsidRPr="00D045B3">
              <w:rPr>
                <w:rFonts w:ascii="Times New Roman" w:hAnsi="Times New Roman"/>
              </w:rPr>
              <w:t>Haemolyticus anaemia</w:t>
            </w:r>
            <w:r w:rsidR="00A971A5" w:rsidRPr="00D045B3">
              <w:rPr>
                <w:rFonts w:ascii="Times New Roman" w:hAnsi="Times New Roman"/>
              </w:rPr>
              <w:t>, thromboticus microangiopathia</w:t>
            </w:r>
          </w:p>
        </w:tc>
      </w:tr>
      <w:tr w:rsidR="00E905E4" w:rsidRPr="00D045B3" w14:paraId="1E92764B"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4A"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Anyagcsere- és táplálkozási betegségek és tünetek </w:t>
            </w:r>
          </w:p>
        </w:tc>
      </w:tr>
      <w:tr w:rsidR="00E905E4" w:rsidRPr="00D045B3" w14:paraId="1E92764E"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4C"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4D"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Anorexia </w:t>
            </w:r>
          </w:p>
        </w:tc>
      </w:tr>
      <w:tr w:rsidR="00E905E4" w:rsidRPr="00D045B3" w14:paraId="1E927651" w14:textId="77777777" w:rsidTr="00634196">
        <w:trPr>
          <w:trHeight w:val="360"/>
        </w:trPr>
        <w:tc>
          <w:tcPr>
            <w:tcW w:w="2552" w:type="dxa"/>
            <w:tcBorders>
              <w:top w:val="single" w:sz="4" w:space="0" w:color="auto"/>
              <w:left w:val="single" w:sz="4" w:space="0" w:color="auto"/>
              <w:bottom w:val="single" w:sz="4" w:space="0" w:color="auto"/>
              <w:right w:val="single" w:sz="4" w:space="0" w:color="auto"/>
            </w:tcBorders>
          </w:tcPr>
          <w:p w14:paraId="1E92764F"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50"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Hypokalaemia, étvágynövekedés, hypophosphataemia, étvágycsökkenés, dehydratio, köszvény, hyperuricaemia, hypercalcaemia, hyperglykaemia, hyponatraemia </w:t>
            </w:r>
          </w:p>
        </w:tc>
      </w:tr>
      <w:tr w:rsidR="00E905E4" w:rsidRPr="00D045B3" w14:paraId="1E927654"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52"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53"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Hyperkalaemia, hypomagnesaemia </w:t>
            </w:r>
          </w:p>
        </w:tc>
      </w:tr>
      <w:tr w:rsidR="00E905E4" w:rsidRPr="00D045B3" w14:paraId="1E927656"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55" w14:textId="77777777" w:rsidR="00E905E4" w:rsidRPr="00D045B3" w:rsidRDefault="00E905E4" w:rsidP="00634196">
            <w:pPr>
              <w:pStyle w:val="KeinLeerraum"/>
              <w:keepNext/>
              <w:rPr>
                <w:rFonts w:ascii="Times New Roman" w:hAnsi="Times New Roman"/>
                <w:b/>
              </w:rPr>
            </w:pPr>
            <w:r w:rsidRPr="00D045B3">
              <w:rPr>
                <w:rFonts w:ascii="Times New Roman" w:hAnsi="Times New Roman"/>
                <w:b/>
              </w:rPr>
              <w:t xml:space="preserve">Pszichiátriai kórképek </w:t>
            </w:r>
          </w:p>
        </w:tc>
      </w:tr>
      <w:tr w:rsidR="00E905E4" w:rsidRPr="00D045B3" w14:paraId="1E927659"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57"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58" w14:textId="77777777" w:rsidR="00E905E4" w:rsidRPr="00D045B3" w:rsidRDefault="00E905E4" w:rsidP="00634196">
            <w:pPr>
              <w:pStyle w:val="KeinLeerraum"/>
              <w:keepNext/>
              <w:rPr>
                <w:rFonts w:ascii="Times New Roman" w:hAnsi="Times New Roman"/>
              </w:rPr>
            </w:pPr>
            <w:r w:rsidRPr="00D045B3">
              <w:rPr>
                <w:rFonts w:ascii="Times New Roman" w:hAnsi="Times New Roman"/>
              </w:rPr>
              <w:t xml:space="preserve">Insomnia </w:t>
            </w:r>
          </w:p>
        </w:tc>
      </w:tr>
      <w:tr w:rsidR="00E905E4" w:rsidRPr="00D045B3" w14:paraId="1E92765C"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5A"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5B"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Depresszió, csökkent libidó, szorongás </w:t>
            </w:r>
          </w:p>
        </w:tc>
      </w:tr>
      <w:tr w:rsidR="00E905E4" w:rsidRPr="00D045B3" w14:paraId="1E92765F"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5D"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5E"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Zavart állapot </w:t>
            </w:r>
          </w:p>
        </w:tc>
      </w:tr>
      <w:tr w:rsidR="00E905E4" w:rsidRPr="00D045B3" w14:paraId="1E927661"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60"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Idegrendszeri betegségek és tünetek </w:t>
            </w:r>
          </w:p>
        </w:tc>
      </w:tr>
      <w:tr w:rsidR="00E905E4" w:rsidRPr="00D045B3" w14:paraId="1E927664" w14:textId="77777777" w:rsidTr="00634196">
        <w:trPr>
          <w:trHeight w:val="122"/>
        </w:trPr>
        <w:tc>
          <w:tcPr>
            <w:tcW w:w="2552" w:type="dxa"/>
            <w:tcBorders>
              <w:top w:val="single" w:sz="4" w:space="0" w:color="auto"/>
              <w:left w:val="single" w:sz="4" w:space="0" w:color="auto"/>
              <w:bottom w:val="single" w:sz="4" w:space="0" w:color="auto"/>
              <w:right w:val="single" w:sz="4" w:space="0" w:color="auto"/>
            </w:tcBorders>
          </w:tcPr>
          <w:p w14:paraId="1E927662"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663" w14:textId="77777777" w:rsidR="00E905E4" w:rsidRPr="00D045B3" w:rsidRDefault="00E905E4" w:rsidP="00634196">
            <w:pPr>
              <w:pStyle w:val="KeinLeerraum"/>
              <w:rPr>
                <w:rFonts w:ascii="Times New Roman" w:hAnsi="Times New Roman"/>
              </w:rPr>
            </w:pPr>
            <w:r w:rsidRPr="00D045B3">
              <w:rPr>
                <w:rFonts w:ascii="Times New Roman" w:hAnsi="Times New Roman"/>
              </w:rPr>
              <w:t>Fejfájás</w:t>
            </w:r>
            <w:r w:rsidRPr="00D045B3">
              <w:rPr>
                <w:rFonts w:ascii="Times New Roman" w:hAnsi="Times New Roman"/>
                <w:vertAlign w:val="superscript"/>
              </w:rPr>
              <w:t>2</w:t>
            </w:r>
            <w:r w:rsidRPr="00D045B3">
              <w:rPr>
                <w:rFonts w:ascii="Times New Roman" w:hAnsi="Times New Roman"/>
              </w:rPr>
              <w:t xml:space="preserve"> </w:t>
            </w:r>
          </w:p>
        </w:tc>
      </w:tr>
      <w:tr w:rsidR="00E905E4" w:rsidRPr="00D045B3" w14:paraId="1E927667"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65"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66"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Szédülés, paraesthesia, az ízérzés zavarai, hypaesthesia </w:t>
            </w:r>
          </w:p>
        </w:tc>
      </w:tr>
      <w:tr w:rsidR="00E905E4" w:rsidRPr="00D045B3" w14:paraId="1E92766A" w14:textId="77777777" w:rsidTr="00634196">
        <w:trPr>
          <w:trHeight w:val="230"/>
        </w:trPr>
        <w:tc>
          <w:tcPr>
            <w:tcW w:w="2552" w:type="dxa"/>
            <w:tcBorders>
              <w:top w:val="single" w:sz="4" w:space="0" w:color="auto"/>
              <w:left w:val="single" w:sz="4" w:space="0" w:color="auto"/>
              <w:bottom w:val="single" w:sz="4" w:space="0" w:color="auto"/>
              <w:right w:val="single" w:sz="4" w:space="0" w:color="auto"/>
            </w:tcBorders>
          </w:tcPr>
          <w:p w14:paraId="1E927668"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69"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Migrén, aluszékonyság, ájulás, peripheriás neuropathia, memóriazavar, ischias, nyugtalan láb szindróma, tremor, agyvérzés </w:t>
            </w:r>
          </w:p>
        </w:tc>
      </w:tr>
      <w:tr w:rsidR="00E905E4" w:rsidRPr="00D045B3" w14:paraId="1E92766D"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6B"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6C"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A koponyaűri nyomásfokozódás, convulsio, opticus neuritis </w:t>
            </w:r>
          </w:p>
        </w:tc>
      </w:tr>
      <w:tr w:rsidR="00E905E4" w:rsidRPr="00D045B3" w14:paraId="1E927670"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6E"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6F"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Cerebralis oedema*</w:t>
            </w:r>
          </w:p>
        </w:tc>
      </w:tr>
      <w:tr w:rsidR="00E905E4" w:rsidRPr="00D045B3" w14:paraId="1E927672"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71"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Szembetegségek és szemészeti tünetek </w:t>
            </w:r>
          </w:p>
        </w:tc>
      </w:tr>
      <w:tr w:rsidR="00E905E4" w:rsidRPr="00D045B3" w14:paraId="1E927675" w14:textId="77777777" w:rsidTr="00634196">
        <w:trPr>
          <w:trHeight w:val="231"/>
        </w:trPr>
        <w:tc>
          <w:tcPr>
            <w:tcW w:w="2552" w:type="dxa"/>
            <w:tcBorders>
              <w:top w:val="single" w:sz="4" w:space="0" w:color="auto"/>
              <w:left w:val="single" w:sz="4" w:space="0" w:color="auto"/>
              <w:bottom w:val="single" w:sz="4" w:space="0" w:color="auto"/>
              <w:right w:val="single" w:sz="4" w:space="0" w:color="auto"/>
            </w:tcBorders>
          </w:tcPr>
          <w:p w14:paraId="1E927673"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74" w14:textId="77777777" w:rsidR="00E905E4" w:rsidRPr="00D045B3" w:rsidRDefault="00E905E4" w:rsidP="00634196">
            <w:pPr>
              <w:pStyle w:val="KeinLeerraum"/>
              <w:rPr>
                <w:rFonts w:ascii="Times New Roman" w:hAnsi="Times New Roman"/>
              </w:rPr>
            </w:pPr>
            <w:r w:rsidRPr="00D045B3">
              <w:rPr>
                <w:rFonts w:ascii="Times New Roman" w:hAnsi="Times New Roman"/>
              </w:rPr>
              <w:t>Szemhéjödéma, könnyezés, kötőhártya</w:t>
            </w:r>
            <w:r w:rsidRPr="00D045B3">
              <w:rPr>
                <w:rFonts w:ascii="Times New Roman" w:hAnsi="Times New Roman"/>
              </w:rPr>
              <w:noBreakHyphen/>
              <w:t xml:space="preserve">bevérzés, conjunctivitis, szemszárazság, homályos látás </w:t>
            </w:r>
          </w:p>
        </w:tc>
      </w:tr>
      <w:tr w:rsidR="00E905E4" w:rsidRPr="00D045B3" w14:paraId="1E927678" w14:textId="77777777" w:rsidTr="00634196">
        <w:trPr>
          <w:trHeight w:val="231"/>
        </w:trPr>
        <w:tc>
          <w:tcPr>
            <w:tcW w:w="2552" w:type="dxa"/>
            <w:tcBorders>
              <w:top w:val="single" w:sz="4" w:space="0" w:color="auto"/>
              <w:left w:val="single" w:sz="4" w:space="0" w:color="auto"/>
              <w:bottom w:val="single" w:sz="4" w:space="0" w:color="auto"/>
              <w:right w:val="single" w:sz="4" w:space="0" w:color="auto"/>
            </w:tcBorders>
          </w:tcPr>
          <w:p w14:paraId="1E927676"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77"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A szem irritációja, a szem fájdalma, orbitaoedema, sclera-bevérzés, retina-bevérzés, blepharitis, maculaödéma </w:t>
            </w:r>
          </w:p>
        </w:tc>
      </w:tr>
      <w:tr w:rsidR="00E905E4" w:rsidRPr="00D045B3" w14:paraId="1E92767B"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79"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7A"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Cataracta, glaucoma, papillaoedema </w:t>
            </w:r>
          </w:p>
        </w:tc>
      </w:tr>
      <w:tr w:rsidR="00E905E4" w:rsidRPr="00D045B3" w14:paraId="1E92767E"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7C"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7D"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Üvegtesti vérzés*</w:t>
            </w:r>
          </w:p>
        </w:tc>
      </w:tr>
      <w:tr w:rsidR="00E905E4" w:rsidRPr="00D045B3" w14:paraId="1E927680"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7F"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A fül és az egyensúly-érzékelő szerv betegségei és tünetei </w:t>
            </w:r>
          </w:p>
        </w:tc>
      </w:tr>
      <w:tr w:rsidR="00E905E4" w:rsidRPr="00D045B3" w14:paraId="1E927683"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81"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82"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Vertigo, tinnitus, halláscsökkenés </w:t>
            </w:r>
          </w:p>
        </w:tc>
      </w:tr>
      <w:tr w:rsidR="00E905E4" w:rsidRPr="00D045B3" w14:paraId="1E927685"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84"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Szívbetegségek és a szívvel kapcsolatos tünetek </w:t>
            </w:r>
          </w:p>
        </w:tc>
      </w:tr>
      <w:tr w:rsidR="00E905E4" w:rsidRPr="00D045B3" w14:paraId="1E927688" w14:textId="77777777" w:rsidTr="00634196">
        <w:trPr>
          <w:trHeight w:val="122"/>
        </w:trPr>
        <w:tc>
          <w:tcPr>
            <w:tcW w:w="2552" w:type="dxa"/>
            <w:tcBorders>
              <w:top w:val="single" w:sz="4" w:space="0" w:color="auto"/>
              <w:left w:val="single" w:sz="4" w:space="0" w:color="auto"/>
              <w:bottom w:val="single" w:sz="4" w:space="0" w:color="auto"/>
              <w:right w:val="single" w:sz="4" w:space="0" w:color="auto"/>
            </w:tcBorders>
          </w:tcPr>
          <w:p w14:paraId="1E927686"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87" w14:textId="77777777" w:rsidR="00E905E4" w:rsidRPr="00D045B3" w:rsidRDefault="00E905E4" w:rsidP="00634196">
            <w:pPr>
              <w:pStyle w:val="KeinLeerraum"/>
              <w:rPr>
                <w:rFonts w:ascii="Times New Roman" w:hAnsi="Times New Roman"/>
              </w:rPr>
            </w:pPr>
            <w:r w:rsidRPr="00D045B3">
              <w:rPr>
                <w:rFonts w:ascii="Times New Roman" w:hAnsi="Times New Roman"/>
              </w:rPr>
              <w:t>Palpitatio, tachycardia, pangásos szívelégtelenség</w:t>
            </w:r>
            <w:r w:rsidRPr="00D045B3">
              <w:rPr>
                <w:rFonts w:ascii="Times New Roman" w:hAnsi="Times New Roman"/>
                <w:vertAlign w:val="superscript"/>
              </w:rPr>
              <w:t>3</w:t>
            </w:r>
            <w:r w:rsidRPr="00D045B3">
              <w:rPr>
                <w:rFonts w:ascii="Times New Roman" w:hAnsi="Times New Roman"/>
              </w:rPr>
              <w:t xml:space="preserve">, tüdőoedema </w:t>
            </w:r>
          </w:p>
        </w:tc>
      </w:tr>
      <w:tr w:rsidR="00E905E4" w:rsidRPr="00D045B3" w14:paraId="1E92768B" w14:textId="77777777" w:rsidTr="00634196">
        <w:trPr>
          <w:trHeight w:val="230"/>
        </w:trPr>
        <w:tc>
          <w:tcPr>
            <w:tcW w:w="2552" w:type="dxa"/>
            <w:tcBorders>
              <w:top w:val="single" w:sz="4" w:space="0" w:color="auto"/>
              <w:left w:val="single" w:sz="4" w:space="0" w:color="auto"/>
              <w:bottom w:val="single" w:sz="4" w:space="0" w:color="auto"/>
              <w:right w:val="single" w:sz="4" w:space="0" w:color="auto"/>
            </w:tcBorders>
          </w:tcPr>
          <w:p w14:paraId="1E927689"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8A"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Arrhythmia, pitvarfibrilláció, szívmegállás, szívinfarktus, angina pectoris, pericardialis folyadékgyülem </w:t>
            </w:r>
          </w:p>
        </w:tc>
      </w:tr>
      <w:tr w:rsidR="00E905E4" w:rsidRPr="00D045B3" w14:paraId="1E92768E"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8C"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8D"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Pericarditis*, szívtamponád*</w:t>
            </w:r>
          </w:p>
        </w:tc>
      </w:tr>
      <w:tr w:rsidR="00E905E4" w:rsidRPr="00D045B3" w14:paraId="1E927690" w14:textId="77777777" w:rsidTr="00634196">
        <w:trPr>
          <w:trHeight w:val="121"/>
        </w:trPr>
        <w:tc>
          <w:tcPr>
            <w:tcW w:w="9072" w:type="dxa"/>
            <w:gridSpan w:val="2"/>
            <w:tcBorders>
              <w:top w:val="single" w:sz="4" w:space="0" w:color="auto"/>
              <w:left w:val="single" w:sz="4" w:space="0" w:color="auto"/>
              <w:bottom w:val="single" w:sz="4" w:space="0" w:color="auto"/>
              <w:right w:val="single" w:sz="4" w:space="0" w:color="auto"/>
            </w:tcBorders>
          </w:tcPr>
          <w:p w14:paraId="1E92768F" w14:textId="77777777" w:rsidR="00E905E4" w:rsidRPr="00D045B3" w:rsidRDefault="00E905E4" w:rsidP="00634196">
            <w:pPr>
              <w:pStyle w:val="KeinLeerraum"/>
              <w:rPr>
                <w:rFonts w:ascii="Times New Roman" w:hAnsi="Times New Roman"/>
                <w:b/>
              </w:rPr>
            </w:pPr>
            <w:r w:rsidRPr="00D045B3">
              <w:rPr>
                <w:rFonts w:ascii="Times New Roman" w:hAnsi="Times New Roman"/>
                <w:b/>
              </w:rPr>
              <w:t>Érbetegségek és tünetek</w:t>
            </w:r>
            <w:r w:rsidRPr="00D045B3">
              <w:rPr>
                <w:rFonts w:ascii="Times New Roman" w:hAnsi="Times New Roman"/>
                <w:b/>
                <w:vertAlign w:val="superscript"/>
              </w:rPr>
              <w:t>4</w:t>
            </w:r>
            <w:r w:rsidRPr="00D045B3">
              <w:rPr>
                <w:rFonts w:ascii="Times New Roman" w:hAnsi="Times New Roman"/>
                <w:b/>
              </w:rPr>
              <w:t xml:space="preserve"> </w:t>
            </w:r>
          </w:p>
        </w:tc>
      </w:tr>
      <w:tr w:rsidR="00E905E4" w:rsidRPr="00D045B3" w14:paraId="1E927693"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91"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92"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Kipirulás, vérzés </w:t>
            </w:r>
          </w:p>
        </w:tc>
      </w:tr>
      <w:tr w:rsidR="00E905E4" w:rsidRPr="00D045B3" w14:paraId="1E927696"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94"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95" w14:textId="77777777" w:rsidR="00E905E4" w:rsidRPr="00D045B3" w:rsidRDefault="00E905E4" w:rsidP="00634196">
            <w:pPr>
              <w:pStyle w:val="KeinLeerraum"/>
              <w:rPr>
                <w:rFonts w:ascii="Times New Roman" w:hAnsi="Times New Roman"/>
              </w:rPr>
            </w:pPr>
            <w:r w:rsidRPr="00D045B3">
              <w:rPr>
                <w:rFonts w:ascii="Times New Roman" w:hAnsi="Times New Roman"/>
              </w:rPr>
              <w:t>Hypertonia, haematoma, subduralis haematoma, végtaghidegség, hypotonia, Raynaud</w:t>
            </w:r>
            <w:r w:rsidRPr="00D045B3">
              <w:rPr>
                <w:rFonts w:ascii="Times New Roman" w:hAnsi="Times New Roman"/>
              </w:rPr>
              <w:noBreakHyphen/>
              <w:t xml:space="preserve">jelenség </w:t>
            </w:r>
          </w:p>
        </w:tc>
      </w:tr>
      <w:tr w:rsidR="00E905E4" w:rsidRPr="00D045B3" w14:paraId="1E927699"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97"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98"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Thrombosis/embolia*</w:t>
            </w:r>
          </w:p>
        </w:tc>
      </w:tr>
      <w:tr w:rsidR="00E905E4" w:rsidRPr="00D045B3" w14:paraId="1E92769B"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9A"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Légzőrendszeri, mellkasi és mediastinalis betegségek és tünetek </w:t>
            </w:r>
          </w:p>
        </w:tc>
      </w:tr>
      <w:tr w:rsidR="00E905E4" w:rsidRPr="00D045B3" w14:paraId="1E92769E"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9C"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9D"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Dyspnoe, orrvérzés, köhögés </w:t>
            </w:r>
          </w:p>
        </w:tc>
      </w:tr>
      <w:tr w:rsidR="00E905E4" w:rsidRPr="00D045B3" w14:paraId="1E9276A1" w14:textId="77777777" w:rsidTr="00634196">
        <w:trPr>
          <w:trHeight w:val="122"/>
        </w:trPr>
        <w:tc>
          <w:tcPr>
            <w:tcW w:w="2552" w:type="dxa"/>
            <w:tcBorders>
              <w:top w:val="single" w:sz="4" w:space="0" w:color="auto"/>
              <w:left w:val="single" w:sz="4" w:space="0" w:color="auto"/>
              <w:bottom w:val="single" w:sz="4" w:space="0" w:color="auto"/>
              <w:right w:val="single" w:sz="4" w:space="0" w:color="auto"/>
            </w:tcBorders>
          </w:tcPr>
          <w:p w14:paraId="1E92769F"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A0" w14:textId="77777777" w:rsidR="00E905E4" w:rsidRPr="00D045B3" w:rsidRDefault="00E905E4" w:rsidP="00634196">
            <w:pPr>
              <w:pStyle w:val="KeinLeerraum"/>
              <w:rPr>
                <w:rFonts w:ascii="Times New Roman" w:hAnsi="Times New Roman"/>
              </w:rPr>
            </w:pPr>
            <w:r w:rsidRPr="00D045B3">
              <w:rPr>
                <w:rFonts w:ascii="Times New Roman" w:hAnsi="Times New Roman"/>
              </w:rPr>
              <w:t>Pleuralis folyadékgyülem</w:t>
            </w:r>
            <w:r w:rsidRPr="00D045B3">
              <w:rPr>
                <w:rFonts w:ascii="Times New Roman" w:hAnsi="Times New Roman"/>
                <w:vertAlign w:val="superscript"/>
              </w:rPr>
              <w:t>5</w:t>
            </w:r>
            <w:r w:rsidRPr="00D045B3">
              <w:rPr>
                <w:rFonts w:ascii="Times New Roman" w:hAnsi="Times New Roman"/>
              </w:rPr>
              <w:t xml:space="preserve">, pharyngolaryngealis fájdalom, pharyngitis </w:t>
            </w:r>
          </w:p>
        </w:tc>
      </w:tr>
      <w:tr w:rsidR="00E905E4" w:rsidRPr="00D045B3" w14:paraId="1E9276A4"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A2"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A3"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Pleuralis fájdalom, tüdőfibrosis, pulmonalis hypertonia, tüdővérzés </w:t>
            </w:r>
          </w:p>
        </w:tc>
      </w:tr>
      <w:tr w:rsidR="00E905E4" w:rsidRPr="00D045B3" w14:paraId="1E9276A7"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A5" w14:textId="77777777" w:rsidR="00E905E4" w:rsidRPr="00D045B3" w:rsidRDefault="00E905E4" w:rsidP="00634196">
            <w:pPr>
              <w:pStyle w:val="KeinLeerraum"/>
              <w:rPr>
                <w:rFonts w:ascii="Times New Roman" w:hAnsi="Times New Roman"/>
                <w:i/>
                <w:iCs/>
              </w:rPr>
            </w:pPr>
            <w:r w:rsidRPr="00D045B3">
              <w:rPr>
                <w:rFonts w:ascii="Times New Roman" w:hAnsi="Times New Roman"/>
                <w:i/>
                <w:iCs/>
              </w:rPr>
              <w:t>Nem ismert</w:t>
            </w:r>
          </w:p>
        </w:tc>
        <w:tc>
          <w:tcPr>
            <w:tcW w:w="6520" w:type="dxa"/>
            <w:tcBorders>
              <w:top w:val="single" w:sz="4" w:space="0" w:color="auto"/>
              <w:left w:val="single" w:sz="4" w:space="0" w:color="auto"/>
              <w:bottom w:val="single" w:sz="4" w:space="0" w:color="auto"/>
              <w:right w:val="single" w:sz="4" w:space="0" w:color="auto"/>
            </w:tcBorders>
          </w:tcPr>
          <w:p w14:paraId="1E9276A6" w14:textId="77777777" w:rsidR="00E905E4" w:rsidRPr="00D045B3" w:rsidRDefault="00E905E4" w:rsidP="00634196">
            <w:pPr>
              <w:pStyle w:val="KeinLeerraum"/>
              <w:rPr>
                <w:rFonts w:ascii="Times New Roman" w:hAnsi="Times New Roman"/>
              </w:rPr>
            </w:pPr>
            <w:r w:rsidRPr="00D045B3">
              <w:rPr>
                <w:rFonts w:ascii="Times New Roman" w:hAnsi="Times New Roman"/>
              </w:rPr>
              <w:t>Akut légzési elégtelenség</w:t>
            </w:r>
            <w:r w:rsidRPr="00D045B3">
              <w:rPr>
                <w:rFonts w:ascii="Times New Roman" w:hAnsi="Times New Roman"/>
                <w:vertAlign w:val="superscript"/>
              </w:rPr>
              <w:t>1</w:t>
            </w:r>
            <w:r w:rsidR="00DD711E" w:rsidRPr="00D045B3">
              <w:rPr>
                <w:rFonts w:ascii="Times New Roman" w:hAnsi="Times New Roman"/>
                <w:vertAlign w:val="superscript"/>
              </w:rPr>
              <w:t>1</w:t>
            </w:r>
            <w:r w:rsidRPr="00D045B3">
              <w:rPr>
                <w:rFonts w:ascii="Times New Roman" w:hAnsi="Times New Roman"/>
              </w:rPr>
              <w:t>*, interstitialis tüdőbetegség*</w:t>
            </w:r>
          </w:p>
        </w:tc>
      </w:tr>
      <w:tr w:rsidR="00E905E4" w:rsidRPr="00D045B3" w14:paraId="1E9276A9"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A8"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Emésztőrendszeri betegségek és tünetek </w:t>
            </w:r>
          </w:p>
        </w:tc>
      </w:tr>
      <w:tr w:rsidR="00E905E4" w:rsidRPr="00D045B3" w14:paraId="1E9276AC" w14:textId="77777777" w:rsidTr="00634196">
        <w:trPr>
          <w:trHeight w:val="122"/>
        </w:trPr>
        <w:tc>
          <w:tcPr>
            <w:tcW w:w="2552" w:type="dxa"/>
            <w:tcBorders>
              <w:top w:val="single" w:sz="4" w:space="0" w:color="auto"/>
              <w:left w:val="single" w:sz="4" w:space="0" w:color="auto"/>
              <w:bottom w:val="single" w:sz="4" w:space="0" w:color="auto"/>
              <w:right w:val="single" w:sz="4" w:space="0" w:color="auto"/>
            </w:tcBorders>
          </w:tcPr>
          <w:p w14:paraId="1E9276AA"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6AB" w14:textId="77777777" w:rsidR="00E905E4" w:rsidRPr="00D045B3" w:rsidRDefault="00E905E4" w:rsidP="00634196">
            <w:pPr>
              <w:pStyle w:val="KeinLeerraum"/>
              <w:rPr>
                <w:rFonts w:ascii="Times New Roman" w:hAnsi="Times New Roman"/>
              </w:rPr>
            </w:pPr>
            <w:r w:rsidRPr="00D045B3">
              <w:rPr>
                <w:rFonts w:ascii="Times New Roman" w:hAnsi="Times New Roman"/>
              </w:rPr>
              <w:t>Hányinger, hasmenés, hányás, dyspepsia, hasi fájdalom</w:t>
            </w:r>
            <w:r w:rsidRPr="00D045B3">
              <w:rPr>
                <w:rFonts w:ascii="Times New Roman" w:hAnsi="Times New Roman"/>
                <w:vertAlign w:val="superscript"/>
              </w:rPr>
              <w:t>6</w:t>
            </w:r>
            <w:r w:rsidRPr="00D045B3">
              <w:rPr>
                <w:rFonts w:ascii="Times New Roman" w:hAnsi="Times New Roman"/>
              </w:rPr>
              <w:t xml:space="preserve"> </w:t>
            </w:r>
          </w:p>
        </w:tc>
      </w:tr>
      <w:tr w:rsidR="00E905E4" w:rsidRPr="00D045B3" w14:paraId="1E9276AF" w14:textId="77777777" w:rsidTr="00634196">
        <w:trPr>
          <w:trHeight w:val="230"/>
        </w:trPr>
        <w:tc>
          <w:tcPr>
            <w:tcW w:w="2552" w:type="dxa"/>
            <w:tcBorders>
              <w:top w:val="single" w:sz="4" w:space="0" w:color="auto"/>
              <w:left w:val="single" w:sz="4" w:space="0" w:color="auto"/>
              <w:bottom w:val="single" w:sz="4" w:space="0" w:color="auto"/>
              <w:right w:val="single" w:sz="4" w:space="0" w:color="auto"/>
            </w:tcBorders>
          </w:tcPr>
          <w:p w14:paraId="1E9276AD"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AE" w14:textId="77777777" w:rsidR="00E905E4" w:rsidRPr="00D045B3" w:rsidRDefault="00E905E4" w:rsidP="00634196">
            <w:pPr>
              <w:pStyle w:val="KeinLeerraum"/>
              <w:rPr>
                <w:rFonts w:ascii="Times New Roman" w:hAnsi="Times New Roman"/>
              </w:rPr>
            </w:pPr>
            <w:r w:rsidRPr="00D045B3">
              <w:rPr>
                <w:rFonts w:ascii="Times New Roman" w:hAnsi="Times New Roman"/>
              </w:rPr>
              <w:t>Flatulentia, haspuffadás, gastro</w:t>
            </w:r>
            <w:r w:rsidRPr="00D045B3">
              <w:rPr>
                <w:rFonts w:ascii="Times New Roman" w:hAnsi="Times New Roman"/>
              </w:rPr>
              <w:noBreakHyphen/>
              <w:t xml:space="preserve">oesophagealis reflux, obstipatio, szájszárazság, gastritis </w:t>
            </w:r>
          </w:p>
        </w:tc>
      </w:tr>
      <w:tr w:rsidR="00E905E4" w:rsidRPr="00D045B3" w14:paraId="1E9276B2" w14:textId="77777777" w:rsidTr="00634196">
        <w:trPr>
          <w:trHeight w:val="381"/>
        </w:trPr>
        <w:tc>
          <w:tcPr>
            <w:tcW w:w="2552" w:type="dxa"/>
            <w:tcBorders>
              <w:top w:val="single" w:sz="4" w:space="0" w:color="auto"/>
              <w:left w:val="single" w:sz="4" w:space="0" w:color="auto"/>
              <w:bottom w:val="single" w:sz="4" w:space="0" w:color="auto"/>
              <w:right w:val="single" w:sz="4" w:space="0" w:color="auto"/>
            </w:tcBorders>
          </w:tcPr>
          <w:p w14:paraId="1E9276B0"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B1" w14:textId="77777777" w:rsidR="00E905E4" w:rsidRPr="00D045B3" w:rsidRDefault="00E905E4" w:rsidP="00634196">
            <w:pPr>
              <w:pStyle w:val="KeinLeerraum"/>
              <w:rPr>
                <w:rFonts w:ascii="Times New Roman" w:hAnsi="Times New Roman"/>
              </w:rPr>
            </w:pPr>
            <w:r w:rsidRPr="00D045B3">
              <w:rPr>
                <w:rFonts w:ascii="Times New Roman" w:hAnsi="Times New Roman"/>
              </w:rPr>
              <w:t>Stomatitis, szájüregi fekélyek, gastrointestinalis vérzés</w:t>
            </w:r>
            <w:r w:rsidRPr="00D045B3">
              <w:rPr>
                <w:rFonts w:ascii="Times New Roman" w:hAnsi="Times New Roman"/>
                <w:vertAlign w:val="superscript"/>
              </w:rPr>
              <w:t>7</w:t>
            </w:r>
            <w:r w:rsidRPr="00D045B3">
              <w:rPr>
                <w:rFonts w:ascii="Times New Roman" w:hAnsi="Times New Roman"/>
              </w:rPr>
              <w:t xml:space="preserve">, eructatio, melaena, oesophagitis, ascites, gyomorfekély, haematemesis, cheilitis, dysphagia, pancreatitis </w:t>
            </w:r>
          </w:p>
        </w:tc>
      </w:tr>
      <w:tr w:rsidR="00E905E4" w:rsidRPr="00D045B3" w14:paraId="1E9276B5"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B3"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B4"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Colitis, ileus, gyulladásos bélbetegség </w:t>
            </w:r>
          </w:p>
        </w:tc>
      </w:tr>
      <w:tr w:rsidR="00E905E4" w:rsidRPr="00D045B3" w14:paraId="1E9276B8"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B6"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B7"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Ileus/bélelzáródás*, gastrointestinalis perforáció*, diverticulitis*, gastricus antralis vascularis ectasia (GAVE)*</w:t>
            </w:r>
          </w:p>
        </w:tc>
      </w:tr>
      <w:tr w:rsidR="00E905E4" w:rsidRPr="00D045B3" w14:paraId="1E9276BA"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B9"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Máj- és epebetegségek, illetve tünetek </w:t>
            </w:r>
          </w:p>
        </w:tc>
      </w:tr>
      <w:tr w:rsidR="00E905E4" w:rsidRPr="00D045B3" w14:paraId="1E9276BD"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BB"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BC"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A májenzimek szintjének emelkedése </w:t>
            </w:r>
          </w:p>
        </w:tc>
      </w:tr>
      <w:tr w:rsidR="00E905E4" w:rsidRPr="00D045B3" w14:paraId="1E9276C0"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BE"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BF"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Hyperbilirubinaemia, hepatitis, icterus </w:t>
            </w:r>
          </w:p>
        </w:tc>
      </w:tr>
      <w:tr w:rsidR="00E905E4" w:rsidRPr="00D045B3" w14:paraId="1E9276C3" w14:textId="77777777" w:rsidTr="00634196">
        <w:trPr>
          <w:trHeight w:val="122"/>
        </w:trPr>
        <w:tc>
          <w:tcPr>
            <w:tcW w:w="2552" w:type="dxa"/>
            <w:tcBorders>
              <w:top w:val="single" w:sz="4" w:space="0" w:color="auto"/>
              <w:left w:val="single" w:sz="4" w:space="0" w:color="auto"/>
              <w:bottom w:val="single" w:sz="4" w:space="0" w:color="auto"/>
              <w:right w:val="single" w:sz="4" w:space="0" w:color="auto"/>
            </w:tcBorders>
          </w:tcPr>
          <w:p w14:paraId="1E9276C1"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C2" w14:textId="77777777" w:rsidR="00E905E4" w:rsidRPr="00D045B3" w:rsidRDefault="00E905E4" w:rsidP="00634196">
            <w:pPr>
              <w:pStyle w:val="KeinLeerraum"/>
              <w:rPr>
                <w:rFonts w:ascii="Times New Roman" w:hAnsi="Times New Roman"/>
              </w:rPr>
            </w:pPr>
            <w:r w:rsidRPr="00D045B3">
              <w:rPr>
                <w:rFonts w:ascii="Times New Roman" w:hAnsi="Times New Roman"/>
              </w:rPr>
              <w:t>Májelégtelenség</w:t>
            </w:r>
            <w:r w:rsidRPr="00D045B3">
              <w:rPr>
                <w:rFonts w:ascii="Times New Roman" w:hAnsi="Times New Roman"/>
                <w:vertAlign w:val="superscript"/>
              </w:rPr>
              <w:t>8</w:t>
            </w:r>
            <w:r w:rsidRPr="00D045B3">
              <w:rPr>
                <w:rFonts w:ascii="Times New Roman" w:hAnsi="Times New Roman"/>
              </w:rPr>
              <w:t xml:space="preserve">, májnecrosis </w:t>
            </w:r>
          </w:p>
        </w:tc>
      </w:tr>
      <w:tr w:rsidR="00E905E4" w:rsidRPr="00D045B3" w14:paraId="1E9276C5"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C4"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A bőr és a bőr alatti szövet betegségei és tünetei </w:t>
            </w:r>
          </w:p>
        </w:tc>
      </w:tr>
      <w:tr w:rsidR="00E905E4" w:rsidRPr="00D045B3" w14:paraId="1E9276C8"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C6"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6C7"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Periorbitalis oedema, dermatitis/ekzema/bőrkiütés </w:t>
            </w:r>
          </w:p>
        </w:tc>
      </w:tr>
      <w:tr w:rsidR="00E905E4" w:rsidRPr="00D045B3" w14:paraId="1E9276CB" w14:textId="77777777" w:rsidTr="00634196">
        <w:trPr>
          <w:trHeight w:val="231"/>
        </w:trPr>
        <w:tc>
          <w:tcPr>
            <w:tcW w:w="2552" w:type="dxa"/>
            <w:tcBorders>
              <w:top w:val="single" w:sz="4" w:space="0" w:color="auto"/>
              <w:left w:val="single" w:sz="4" w:space="0" w:color="auto"/>
              <w:bottom w:val="single" w:sz="4" w:space="0" w:color="auto"/>
              <w:right w:val="single" w:sz="4" w:space="0" w:color="auto"/>
            </w:tcBorders>
          </w:tcPr>
          <w:p w14:paraId="1E9276C9"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CA"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Pruritus, arcoedema, bőrszárazság, erythema, alopecia, éjszakai izzadás, fényérzékenységi reakció </w:t>
            </w:r>
          </w:p>
        </w:tc>
      </w:tr>
      <w:tr w:rsidR="00E905E4" w:rsidRPr="00D045B3" w14:paraId="1E9276CE" w14:textId="77777777" w:rsidTr="00634196">
        <w:trPr>
          <w:trHeight w:val="490"/>
        </w:trPr>
        <w:tc>
          <w:tcPr>
            <w:tcW w:w="2552" w:type="dxa"/>
            <w:tcBorders>
              <w:top w:val="single" w:sz="4" w:space="0" w:color="auto"/>
              <w:left w:val="single" w:sz="4" w:space="0" w:color="auto"/>
              <w:bottom w:val="single" w:sz="4" w:space="0" w:color="auto"/>
              <w:right w:val="single" w:sz="4" w:space="0" w:color="auto"/>
            </w:tcBorders>
          </w:tcPr>
          <w:p w14:paraId="1E9276CC"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CD"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Pustulosus bőrkiütés, véraláfutás, fokozott izzadás, urticaria, ecchymosis, bőrvérzések, hypotrichosis, bőr hypopigmentatio, exfoliatív dermatitis, onychoclasia, folliculitis, petechiák, psoriasis, purpura, bőr hyperpigmentatio, bullosus bőrkiütés </w:t>
            </w:r>
          </w:p>
        </w:tc>
      </w:tr>
      <w:tr w:rsidR="00E905E4" w:rsidRPr="00D045B3" w14:paraId="1E9276D1" w14:textId="77777777" w:rsidTr="00634196">
        <w:trPr>
          <w:trHeight w:val="490"/>
        </w:trPr>
        <w:tc>
          <w:tcPr>
            <w:tcW w:w="2552" w:type="dxa"/>
            <w:tcBorders>
              <w:top w:val="single" w:sz="4" w:space="0" w:color="auto"/>
              <w:left w:val="single" w:sz="4" w:space="0" w:color="auto"/>
              <w:bottom w:val="single" w:sz="4" w:space="0" w:color="auto"/>
              <w:right w:val="single" w:sz="4" w:space="0" w:color="auto"/>
            </w:tcBorders>
          </w:tcPr>
          <w:p w14:paraId="1E9276CF"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D0" w14:textId="71A68E5F" w:rsidR="00E905E4" w:rsidRPr="00D045B3" w:rsidRDefault="00E905E4" w:rsidP="002274AF">
            <w:pPr>
              <w:pStyle w:val="KeinLeerraum"/>
              <w:rPr>
                <w:rFonts w:ascii="Times New Roman" w:hAnsi="Times New Roman"/>
              </w:rPr>
            </w:pPr>
            <w:r w:rsidRPr="00D045B3">
              <w:rPr>
                <w:rFonts w:ascii="Times New Roman" w:hAnsi="Times New Roman"/>
              </w:rPr>
              <w:t>Akut lázas neutrophil dermatosis (Sweet</w:t>
            </w:r>
            <w:r w:rsidRPr="00D045B3">
              <w:rPr>
                <w:rFonts w:ascii="Times New Roman" w:hAnsi="Times New Roman"/>
              </w:rPr>
              <w:noBreakHyphen/>
              <w:t xml:space="preserve">szindróma), a körmök elszíneződése, angiooedema, </w:t>
            </w:r>
            <w:r w:rsidR="002274AF" w:rsidRPr="00D045B3">
              <w:rPr>
                <w:rFonts w:ascii="Times New Roman" w:hAnsi="Times New Roman"/>
              </w:rPr>
              <w:t xml:space="preserve">vesicularis </w:t>
            </w:r>
            <w:r w:rsidRPr="00D045B3">
              <w:rPr>
                <w:rFonts w:ascii="Times New Roman" w:hAnsi="Times New Roman"/>
              </w:rPr>
              <w:t>bőrkiütés, erythema multiforme, leukocytoclasticus vasculitis, Stevens</w:t>
            </w:r>
            <w:r w:rsidRPr="00D045B3">
              <w:rPr>
                <w:rFonts w:ascii="Times New Roman" w:hAnsi="Times New Roman"/>
              </w:rPr>
              <w:noBreakHyphen/>
              <w:t xml:space="preserve">Johnson-szindróma, akut, generalizált exanthematosus pustulosis (AGEP) </w:t>
            </w:r>
          </w:p>
        </w:tc>
      </w:tr>
      <w:tr w:rsidR="00E905E4" w:rsidRPr="00D045B3" w14:paraId="1E9276D4"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D2"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D3" w14:textId="77777777" w:rsidR="00E905E4" w:rsidRPr="00D045B3" w:rsidRDefault="00E905E4" w:rsidP="00190CF7">
            <w:pPr>
              <w:pStyle w:val="Default"/>
              <w:rPr>
                <w:sz w:val="22"/>
                <w:szCs w:val="22"/>
              </w:rPr>
            </w:pPr>
            <w:r w:rsidRPr="00D045B3">
              <w:rPr>
                <w:sz w:val="22"/>
                <w:szCs w:val="22"/>
              </w:rPr>
              <w:t>Palmo</w:t>
            </w:r>
            <w:r w:rsidRPr="00D045B3">
              <w:rPr>
                <w:sz w:val="22"/>
                <w:szCs w:val="22"/>
              </w:rPr>
              <w:noBreakHyphen/>
              <w:t>plantaris erythrodysaesthesia szindróma*, lichenoid keratosis*, lichen planus*, toxicus epidermalis necrolysis*, eosinophiliával és szisztémás tünetekkel járó, gyógyszer okozta kiütés (DRESS)*</w:t>
            </w:r>
            <w:r w:rsidR="00EB14FB" w:rsidRPr="00D045B3">
              <w:rPr>
                <w:sz w:val="22"/>
                <w:szCs w:val="22"/>
              </w:rPr>
              <w:t>, pseudoporphyria*</w:t>
            </w:r>
            <w:r w:rsidRPr="00D045B3">
              <w:rPr>
                <w:sz w:val="22"/>
                <w:szCs w:val="22"/>
              </w:rPr>
              <w:t xml:space="preserve"> </w:t>
            </w:r>
          </w:p>
        </w:tc>
      </w:tr>
      <w:tr w:rsidR="00E905E4" w:rsidRPr="00D045B3" w14:paraId="1E9276D6"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D5" w14:textId="77777777" w:rsidR="00E905E4" w:rsidRPr="00D045B3" w:rsidRDefault="00E905E4" w:rsidP="00634196">
            <w:pPr>
              <w:pStyle w:val="KeinLeerraum"/>
              <w:keepNext/>
              <w:rPr>
                <w:rFonts w:ascii="Times New Roman" w:hAnsi="Times New Roman"/>
                <w:b/>
              </w:rPr>
            </w:pPr>
            <w:r w:rsidRPr="00D045B3">
              <w:rPr>
                <w:rFonts w:ascii="Times New Roman" w:hAnsi="Times New Roman"/>
                <w:b/>
              </w:rPr>
              <w:t xml:space="preserve">A csont- és izomrendszer, valamint a kötőszövet betegségei és tünetei </w:t>
            </w:r>
          </w:p>
        </w:tc>
      </w:tr>
      <w:tr w:rsidR="00E905E4" w:rsidRPr="00D045B3" w14:paraId="1E9276D9" w14:textId="77777777" w:rsidTr="00634196">
        <w:trPr>
          <w:trHeight w:val="230"/>
        </w:trPr>
        <w:tc>
          <w:tcPr>
            <w:tcW w:w="2552" w:type="dxa"/>
            <w:tcBorders>
              <w:top w:val="single" w:sz="4" w:space="0" w:color="auto"/>
              <w:left w:val="single" w:sz="4" w:space="0" w:color="auto"/>
              <w:bottom w:val="single" w:sz="4" w:space="0" w:color="auto"/>
              <w:right w:val="single" w:sz="4" w:space="0" w:color="auto"/>
            </w:tcBorders>
          </w:tcPr>
          <w:p w14:paraId="1E9276D7" w14:textId="77777777" w:rsidR="00E905E4" w:rsidRPr="00D045B3" w:rsidRDefault="00E905E4" w:rsidP="00634196">
            <w:pPr>
              <w:pStyle w:val="KeinLeerraum"/>
              <w:keepNext/>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6D8" w14:textId="77777777" w:rsidR="00E905E4" w:rsidRPr="00D045B3" w:rsidRDefault="00E905E4" w:rsidP="00DD711E">
            <w:pPr>
              <w:pStyle w:val="KeinLeerraum"/>
              <w:keepNext/>
              <w:rPr>
                <w:rFonts w:ascii="Times New Roman" w:hAnsi="Times New Roman"/>
              </w:rPr>
            </w:pPr>
            <w:r w:rsidRPr="00D045B3">
              <w:rPr>
                <w:rFonts w:ascii="Times New Roman" w:hAnsi="Times New Roman"/>
              </w:rPr>
              <w:t>Izomspazmus és görcs, musculoskeletalis fájdalom beleértve a myalgiát</w:t>
            </w:r>
            <w:r w:rsidR="00DD711E" w:rsidRPr="00D045B3">
              <w:rPr>
                <w:rFonts w:ascii="Times New Roman" w:hAnsi="Times New Roman"/>
                <w:vertAlign w:val="superscript"/>
              </w:rPr>
              <w:t>9</w:t>
            </w:r>
            <w:r w:rsidRPr="00D045B3">
              <w:rPr>
                <w:rFonts w:ascii="Times New Roman" w:hAnsi="Times New Roman"/>
              </w:rPr>
              <w:t>, arthralgiát és a csontfájdalmat</w:t>
            </w:r>
            <w:r w:rsidR="00DD711E" w:rsidRPr="00D045B3">
              <w:rPr>
                <w:rFonts w:ascii="Times New Roman" w:hAnsi="Times New Roman"/>
                <w:vertAlign w:val="superscript"/>
              </w:rPr>
              <w:t>10</w:t>
            </w:r>
            <w:r w:rsidRPr="00D045B3">
              <w:rPr>
                <w:rFonts w:ascii="Times New Roman" w:hAnsi="Times New Roman"/>
              </w:rPr>
              <w:t xml:space="preserve"> </w:t>
            </w:r>
          </w:p>
        </w:tc>
      </w:tr>
      <w:tr w:rsidR="00E905E4" w:rsidRPr="00D045B3" w14:paraId="1E9276DC"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DA"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DB"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Ízületi duzzanat </w:t>
            </w:r>
          </w:p>
        </w:tc>
      </w:tr>
      <w:tr w:rsidR="00E905E4" w:rsidRPr="00D045B3" w14:paraId="1E9276DF"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DD"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DE"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Izom- és ízületi merevség </w:t>
            </w:r>
          </w:p>
        </w:tc>
      </w:tr>
      <w:tr w:rsidR="00E905E4" w:rsidRPr="00D045B3" w14:paraId="1E9276E2"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E0"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E1"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Izomgyengeség, arthritis, rhabdomyolysis/myopathia </w:t>
            </w:r>
          </w:p>
        </w:tc>
      </w:tr>
      <w:tr w:rsidR="00E905E4" w:rsidRPr="00D045B3" w14:paraId="1E9276E5"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E3"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E4"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Avascularis necrosis/csípő necrosis*, retardált növekedés gyermekeknél *</w:t>
            </w:r>
          </w:p>
        </w:tc>
      </w:tr>
      <w:tr w:rsidR="00E905E4" w:rsidRPr="00D045B3" w14:paraId="1E9276E7"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E6"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Vese- és húgyúti betegségek és tünetek </w:t>
            </w:r>
          </w:p>
        </w:tc>
      </w:tr>
      <w:tr w:rsidR="00E905E4" w:rsidRPr="00D045B3" w14:paraId="1E9276EA"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E8"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E9"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Vesefájdalmak, haematuria, akut veseelégtelenség, gyakori vizelés </w:t>
            </w:r>
          </w:p>
        </w:tc>
      </w:tr>
      <w:tr w:rsidR="00E905E4" w:rsidRPr="00D045B3" w14:paraId="1E9276ED" w14:textId="77777777" w:rsidTr="006341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52" w:type="dxa"/>
          </w:tcPr>
          <w:p w14:paraId="1E9276EB" w14:textId="77777777" w:rsidR="00E905E4" w:rsidRPr="00D045B3" w:rsidRDefault="00E905E4" w:rsidP="00634196">
            <w:pPr>
              <w:autoSpaceDE w:val="0"/>
              <w:autoSpaceDN w:val="0"/>
              <w:adjustRightInd w:val="0"/>
              <w:spacing w:line="240" w:lineRule="auto"/>
              <w:rPr>
                <w:i/>
                <w:iCs/>
                <w:szCs w:val="22"/>
                <w:lang w:val="hu-HU" w:eastAsia="is-IS"/>
              </w:rPr>
            </w:pPr>
            <w:r w:rsidRPr="00D045B3">
              <w:rPr>
                <w:i/>
                <w:iCs/>
                <w:szCs w:val="22"/>
                <w:lang w:val="hu-HU"/>
              </w:rPr>
              <w:t>Nem ismert</w:t>
            </w:r>
          </w:p>
        </w:tc>
        <w:tc>
          <w:tcPr>
            <w:tcW w:w="6520" w:type="dxa"/>
          </w:tcPr>
          <w:p w14:paraId="1E9276EC" w14:textId="77777777" w:rsidR="00E905E4" w:rsidRPr="00D045B3" w:rsidRDefault="00E905E4" w:rsidP="00634196">
            <w:pPr>
              <w:autoSpaceDE w:val="0"/>
              <w:autoSpaceDN w:val="0"/>
              <w:adjustRightInd w:val="0"/>
              <w:spacing w:line="240" w:lineRule="auto"/>
              <w:rPr>
                <w:szCs w:val="22"/>
                <w:lang w:val="hu-HU"/>
              </w:rPr>
            </w:pPr>
            <w:r w:rsidRPr="00D045B3">
              <w:rPr>
                <w:szCs w:val="22"/>
                <w:lang w:val="hu-HU"/>
              </w:rPr>
              <w:t>Krónikus veseelégtelenség</w:t>
            </w:r>
          </w:p>
        </w:tc>
      </w:tr>
      <w:tr w:rsidR="00E905E4" w:rsidRPr="00D045B3" w14:paraId="1E9276EF"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EE"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A nemi szervekkel és az emlőkkel kapcsolatos betegségek és tünetek </w:t>
            </w:r>
          </w:p>
        </w:tc>
      </w:tr>
      <w:tr w:rsidR="00E905E4" w:rsidRPr="00D045B3" w14:paraId="1E9276F2" w14:textId="77777777" w:rsidTr="00634196">
        <w:trPr>
          <w:trHeight w:val="360"/>
        </w:trPr>
        <w:tc>
          <w:tcPr>
            <w:tcW w:w="2552" w:type="dxa"/>
            <w:tcBorders>
              <w:top w:val="single" w:sz="4" w:space="0" w:color="auto"/>
              <w:left w:val="single" w:sz="4" w:space="0" w:color="auto"/>
              <w:bottom w:val="single" w:sz="4" w:space="0" w:color="auto"/>
              <w:right w:val="single" w:sz="4" w:space="0" w:color="auto"/>
            </w:tcBorders>
          </w:tcPr>
          <w:p w14:paraId="1E9276F0"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F1"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Gynaecomastia, erectilis dysfunctio, menorrhagia, rendszertelen menstruáció, szexuális dysfunctio, emlőbimbó fájdalom, emlő megnagyobbodás, scrotalis oedema </w:t>
            </w:r>
          </w:p>
        </w:tc>
      </w:tr>
      <w:tr w:rsidR="00E905E4" w:rsidRPr="00D045B3" w14:paraId="1E9276F5"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F3"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6F4"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Corpus luteum haemorrhagicum/cysta ovarii haemorrhagicum </w:t>
            </w:r>
          </w:p>
        </w:tc>
      </w:tr>
      <w:tr w:rsidR="00E905E4" w:rsidRPr="00D045B3" w14:paraId="1E9276F7"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6F6"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Általános tünetek, az alkalmazás helyén fellépő reakciók </w:t>
            </w:r>
          </w:p>
        </w:tc>
      </w:tr>
      <w:tr w:rsidR="00E905E4" w:rsidRPr="00D045B3" w14:paraId="1E9276FA"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F8"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6F9"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Folyadékretenció és oedema, fáradékonyság </w:t>
            </w:r>
          </w:p>
        </w:tc>
      </w:tr>
      <w:tr w:rsidR="00E905E4" w:rsidRPr="00D045B3" w14:paraId="1E9276FD"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FB"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6FC"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Gyengeség, láz, anasarca, hidegrázás, borzongás </w:t>
            </w:r>
          </w:p>
        </w:tc>
      </w:tr>
      <w:tr w:rsidR="00E905E4" w:rsidRPr="00D045B3" w14:paraId="1E927700"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6FE"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6FF"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Mellkasi fájdalom, rossz közérzet </w:t>
            </w:r>
          </w:p>
        </w:tc>
      </w:tr>
      <w:tr w:rsidR="00E905E4" w:rsidRPr="00D045B3" w14:paraId="1E927702" w14:textId="77777777" w:rsidTr="00634196">
        <w:trPr>
          <w:trHeight w:val="98"/>
        </w:trPr>
        <w:tc>
          <w:tcPr>
            <w:tcW w:w="9072" w:type="dxa"/>
            <w:gridSpan w:val="2"/>
            <w:tcBorders>
              <w:top w:val="single" w:sz="4" w:space="0" w:color="auto"/>
              <w:left w:val="single" w:sz="4" w:space="0" w:color="auto"/>
              <w:bottom w:val="single" w:sz="4" w:space="0" w:color="auto"/>
              <w:right w:val="single" w:sz="4" w:space="0" w:color="auto"/>
            </w:tcBorders>
          </w:tcPr>
          <w:p w14:paraId="1E927701" w14:textId="77777777" w:rsidR="00E905E4" w:rsidRPr="00D045B3" w:rsidRDefault="00E905E4" w:rsidP="00634196">
            <w:pPr>
              <w:pStyle w:val="KeinLeerraum"/>
              <w:rPr>
                <w:rFonts w:ascii="Times New Roman" w:hAnsi="Times New Roman"/>
                <w:b/>
              </w:rPr>
            </w:pPr>
            <w:r w:rsidRPr="00D045B3">
              <w:rPr>
                <w:rFonts w:ascii="Times New Roman" w:hAnsi="Times New Roman"/>
                <w:b/>
              </w:rPr>
              <w:t xml:space="preserve">Laboratóriumi és egyéb vizsgálatok eredményei </w:t>
            </w:r>
          </w:p>
        </w:tc>
      </w:tr>
      <w:tr w:rsidR="00E905E4" w:rsidRPr="00D045B3" w14:paraId="1E927705"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703"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Nagyon gyakori: </w:t>
            </w:r>
          </w:p>
        </w:tc>
        <w:tc>
          <w:tcPr>
            <w:tcW w:w="6520" w:type="dxa"/>
            <w:tcBorders>
              <w:top w:val="single" w:sz="4" w:space="0" w:color="auto"/>
              <w:left w:val="single" w:sz="4" w:space="0" w:color="auto"/>
              <w:bottom w:val="single" w:sz="4" w:space="0" w:color="auto"/>
              <w:right w:val="single" w:sz="4" w:space="0" w:color="auto"/>
            </w:tcBorders>
          </w:tcPr>
          <w:p w14:paraId="1E927704" w14:textId="77777777" w:rsidR="00E905E4" w:rsidRPr="00D045B3" w:rsidRDefault="00E905E4" w:rsidP="00634196">
            <w:pPr>
              <w:pStyle w:val="KeinLeerraum"/>
              <w:rPr>
                <w:rFonts w:ascii="Times New Roman" w:hAnsi="Times New Roman"/>
              </w:rPr>
            </w:pPr>
            <w:r w:rsidRPr="00D045B3">
              <w:rPr>
                <w:rFonts w:ascii="Times New Roman" w:hAnsi="Times New Roman"/>
              </w:rPr>
              <w:t>Testtömeg</w:t>
            </w:r>
            <w:r w:rsidRPr="00D045B3">
              <w:rPr>
                <w:rFonts w:ascii="Times New Roman" w:hAnsi="Times New Roman"/>
              </w:rPr>
              <w:noBreakHyphen/>
              <w:t xml:space="preserve">növekedés </w:t>
            </w:r>
          </w:p>
        </w:tc>
      </w:tr>
      <w:tr w:rsidR="00E905E4" w:rsidRPr="00D045B3" w14:paraId="1E927708"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706"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Gyakori: </w:t>
            </w:r>
          </w:p>
        </w:tc>
        <w:tc>
          <w:tcPr>
            <w:tcW w:w="6520" w:type="dxa"/>
            <w:tcBorders>
              <w:top w:val="single" w:sz="4" w:space="0" w:color="auto"/>
              <w:left w:val="single" w:sz="4" w:space="0" w:color="auto"/>
              <w:bottom w:val="single" w:sz="4" w:space="0" w:color="auto"/>
              <w:right w:val="single" w:sz="4" w:space="0" w:color="auto"/>
            </w:tcBorders>
          </w:tcPr>
          <w:p w14:paraId="1E927707" w14:textId="77777777" w:rsidR="00E905E4" w:rsidRPr="00D045B3" w:rsidRDefault="00E905E4" w:rsidP="00634196">
            <w:pPr>
              <w:pStyle w:val="KeinLeerraum"/>
              <w:rPr>
                <w:rFonts w:ascii="Times New Roman" w:hAnsi="Times New Roman"/>
              </w:rPr>
            </w:pPr>
            <w:r w:rsidRPr="00D045B3">
              <w:rPr>
                <w:rFonts w:ascii="Times New Roman" w:hAnsi="Times New Roman"/>
              </w:rPr>
              <w:t>Testtömeg</w:t>
            </w:r>
            <w:r w:rsidRPr="00D045B3">
              <w:rPr>
                <w:rFonts w:ascii="Times New Roman" w:hAnsi="Times New Roman"/>
              </w:rPr>
              <w:noBreakHyphen/>
              <w:t xml:space="preserve">csökkenés </w:t>
            </w:r>
          </w:p>
        </w:tc>
      </w:tr>
      <w:tr w:rsidR="00E905E4" w:rsidRPr="00D045B3" w14:paraId="1E92770B" w14:textId="77777777" w:rsidTr="00634196">
        <w:trPr>
          <w:trHeight w:val="359"/>
        </w:trPr>
        <w:tc>
          <w:tcPr>
            <w:tcW w:w="2552" w:type="dxa"/>
            <w:tcBorders>
              <w:top w:val="single" w:sz="4" w:space="0" w:color="auto"/>
              <w:left w:val="single" w:sz="4" w:space="0" w:color="auto"/>
              <w:bottom w:val="single" w:sz="4" w:space="0" w:color="auto"/>
              <w:right w:val="single" w:sz="4" w:space="0" w:color="auto"/>
            </w:tcBorders>
          </w:tcPr>
          <w:p w14:paraId="1E927709"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Nem gyakori: </w:t>
            </w:r>
          </w:p>
        </w:tc>
        <w:tc>
          <w:tcPr>
            <w:tcW w:w="6520" w:type="dxa"/>
            <w:tcBorders>
              <w:top w:val="single" w:sz="4" w:space="0" w:color="auto"/>
              <w:left w:val="single" w:sz="4" w:space="0" w:color="auto"/>
              <w:bottom w:val="single" w:sz="4" w:space="0" w:color="auto"/>
              <w:right w:val="single" w:sz="4" w:space="0" w:color="auto"/>
            </w:tcBorders>
          </w:tcPr>
          <w:p w14:paraId="1E92770A" w14:textId="77777777" w:rsidR="00E905E4" w:rsidRPr="00D045B3" w:rsidRDefault="00E905E4" w:rsidP="00634196">
            <w:pPr>
              <w:pStyle w:val="KeinLeerraum"/>
              <w:rPr>
                <w:rFonts w:ascii="Times New Roman" w:hAnsi="Times New Roman"/>
              </w:rPr>
            </w:pPr>
            <w:r w:rsidRPr="00D045B3">
              <w:rPr>
                <w:rFonts w:ascii="Times New Roman" w:hAnsi="Times New Roman"/>
              </w:rPr>
              <w:t>A vér kreatininszint emelkedése, a vér kreatinfoszfokináz</w:t>
            </w:r>
            <w:r w:rsidRPr="00D045B3">
              <w:rPr>
                <w:rFonts w:ascii="Times New Roman" w:hAnsi="Times New Roman"/>
              </w:rPr>
              <w:noBreakHyphen/>
              <w:t>szint emelkedése, a vér laktátdehidrogenáz</w:t>
            </w:r>
            <w:r w:rsidRPr="00D045B3">
              <w:rPr>
                <w:rFonts w:ascii="Times New Roman" w:hAnsi="Times New Roman"/>
              </w:rPr>
              <w:noBreakHyphen/>
              <w:t>szint emelkedése, a vér alkalikus</w:t>
            </w:r>
            <w:r w:rsidRPr="00D045B3">
              <w:rPr>
                <w:rFonts w:ascii="Times New Roman" w:hAnsi="Times New Roman"/>
              </w:rPr>
              <w:noBreakHyphen/>
              <w:t xml:space="preserve">foszfatázszint emelkedése </w:t>
            </w:r>
          </w:p>
        </w:tc>
      </w:tr>
      <w:tr w:rsidR="00E905E4" w:rsidRPr="00D045B3" w14:paraId="1E92770E" w14:textId="77777777" w:rsidTr="00634196">
        <w:trPr>
          <w:trHeight w:val="100"/>
        </w:trPr>
        <w:tc>
          <w:tcPr>
            <w:tcW w:w="2552" w:type="dxa"/>
            <w:tcBorders>
              <w:top w:val="single" w:sz="4" w:space="0" w:color="auto"/>
              <w:left w:val="single" w:sz="4" w:space="0" w:color="auto"/>
              <w:bottom w:val="single" w:sz="4" w:space="0" w:color="auto"/>
              <w:right w:val="single" w:sz="4" w:space="0" w:color="auto"/>
            </w:tcBorders>
          </w:tcPr>
          <w:p w14:paraId="1E92770C" w14:textId="77777777" w:rsidR="00E905E4" w:rsidRPr="00D045B3" w:rsidRDefault="00E905E4" w:rsidP="00634196">
            <w:pPr>
              <w:pStyle w:val="KeinLeerraum"/>
              <w:rPr>
                <w:rFonts w:ascii="Times New Roman" w:hAnsi="Times New Roman"/>
              </w:rPr>
            </w:pPr>
            <w:r w:rsidRPr="00D045B3">
              <w:rPr>
                <w:rFonts w:ascii="Times New Roman" w:hAnsi="Times New Roman"/>
                <w:i/>
                <w:iCs/>
              </w:rPr>
              <w:t xml:space="preserve">Ritka: </w:t>
            </w:r>
          </w:p>
        </w:tc>
        <w:tc>
          <w:tcPr>
            <w:tcW w:w="6520" w:type="dxa"/>
            <w:tcBorders>
              <w:top w:val="single" w:sz="4" w:space="0" w:color="auto"/>
              <w:left w:val="single" w:sz="4" w:space="0" w:color="auto"/>
              <w:bottom w:val="single" w:sz="4" w:space="0" w:color="auto"/>
              <w:right w:val="single" w:sz="4" w:space="0" w:color="auto"/>
            </w:tcBorders>
          </w:tcPr>
          <w:p w14:paraId="1E92770D" w14:textId="77777777" w:rsidR="00E905E4" w:rsidRPr="00D045B3" w:rsidRDefault="00E905E4" w:rsidP="00634196">
            <w:pPr>
              <w:pStyle w:val="KeinLeerraum"/>
              <w:rPr>
                <w:rFonts w:ascii="Times New Roman" w:hAnsi="Times New Roman"/>
              </w:rPr>
            </w:pPr>
            <w:r w:rsidRPr="00D045B3">
              <w:rPr>
                <w:rFonts w:ascii="Times New Roman" w:hAnsi="Times New Roman"/>
              </w:rPr>
              <w:t xml:space="preserve">A vér amilázszint emelkedése </w:t>
            </w:r>
          </w:p>
        </w:tc>
      </w:tr>
    </w:tbl>
    <w:p w14:paraId="1E92770F" w14:textId="77777777" w:rsidR="00E905E4" w:rsidRPr="00D045B3" w:rsidRDefault="00E905E4" w:rsidP="00E905E4">
      <w:pPr>
        <w:pStyle w:val="KeinLeerraum"/>
        <w:tabs>
          <w:tab w:val="left" w:pos="567"/>
        </w:tabs>
        <w:ind w:left="567" w:hanging="567"/>
        <w:rPr>
          <w:rFonts w:ascii="Times New Roman" w:hAnsi="Times New Roman"/>
        </w:rPr>
      </w:pPr>
      <w:r w:rsidRPr="00D045B3">
        <w:rPr>
          <w:rFonts w:ascii="Times New Roman" w:hAnsi="Times New Roman"/>
        </w:rPr>
        <w:t>*</w:t>
      </w:r>
      <w:r w:rsidRPr="00D045B3">
        <w:rPr>
          <w:rFonts w:ascii="Times New Roman" w:hAnsi="Times New Roman"/>
        </w:rPr>
        <w:tab/>
        <w:t>Ezeket a típusú reakciókat elsősorban az imatinibbel a forgalomba hozatalt követően szerzett tapasztalatok alapján jelentették. Ezek közé spontán esetismertetések, valamint folyamatban lévő vizsgálatokból, kiterjesztett gyógyszer</w:t>
      </w:r>
      <w:r w:rsidRPr="00D045B3">
        <w:rPr>
          <w:rFonts w:ascii="Times New Roman" w:hAnsi="Times New Roman"/>
        </w:rPr>
        <w:noBreakHyphen/>
        <w:t>hozzáférési programokból, klinikai farmakológiai vizsgálatokból és nem engedélyezett indikációkban folytatott, feltáró jellegű vizsgálatokból jelentett súlyos mellékhatások tartoznak. Mivel ezeket a reakciókat egy bizonytalan méretű populációból jelentették, a gyakoriságukat nem mindig lehet megbízhatóan megbecsülni vagy az imatinib-expozícióval való oki összefüggést megállapítani.</w:t>
      </w:r>
    </w:p>
    <w:p w14:paraId="1E927710" w14:textId="77777777" w:rsidR="00E905E4" w:rsidRPr="00D045B3" w:rsidRDefault="00E905E4" w:rsidP="00E95370">
      <w:pPr>
        <w:pStyle w:val="KeinLeerraum"/>
        <w:numPr>
          <w:ilvl w:val="0"/>
          <w:numId w:val="30"/>
        </w:numPr>
        <w:ind w:left="567" w:hanging="567"/>
        <w:rPr>
          <w:rFonts w:ascii="Times New Roman" w:hAnsi="Times New Roman"/>
        </w:rPr>
      </w:pPr>
      <w:r w:rsidRPr="00D045B3">
        <w:rPr>
          <w:rFonts w:ascii="Times New Roman" w:hAnsi="Times New Roman"/>
        </w:rPr>
        <w:t>Pneumoniáról a leggyakrabban transzformált CML</w:t>
      </w:r>
      <w:r w:rsidRPr="00D045B3">
        <w:rPr>
          <w:rFonts w:ascii="Times New Roman" w:hAnsi="Times New Roman"/>
        </w:rPr>
        <w:noBreakHyphen/>
        <w:t>ben, valamint GIST</w:t>
      </w:r>
      <w:r w:rsidRPr="00D045B3">
        <w:rPr>
          <w:rFonts w:ascii="Times New Roman" w:hAnsi="Times New Roman"/>
        </w:rPr>
        <w:noBreakHyphen/>
        <w:t xml:space="preserve">ben szenvedő betegeknél számoltak be. </w:t>
      </w:r>
    </w:p>
    <w:p w14:paraId="1E927711" w14:textId="77777777" w:rsidR="00E905E4" w:rsidRPr="00D045B3" w:rsidRDefault="00E905E4" w:rsidP="00E905E4">
      <w:pPr>
        <w:pStyle w:val="KeinLeerraum"/>
        <w:tabs>
          <w:tab w:val="left" w:pos="567"/>
        </w:tabs>
        <w:rPr>
          <w:rFonts w:ascii="Times New Roman" w:hAnsi="Times New Roman"/>
        </w:rPr>
      </w:pPr>
      <w:r w:rsidRPr="00D045B3">
        <w:rPr>
          <w:rFonts w:ascii="Times New Roman" w:hAnsi="Times New Roman"/>
        </w:rPr>
        <w:t>2</w:t>
      </w:r>
      <w:r w:rsidRPr="00D045B3">
        <w:rPr>
          <w:rFonts w:ascii="Times New Roman" w:hAnsi="Times New Roman"/>
        </w:rPr>
        <w:tab/>
        <w:t>A fejfájás a GIST</w:t>
      </w:r>
      <w:r w:rsidRPr="00D045B3">
        <w:rPr>
          <w:rFonts w:ascii="Times New Roman" w:hAnsi="Times New Roman"/>
        </w:rPr>
        <w:noBreakHyphen/>
        <w:t xml:space="preserve">ben szenvedő betegek esetében volt a leggyakoribb. </w:t>
      </w:r>
    </w:p>
    <w:p w14:paraId="1E927712" w14:textId="1DB0B498" w:rsidR="00E905E4" w:rsidRPr="00D045B3" w:rsidRDefault="00E905E4" w:rsidP="00E905E4">
      <w:pPr>
        <w:pStyle w:val="KeinLeerraum"/>
        <w:tabs>
          <w:tab w:val="left" w:pos="567"/>
        </w:tabs>
        <w:ind w:left="567" w:hanging="567"/>
        <w:rPr>
          <w:rFonts w:ascii="Times New Roman" w:hAnsi="Times New Roman"/>
        </w:rPr>
      </w:pPr>
      <w:r w:rsidRPr="00D045B3">
        <w:rPr>
          <w:rFonts w:ascii="Times New Roman" w:hAnsi="Times New Roman"/>
        </w:rPr>
        <w:t>3</w:t>
      </w:r>
      <w:r w:rsidRPr="00D045B3">
        <w:rPr>
          <w:rFonts w:ascii="Times New Roman" w:hAnsi="Times New Roman"/>
        </w:rPr>
        <w:tab/>
        <w:t>Betegévre vetítve gyakrabban figyeltek meg cardialis eseményeket, beleértve a pangásos szívelégtelenséget transzformált CML</w:t>
      </w:r>
      <w:r w:rsidRPr="00D045B3">
        <w:rPr>
          <w:rFonts w:ascii="Times New Roman" w:hAnsi="Times New Roman"/>
        </w:rPr>
        <w:noBreakHyphen/>
        <w:t>ben szenvedő betegeknél, mint krónikus CML-ben szenvedő betegek</w:t>
      </w:r>
      <w:r w:rsidR="002274AF" w:rsidRPr="00D045B3">
        <w:rPr>
          <w:rFonts w:ascii="Times New Roman" w:hAnsi="Times New Roman"/>
        </w:rPr>
        <w:t>nél</w:t>
      </w:r>
      <w:r w:rsidRPr="00D045B3">
        <w:rPr>
          <w:rFonts w:ascii="Times New Roman" w:hAnsi="Times New Roman"/>
        </w:rPr>
        <w:t xml:space="preserve">. </w:t>
      </w:r>
    </w:p>
    <w:p w14:paraId="1E927713" w14:textId="77777777" w:rsidR="00E905E4" w:rsidRPr="00D045B3" w:rsidRDefault="00E905E4" w:rsidP="00E905E4">
      <w:pPr>
        <w:pStyle w:val="KeinLeerraum"/>
        <w:tabs>
          <w:tab w:val="left" w:pos="567"/>
        </w:tabs>
        <w:ind w:left="567" w:hanging="567"/>
        <w:rPr>
          <w:rFonts w:ascii="Times New Roman" w:hAnsi="Times New Roman"/>
        </w:rPr>
      </w:pPr>
      <w:r w:rsidRPr="00D045B3">
        <w:rPr>
          <w:rFonts w:ascii="Times New Roman" w:hAnsi="Times New Roman"/>
        </w:rPr>
        <w:t>4</w:t>
      </w:r>
      <w:r w:rsidRPr="00D045B3">
        <w:rPr>
          <w:rFonts w:ascii="Times New Roman" w:hAnsi="Times New Roman"/>
        </w:rPr>
        <w:tab/>
        <w:t>A kipirulás a GIST</w:t>
      </w:r>
      <w:r w:rsidRPr="00D045B3">
        <w:rPr>
          <w:rFonts w:ascii="Times New Roman" w:hAnsi="Times New Roman"/>
        </w:rPr>
        <w:noBreakHyphen/>
        <w:t>ben, míg a vérzés (haematoma, haemorrhagia) a GIST-ben és a transzformált CML</w:t>
      </w:r>
      <w:r w:rsidRPr="00D045B3">
        <w:rPr>
          <w:rFonts w:ascii="Times New Roman" w:hAnsi="Times New Roman"/>
        </w:rPr>
        <w:noBreakHyphen/>
        <w:t>ben (CML</w:t>
      </w:r>
      <w:r w:rsidRPr="00D045B3">
        <w:rPr>
          <w:rFonts w:ascii="Times New Roman" w:hAnsi="Times New Roman"/>
        </w:rPr>
        <w:noBreakHyphen/>
        <w:t>AP és CML</w:t>
      </w:r>
      <w:r w:rsidRPr="00D045B3">
        <w:rPr>
          <w:rFonts w:ascii="Times New Roman" w:hAnsi="Times New Roman"/>
        </w:rPr>
        <w:noBreakHyphen/>
        <w:t xml:space="preserve">BC) szenvedő betegeknél volt a leggyakoribb. </w:t>
      </w:r>
    </w:p>
    <w:p w14:paraId="1E927714" w14:textId="77777777" w:rsidR="00E905E4" w:rsidRPr="00D045B3" w:rsidRDefault="00E905E4" w:rsidP="00E905E4">
      <w:pPr>
        <w:pStyle w:val="KeinLeerraum"/>
        <w:ind w:left="567" w:hanging="567"/>
        <w:rPr>
          <w:rFonts w:ascii="Times New Roman" w:hAnsi="Times New Roman"/>
        </w:rPr>
      </w:pPr>
      <w:r w:rsidRPr="00D045B3">
        <w:rPr>
          <w:rFonts w:ascii="Times New Roman" w:hAnsi="Times New Roman"/>
        </w:rPr>
        <w:t>5</w:t>
      </w:r>
      <w:r w:rsidRPr="00D045B3">
        <w:rPr>
          <w:rFonts w:ascii="Times New Roman" w:hAnsi="Times New Roman"/>
        </w:rPr>
        <w:tab/>
        <w:t>Pleuralis folyadékgyülemről gyakrabban számoltak be GIST</w:t>
      </w:r>
      <w:r w:rsidRPr="00D045B3">
        <w:rPr>
          <w:rFonts w:ascii="Times New Roman" w:hAnsi="Times New Roman"/>
        </w:rPr>
        <w:noBreakHyphen/>
        <w:t>ben, illetve transzformált CML</w:t>
      </w:r>
      <w:r w:rsidRPr="00D045B3">
        <w:rPr>
          <w:rFonts w:ascii="Times New Roman" w:hAnsi="Times New Roman"/>
        </w:rPr>
        <w:noBreakHyphen/>
        <w:t>ben (CML</w:t>
      </w:r>
      <w:r w:rsidRPr="00D045B3">
        <w:rPr>
          <w:rFonts w:ascii="Times New Roman" w:hAnsi="Times New Roman"/>
        </w:rPr>
        <w:noBreakHyphen/>
        <w:t>AP és CML</w:t>
      </w:r>
      <w:r w:rsidRPr="00D045B3">
        <w:rPr>
          <w:rFonts w:ascii="Times New Roman" w:hAnsi="Times New Roman"/>
        </w:rPr>
        <w:noBreakHyphen/>
        <w:t>BC), mint krónikus CML</w:t>
      </w:r>
      <w:r w:rsidRPr="00D045B3">
        <w:rPr>
          <w:rFonts w:ascii="Times New Roman" w:hAnsi="Times New Roman"/>
        </w:rPr>
        <w:noBreakHyphen/>
        <w:t xml:space="preserve">ben szenvedő betegeknél. </w:t>
      </w:r>
    </w:p>
    <w:p w14:paraId="1E927715" w14:textId="77777777" w:rsidR="00E905E4" w:rsidRPr="00D045B3" w:rsidRDefault="00E905E4" w:rsidP="00E905E4">
      <w:pPr>
        <w:pStyle w:val="KeinLeerraum"/>
        <w:ind w:left="567" w:hanging="567"/>
        <w:rPr>
          <w:rFonts w:ascii="Times New Roman" w:hAnsi="Times New Roman"/>
        </w:rPr>
      </w:pPr>
      <w:r w:rsidRPr="00D045B3">
        <w:rPr>
          <w:rFonts w:ascii="Times New Roman" w:hAnsi="Times New Roman"/>
        </w:rPr>
        <w:t xml:space="preserve">6+7 </w:t>
      </w:r>
      <w:r w:rsidRPr="00D045B3">
        <w:rPr>
          <w:rFonts w:ascii="Times New Roman" w:hAnsi="Times New Roman"/>
        </w:rPr>
        <w:tab/>
        <w:t>Hasfájást és gastrointestinalis vérzést a leggyakrabban GIST</w:t>
      </w:r>
      <w:r w:rsidRPr="00D045B3">
        <w:rPr>
          <w:rFonts w:ascii="Times New Roman" w:hAnsi="Times New Roman"/>
        </w:rPr>
        <w:noBreakHyphen/>
        <w:t xml:space="preserve">ben szenvedő betegeknél figyeltek meg. </w:t>
      </w:r>
    </w:p>
    <w:p w14:paraId="1E927716" w14:textId="77777777" w:rsidR="00E905E4" w:rsidRPr="00D045B3" w:rsidRDefault="00E905E4" w:rsidP="00E905E4">
      <w:pPr>
        <w:pStyle w:val="KeinLeerraum"/>
        <w:tabs>
          <w:tab w:val="left" w:pos="567"/>
        </w:tabs>
        <w:rPr>
          <w:rFonts w:ascii="Times New Roman" w:hAnsi="Times New Roman"/>
        </w:rPr>
      </w:pPr>
      <w:r w:rsidRPr="00D045B3">
        <w:rPr>
          <w:rFonts w:ascii="Times New Roman" w:hAnsi="Times New Roman"/>
        </w:rPr>
        <w:t>8</w:t>
      </w:r>
      <w:r w:rsidRPr="00D045B3">
        <w:rPr>
          <w:rFonts w:ascii="Times New Roman" w:hAnsi="Times New Roman"/>
        </w:rPr>
        <w:tab/>
        <w:t xml:space="preserve">Beszámoltak néhány halálos kimenetelű májelégtelenségről, illetve májnecrosisról. </w:t>
      </w:r>
    </w:p>
    <w:p w14:paraId="1E927717" w14:textId="77777777" w:rsidR="00DD711E" w:rsidRPr="00D045B3" w:rsidRDefault="00E905E4" w:rsidP="00E905E4">
      <w:pPr>
        <w:pStyle w:val="KeinLeerraum"/>
        <w:tabs>
          <w:tab w:val="left" w:pos="567"/>
        </w:tabs>
        <w:ind w:left="567" w:hanging="567"/>
        <w:rPr>
          <w:rFonts w:ascii="Times New Roman" w:hAnsi="Times New Roman"/>
        </w:rPr>
      </w:pPr>
      <w:r w:rsidRPr="00D045B3">
        <w:rPr>
          <w:rFonts w:ascii="Times New Roman" w:hAnsi="Times New Roman"/>
        </w:rPr>
        <w:t>9</w:t>
      </w:r>
      <w:r w:rsidRPr="00D045B3">
        <w:rPr>
          <w:rFonts w:ascii="Times New Roman" w:hAnsi="Times New Roman"/>
        </w:rPr>
        <w:tab/>
      </w:r>
      <w:r w:rsidR="00DD711E" w:rsidRPr="00D045B3">
        <w:rPr>
          <w:rFonts w:ascii="Times New Roman" w:hAnsi="Times New Roman"/>
        </w:rPr>
        <w:t>A forgalomba hozatalt követően imatinib terápia ideje alatt vagy a kezelés felfüggesztése után musculoskeletalis fájdalmat figyeltek meg.</w:t>
      </w:r>
    </w:p>
    <w:p w14:paraId="1E927718" w14:textId="77777777" w:rsidR="00E905E4" w:rsidRPr="00D045B3" w:rsidRDefault="00DD711E" w:rsidP="00E905E4">
      <w:pPr>
        <w:pStyle w:val="KeinLeerraum"/>
        <w:tabs>
          <w:tab w:val="left" w:pos="567"/>
        </w:tabs>
        <w:ind w:left="567" w:hanging="567"/>
        <w:rPr>
          <w:rFonts w:ascii="Times New Roman" w:hAnsi="Times New Roman"/>
        </w:rPr>
      </w:pPr>
      <w:r w:rsidRPr="00D045B3">
        <w:rPr>
          <w:rFonts w:ascii="Times New Roman" w:hAnsi="Times New Roman"/>
        </w:rPr>
        <w:t>10</w:t>
      </w:r>
      <w:r w:rsidRPr="00D045B3">
        <w:rPr>
          <w:rFonts w:ascii="Times New Roman" w:hAnsi="Times New Roman"/>
        </w:rPr>
        <w:tab/>
      </w:r>
      <w:r w:rsidR="00E905E4" w:rsidRPr="00D045B3">
        <w:rPr>
          <w:rFonts w:ascii="Times New Roman" w:hAnsi="Times New Roman"/>
        </w:rPr>
        <w:t>A vázizomzat és a csontrendszer fájdalmát, és ezzel kapcsolatos eseményeket gyakrabban figyeltek meg CML</w:t>
      </w:r>
      <w:r w:rsidR="00E905E4" w:rsidRPr="00D045B3">
        <w:rPr>
          <w:rFonts w:ascii="Times New Roman" w:hAnsi="Times New Roman"/>
        </w:rPr>
        <w:noBreakHyphen/>
        <w:t>ben, mint GIST</w:t>
      </w:r>
      <w:r w:rsidR="00E905E4" w:rsidRPr="00D045B3">
        <w:rPr>
          <w:rFonts w:ascii="Times New Roman" w:hAnsi="Times New Roman"/>
        </w:rPr>
        <w:noBreakHyphen/>
        <w:t>ben szenvedő betegeknél.</w:t>
      </w:r>
    </w:p>
    <w:p w14:paraId="1E927719" w14:textId="77777777" w:rsidR="00E905E4" w:rsidRPr="00D045B3" w:rsidRDefault="00E905E4" w:rsidP="00190CF7">
      <w:pPr>
        <w:pStyle w:val="KeinLeerraum"/>
        <w:ind w:left="567" w:hanging="567"/>
        <w:rPr>
          <w:rFonts w:ascii="Times New Roman" w:hAnsi="Times New Roman"/>
        </w:rPr>
      </w:pPr>
      <w:r w:rsidRPr="00D045B3">
        <w:rPr>
          <w:rFonts w:ascii="Times New Roman" w:hAnsi="Times New Roman"/>
        </w:rPr>
        <w:t>1</w:t>
      </w:r>
      <w:r w:rsidR="00DD711E" w:rsidRPr="00D045B3">
        <w:rPr>
          <w:rFonts w:ascii="Times New Roman" w:hAnsi="Times New Roman"/>
        </w:rPr>
        <w:t>1</w:t>
      </w:r>
      <w:r w:rsidRPr="00D045B3">
        <w:rPr>
          <w:rFonts w:ascii="Times New Roman" w:hAnsi="Times New Roman"/>
        </w:rPr>
        <w:tab/>
        <w:t>Az előrehaladott betegségben, súlyos fertőzésekben, súlyos neutropeniában és egyéb súlyos kísérőbetegségekben szenvedő betegeknél végzetes kimenetelű esetekről számoltak be.</w:t>
      </w:r>
    </w:p>
    <w:p w14:paraId="1E92771A" w14:textId="77777777" w:rsidR="00CB739B" w:rsidRPr="00D045B3" w:rsidRDefault="00CB739B" w:rsidP="00CA41FD">
      <w:pPr>
        <w:pStyle w:val="KeinLeerraum"/>
        <w:tabs>
          <w:tab w:val="left" w:pos="567"/>
        </w:tabs>
        <w:ind w:left="567" w:hanging="567"/>
        <w:rPr>
          <w:rFonts w:ascii="Times New Roman" w:hAnsi="Times New Roman"/>
          <w:u w:val="single"/>
        </w:rPr>
      </w:pPr>
    </w:p>
    <w:p w14:paraId="1E92771B" w14:textId="77777777" w:rsidR="00FE5992" w:rsidRPr="00D045B3" w:rsidRDefault="00FE5992" w:rsidP="00FE5992">
      <w:pPr>
        <w:pStyle w:val="KeinLeerraum"/>
        <w:keepNext/>
        <w:rPr>
          <w:rFonts w:ascii="Times New Roman" w:hAnsi="Times New Roman"/>
          <w:i/>
          <w:u w:val="single"/>
        </w:rPr>
      </w:pPr>
      <w:r w:rsidRPr="00D045B3">
        <w:rPr>
          <w:rFonts w:ascii="Times New Roman" w:hAnsi="Times New Roman"/>
          <w:i/>
          <w:u w:val="single"/>
        </w:rPr>
        <w:t xml:space="preserve">Laboratóriumi eltérések </w:t>
      </w:r>
    </w:p>
    <w:p w14:paraId="1E92771C" w14:textId="77777777" w:rsidR="00FE5992" w:rsidRPr="00D045B3" w:rsidRDefault="00FE5992" w:rsidP="00FE5992">
      <w:pPr>
        <w:pStyle w:val="KeinLeerraum"/>
        <w:keepNext/>
        <w:rPr>
          <w:rFonts w:ascii="Times New Roman" w:hAnsi="Times New Roman"/>
        </w:rPr>
      </w:pPr>
      <w:r w:rsidRPr="00D045B3">
        <w:rPr>
          <w:rFonts w:ascii="Times New Roman" w:hAnsi="Times New Roman"/>
          <w:i/>
          <w:iCs/>
        </w:rPr>
        <w:t xml:space="preserve">Hematológia </w:t>
      </w:r>
    </w:p>
    <w:p w14:paraId="1E92771D" w14:textId="1F0CFC38" w:rsidR="00FE5992" w:rsidRPr="00D045B3" w:rsidRDefault="00FE5992" w:rsidP="00CA41FD">
      <w:pPr>
        <w:rPr>
          <w:lang w:val="hu-HU"/>
        </w:rPr>
      </w:pPr>
      <w:r w:rsidRPr="00D045B3">
        <w:rPr>
          <w:lang w:val="hu-HU"/>
        </w:rPr>
        <w:t>CML</w:t>
      </w:r>
      <w:r w:rsidRPr="00D045B3">
        <w:rPr>
          <w:lang w:val="hu-HU"/>
        </w:rPr>
        <w:noBreakHyphen/>
        <w:t xml:space="preserve">ben a cytopenia (főképp a neutropenia és thrombocytopenia) valamennyi vizsgálatban folyamatosan jelen volt, és gyakoribbnak tűnt a magas, </w:t>
      </w:r>
      <w:r w:rsidRPr="00D045B3">
        <w:rPr>
          <w:spacing w:val="4"/>
          <w:szCs w:val="22"/>
          <w:u w:val="single"/>
          <w:lang w:val="hu-HU"/>
        </w:rPr>
        <w:t>&gt;</w:t>
      </w:r>
      <w:r w:rsidRPr="00D045B3">
        <w:rPr>
          <w:lang w:val="hu-HU"/>
        </w:rPr>
        <w:t xml:space="preserve"> 750 mg dózisok mellett (I</w:t>
      </w:r>
      <w:r w:rsidR="00622575" w:rsidRPr="00D045B3">
        <w:rPr>
          <w:lang w:val="hu-HU"/>
        </w:rPr>
        <w:t>. fázisú</w:t>
      </w:r>
      <w:r w:rsidRPr="00D045B3">
        <w:rPr>
          <w:lang w:val="hu-HU"/>
        </w:rPr>
        <w:t xml:space="preserve"> vizsgálat). A cytopeniák előfordulása azonban egyértelműen függött a betegség stádiumától, mivel 3. vagy 4. fokú neutropenia (ANC </w:t>
      </w:r>
      <w:r w:rsidRPr="00D045B3">
        <w:rPr>
          <w:spacing w:val="4"/>
          <w:szCs w:val="22"/>
          <w:u w:val="single"/>
          <w:lang w:val="hu-HU"/>
        </w:rPr>
        <w:t>&gt;</w:t>
      </w:r>
      <w:r w:rsidRPr="00D045B3">
        <w:rPr>
          <w:lang w:val="hu-HU"/>
        </w:rPr>
        <w:t xml:space="preserve"> 1,0</w:t>
      </w:r>
      <w:r w:rsidRPr="00D045B3">
        <w:rPr>
          <w:szCs w:val="22"/>
          <w:lang w:val="hu-HU"/>
        </w:rPr>
        <w:t> × </w:t>
      </w:r>
      <w:r w:rsidRPr="00D045B3">
        <w:rPr>
          <w:lang w:val="hu-HU"/>
        </w:rPr>
        <w:t>10</w:t>
      </w:r>
      <w:r w:rsidRPr="00D045B3">
        <w:rPr>
          <w:vertAlign w:val="superscript"/>
          <w:lang w:val="hu-HU"/>
        </w:rPr>
        <w:t>9</w:t>
      </w:r>
      <w:r w:rsidRPr="00D045B3">
        <w:rPr>
          <w:lang w:val="hu-HU"/>
        </w:rPr>
        <w:t>/l) és thrombocytopenia (thrombocytaszám &lt; 50</w:t>
      </w:r>
      <w:r w:rsidRPr="00D045B3">
        <w:rPr>
          <w:szCs w:val="22"/>
          <w:lang w:val="hu-HU"/>
        </w:rPr>
        <w:t> × </w:t>
      </w:r>
      <w:r w:rsidRPr="00D045B3">
        <w:rPr>
          <w:lang w:val="hu-HU"/>
        </w:rPr>
        <w:t>10</w:t>
      </w:r>
      <w:r w:rsidRPr="00D045B3">
        <w:rPr>
          <w:vertAlign w:val="superscript"/>
          <w:lang w:val="hu-HU"/>
        </w:rPr>
        <w:t>9</w:t>
      </w:r>
      <w:r w:rsidRPr="00D045B3">
        <w:rPr>
          <w:lang w:val="hu-HU"/>
        </w:rPr>
        <w:t>/l) 4–6</w:t>
      </w:r>
      <w:r w:rsidRPr="00D045B3">
        <w:rPr>
          <w:lang w:val="hu-HU"/>
        </w:rPr>
        <w:noBreakHyphen/>
        <w:t>szor gyakrabban fordult elő blasztos krízisben és akcelerált fázisban (sorrendben 59%</w:t>
      </w:r>
      <w:r w:rsidRPr="00D045B3">
        <w:rPr>
          <w:lang w:val="hu-HU"/>
        </w:rPr>
        <w:noBreakHyphen/>
        <w:t>64%, ill. 44%</w:t>
      </w:r>
      <w:r w:rsidRPr="00D045B3">
        <w:rPr>
          <w:lang w:val="hu-HU"/>
        </w:rPr>
        <w:noBreakHyphen/>
        <w:t>63% a neutropenia, ill. a thrombocytopenia vonatkozásában), összehasonlítva az újonnan diagnosztizált krónikus fázisú CML</w:t>
      </w:r>
      <w:r w:rsidRPr="00D045B3">
        <w:rPr>
          <w:lang w:val="hu-HU"/>
        </w:rPr>
        <w:noBreakHyphen/>
        <w:t>es betegekkel (16,7% neutropenia, ill. 8,9% thrombocytopenia). Újonnan diagnosztizált krónikus fázisú CML</w:t>
      </w:r>
      <w:r w:rsidRPr="00D045B3">
        <w:rPr>
          <w:lang w:val="hu-HU"/>
        </w:rPr>
        <w:noBreakHyphen/>
        <w:t>ben a 4. fokú neutropenia (ANC &lt; 0,5</w:t>
      </w:r>
      <w:r w:rsidRPr="00D045B3">
        <w:rPr>
          <w:szCs w:val="22"/>
          <w:lang w:val="hu-HU"/>
        </w:rPr>
        <w:t> × 1</w:t>
      </w:r>
      <w:r w:rsidRPr="00D045B3">
        <w:rPr>
          <w:lang w:val="hu-HU"/>
        </w:rPr>
        <w:t>0</w:t>
      </w:r>
      <w:r w:rsidRPr="00D045B3">
        <w:rPr>
          <w:vertAlign w:val="superscript"/>
          <w:lang w:val="hu-HU"/>
        </w:rPr>
        <w:t>9</w:t>
      </w:r>
      <w:r w:rsidRPr="00D045B3">
        <w:rPr>
          <w:lang w:val="hu-HU"/>
        </w:rPr>
        <w:t>/l) és thrombocytopenia (thrombocytaszám &lt; 10</w:t>
      </w:r>
      <w:r w:rsidRPr="00D045B3">
        <w:rPr>
          <w:szCs w:val="22"/>
          <w:lang w:val="hu-HU"/>
        </w:rPr>
        <w:t> × </w:t>
      </w:r>
      <w:r w:rsidRPr="00D045B3">
        <w:rPr>
          <w:lang w:val="hu-HU"/>
        </w:rPr>
        <w:t>10</w:t>
      </w:r>
      <w:r w:rsidRPr="00D045B3">
        <w:rPr>
          <w:vertAlign w:val="superscript"/>
          <w:lang w:val="hu-HU"/>
        </w:rPr>
        <w:t>9</w:t>
      </w:r>
      <w:r w:rsidRPr="00D045B3">
        <w:rPr>
          <w:lang w:val="hu-HU"/>
        </w:rPr>
        <w:t>/l) a betegek sorrendben 3,6%</w:t>
      </w:r>
      <w:r w:rsidRPr="00D045B3">
        <w:rPr>
          <w:lang w:val="hu-HU"/>
        </w:rPr>
        <w:noBreakHyphen/>
        <w:t xml:space="preserve">ánál, illetve </w:t>
      </w:r>
      <w:r w:rsidRPr="00D045B3">
        <w:rPr>
          <w:spacing w:val="4"/>
          <w:szCs w:val="22"/>
          <w:u w:val="single"/>
          <w:lang w:val="hu-HU"/>
        </w:rPr>
        <w:t>&gt;</w:t>
      </w:r>
      <w:r w:rsidRPr="00D045B3">
        <w:rPr>
          <w:lang w:val="hu-HU"/>
        </w:rPr>
        <w:t>1%</w:t>
      </w:r>
      <w:r w:rsidRPr="00D045B3">
        <w:rPr>
          <w:lang w:val="hu-HU"/>
        </w:rPr>
        <w:noBreakHyphen/>
        <w:t>ánál volt megfigyelhető. A neutropeniás, ill. thrombocytopeniás időszak medián tartama sorrendben 2–3, ill. 3–4 hét között mozgott. Ezek az események általában a dózis csökkentésével, vagy az imatinib</w:t>
      </w:r>
      <w:r w:rsidRPr="00D045B3">
        <w:rPr>
          <w:lang w:val="hu-HU"/>
        </w:rPr>
        <w:noBreakHyphen/>
        <w:t>kezelés megszakításával rendezhetők, de néhány esetben a kezelés végleges elhagyását teszik szükségessé. CML</w:t>
      </w:r>
      <w:r w:rsidRPr="00D045B3">
        <w:rPr>
          <w:lang w:val="hu-HU"/>
        </w:rPr>
        <w:noBreakHyphen/>
        <w:t>es gyermekek esetében a leggyakrabban észlelt toxicitások 3. és 4. fokú cytopeniák voltak, beleértve a neutropeniát, thrombocytopeniát és anaemiát, melyek általában a kezelés első néhány hónapjában alakultak ki.</w:t>
      </w:r>
    </w:p>
    <w:p w14:paraId="1E92771E" w14:textId="77777777" w:rsidR="00FE5992" w:rsidRPr="00D045B3" w:rsidRDefault="00FE5992" w:rsidP="00FE5992">
      <w:pPr>
        <w:pStyle w:val="KeinLeerraum"/>
        <w:rPr>
          <w:rFonts w:ascii="Times New Roman" w:hAnsi="Times New Roman"/>
        </w:rPr>
      </w:pPr>
    </w:p>
    <w:p w14:paraId="1E92771F" w14:textId="77777777" w:rsidR="00FE5992" w:rsidRPr="00D045B3" w:rsidRDefault="00FE5992" w:rsidP="00FE5992">
      <w:pPr>
        <w:pStyle w:val="KeinLeerraum"/>
        <w:rPr>
          <w:rFonts w:ascii="Times New Roman" w:hAnsi="Times New Roman"/>
        </w:rPr>
      </w:pPr>
      <w:r w:rsidRPr="00D045B3">
        <w:rPr>
          <w:rFonts w:ascii="Times New Roman" w:hAnsi="Times New Roman"/>
        </w:rPr>
        <w:t>A nem reszekábilis és/vagy metasztatikus GIST</w:t>
      </w:r>
      <w:r w:rsidRPr="00D045B3">
        <w:rPr>
          <w:rFonts w:ascii="Times New Roman" w:hAnsi="Times New Roman"/>
        </w:rPr>
        <w:noBreakHyphen/>
        <w:t>ben szenvedő betegekkel végzett vizsgálatban 3., ill. 4. fokú anaemiát a betegek 5,4%, ill. 0,7%</w:t>
      </w:r>
      <w:r w:rsidRPr="00D045B3">
        <w:rPr>
          <w:rFonts w:ascii="Times New Roman" w:hAnsi="Times New Roman"/>
        </w:rPr>
        <w:noBreakHyphen/>
        <w:t>ban jelentettek, ami – legalábbis esetenként – a gastrointestinalis vagy intratumoralis vérzésnek lehetett a következménye. 3., ill. 4. fokú neutropeniát a betegek 7,5%, ill. 2,7%-ában, 3. fokú thrombocytopeniát pedig 0,7%</w:t>
      </w:r>
      <w:r w:rsidRPr="00D045B3">
        <w:rPr>
          <w:rFonts w:ascii="Times New Roman" w:hAnsi="Times New Roman"/>
        </w:rPr>
        <w:noBreakHyphen/>
        <w:t>ban figyeltek meg. Nem volt olyan beteg, akinél 4. fokú thrombocytopeniát észleltek volna. A fehérvérsejt</w:t>
      </w:r>
      <w:r w:rsidRPr="00D045B3">
        <w:rPr>
          <w:rFonts w:ascii="Times New Roman" w:hAnsi="Times New Roman"/>
        </w:rPr>
        <w:noBreakHyphen/>
        <w:t xml:space="preserve">, ill neutrophil sejtszám csökkenése elsősorban a kezelés első 6 hetében fordult elő, később az értékek relatíve stabilizálódtak. </w:t>
      </w:r>
    </w:p>
    <w:p w14:paraId="1E927720" w14:textId="77777777" w:rsidR="00FE5992" w:rsidRPr="00D045B3" w:rsidRDefault="00FE5992" w:rsidP="00FE5992">
      <w:pPr>
        <w:pStyle w:val="KeinLeerraum"/>
        <w:rPr>
          <w:rFonts w:ascii="Times New Roman" w:hAnsi="Times New Roman"/>
          <w:i/>
          <w:iCs/>
        </w:rPr>
      </w:pPr>
    </w:p>
    <w:p w14:paraId="1E927721" w14:textId="77777777" w:rsidR="00FE5992" w:rsidRPr="00D045B3" w:rsidRDefault="00FE5992" w:rsidP="00FE5992">
      <w:pPr>
        <w:pStyle w:val="KeinLeerraum"/>
        <w:keepNext/>
        <w:rPr>
          <w:rFonts w:ascii="Times New Roman" w:hAnsi="Times New Roman"/>
        </w:rPr>
      </w:pPr>
      <w:r w:rsidRPr="00D045B3">
        <w:rPr>
          <w:rFonts w:ascii="Times New Roman" w:hAnsi="Times New Roman"/>
          <w:i/>
          <w:iCs/>
        </w:rPr>
        <w:t xml:space="preserve">Biokémia </w:t>
      </w:r>
    </w:p>
    <w:p w14:paraId="1E927722" w14:textId="77777777" w:rsidR="00FE5992" w:rsidRPr="00D045B3" w:rsidRDefault="00FE5992" w:rsidP="00CA41FD">
      <w:pPr>
        <w:pStyle w:val="KeinLeerraum"/>
        <w:rPr>
          <w:rFonts w:ascii="Times New Roman" w:hAnsi="Times New Roman"/>
        </w:rPr>
      </w:pPr>
      <w:r w:rsidRPr="00D045B3">
        <w:rPr>
          <w:rFonts w:ascii="Times New Roman" w:hAnsi="Times New Roman"/>
        </w:rPr>
        <w:t>A transzaminázok (&lt; 5%) vagy a bilirubinszint (&lt; 1%) súlyos fokú emelkedését figyelték meg CML</w:t>
      </w:r>
      <w:r w:rsidRPr="00D045B3">
        <w:rPr>
          <w:rFonts w:ascii="Times New Roman" w:hAnsi="Times New Roman"/>
        </w:rPr>
        <w:noBreakHyphen/>
        <w:t>es betegeknél, ami a dózis csökkentésével vagy a kezelés megszakításával (ezen epizódok medián időtartama egy hét körül volt) általában kezelhető volt. A terápia végleges felfüggesztése (a májfunkciós laboratóriumi eltérések miatt) a CML</w:t>
      </w:r>
      <w:r w:rsidRPr="00D045B3">
        <w:rPr>
          <w:rFonts w:ascii="Times New Roman" w:hAnsi="Times New Roman"/>
        </w:rPr>
        <w:noBreakHyphen/>
        <w:t>es betegek kevesebb mint 1%-ánál következett be. GIST</w:t>
      </w:r>
      <w:r w:rsidRPr="00D045B3">
        <w:rPr>
          <w:rFonts w:ascii="Times New Roman" w:hAnsi="Times New Roman"/>
        </w:rPr>
        <w:noBreakHyphen/>
        <w:t>ben szenvedő betegek (B2222 vizsgálat) 6,8%</w:t>
      </w:r>
      <w:r w:rsidRPr="00D045B3">
        <w:rPr>
          <w:rFonts w:ascii="Times New Roman" w:hAnsi="Times New Roman"/>
        </w:rPr>
        <w:noBreakHyphen/>
        <w:t>ánál figyelték meg a GPT (glutamát</w:t>
      </w:r>
      <w:r w:rsidRPr="00D045B3">
        <w:rPr>
          <w:rFonts w:ascii="Times New Roman" w:hAnsi="Times New Roman"/>
        </w:rPr>
        <w:noBreakHyphen/>
        <w:t>piruvát transzamináz) szint 3. vagy 4. fokú, és 4,8%</w:t>
      </w:r>
      <w:r w:rsidRPr="00D045B3">
        <w:rPr>
          <w:rFonts w:ascii="Times New Roman" w:hAnsi="Times New Roman"/>
        </w:rPr>
        <w:noBreakHyphen/>
        <w:t>nál a GOT (glutaminsav</w:t>
      </w:r>
      <w:r w:rsidRPr="00D045B3">
        <w:rPr>
          <w:rFonts w:ascii="Times New Roman" w:hAnsi="Times New Roman"/>
        </w:rPr>
        <w:noBreakHyphen/>
        <w:t xml:space="preserve">oxálecetsav transzamináz) szint 3. vagy 4. fokú emelkedését. </w:t>
      </w:r>
    </w:p>
    <w:p w14:paraId="1E927723" w14:textId="77777777" w:rsidR="00FE5992" w:rsidRPr="00D045B3" w:rsidRDefault="00FE5992" w:rsidP="00FE5992">
      <w:pPr>
        <w:pStyle w:val="KeinLeerraum"/>
        <w:rPr>
          <w:rFonts w:ascii="Times New Roman" w:hAnsi="Times New Roman"/>
        </w:rPr>
      </w:pPr>
    </w:p>
    <w:p w14:paraId="1E927724"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Előfordult cytolytikus és cholestatikus hepatitis, illetve májelégtelenség, némelyik halálos kimenetellel, közöttük egy betegnél, aki nagy dózisban szedett paracetamolt is. </w:t>
      </w:r>
    </w:p>
    <w:p w14:paraId="1E927725" w14:textId="77777777" w:rsidR="00FE5992" w:rsidRPr="00D045B3" w:rsidRDefault="00FE5992" w:rsidP="00FE5992">
      <w:pPr>
        <w:pStyle w:val="KeinLeerraum"/>
        <w:rPr>
          <w:rFonts w:ascii="Times New Roman" w:hAnsi="Times New Roman"/>
        </w:rPr>
      </w:pPr>
    </w:p>
    <w:p w14:paraId="1E927726" w14:textId="77777777" w:rsidR="007E4C58" w:rsidRPr="00D045B3" w:rsidRDefault="007E4C58" w:rsidP="00CA41FD">
      <w:pPr>
        <w:keepNext/>
        <w:spacing w:line="240" w:lineRule="auto"/>
        <w:rPr>
          <w:color w:val="000000"/>
          <w:u w:val="single"/>
          <w:lang w:val="hu-HU"/>
        </w:rPr>
      </w:pPr>
      <w:r w:rsidRPr="00D045B3">
        <w:rPr>
          <w:color w:val="000000"/>
          <w:u w:val="single"/>
          <w:lang w:val="hu-HU"/>
        </w:rPr>
        <w:t>Néhány kiválasztott mellékhatás leírása</w:t>
      </w:r>
    </w:p>
    <w:p w14:paraId="1E927727" w14:textId="77777777" w:rsidR="007E4C58" w:rsidRPr="00D045B3" w:rsidRDefault="007E4C58" w:rsidP="00CA41FD">
      <w:pPr>
        <w:keepNext/>
        <w:spacing w:line="240" w:lineRule="auto"/>
        <w:rPr>
          <w:i/>
          <w:color w:val="000000"/>
          <w:szCs w:val="22"/>
          <w:u w:val="single"/>
          <w:lang w:val="hu-HU"/>
        </w:rPr>
      </w:pPr>
      <w:r w:rsidRPr="00D045B3">
        <w:rPr>
          <w:i/>
          <w:color w:val="000000"/>
          <w:u w:val="single"/>
          <w:lang w:val="hu-HU"/>
        </w:rPr>
        <w:t>Hepatitis </w:t>
      </w:r>
      <w:r w:rsidRPr="00D045B3">
        <w:rPr>
          <w:i/>
          <w:color w:val="000000"/>
          <w:szCs w:val="22"/>
          <w:u w:val="single"/>
          <w:lang w:val="hu-HU"/>
        </w:rPr>
        <w:t>B reaktiváció</w:t>
      </w:r>
    </w:p>
    <w:p w14:paraId="1E927728" w14:textId="5034B161" w:rsidR="007E4C58" w:rsidRPr="00D045B3" w:rsidRDefault="007E4C58" w:rsidP="007E4C58">
      <w:pPr>
        <w:spacing w:line="240" w:lineRule="auto"/>
        <w:rPr>
          <w:szCs w:val="22"/>
          <w:lang w:val="hu-HU"/>
        </w:rPr>
      </w:pPr>
      <w:r w:rsidRPr="00D045B3">
        <w:rPr>
          <w:szCs w:val="22"/>
          <w:lang w:val="hu-HU"/>
        </w:rPr>
        <w:t>A BCR</w:t>
      </w:r>
      <w:r w:rsidRPr="00D045B3">
        <w:rPr>
          <w:szCs w:val="22"/>
          <w:lang w:val="hu-HU"/>
        </w:rPr>
        <w:noBreakHyphen/>
        <w:t>ABL tirozin</w:t>
      </w:r>
      <w:r w:rsidRPr="00D045B3">
        <w:rPr>
          <w:szCs w:val="22"/>
          <w:lang w:val="hu-HU"/>
        </w:rPr>
        <w:noBreakHyphen/>
        <w:t>kináz inhibitorok alkalmazásával kapcsolatban a hepatitis B reaktivációjáról számoltak be Egyes esetekben akut májelégtelenség vagy fulmináns hepatitis alakult ki, amely májtranszplantáció</w:t>
      </w:r>
      <w:r w:rsidR="002274AF" w:rsidRPr="00D045B3">
        <w:rPr>
          <w:szCs w:val="22"/>
          <w:lang w:val="hu-HU"/>
        </w:rPr>
        <w:t>t tett szükségessé</w:t>
      </w:r>
      <w:r w:rsidRPr="00D045B3">
        <w:rPr>
          <w:szCs w:val="22"/>
          <w:lang w:val="hu-HU"/>
        </w:rPr>
        <w:t xml:space="preserve"> vagy halálos kimenetelhez vezetett (lásd 4.4 pont).</w:t>
      </w:r>
    </w:p>
    <w:p w14:paraId="1E927729" w14:textId="77777777" w:rsidR="007E4C58" w:rsidRPr="00D045B3" w:rsidRDefault="007E4C58" w:rsidP="00FE5992">
      <w:pPr>
        <w:pStyle w:val="KeinLeerraum"/>
        <w:rPr>
          <w:rFonts w:ascii="Times New Roman" w:hAnsi="Times New Roman"/>
        </w:rPr>
      </w:pPr>
    </w:p>
    <w:p w14:paraId="1E92772A" w14:textId="77777777" w:rsidR="00FE5992" w:rsidRPr="00D045B3" w:rsidRDefault="00FE5992" w:rsidP="00BC4F3D">
      <w:pPr>
        <w:keepNext/>
        <w:spacing w:line="240" w:lineRule="auto"/>
        <w:rPr>
          <w:u w:val="single"/>
          <w:lang w:val="hu-HU"/>
        </w:rPr>
      </w:pPr>
      <w:r w:rsidRPr="00D045B3">
        <w:rPr>
          <w:u w:val="single"/>
          <w:lang w:val="hu-HU"/>
        </w:rPr>
        <w:t>Feltételezett mellékhatások bejelentése</w:t>
      </w:r>
    </w:p>
    <w:p w14:paraId="1E92772B" w14:textId="77777777" w:rsidR="00FE5992" w:rsidRPr="00D045B3" w:rsidRDefault="00FE5992" w:rsidP="00FE5992">
      <w:pPr>
        <w:spacing w:line="240" w:lineRule="auto"/>
        <w:rPr>
          <w:rFonts w:eastAsia="Calibri"/>
          <w:lang w:val="hu-HU"/>
        </w:rPr>
      </w:pPr>
      <w:r w:rsidRPr="00D045B3">
        <w:rPr>
          <w:lang w:val="hu-HU"/>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3" w:history="1">
        <w:r w:rsidRPr="00D045B3">
          <w:rPr>
            <w:rStyle w:val="Hyperlink"/>
            <w:highlight w:val="lightGray"/>
            <w:lang w:val="hu-HU"/>
          </w:rPr>
          <w:t>V. függelékben</w:t>
        </w:r>
      </w:hyperlink>
      <w:r w:rsidRPr="00D045B3">
        <w:rPr>
          <w:highlight w:val="lightGray"/>
          <w:lang w:val="hu-HU"/>
        </w:rPr>
        <w:t xml:space="preserve"> található </w:t>
      </w:r>
      <w:r w:rsidRPr="00D045B3">
        <w:rPr>
          <w:lang w:val="hu-HU"/>
        </w:rPr>
        <w:t>elérhetőségek valamelyikén keresztül.</w:t>
      </w:r>
    </w:p>
    <w:p w14:paraId="1E92772C" w14:textId="77777777" w:rsidR="00FE5992" w:rsidRPr="00D045B3" w:rsidRDefault="00FE5992" w:rsidP="00FE5992">
      <w:pPr>
        <w:pStyle w:val="KeinLeerraum"/>
        <w:rPr>
          <w:rFonts w:ascii="Times New Roman" w:hAnsi="Times New Roman"/>
        </w:rPr>
      </w:pPr>
    </w:p>
    <w:p w14:paraId="1E92772D"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4.9</w:t>
      </w:r>
      <w:r w:rsidRPr="00D045B3">
        <w:rPr>
          <w:rFonts w:ascii="Times New Roman" w:hAnsi="Times New Roman"/>
          <w:b/>
        </w:rPr>
        <w:tab/>
        <w:t xml:space="preserve">Túladagolás </w:t>
      </w:r>
    </w:p>
    <w:p w14:paraId="1E92772E" w14:textId="77777777" w:rsidR="00FE5992" w:rsidRPr="00D045B3" w:rsidRDefault="00FE5992" w:rsidP="00FE5992">
      <w:pPr>
        <w:pStyle w:val="KeinLeerraum"/>
        <w:keepNext/>
        <w:rPr>
          <w:rFonts w:ascii="Times New Roman" w:hAnsi="Times New Roman"/>
        </w:rPr>
      </w:pPr>
    </w:p>
    <w:p w14:paraId="1E92772F" w14:textId="77777777" w:rsidR="00FE5992" w:rsidRPr="00D045B3" w:rsidRDefault="00FE5992" w:rsidP="00FE5992">
      <w:pPr>
        <w:pStyle w:val="KeinLeerraum"/>
        <w:keepNext/>
        <w:rPr>
          <w:rFonts w:ascii="Times New Roman" w:hAnsi="Times New Roman"/>
        </w:rPr>
      </w:pPr>
      <w:r w:rsidRPr="00D045B3">
        <w:rPr>
          <w:rFonts w:ascii="Times New Roman" w:hAnsi="Times New Roman"/>
        </w:rPr>
        <w:t>A javasolt terápiás dózisnál nagyobb adagokkal szerzett tapasztalat korlátozott.</w:t>
      </w:r>
    </w:p>
    <w:p w14:paraId="1E927730" w14:textId="77777777" w:rsidR="00FE5992" w:rsidRPr="00D045B3" w:rsidRDefault="00FE5992" w:rsidP="00FE5992">
      <w:pPr>
        <w:pStyle w:val="KeinLeerraum"/>
        <w:keepNext/>
        <w:rPr>
          <w:rFonts w:ascii="Times New Roman" w:hAnsi="Times New Roman"/>
        </w:rPr>
      </w:pPr>
      <w:r w:rsidRPr="00D045B3">
        <w:rPr>
          <w:rFonts w:ascii="Times New Roman" w:hAnsi="Times New Roman"/>
        </w:rPr>
        <w:t xml:space="preserve">Imatinib túladagolás elszigetelt eseteiről számoltak be spontán bejelentésekben, illetve a szakirodalomban. Túladagolás esetén a beteget megfigyelés alatt kell tartani, és megfelelő tüneti kezelésben kell részesíteni. Ezekben az esetekben a beszámolók szerint a kimenetel általában „javult” vagy „gyógyult” volt. A különböző dózistartományokban jelentett események a következők voltak: </w:t>
      </w:r>
    </w:p>
    <w:p w14:paraId="1E927731" w14:textId="77777777" w:rsidR="00FE5992" w:rsidRPr="00D045B3" w:rsidRDefault="00FE5992" w:rsidP="00FE5992">
      <w:pPr>
        <w:pStyle w:val="KeinLeerraum"/>
        <w:rPr>
          <w:rFonts w:ascii="Times New Roman" w:hAnsi="Times New Roman"/>
          <w:i/>
          <w:iCs/>
        </w:rPr>
      </w:pPr>
    </w:p>
    <w:p w14:paraId="1E927732" w14:textId="1085C98E" w:rsidR="00FE5992" w:rsidRPr="00D045B3" w:rsidRDefault="00FE5992" w:rsidP="00FE5992">
      <w:pPr>
        <w:pStyle w:val="KeinLeerraum"/>
        <w:keepNext/>
        <w:rPr>
          <w:rFonts w:ascii="Times New Roman" w:hAnsi="Times New Roman"/>
          <w:u w:val="single"/>
        </w:rPr>
      </w:pPr>
      <w:r w:rsidRPr="00D045B3">
        <w:rPr>
          <w:rFonts w:ascii="Times New Roman" w:hAnsi="Times New Roman"/>
          <w:iCs/>
          <w:u w:val="single"/>
        </w:rPr>
        <w:t>Felnőtt</w:t>
      </w:r>
      <w:r w:rsidR="002274AF" w:rsidRPr="00D045B3">
        <w:rPr>
          <w:rFonts w:ascii="Times New Roman" w:hAnsi="Times New Roman"/>
          <w:iCs/>
          <w:u w:val="single"/>
        </w:rPr>
        <w:t>ek</w:t>
      </w:r>
    </w:p>
    <w:p w14:paraId="1E927733" w14:textId="77777777" w:rsidR="00FE5992" w:rsidRPr="00D045B3" w:rsidRDefault="00FE5992" w:rsidP="00CA41FD">
      <w:pPr>
        <w:pStyle w:val="KeinLeerraum"/>
        <w:rPr>
          <w:rFonts w:ascii="Times New Roman" w:hAnsi="Times New Roman"/>
        </w:rPr>
      </w:pPr>
      <w:r w:rsidRPr="00D045B3">
        <w:rPr>
          <w:rFonts w:ascii="Times New Roman" w:hAnsi="Times New Roman"/>
        </w:rPr>
        <w:t>1200</w:t>
      </w:r>
      <w:r w:rsidRPr="00D045B3">
        <w:rPr>
          <w:rFonts w:ascii="Times New Roman" w:hAnsi="Times New Roman"/>
        </w:rPr>
        <w:noBreakHyphen/>
        <w:t>1600 mg (az időtartam 1</w:t>
      </w:r>
      <w:r w:rsidRPr="00D045B3">
        <w:rPr>
          <w:rFonts w:ascii="Times New Roman" w:hAnsi="Times New Roman"/>
        </w:rPr>
        <w:noBreakHyphen/>
        <w:t xml:space="preserve">10 nap között változik): hányinger, hányás, hasmenés, bőrkiütés, erythema, oedema, duzzanat, fáradtság, izomspasmus, thrombocytopenia, pancytopenia, hasi fájdalom, fejfájás, étvágycsökkenés. </w:t>
      </w:r>
    </w:p>
    <w:p w14:paraId="1E927734" w14:textId="779214F7" w:rsidR="00FE5992" w:rsidRPr="00D045B3" w:rsidRDefault="00FE5992" w:rsidP="00FE5992">
      <w:pPr>
        <w:pStyle w:val="KeinLeerraum"/>
        <w:rPr>
          <w:rFonts w:ascii="Times New Roman" w:hAnsi="Times New Roman"/>
        </w:rPr>
      </w:pPr>
      <w:r w:rsidRPr="00D045B3">
        <w:rPr>
          <w:rFonts w:ascii="Times New Roman" w:hAnsi="Times New Roman"/>
        </w:rPr>
        <w:t>1800</w:t>
      </w:r>
      <w:r w:rsidRPr="00D045B3">
        <w:rPr>
          <w:rFonts w:ascii="Times New Roman" w:hAnsi="Times New Roman"/>
        </w:rPr>
        <w:noBreakHyphen/>
        <w:t>3200 mg (akár napi 3200 mg 6 napon keresztül): gyengeség, myalgia, emelkedett kreatin</w:t>
      </w:r>
      <w:r w:rsidRPr="00D045B3">
        <w:rPr>
          <w:rFonts w:ascii="Times New Roman" w:hAnsi="Times New Roman"/>
        </w:rPr>
        <w:noBreakHyphen/>
        <w:t>foszfokináz</w:t>
      </w:r>
      <w:r w:rsidRPr="00D045B3">
        <w:rPr>
          <w:rFonts w:ascii="Times New Roman" w:hAnsi="Times New Roman"/>
        </w:rPr>
        <w:noBreakHyphen/>
        <w:t xml:space="preserve">szint, emelkedett bilirubinszint, gastrointestinalis fájdalom. </w:t>
      </w:r>
    </w:p>
    <w:p w14:paraId="1E927735" w14:textId="3A3B3367" w:rsidR="00FE5992" w:rsidRPr="00D045B3" w:rsidRDefault="00FE5992" w:rsidP="00FE5992">
      <w:pPr>
        <w:pStyle w:val="KeinLeerraum"/>
        <w:rPr>
          <w:rFonts w:ascii="Times New Roman" w:hAnsi="Times New Roman"/>
        </w:rPr>
      </w:pPr>
      <w:r w:rsidRPr="00D045B3">
        <w:rPr>
          <w:rFonts w:ascii="Times New Roman" w:hAnsi="Times New Roman"/>
        </w:rPr>
        <w:t>6400 mg (egyetlen dózis): A szakirodalomban egy beteg esetéről számoltak be, akinél hányingert, hányást, hasi fájdalmat, lázat, arcdagadást, csökkent neutro</w:t>
      </w:r>
      <w:r w:rsidR="002274AF" w:rsidRPr="00D045B3">
        <w:rPr>
          <w:rFonts w:ascii="Times New Roman" w:hAnsi="Times New Roman"/>
        </w:rPr>
        <w:t>ph</w:t>
      </w:r>
      <w:r w:rsidRPr="00D045B3">
        <w:rPr>
          <w:rFonts w:ascii="Times New Roman" w:hAnsi="Times New Roman"/>
        </w:rPr>
        <w:t>il számot, emelkedett transzamináz</w:t>
      </w:r>
      <w:r w:rsidRPr="00D045B3">
        <w:rPr>
          <w:rFonts w:ascii="Times New Roman" w:hAnsi="Times New Roman"/>
        </w:rPr>
        <w:noBreakHyphen/>
        <w:t xml:space="preserve">szinteket észleltek. </w:t>
      </w:r>
    </w:p>
    <w:p w14:paraId="1E927736" w14:textId="77777777" w:rsidR="00FE5992" w:rsidRPr="00D045B3" w:rsidRDefault="00FE5992" w:rsidP="00FE5992">
      <w:pPr>
        <w:pStyle w:val="KeinLeerraum"/>
        <w:rPr>
          <w:rFonts w:ascii="Times New Roman" w:hAnsi="Times New Roman"/>
        </w:rPr>
      </w:pPr>
      <w:r w:rsidRPr="00D045B3">
        <w:rPr>
          <w:rFonts w:ascii="Times New Roman" w:hAnsi="Times New Roman"/>
        </w:rPr>
        <w:t>8</w:t>
      </w:r>
      <w:r w:rsidRPr="00D045B3">
        <w:rPr>
          <w:rFonts w:ascii="Times New Roman" w:hAnsi="Times New Roman"/>
        </w:rPr>
        <w:noBreakHyphen/>
        <w:t xml:space="preserve">10 g (egyetlen adag): hányást és gastrointestinalis fájdalmat jelentettek. </w:t>
      </w:r>
    </w:p>
    <w:p w14:paraId="1E927737" w14:textId="77777777" w:rsidR="00FE5992" w:rsidRPr="00D045B3" w:rsidRDefault="00FE5992" w:rsidP="00FE5992">
      <w:pPr>
        <w:pStyle w:val="KeinLeerraum"/>
        <w:rPr>
          <w:rFonts w:ascii="Times New Roman" w:hAnsi="Times New Roman"/>
          <w:i/>
          <w:iCs/>
        </w:rPr>
      </w:pPr>
    </w:p>
    <w:p w14:paraId="1E927738"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iCs/>
          <w:u w:val="single"/>
        </w:rPr>
        <w:t xml:space="preserve">Gyermekek </w:t>
      </w:r>
      <w:r w:rsidR="007E4C58" w:rsidRPr="00D045B3">
        <w:rPr>
          <w:rFonts w:ascii="Times New Roman" w:hAnsi="Times New Roman"/>
          <w:iCs/>
          <w:u w:val="single"/>
        </w:rPr>
        <w:t>és serdülők</w:t>
      </w:r>
    </w:p>
    <w:p w14:paraId="1E927739" w14:textId="77777777" w:rsidR="00FE5992" w:rsidRPr="00D045B3" w:rsidRDefault="00FE5992" w:rsidP="00CA41FD">
      <w:pPr>
        <w:pStyle w:val="KeinLeerraum"/>
        <w:rPr>
          <w:rFonts w:ascii="Times New Roman" w:hAnsi="Times New Roman"/>
        </w:rPr>
      </w:pPr>
      <w:r w:rsidRPr="00D045B3">
        <w:rPr>
          <w:rFonts w:ascii="Times New Roman" w:hAnsi="Times New Roman"/>
        </w:rPr>
        <w:t>Egy 3 éves fiúnál, aki egyetlen 400 mg</w:t>
      </w:r>
      <w:r w:rsidRPr="00D045B3">
        <w:rPr>
          <w:rFonts w:ascii="Times New Roman" w:hAnsi="Times New Roman"/>
        </w:rPr>
        <w:noBreakHyphen/>
        <w:t>os dózist kapott, hányást, hasmenést és étvágytalanságot, egy másik 3 éves fiúnál, aki egyetlen 980 mg</w:t>
      </w:r>
      <w:r w:rsidRPr="00D045B3">
        <w:rPr>
          <w:rFonts w:ascii="Times New Roman" w:hAnsi="Times New Roman"/>
        </w:rPr>
        <w:noBreakHyphen/>
        <w:t xml:space="preserve">os adagot kapott, fehérvérsejtszám csökkenést és hasmenést észleltek. </w:t>
      </w:r>
    </w:p>
    <w:p w14:paraId="1E92773A" w14:textId="77777777" w:rsidR="00FE5992" w:rsidRPr="00D045B3" w:rsidRDefault="00FE5992" w:rsidP="00FE5992">
      <w:pPr>
        <w:pStyle w:val="KeinLeerraum"/>
        <w:rPr>
          <w:rFonts w:ascii="Times New Roman" w:hAnsi="Times New Roman"/>
        </w:rPr>
      </w:pPr>
    </w:p>
    <w:p w14:paraId="1E92773B"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Túladagolás esetén a beteget megfigyelés alatt kell tartani, és megfelelő szupportív kezelésben kell részesíteni. </w:t>
      </w:r>
    </w:p>
    <w:p w14:paraId="1E92773C" w14:textId="77777777" w:rsidR="00FE5992" w:rsidRPr="00D045B3" w:rsidRDefault="00FE5992" w:rsidP="00FE5992">
      <w:pPr>
        <w:pStyle w:val="KeinLeerraum"/>
        <w:rPr>
          <w:rFonts w:ascii="Times New Roman" w:hAnsi="Times New Roman"/>
        </w:rPr>
      </w:pPr>
    </w:p>
    <w:p w14:paraId="1E92773D" w14:textId="77777777" w:rsidR="00FE5992" w:rsidRPr="00D045B3" w:rsidRDefault="00FE5992" w:rsidP="00FE5992">
      <w:pPr>
        <w:pStyle w:val="KeinLeerraum"/>
        <w:rPr>
          <w:rFonts w:ascii="Times New Roman" w:hAnsi="Times New Roman"/>
        </w:rPr>
      </w:pPr>
    </w:p>
    <w:p w14:paraId="1E92773E"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5.</w:t>
      </w:r>
      <w:r w:rsidRPr="00D045B3">
        <w:rPr>
          <w:rFonts w:ascii="Times New Roman" w:hAnsi="Times New Roman"/>
          <w:b/>
        </w:rPr>
        <w:tab/>
        <w:t xml:space="preserve">FARMAKOLÓGIAI TULAJDONSÁGOK </w:t>
      </w:r>
    </w:p>
    <w:p w14:paraId="1E92773F" w14:textId="77777777" w:rsidR="00FE5992" w:rsidRPr="00D045B3" w:rsidRDefault="00FE5992" w:rsidP="00FE5992">
      <w:pPr>
        <w:pStyle w:val="KeinLeerraum"/>
        <w:keepNext/>
        <w:rPr>
          <w:rFonts w:ascii="Times New Roman" w:hAnsi="Times New Roman"/>
        </w:rPr>
      </w:pPr>
    </w:p>
    <w:p w14:paraId="1E927740" w14:textId="77777777" w:rsidR="00FE5992" w:rsidRPr="00D045B3" w:rsidRDefault="00FE5992" w:rsidP="00FE5992">
      <w:pPr>
        <w:pStyle w:val="KeinLeerraum"/>
        <w:keepNext/>
        <w:tabs>
          <w:tab w:val="left" w:pos="567"/>
        </w:tabs>
        <w:rPr>
          <w:rFonts w:ascii="Times New Roman" w:hAnsi="Times New Roman"/>
          <w:b/>
        </w:rPr>
      </w:pPr>
      <w:r w:rsidRPr="00D045B3">
        <w:rPr>
          <w:rFonts w:ascii="Times New Roman" w:hAnsi="Times New Roman"/>
          <w:b/>
        </w:rPr>
        <w:t xml:space="preserve">5.1 </w:t>
      </w:r>
      <w:r w:rsidRPr="00D045B3">
        <w:rPr>
          <w:rFonts w:ascii="Times New Roman" w:hAnsi="Times New Roman"/>
          <w:b/>
        </w:rPr>
        <w:tab/>
        <w:t xml:space="preserve">Farmakodinámiás tulajdonságok </w:t>
      </w:r>
    </w:p>
    <w:p w14:paraId="1E927741" w14:textId="77777777" w:rsidR="00FE5992" w:rsidRPr="00D045B3" w:rsidRDefault="00FE5992" w:rsidP="00FE5992">
      <w:pPr>
        <w:pStyle w:val="KeinLeerraum"/>
        <w:keepNext/>
        <w:rPr>
          <w:rFonts w:ascii="Times New Roman" w:hAnsi="Times New Roman"/>
        </w:rPr>
      </w:pPr>
    </w:p>
    <w:p w14:paraId="1E927742" w14:textId="77777777" w:rsidR="00FE5992" w:rsidRPr="00D045B3" w:rsidRDefault="00FE5992" w:rsidP="00FE5992">
      <w:pPr>
        <w:pStyle w:val="KeinLeerraum"/>
        <w:keepNext/>
        <w:rPr>
          <w:rFonts w:ascii="Times New Roman" w:hAnsi="Times New Roman"/>
        </w:rPr>
      </w:pPr>
      <w:r w:rsidRPr="00D045B3">
        <w:rPr>
          <w:rFonts w:ascii="Times New Roman" w:hAnsi="Times New Roman"/>
        </w:rPr>
        <w:t>Farmakoterápiás csoport: daganatellenes szerek, protein</w:t>
      </w:r>
      <w:r w:rsidRPr="00D045B3">
        <w:rPr>
          <w:rFonts w:ascii="Times New Roman" w:hAnsi="Times New Roman"/>
        </w:rPr>
        <w:noBreakHyphen/>
        <w:t xml:space="preserve">tirozinkináz inhibitor, ATC kód: L01XE01 </w:t>
      </w:r>
    </w:p>
    <w:p w14:paraId="1E927743" w14:textId="77777777" w:rsidR="00FE5992" w:rsidRPr="00D045B3" w:rsidRDefault="00FE5992" w:rsidP="00FE5992">
      <w:pPr>
        <w:pStyle w:val="KeinLeerraum"/>
        <w:rPr>
          <w:rFonts w:ascii="Times New Roman" w:hAnsi="Times New Roman"/>
        </w:rPr>
      </w:pPr>
    </w:p>
    <w:p w14:paraId="1E927744" w14:textId="77777777" w:rsidR="00FE5992" w:rsidRPr="00D045B3" w:rsidRDefault="00FE5992" w:rsidP="008A6837">
      <w:pPr>
        <w:pStyle w:val="KeinLeerraum"/>
        <w:keepNext/>
        <w:rPr>
          <w:rFonts w:ascii="Times New Roman" w:hAnsi="Times New Roman"/>
          <w:u w:val="single"/>
        </w:rPr>
      </w:pPr>
      <w:r w:rsidRPr="00D045B3">
        <w:rPr>
          <w:rFonts w:ascii="Times New Roman" w:hAnsi="Times New Roman"/>
          <w:u w:val="single"/>
        </w:rPr>
        <w:t xml:space="preserve">Hatásmechanizmus </w:t>
      </w:r>
    </w:p>
    <w:p w14:paraId="1E927745" w14:textId="77777777" w:rsidR="00FE5992" w:rsidRPr="00D045B3" w:rsidRDefault="00FE5992" w:rsidP="00CA41FD">
      <w:pPr>
        <w:pStyle w:val="KeinLeerraum"/>
        <w:rPr>
          <w:rFonts w:ascii="Times New Roman" w:hAnsi="Times New Roman"/>
        </w:rPr>
      </w:pPr>
      <w:r w:rsidRPr="00D045B3">
        <w:rPr>
          <w:rFonts w:ascii="Times New Roman" w:hAnsi="Times New Roman"/>
        </w:rPr>
        <w:t>Az imatinib egy kis molekulájú protein</w:t>
      </w:r>
      <w:r w:rsidRPr="00D045B3">
        <w:rPr>
          <w:rFonts w:ascii="Times New Roman" w:hAnsi="Times New Roman"/>
        </w:rPr>
        <w:noBreakHyphen/>
        <w:t>tirozinkináz inhibitor, ami hatékonyan gátolja a Bcr</w:t>
      </w:r>
      <w:r w:rsidRPr="00D045B3">
        <w:rPr>
          <w:rFonts w:ascii="Times New Roman" w:hAnsi="Times New Roman"/>
        </w:rPr>
        <w:noBreakHyphen/>
        <w:t>Abl tirozinkináz (TK), valamint több TK</w:t>
      </w:r>
      <w:r w:rsidRPr="00D045B3">
        <w:rPr>
          <w:rFonts w:ascii="Times New Roman" w:hAnsi="Times New Roman"/>
        </w:rPr>
        <w:noBreakHyphen/>
        <w:t>receptor aktivitását: a Kit</w:t>
      </w:r>
      <w:r w:rsidRPr="00D045B3">
        <w:rPr>
          <w:rFonts w:ascii="Times New Roman" w:hAnsi="Times New Roman"/>
        </w:rPr>
        <w:noBreakHyphen/>
        <w:t>et, az őssejt faktor (SCF) receptorát, amit a c</w:t>
      </w:r>
      <w:r w:rsidRPr="00D045B3">
        <w:rPr>
          <w:rFonts w:ascii="Times New Roman" w:hAnsi="Times New Roman"/>
        </w:rPr>
        <w:noBreakHyphen/>
        <w:t>Kit protoonkogén kódol, a diszkoidin domén receptorokat (DDR1 és DDR2), a kolónia stimuláló faktor receptort (CSF</w:t>
      </w:r>
      <w:r w:rsidRPr="00D045B3">
        <w:rPr>
          <w:rFonts w:ascii="Times New Roman" w:hAnsi="Times New Roman"/>
        </w:rPr>
        <w:noBreakHyphen/>
        <w:t>1R) és a thrombocyta-eredetű növekedési faktor receptor-alfát és -bétát (PDGFR-alfa és PDGFR-béta). Az imatinib ugyancsak képes gátolni az ezen receptor</w:t>
      </w:r>
      <w:r w:rsidRPr="00D045B3">
        <w:rPr>
          <w:rFonts w:ascii="Times New Roman" w:hAnsi="Times New Roman"/>
        </w:rPr>
        <w:noBreakHyphen/>
        <w:t xml:space="preserve">kinázok aktiválódása által mediált celluláris történéseket. </w:t>
      </w:r>
    </w:p>
    <w:p w14:paraId="1E927746" w14:textId="77777777" w:rsidR="00FE5992" w:rsidRPr="00D045B3" w:rsidRDefault="00FE5992" w:rsidP="00FE5992">
      <w:pPr>
        <w:pStyle w:val="KeinLeerraum"/>
        <w:rPr>
          <w:rFonts w:ascii="Times New Roman" w:hAnsi="Times New Roman"/>
        </w:rPr>
      </w:pPr>
    </w:p>
    <w:p w14:paraId="1E927747"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Farmakodinámiás hatások </w:t>
      </w:r>
    </w:p>
    <w:p w14:paraId="1E927748" w14:textId="77777777" w:rsidR="00FE5992" w:rsidRPr="00D045B3" w:rsidRDefault="00FE5992" w:rsidP="00CA41FD">
      <w:pPr>
        <w:pStyle w:val="KeinLeerraum"/>
        <w:rPr>
          <w:rFonts w:ascii="Times New Roman" w:hAnsi="Times New Roman"/>
        </w:rPr>
      </w:pPr>
      <w:r w:rsidRPr="00D045B3">
        <w:rPr>
          <w:rFonts w:ascii="Times New Roman" w:hAnsi="Times New Roman"/>
        </w:rPr>
        <w:t>Az imatinib protein</w:t>
      </w:r>
      <w:r w:rsidRPr="00D045B3">
        <w:rPr>
          <w:rFonts w:ascii="Times New Roman" w:hAnsi="Times New Roman"/>
        </w:rPr>
        <w:noBreakHyphen/>
        <w:t>tirozinkináz inhibitor, hatékonyan gátolja a Bcr</w:t>
      </w:r>
      <w:r w:rsidRPr="00D045B3">
        <w:rPr>
          <w:rFonts w:ascii="Times New Roman" w:hAnsi="Times New Roman"/>
        </w:rPr>
        <w:noBreakHyphen/>
        <w:t xml:space="preserve">Abl tirozinkinázt </w:t>
      </w:r>
      <w:r w:rsidRPr="00D045B3">
        <w:rPr>
          <w:rFonts w:ascii="Times New Roman" w:hAnsi="Times New Roman"/>
          <w:i/>
          <w:iCs/>
        </w:rPr>
        <w:t xml:space="preserve">in vitro, </w:t>
      </w:r>
      <w:r w:rsidRPr="00D045B3">
        <w:rPr>
          <w:rFonts w:ascii="Times New Roman" w:hAnsi="Times New Roman"/>
        </w:rPr>
        <w:t xml:space="preserve">celluláris szinten, és </w:t>
      </w:r>
      <w:r w:rsidRPr="00D045B3">
        <w:rPr>
          <w:rFonts w:ascii="Times New Roman" w:hAnsi="Times New Roman"/>
          <w:i/>
          <w:iCs/>
        </w:rPr>
        <w:t>in vivo</w:t>
      </w:r>
      <w:r w:rsidRPr="00D045B3">
        <w:rPr>
          <w:rFonts w:ascii="Times New Roman" w:hAnsi="Times New Roman"/>
        </w:rPr>
        <w:t>. A vegyület a Bcr</w:t>
      </w:r>
      <w:r w:rsidRPr="00D045B3">
        <w:rPr>
          <w:rFonts w:ascii="Times New Roman" w:hAnsi="Times New Roman"/>
        </w:rPr>
        <w:noBreakHyphen/>
        <w:t>Abl pozitív sejtvonalak és a Philadelphia kromoszóma pozitív CML</w:t>
      </w:r>
      <w:r w:rsidRPr="00D045B3">
        <w:rPr>
          <w:rFonts w:ascii="Times New Roman" w:hAnsi="Times New Roman"/>
        </w:rPr>
        <w:noBreakHyphen/>
        <w:t>es és akut lymphob</w:t>
      </w:r>
      <w:r w:rsidR="00FC56A8" w:rsidRPr="00D045B3">
        <w:rPr>
          <w:rFonts w:ascii="Times New Roman" w:hAnsi="Times New Roman"/>
        </w:rPr>
        <w:t>l</w:t>
      </w:r>
      <w:r w:rsidRPr="00D045B3">
        <w:rPr>
          <w:rFonts w:ascii="Times New Roman" w:hAnsi="Times New Roman"/>
        </w:rPr>
        <w:t xml:space="preserve">astos leukaemiás (ALL) betegekből frissen izolált leukaemiás sejtek proliferációját szelektíven gátolja, és azokban apoptózist indukál. </w:t>
      </w:r>
    </w:p>
    <w:p w14:paraId="1E927749" w14:textId="77777777" w:rsidR="00FE5992" w:rsidRPr="00D045B3" w:rsidRDefault="00FE5992" w:rsidP="00FE5992">
      <w:pPr>
        <w:pStyle w:val="KeinLeerraum"/>
        <w:rPr>
          <w:rFonts w:ascii="Times New Roman" w:hAnsi="Times New Roman"/>
        </w:rPr>
      </w:pPr>
    </w:p>
    <w:p w14:paraId="1E92774A" w14:textId="77777777" w:rsidR="00FE5992" w:rsidRPr="00D045B3" w:rsidRDefault="00FE5992" w:rsidP="00FE5992">
      <w:pPr>
        <w:pStyle w:val="KeinLeerraum"/>
        <w:rPr>
          <w:rFonts w:ascii="Times New Roman" w:hAnsi="Times New Roman"/>
        </w:rPr>
      </w:pPr>
      <w:r w:rsidRPr="00D045B3">
        <w:rPr>
          <w:rFonts w:ascii="Times New Roman" w:hAnsi="Times New Roman"/>
        </w:rPr>
        <w:t>Állatmodellekben, Bcr</w:t>
      </w:r>
      <w:r w:rsidRPr="00D045B3">
        <w:rPr>
          <w:rFonts w:ascii="Times New Roman" w:hAnsi="Times New Roman"/>
        </w:rPr>
        <w:noBreakHyphen/>
        <w:t xml:space="preserve">Abl pozitív tumorsejteket használva, a vegyület egyedülálló anyagként mutat </w:t>
      </w:r>
      <w:r w:rsidRPr="00D045B3">
        <w:rPr>
          <w:rFonts w:ascii="Times New Roman" w:hAnsi="Times New Roman"/>
          <w:i/>
          <w:iCs/>
        </w:rPr>
        <w:t xml:space="preserve">in vivo </w:t>
      </w:r>
      <w:r w:rsidRPr="00D045B3">
        <w:rPr>
          <w:rFonts w:ascii="Times New Roman" w:hAnsi="Times New Roman"/>
        </w:rPr>
        <w:t xml:space="preserve">antitumor aktivitást. </w:t>
      </w:r>
    </w:p>
    <w:p w14:paraId="1E92774B" w14:textId="77777777" w:rsidR="00FE5992" w:rsidRPr="00D045B3" w:rsidRDefault="00FE5992" w:rsidP="00FE5992">
      <w:pPr>
        <w:pStyle w:val="KeinLeerraum"/>
        <w:rPr>
          <w:rFonts w:ascii="Times New Roman" w:hAnsi="Times New Roman"/>
        </w:rPr>
      </w:pPr>
    </w:p>
    <w:p w14:paraId="1E92774C" w14:textId="77777777" w:rsidR="00FE5992" w:rsidRPr="00D045B3" w:rsidRDefault="00FE5992" w:rsidP="00FE5992">
      <w:pPr>
        <w:pStyle w:val="KeinLeerraum"/>
        <w:rPr>
          <w:rFonts w:ascii="Times New Roman" w:hAnsi="Times New Roman"/>
        </w:rPr>
      </w:pPr>
      <w:r w:rsidRPr="00D045B3">
        <w:rPr>
          <w:rFonts w:ascii="Times New Roman" w:hAnsi="Times New Roman"/>
        </w:rPr>
        <w:t>Az imatinib inhibitora a thrombocyta</w:t>
      </w:r>
      <w:r w:rsidRPr="00D045B3">
        <w:rPr>
          <w:rFonts w:ascii="Times New Roman" w:hAnsi="Times New Roman"/>
        </w:rPr>
        <w:noBreakHyphen/>
        <w:t>eredetű növekedési faktor (PDGF), PDGF</w:t>
      </w:r>
      <w:r w:rsidRPr="00D045B3">
        <w:rPr>
          <w:rFonts w:ascii="Times New Roman" w:hAnsi="Times New Roman"/>
        </w:rPr>
        <w:noBreakHyphen/>
        <w:t>R tirozinkináz receptorainak is, továbbá gátolja a PDGF által közvetített celluláris folyamatokat. Az MDS/MPD, a HES/CEL, valamint a DFSP patogenezise kapcsán felmerült a PDGF</w:t>
      </w:r>
      <w:r w:rsidRPr="00D045B3">
        <w:rPr>
          <w:rFonts w:ascii="Times New Roman" w:hAnsi="Times New Roman"/>
        </w:rPr>
        <w:noBreakHyphen/>
        <w:t>receptor vagy az Abl</w:t>
      </w:r>
      <w:r w:rsidRPr="00D045B3">
        <w:rPr>
          <w:rFonts w:ascii="Times New Roman" w:hAnsi="Times New Roman"/>
        </w:rPr>
        <w:noBreakHyphen/>
        <w:t>protein</w:t>
      </w:r>
      <w:r w:rsidRPr="00D045B3">
        <w:rPr>
          <w:rFonts w:ascii="Times New Roman" w:hAnsi="Times New Roman"/>
        </w:rPr>
        <w:noBreakHyphen/>
        <w:t>tirozinkinázok konstitutív aktivációja, amely a különböző partnerfehérjékkel való fúzió, illetve a PDGF konstitutív termelődésének következménye. Az imatinib gátolja a PDGFR és Abl</w:t>
      </w:r>
      <w:r w:rsidRPr="00D045B3">
        <w:rPr>
          <w:rFonts w:ascii="Times New Roman" w:hAnsi="Times New Roman"/>
        </w:rPr>
        <w:noBreakHyphen/>
        <w:t>kináz kóros regulációja által okozott sejtproliferációt és jelátvitelt.</w:t>
      </w:r>
    </w:p>
    <w:p w14:paraId="1E92774D" w14:textId="77777777" w:rsidR="00FE5992" w:rsidRPr="00D045B3" w:rsidRDefault="00FE5992" w:rsidP="00FE5992">
      <w:pPr>
        <w:pStyle w:val="KeinLeerraum"/>
        <w:rPr>
          <w:rFonts w:ascii="Times New Roman" w:hAnsi="Times New Roman"/>
        </w:rPr>
      </w:pPr>
    </w:p>
    <w:p w14:paraId="1E92774E"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Klinikai vizsgálatok krónikus myeloid leukaemiában </w:t>
      </w:r>
    </w:p>
    <w:p w14:paraId="1E92774F" w14:textId="3A38D797" w:rsidR="00FE5992" w:rsidRPr="00D045B3" w:rsidRDefault="00FE5992" w:rsidP="00CA41FD">
      <w:pPr>
        <w:pStyle w:val="KeinLeerraum"/>
        <w:rPr>
          <w:rFonts w:ascii="Times New Roman" w:hAnsi="Times New Roman"/>
        </w:rPr>
      </w:pPr>
      <w:r w:rsidRPr="00D045B3">
        <w:rPr>
          <w:rFonts w:ascii="Times New Roman" w:hAnsi="Times New Roman"/>
        </w:rPr>
        <w:t xml:space="preserve">Az imatinib hatásosságát a teljes hematológiai és cytogenetikai válaszarány, valamint a progressziómentes túlélés határozza meg. Nem végeztek kontrollos vizsgálatokat a kezelés klinikai előnyeit (pl. a betegséggel összefüggő tünetek javulását vagy a túlélési arány növekedését) illetően. </w:t>
      </w:r>
    </w:p>
    <w:p w14:paraId="1E927750" w14:textId="77777777" w:rsidR="00FE5992" w:rsidRPr="00D045B3" w:rsidRDefault="00FE5992" w:rsidP="00FE5992">
      <w:pPr>
        <w:pStyle w:val="KeinLeerraum"/>
        <w:rPr>
          <w:rFonts w:ascii="Times New Roman" w:hAnsi="Times New Roman"/>
        </w:rPr>
      </w:pPr>
    </w:p>
    <w:p w14:paraId="1E927751" w14:textId="2E1DED9A" w:rsidR="00FE5992" w:rsidRPr="00D045B3" w:rsidRDefault="00FE5992" w:rsidP="00FE5992">
      <w:pPr>
        <w:pStyle w:val="KeinLeerraum"/>
        <w:rPr>
          <w:rFonts w:ascii="Times New Roman" w:hAnsi="Times New Roman"/>
        </w:rPr>
      </w:pPr>
      <w:r w:rsidRPr="00D045B3">
        <w:rPr>
          <w:rFonts w:ascii="Times New Roman" w:hAnsi="Times New Roman"/>
        </w:rPr>
        <w:t>Egy nagy, nemzetközi, nyílt, nem kontrollos, II</w:t>
      </w:r>
      <w:r w:rsidR="000D1381" w:rsidRPr="00D045B3">
        <w:rPr>
          <w:rFonts w:ascii="Times New Roman" w:hAnsi="Times New Roman"/>
        </w:rPr>
        <w:t>. fázisú</w:t>
      </w:r>
      <w:r w:rsidRPr="00D045B3">
        <w:rPr>
          <w:rFonts w:ascii="Times New Roman" w:hAnsi="Times New Roman"/>
        </w:rPr>
        <w:t xml:space="preserve"> vizsgálatot folytattak le Philadelphia kromoszóma pozitív (Ph+), blasztos krízis fázisban levő CML</w:t>
      </w:r>
      <w:r w:rsidRPr="00D045B3">
        <w:rPr>
          <w:rFonts w:ascii="Times New Roman" w:hAnsi="Times New Roman"/>
        </w:rPr>
        <w:noBreakHyphen/>
        <w:t>es betegekkel. Ezen felül két I</w:t>
      </w:r>
      <w:r w:rsidR="000D1381" w:rsidRPr="00D045B3">
        <w:rPr>
          <w:rFonts w:ascii="Times New Roman" w:hAnsi="Times New Roman"/>
        </w:rPr>
        <w:t>. fázisú</w:t>
      </w:r>
      <w:r w:rsidRPr="00D045B3">
        <w:rPr>
          <w:rFonts w:ascii="Times New Roman" w:hAnsi="Times New Roman"/>
        </w:rPr>
        <w:t>, valamint egy II</w:t>
      </w:r>
      <w:r w:rsidR="000D1381" w:rsidRPr="00D045B3">
        <w:rPr>
          <w:rFonts w:ascii="Times New Roman" w:hAnsi="Times New Roman"/>
        </w:rPr>
        <w:t>. fázisú</w:t>
      </w:r>
      <w:r w:rsidRPr="00D045B3">
        <w:rPr>
          <w:rFonts w:ascii="Times New Roman" w:hAnsi="Times New Roman"/>
        </w:rPr>
        <w:t xml:space="preserve"> vizsgálatban kezeltek (CML</w:t>
      </w:r>
      <w:r w:rsidRPr="00D045B3">
        <w:rPr>
          <w:rFonts w:ascii="Times New Roman" w:hAnsi="Times New Roman"/>
        </w:rPr>
        <w:noBreakHyphen/>
        <w:t xml:space="preserve">es vagy Ph+ akut leukaemiás) gyermekeket. </w:t>
      </w:r>
    </w:p>
    <w:p w14:paraId="1E927752" w14:textId="77777777" w:rsidR="00FE5992" w:rsidRPr="00D045B3" w:rsidRDefault="00FE5992" w:rsidP="00FE5992">
      <w:pPr>
        <w:pStyle w:val="KeinLeerraum"/>
        <w:rPr>
          <w:rFonts w:ascii="Times New Roman" w:hAnsi="Times New Roman"/>
        </w:rPr>
      </w:pPr>
    </w:p>
    <w:p w14:paraId="1E927753" w14:textId="52741A0D" w:rsidR="00FE5992" w:rsidRPr="00D045B3" w:rsidRDefault="00FE5992" w:rsidP="006A1D21">
      <w:pPr>
        <w:pStyle w:val="KeinLeerraum"/>
        <w:rPr>
          <w:rFonts w:ascii="Times New Roman" w:hAnsi="Times New Roman"/>
        </w:rPr>
      </w:pPr>
      <w:r w:rsidRPr="00D045B3">
        <w:rPr>
          <w:rFonts w:ascii="Times New Roman" w:hAnsi="Times New Roman"/>
        </w:rPr>
        <w:t>A klinikai vizsgálatban a betegek 38%</w:t>
      </w:r>
      <w:r w:rsidRPr="00D045B3">
        <w:rPr>
          <w:rFonts w:ascii="Times New Roman" w:hAnsi="Times New Roman"/>
        </w:rPr>
        <w:noBreakHyphen/>
        <w:t>a volt 60 éves vagy ennél idősebb, 12%</w:t>
      </w:r>
      <w:r w:rsidRPr="00D045B3">
        <w:rPr>
          <w:rFonts w:ascii="Times New Roman" w:hAnsi="Times New Roman"/>
        </w:rPr>
        <w:noBreakHyphen/>
        <w:t xml:space="preserve">uk pedig 70 éves vagy idősebb. </w:t>
      </w:r>
    </w:p>
    <w:p w14:paraId="1E9277B6" w14:textId="77777777" w:rsidR="00AF680E" w:rsidRPr="00D045B3" w:rsidRDefault="00AF680E" w:rsidP="00FE5992">
      <w:pPr>
        <w:pStyle w:val="KeinLeerraum"/>
        <w:rPr>
          <w:rFonts w:ascii="Times New Roman" w:hAnsi="Times New Roman"/>
          <w:iCs/>
        </w:rPr>
      </w:pPr>
    </w:p>
    <w:p w14:paraId="1E9277B7" w14:textId="4D30FEEB" w:rsidR="00FE5992" w:rsidRPr="00D045B3" w:rsidRDefault="00FE5992" w:rsidP="00FE5992">
      <w:pPr>
        <w:pStyle w:val="KeinLeerraum"/>
        <w:rPr>
          <w:rFonts w:ascii="Times New Roman" w:hAnsi="Times New Roman"/>
        </w:rPr>
      </w:pPr>
      <w:r w:rsidRPr="00D045B3">
        <w:rPr>
          <w:rFonts w:ascii="Times New Roman" w:hAnsi="Times New Roman"/>
          <w:i/>
          <w:iCs/>
        </w:rPr>
        <w:t>Myeloid blastos krízis</w:t>
      </w:r>
      <w:r w:rsidRPr="00D045B3">
        <w:rPr>
          <w:rFonts w:ascii="Times New Roman" w:hAnsi="Times New Roman"/>
        </w:rPr>
        <w:t xml:space="preserve">: 260, myeloid blasztos krízis fázisban levő beteget vontak be a vizsgálatba. 95 (37%) beteg részesült korábban kemoterápiában az akcelerált fázis vagy a blasztos krízis kezelésére („előkezelt betegek”), míg 165 (63%) beteg nem kapott kezelést („kezeletlen betegek”). Az első 37 beteg kezdő dózisa 400 mg volt, a protokollt később módosították a magasabb dózisok engedélyezése érdekében, így a további 223 beteg kezdő adagja 600 mg lett. </w:t>
      </w:r>
    </w:p>
    <w:p w14:paraId="1E9277B8" w14:textId="77777777" w:rsidR="00FE5992" w:rsidRPr="00D045B3" w:rsidRDefault="00FE5992" w:rsidP="00FE5992">
      <w:pPr>
        <w:pStyle w:val="KeinLeerraum"/>
        <w:rPr>
          <w:rFonts w:ascii="Times New Roman" w:hAnsi="Times New Roman"/>
        </w:rPr>
      </w:pPr>
    </w:p>
    <w:p w14:paraId="1E9277B9" w14:textId="4B13D212" w:rsidR="00FE5992" w:rsidRPr="00D045B3" w:rsidRDefault="00FE5992" w:rsidP="00A37631">
      <w:pPr>
        <w:pStyle w:val="KeinLeerraum"/>
        <w:rPr>
          <w:rFonts w:ascii="Times New Roman" w:hAnsi="Times New Roman"/>
        </w:rPr>
      </w:pPr>
      <w:r w:rsidRPr="00D045B3">
        <w:rPr>
          <w:rFonts w:ascii="Times New Roman" w:hAnsi="Times New Roman"/>
        </w:rPr>
        <w:t>A primer hatékonysági mutató a hematológiai válaszarány volt, melyet vagy a komplett hematológiai válasz, a leukaemia hiánya (pl. a blasztok eltávolítása a csontvelőből és a vérből, de a perifériás vér teljes normalizálódása, mint teljes válasz nélkül) vagy a krónikus CML</w:t>
      </w:r>
      <w:r w:rsidRPr="00D045B3">
        <w:rPr>
          <w:rFonts w:ascii="Times New Roman" w:hAnsi="Times New Roman"/>
        </w:rPr>
        <w:noBreakHyphen/>
        <w:t>fázisba való visszatérés jelentett. Ebben a vizsgálatban a betegek 31%</w:t>
      </w:r>
      <w:r w:rsidRPr="00D045B3">
        <w:rPr>
          <w:rFonts w:ascii="Times New Roman" w:hAnsi="Times New Roman"/>
        </w:rPr>
        <w:noBreakHyphen/>
        <w:t>a ért el hematológiai választ (a kezeletlen betegek 36%</w:t>
      </w:r>
      <w:r w:rsidRPr="00D045B3">
        <w:rPr>
          <w:rFonts w:ascii="Times New Roman" w:hAnsi="Times New Roman"/>
        </w:rPr>
        <w:noBreakHyphen/>
        <w:t>a, az előkezeltek 22%-a) (</w:t>
      </w:r>
      <w:r w:rsidR="00A37631" w:rsidRPr="00D045B3">
        <w:rPr>
          <w:rFonts w:ascii="Times New Roman" w:hAnsi="Times New Roman"/>
        </w:rPr>
        <w:t>2</w:t>
      </w:r>
      <w:r w:rsidRPr="00D045B3">
        <w:rPr>
          <w:rFonts w:ascii="Times New Roman" w:hAnsi="Times New Roman"/>
        </w:rPr>
        <w:t>. táblázat). A válaszarány a 600 mg dózissal kezelt betegek körében magasabb (33%) volt, mint a 400 mg</w:t>
      </w:r>
      <w:r w:rsidRPr="00D045B3">
        <w:rPr>
          <w:rFonts w:ascii="Times New Roman" w:hAnsi="Times New Roman"/>
        </w:rPr>
        <w:noBreakHyphen/>
        <w:t xml:space="preserve">mal kezelteknél (16%, p = 0,0220). A jelenleg becsült átlagos túlélés 7,7, ill. 4,7 hónap volt a korábban kezeletlen, ill. előkezelt betegek esetében. </w:t>
      </w:r>
    </w:p>
    <w:p w14:paraId="1E9277BA" w14:textId="77777777" w:rsidR="00FE5992" w:rsidRPr="00D045B3" w:rsidRDefault="00FE5992" w:rsidP="00FE5992">
      <w:pPr>
        <w:pStyle w:val="KeinLeerraum"/>
        <w:rPr>
          <w:rFonts w:ascii="Times New Roman" w:hAnsi="Times New Roman"/>
          <w:i/>
          <w:iCs/>
        </w:rPr>
      </w:pPr>
    </w:p>
    <w:p w14:paraId="1E9277BB" w14:textId="656AD72B" w:rsidR="00FE5992" w:rsidRPr="00D045B3" w:rsidRDefault="00FE5992" w:rsidP="00FE5992">
      <w:pPr>
        <w:pStyle w:val="KeinLeerraum"/>
        <w:rPr>
          <w:rFonts w:ascii="Times New Roman" w:hAnsi="Times New Roman"/>
        </w:rPr>
      </w:pPr>
      <w:r w:rsidRPr="00D045B3">
        <w:rPr>
          <w:rFonts w:ascii="Times New Roman" w:hAnsi="Times New Roman"/>
          <w:i/>
          <w:iCs/>
        </w:rPr>
        <w:t>Lymphoid blastos krízis</w:t>
      </w:r>
      <w:r w:rsidRPr="00D045B3">
        <w:rPr>
          <w:rFonts w:ascii="Times New Roman" w:hAnsi="Times New Roman"/>
        </w:rPr>
        <w:t>: korlátozott számú beteget vontak be I</w:t>
      </w:r>
      <w:r w:rsidR="00622575" w:rsidRPr="00D045B3">
        <w:rPr>
          <w:rFonts w:ascii="Times New Roman" w:hAnsi="Times New Roman"/>
        </w:rPr>
        <w:t>. fázisú</w:t>
      </w:r>
      <w:r w:rsidRPr="00D045B3">
        <w:rPr>
          <w:rFonts w:ascii="Times New Roman" w:hAnsi="Times New Roman"/>
        </w:rPr>
        <w:t xml:space="preserve"> vizsgálatokba (n = 10). A hematológiai válaszarány 70%, időtartama pedig 2–3 hónap volt.</w:t>
      </w:r>
    </w:p>
    <w:p w14:paraId="1E9277BC" w14:textId="77777777" w:rsidR="00FE5992" w:rsidRPr="00D045B3" w:rsidRDefault="00FE5992" w:rsidP="00FE5992">
      <w:pPr>
        <w:pStyle w:val="KeinLeerraum"/>
        <w:rPr>
          <w:rFonts w:ascii="Times New Roman" w:hAnsi="Times New Roman"/>
        </w:rPr>
      </w:pPr>
    </w:p>
    <w:p w14:paraId="1E9277BD" w14:textId="2EC8014E" w:rsidR="00FE5992" w:rsidRPr="00D045B3" w:rsidRDefault="00634196" w:rsidP="00635D29">
      <w:pPr>
        <w:pStyle w:val="KeinLeerraum"/>
        <w:keepNext/>
        <w:rPr>
          <w:rFonts w:ascii="Times New Roman" w:hAnsi="Times New Roman"/>
          <w:b/>
        </w:rPr>
      </w:pPr>
      <w:r w:rsidRPr="00D045B3">
        <w:rPr>
          <w:rFonts w:ascii="Times New Roman" w:hAnsi="Times New Roman"/>
          <w:b/>
        </w:rPr>
        <w:t>2</w:t>
      </w:r>
      <w:r w:rsidR="00FE5992" w:rsidRPr="00D045B3">
        <w:rPr>
          <w:rFonts w:ascii="Times New Roman" w:hAnsi="Times New Roman"/>
          <w:b/>
        </w:rPr>
        <w:t>. táblázat Terápiás válasz a felnőttek bevonásával végzett CML vizsgálatban</w:t>
      </w:r>
    </w:p>
    <w:p w14:paraId="1E927800" w14:textId="77777777" w:rsidR="00FE5992" w:rsidRPr="00D045B3" w:rsidRDefault="00FE5992" w:rsidP="00635D29">
      <w:pPr>
        <w:pStyle w:val="KeinLeerraum"/>
        <w:keepNext/>
        <w:rPr>
          <w:rFonts w:ascii="Times New Roman" w:hAnsi="Times New Roman"/>
          <w:b/>
          <w:highlight w:val="yellow"/>
        </w:rPr>
      </w:pPr>
    </w:p>
    <w:tbl>
      <w:tblPr>
        <w:tblW w:w="9074" w:type="dxa"/>
        <w:tblInd w:w="108" w:type="dxa"/>
        <w:tblLayout w:type="fixed"/>
        <w:tblLook w:val="0000" w:firstRow="0" w:lastRow="0" w:firstColumn="0" w:lastColumn="0" w:noHBand="0" w:noVBand="0"/>
      </w:tblPr>
      <w:tblGrid>
        <w:gridCol w:w="4410"/>
        <w:gridCol w:w="4664"/>
      </w:tblGrid>
      <w:tr w:rsidR="00FE5992" w:rsidRPr="00D045B3" w14:paraId="1E927805" w14:textId="77777777" w:rsidTr="00FE5992">
        <w:trPr>
          <w:trHeight w:val="608"/>
        </w:trPr>
        <w:tc>
          <w:tcPr>
            <w:tcW w:w="4410" w:type="dxa"/>
            <w:tcBorders>
              <w:top w:val="single" w:sz="4" w:space="0" w:color="auto"/>
              <w:left w:val="single" w:sz="4" w:space="0" w:color="auto"/>
              <w:bottom w:val="single" w:sz="4" w:space="0" w:color="auto"/>
              <w:right w:val="single" w:sz="4" w:space="0" w:color="auto"/>
            </w:tcBorders>
          </w:tcPr>
          <w:p w14:paraId="1E927801" w14:textId="77777777" w:rsidR="00FE5992" w:rsidRPr="00D045B3" w:rsidRDefault="00FE5992" w:rsidP="00635D29">
            <w:pPr>
              <w:pStyle w:val="Default"/>
              <w:keepNext/>
              <w:rPr>
                <w:sz w:val="22"/>
                <w:szCs w:val="22"/>
              </w:rPr>
            </w:pPr>
          </w:p>
        </w:tc>
        <w:tc>
          <w:tcPr>
            <w:tcW w:w="4664" w:type="dxa"/>
            <w:tcBorders>
              <w:top w:val="single" w:sz="4" w:space="0" w:color="auto"/>
              <w:left w:val="single" w:sz="4" w:space="0" w:color="auto"/>
              <w:bottom w:val="single" w:sz="4" w:space="0" w:color="auto"/>
              <w:right w:val="single" w:sz="4" w:space="0" w:color="auto"/>
            </w:tcBorders>
          </w:tcPr>
          <w:p w14:paraId="1E927802" w14:textId="77777777" w:rsidR="00FE5992" w:rsidRPr="00D045B3" w:rsidRDefault="00FE5992" w:rsidP="008A6837">
            <w:pPr>
              <w:pStyle w:val="Default"/>
              <w:keepNext/>
              <w:jc w:val="center"/>
              <w:rPr>
                <w:sz w:val="22"/>
                <w:szCs w:val="22"/>
              </w:rPr>
            </w:pPr>
            <w:r w:rsidRPr="00D045B3">
              <w:rPr>
                <w:sz w:val="22"/>
                <w:szCs w:val="22"/>
              </w:rPr>
              <w:t>0102 vizsgálat 38 hónapot felölelő adatai</w:t>
            </w:r>
          </w:p>
          <w:p w14:paraId="1E927803" w14:textId="77777777" w:rsidR="00FE5992" w:rsidRPr="00D045B3" w:rsidRDefault="00FE5992" w:rsidP="008A6837">
            <w:pPr>
              <w:pStyle w:val="Default"/>
              <w:keepNext/>
              <w:jc w:val="center"/>
              <w:rPr>
                <w:sz w:val="22"/>
                <w:szCs w:val="22"/>
              </w:rPr>
            </w:pPr>
            <w:r w:rsidRPr="00D045B3">
              <w:rPr>
                <w:sz w:val="22"/>
                <w:szCs w:val="22"/>
              </w:rPr>
              <w:t>Myeloid blasztos krízis</w:t>
            </w:r>
          </w:p>
          <w:p w14:paraId="1E927804" w14:textId="77777777" w:rsidR="00FE5992" w:rsidRPr="00D045B3" w:rsidRDefault="00FE5992" w:rsidP="008A6837">
            <w:pPr>
              <w:pStyle w:val="Default"/>
              <w:keepNext/>
              <w:jc w:val="center"/>
              <w:rPr>
                <w:sz w:val="22"/>
                <w:szCs w:val="22"/>
              </w:rPr>
            </w:pPr>
            <w:r w:rsidRPr="00D045B3">
              <w:rPr>
                <w:sz w:val="22"/>
                <w:szCs w:val="22"/>
              </w:rPr>
              <w:t>(n=260)</w:t>
            </w:r>
          </w:p>
        </w:tc>
      </w:tr>
      <w:tr w:rsidR="00FE5992" w:rsidRPr="00D045B3" w14:paraId="1E927808" w14:textId="77777777" w:rsidTr="00FE5992">
        <w:trPr>
          <w:trHeight w:val="442"/>
        </w:trPr>
        <w:tc>
          <w:tcPr>
            <w:tcW w:w="4410" w:type="dxa"/>
            <w:tcBorders>
              <w:top w:val="single" w:sz="4" w:space="0" w:color="auto"/>
              <w:left w:val="single" w:sz="4" w:space="0" w:color="auto"/>
              <w:bottom w:val="single" w:sz="4" w:space="0" w:color="auto"/>
              <w:right w:val="single" w:sz="4" w:space="0" w:color="auto"/>
            </w:tcBorders>
          </w:tcPr>
          <w:p w14:paraId="1E927806" w14:textId="77777777" w:rsidR="00FE5992" w:rsidRPr="00D045B3" w:rsidRDefault="00FE5992" w:rsidP="00FE5992">
            <w:pPr>
              <w:pStyle w:val="Default"/>
              <w:jc w:val="center"/>
              <w:rPr>
                <w:sz w:val="22"/>
                <w:szCs w:val="22"/>
              </w:rPr>
            </w:pPr>
          </w:p>
        </w:tc>
        <w:tc>
          <w:tcPr>
            <w:tcW w:w="4664" w:type="dxa"/>
            <w:tcBorders>
              <w:top w:val="single" w:sz="4" w:space="0" w:color="auto"/>
              <w:left w:val="single" w:sz="4" w:space="0" w:color="auto"/>
              <w:bottom w:val="single" w:sz="4" w:space="0" w:color="auto"/>
              <w:right w:val="single" w:sz="4" w:space="0" w:color="auto"/>
            </w:tcBorders>
          </w:tcPr>
          <w:p w14:paraId="1E927807" w14:textId="77777777" w:rsidR="00FE5992" w:rsidRPr="00D045B3" w:rsidRDefault="00FE5992" w:rsidP="008A6837">
            <w:pPr>
              <w:pStyle w:val="Default"/>
              <w:jc w:val="center"/>
              <w:rPr>
                <w:sz w:val="22"/>
                <w:szCs w:val="22"/>
              </w:rPr>
            </w:pPr>
            <w:r w:rsidRPr="00D045B3">
              <w:rPr>
                <w:sz w:val="22"/>
                <w:szCs w:val="22"/>
              </w:rPr>
              <w:t>a betegek %</w:t>
            </w:r>
            <w:r w:rsidRPr="00D045B3">
              <w:rPr>
                <w:sz w:val="22"/>
                <w:szCs w:val="22"/>
              </w:rPr>
              <w:noBreakHyphen/>
              <w:t>a (CI 95%)</w:t>
            </w:r>
          </w:p>
        </w:tc>
      </w:tr>
      <w:tr w:rsidR="00FE5992" w:rsidRPr="00D045B3" w14:paraId="1E927815" w14:textId="77777777" w:rsidTr="00FE5992">
        <w:trPr>
          <w:trHeight w:val="1244"/>
        </w:trPr>
        <w:tc>
          <w:tcPr>
            <w:tcW w:w="4410" w:type="dxa"/>
            <w:tcBorders>
              <w:top w:val="single" w:sz="4" w:space="0" w:color="auto"/>
              <w:left w:val="single" w:sz="4" w:space="0" w:color="auto"/>
              <w:bottom w:val="single" w:sz="4" w:space="0" w:color="auto"/>
              <w:right w:val="single" w:sz="4" w:space="0" w:color="auto"/>
            </w:tcBorders>
          </w:tcPr>
          <w:p w14:paraId="1E927809" w14:textId="77777777" w:rsidR="00FE5992" w:rsidRPr="00D045B3" w:rsidRDefault="00FE5992" w:rsidP="00FE5992">
            <w:pPr>
              <w:pStyle w:val="Default"/>
              <w:rPr>
                <w:sz w:val="22"/>
                <w:szCs w:val="22"/>
              </w:rPr>
            </w:pPr>
            <w:r w:rsidRPr="00D045B3">
              <w:rPr>
                <w:sz w:val="22"/>
                <w:szCs w:val="22"/>
              </w:rPr>
              <w:t>Hematológiai válasz</w:t>
            </w:r>
            <w:r w:rsidRPr="00D045B3">
              <w:rPr>
                <w:sz w:val="22"/>
                <w:szCs w:val="22"/>
                <w:vertAlign w:val="superscript"/>
              </w:rPr>
              <w:t>1</w:t>
            </w:r>
            <w:r w:rsidRPr="00D045B3">
              <w:rPr>
                <w:sz w:val="22"/>
                <w:szCs w:val="22"/>
              </w:rPr>
              <w:t xml:space="preserve"> </w:t>
            </w:r>
          </w:p>
          <w:p w14:paraId="1E92780A" w14:textId="77777777" w:rsidR="00FE5992" w:rsidRPr="00D045B3" w:rsidRDefault="00FE5992" w:rsidP="00FE5992">
            <w:pPr>
              <w:pStyle w:val="Default"/>
              <w:ind w:left="284"/>
              <w:rPr>
                <w:sz w:val="22"/>
                <w:szCs w:val="22"/>
              </w:rPr>
            </w:pPr>
            <w:r w:rsidRPr="00D045B3">
              <w:rPr>
                <w:sz w:val="22"/>
                <w:szCs w:val="22"/>
              </w:rPr>
              <w:t>Teljes hematológiai válasz (CHR)</w:t>
            </w:r>
          </w:p>
          <w:p w14:paraId="1E92780B" w14:textId="77777777" w:rsidR="00FE5992" w:rsidRPr="00D045B3" w:rsidRDefault="00FE5992" w:rsidP="008A6837">
            <w:pPr>
              <w:pStyle w:val="Default"/>
              <w:ind w:left="567" w:hanging="533"/>
              <w:jc w:val="both"/>
              <w:rPr>
                <w:sz w:val="22"/>
                <w:szCs w:val="22"/>
              </w:rPr>
            </w:pPr>
          </w:p>
          <w:p w14:paraId="1E92780C" w14:textId="77777777" w:rsidR="00FE5992" w:rsidRPr="00D045B3" w:rsidRDefault="00FE5992" w:rsidP="00FE5992">
            <w:pPr>
              <w:pStyle w:val="Default"/>
              <w:ind w:left="284"/>
              <w:rPr>
                <w:sz w:val="22"/>
                <w:szCs w:val="22"/>
              </w:rPr>
            </w:pPr>
            <w:r w:rsidRPr="00D045B3">
              <w:rPr>
                <w:sz w:val="22"/>
                <w:szCs w:val="22"/>
              </w:rPr>
              <w:t>Nincs leukaemiára utaló bizonyíték (NEL)</w:t>
            </w:r>
          </w:p>
          <w:p w14:paraId="1E92780D" w14:textId="77777777" w:rsidR="00FE5992" w:rsidRPr="00D045B3" w:rsidRDefault="00FE5992" w:rsidP="008A6837">
            <w:pPr>
              <w:pStyle w:val="Default"/>
              <w:ind w:left="284" w:hanging="250"/>
              <w:rPr>
                <w:sz w:val="22"/>
                <w:szCs w:val="22"/>
              </w:rPr>
            </w:pPr>
          </w:p>
          <w:p w14:paraId="1E92780E" w14:textId="77777777" w:rsidR="00FE5992" w:rsidRPr="00D045B3" w:rsidRDefault="00FE5992" w:rsidP="00FE5992">
            <w:pPr>
              <w:pStyle w:val="Default"/>
              <w:ind w:left="284"/>
              <w:rPr>
                <w:sz w:val="22"/>
                <w:szCs w:val="22"/>
              </w:rPr>
            </w:pPr>
            <w:r w:rsidRPr="00D045B3">
              <w:rPr>
                <w:sz w:val="22"/>
                <w:szCs w:val="22"/>
              </w:rPr>
              <w:t>Visszatérés a krónikus fázisba (</w:t>
            </w:r>
            <w:smartTag w:uri="urn:schemas-microsoft-com:office:smarttags" w:element="stockticker">
              <w:r w:rsidRPr="00D045B3">
                <w:rPr>
                  <w:sz w:val="22"/>
                  <w:szCs w:val="22"/>
                </w:rPr>
                <w:t>RTC</w:t>
              </w:r>
            </w:smartTag>
            <w:r w:rsidRPr="00D045B3">
              <w:rPr>
                <w:sz w:val="22"/>
                <w:szCs w:val="22"/>
              </w:rPr>
              <w:t xml:space="preserve">) </w:t>
            </w:r>
          </w:p>
        </w:tc>
        <w:tc>
          <w:tcPr>
            <w:tcW w:w="4664" w:type="dxa"/>
            <w:tcBorders>
              <w:top w:val="single" w:sz="4" w:space="0" w:color="auto"/>
              <w:left w:val="single" w:sz="4" w:space="0" w:color="auto"/>
              <w:bottom w:val="single" w:sz="4" w:space="0" w:color="auto"/>
              <w:right w:val="single" w:sz="4" w:space="0" w:color="auto"/>
            </w:tcBorders>
          </w:tcPr>
          <w:p w14:paraId="1E92780F" w14:textId="77777777" w:rsidR="00FE5992" w:rsidRPr="00D045B3" w:rsidRDefault="00FE5992" w:rsidP="008A6837">
            <w:pPr>
              <w:pStyle w:val="Default"/>
              <w:jc w:val="center"/>
              <w:rPr>
                <w:sz w:val="22"/>
                <w:szCs w:val="22"/>
              </w:rPr>
            </w:pPr>
            <w:r w:rsidRPr="00D045B3">
              <w:rPr>
                <w:sz w:val="22"/>
                <w:szCs w:val="22"/>
              </w:rPr>
              <w:t>31% (25,2</w:t>
            </w:r>
            <w:r w:rsidRPr="00D045B3">
              <w:rPr>
                <w:sz w:val="22"/>
                <w:szCs w:val="22"/>
              </w:rPr>
              <w:noBreakHyphen/>
              <w:t>36,8)</w:t>
            </w:r>
          </w:p>
          <w:p w14:paraId="1E927810" w14:textId="77777777" w:rsidR="00FE5992" w:rsidRPr="00D045B3" w:rsidRDefault="00FE5992" w:rsidP="008A6837">
            <w:pPr>
              <w:pStyle w:val="Default"/>
              <w:jc w:val="center"/>
              <w:rPr>
                <w:sz w:val="22"/>
                <w:szCs w:val="22"/>
              </w:rPr>
            </w:pPr>
            <w:r w:rsidRPr="00D045B3">
              <w:rPr>
                <w:sz w:val="22"/>
                <w:szCs w:val="22"/>
              </w:rPr>
              <w:t>8%</w:t>
            </w:r>
          </w:p>
          <w:p w14:paraId="1E927811" w14:textId="77777777" w:rsidR="00FE5992" w:rsidRPr="00D045B3" w:rsidRDefault="00FE5992" w:rsidP="008A6837">
            <w:pPr>
              <w:pStyle w:val="Default"/>
              <w:jc w:val="center"/>
              <w:rPr>
                <w:sz w:val="22"/>
                <w:szCs w:val="22"/>
              </w:rPr>
            </w:pPr>
          </w:p>
          <w:p w14:paraId="1E927812" w14:textId="77777777" w:rsidR="00FE5992" w:rsidRPr="00D045B3" w:rsidRDefault="00FE5992" w:rsidP="008A6837">
            <w:pPr>
              <w:pStyle w:val="Default"/>
              <w:jc w:val="center"/>
              <w:rPr>
                <w:sz w:val="22"/>
                <w:szCs w:val="22"/>
              </w:rPr>
            </w:pPr>
            <w:r w:rsidRPr="00D045B3">
              <w:rPr>
                <w:sz w:val="22"/>
                <w:szCs w:val="22"/>
              </w:rPr>
              <w:t>5%</w:t>
            </w:r>
          </w:p>
          <w:p w14:paraId="1E927813" w14:textId="77777777" w:rsidR="00FE5992" w:rsidRPr="00D045B3" w:rsidRDefault="00FE5992" w:rsidP="008A6837">
            <w:pPr>
              <w:pStyle w:val="Default"/>
              <w:jc w:val="center"/>
              <w:rPr>
                <w:sz w:val="22"/>
                <w:szCs w:val="22"/>
              </w:rPr>
            </w:pPr>
          </w:p>
          <w:p w14:paraId="1E927814" w14:textId="77777777" w:rsidR="00FE5992" w:rsidRPr="00D045B3" w:rsidRDefault="00FE5992" w:rsidP="008A6837">
            <w:pPr>
              <w:pStyle w:val="Default"/>
              <w:jc w:val="center"/>
              <w:rPr>
                <w:sz w:val="22"/>
                <w:szCs w:val="22"/>
              </w:rPr>
            </w:pPr>
            <w:r w:rsidRPr="00D045B3">
              <w:rPr>
                <w:sz w:val="22"/>
                <w:szCs w:val="22"/>
              </w:rPr>
              <w:t>18%</w:t>
            </w:r>
          </w:p>
        </w:tc>
      </w:tr>
      <w:tr w:rsidR="00FE5992" w:rsidRPr="00D045B3" w14:paraId="1E927818" w14:textId="77777777" w:rsidTr="00FE5992">
        <w:trPr>
          <w:trHeight w:val="122"/>
        </w:trPr>
        <w:tc>
          <w:tcPr>
            <w:tcW w:w="4410" w:type="dxa"/>
            <w:tcBorders>
              <w:top w:val="single" w:sz="4" w:space="0" w:color="auto"/>
              <w:left w:val="single" w:sz="4" w:space="0" w:color="auto"/>
              <w:bottom w:val="nil"/>
              <w:right w:val="single" w:sz="4" w:space="0" w:color="auto"/>
            </w:tcBorders>
          </w:tcPr>
          <w:p w14:paraId="1E927816" w14:textId="77777777" w:rsidR="00FE5992" w:rsidRPr="00D045B3" w:rsidRDefault="00FE5992" w:rsidP="00FE5992">
            <w:pPr>
              <w:pStyle w:val="Default"/>
              <w:rPr>
                <w:sz w:val="22"/>
                <w:szCs w:val="22"/>
              </w:rPr>
            </w:pPr>
            <w:r w:rsidRPr="00D045B3">
              <w:rPr>
                <w:sz w:val="22"/>
                <w:szCs w:val="22"/>
              </w:rPr>
              <w:t>Jelentős citogenetikai válasz</w:t>
            </w:r>
            <w:r w:rsidRPr="00D045B3">
              <w:rPr>
                <w:sz w:val="22"/>
                <w:szCs w:val="22"/>
                <w:vertAlign w:val="superscript"/>
              </w:rPr>
              <w:t xml:space="preserve">2 </w:t>
            </w:r>
          </w:p>
        </w:tc>
        <w:tc>
          <w:tcPr>
            <w:tcW w:w="4664" w:type="dxa"/>
            <w:tcBorders>
              <w:top w:val="single" w:sz="4" w:space="0" w:color="auto"/>
              <w:left w:val="single" w:sz="4" w:space="0" w:color="auto"/>
              <w:bottom w:val="nil"/>
              <w:right w:val="single" w:sz="4" w:space="0" w:color="auto"/>
            </w:tcBorders>
          </w:tcPr>
          <w:p w14:paraId="1E927817" w14:textId="77777777" w:rsidR="00FE5992" w:rsidRPr="00D045B3" w:rsidRDefault="00FE5992" w:rsidP="008A6837">
            <w:pPr>
              <w:pStyle w:val="Default"/>
              <w:jc w:val="center"/>
              <w:rPr>
                <w:sz w:val="22"/>
                <w:szCs w:val="22"/>
              </w:rPr>
            </w:pPr>
            <w:r w:rsidRPr="00D045B3">
              <w:rPr>
                <w:sz w:val="22"/>
                <w:szCs w:val="22"/>
              </w:rPr>
              <w:t>15% (11,2</w:t>
            </w:r>
            <w:r w:rsidRPr="00D045B3">
              <w:rPr>
                <w:sz w:val="22"/>
                <w:szCs w:val="22"/>
              </w:rPr>
              <w:noBreakHyphen/>
              <w:t>20,4)</w:t>
            </w:r>
          </w:p>
        </w:tc>
      </w:tr>
      <w:tr w:rsidR="00FE5992" w:rsidRPr="00D045B3" w14:paraId="1E92781B" w14:textId="77777777" w:rsidTr="00FE5992">
        <w:trPr>
          <w:trHeight w:val="99"/>
        </w:trPr>
        <w:tc>
          <w:tcPr>
            <w:tcW w:w="4410" w:type="dxa"/>
            <w:tcBorders>
              <w:top w:val="nil"/>
              <w:left w:val="single" w:sz="4" w:space="0" w:color="auto"/>
              <w:bottom w:val="nil"/>
              <w:right w:val="single" w:sz="4" w:space="0" w:color="auto"/>
            </w:tcBorders>
          </w:tcPr>
          <w:p w14:paraId="1E927819" w14:textId="77777777" w:rsidR="00FE5992" w:rsidRPr="00D045B3" w:rsidRDefault="00FE5992" w:rsidP="00FE5992">
            <w:pPr>
              <w:pStyle w:val="Default"/>
              <w:ind w:left="284"/>
              <w:rPr>
                <w:sz w:val="22"/>
                <w:szCs w:val="22"/>
              </w:rPr>
            </w:pPr>
            <w:r w:rsidRPr="00D045B3">
              <w:rPr>
                <w:sz w:val="22"/>
                <w:szCs w:val="22"/>
              </w:rPr>
              <w:t xml:space="preserve">Teljes </w:t>
            </w:r>
          </w:p>
        </w:tc>
        <w:tc>
          <w:tcPr>
            <w:tcW w:w="4664" w:type="dxa"/>
            <w:tcBorders>
              <w:top w:val="nil"/>
              <w:left w:val="single" w:sz="4" w:space="0" w:color="auto"/>
              <w:bottom w:val="nil"/>
              <w:right w:val="single" w:sz="4" w:space="0" w:color="auto"/>
            </w:tcBorders>
          </w:tcPr>
          <w:p w14:paraId="1E92781A" w14:textId="77777777" w:rsidR="00FE5992" w:rsidRPr="00D045B3" w:rsidRDefault="00FE5992" w:rsidP="008A6837">
            <w:pPr>
              <w:pStyle w:val="Default"/>
              <w:jc w:val="center"/>
              <w:rPr>
                <w:sz w:val="22"/>
                <w:szCs w:val="22"/>
              </w:rPr>
            </w:pPr>
            <w:r w:rsidRPr="00D045B3">
              <w:rPr>
                <w:sz w:val="22"/>
                <w:szCs w:val="22"/>
              </w:rPr>
              <w:t>7%</w:t>
            </w:r>
          </w:p>
        </w:tc>
      </w:tr>
      <w:tr w:rsidR="00FE5992" w:rsidRPr="00D045B3" w14:paraId="1E92781E" w14:textId="77777777" w:rsidTr="00FE5992">
        <w:trPr>
          <w:trHeight w:val="122"/>
        </w:trPr>
        <w:tc>
          <w:tcPr>
            <w:tcW w:w="4410" w:type="dxa"/>
            <w:tcBorders>
              <w:top w:val="nil"/>
              <w:left w:val="single" w:sz="4" w:space="0" w:color="auto"/>
              <w:bottom w:val="nil"/>
              <w:right w:val="single" w:sz="4" w:space="0" w:color="auto"/>
            </w:tcBorders>
          </w:tcPr>
          <w:p w14:paraId="1E92781C" w14:textId="77777777" w:rsidR="00FE5992" w:rsidRPr="00D045B3" w:rsidRDefault="00FE5992" w:rsidP="00FE5992">
            <w:pPr>
              <w:pStyle w:val="Default"/>
              <w:ind w:left="284"/>
              <w:rPr>
                <w:sz w:val="22"/>
                <w:szCs w:val="22"/>
              </w:rPr>
            </w:pPr>
            <w:r w:rsidRPr="00D045B3">
              <w:rPr>
                <w:sz w:val="22"/>
                <w:szCs w:val="22"/>
              </w:rPr>
              <w:t>(Igazolt</w:t>
            </w:r>
            <w:r w:rsidRPr="00D045B3">
              <w:rPr>
                <w:sz w:val="22"/>
                <w:szCs w:val="22"/>
                <w:vertAlign w:val="superscript"/>
              </w:rPr>
              <w:t>3</w:t>
            </w:r>
            <w:r w:rsidRPr="00D045B3">
              <w:rPr>
                <w:sz w:val="22"/>
                <w:szCs w:val="22"/>
              </w:rPr>
              <w:t xml:space="preserve">) [95% CI] </w:t>
            </w:r>
          </w:p>
        </w:tc>
        <w:tc>
          <w:tcPr>
            <w:tcW w:w="4664" w:type="dxa"/>
            <w:tcBorders>
              <w:top w:val="nil"/>
              <w:left w:val="single" w:sz="4" w:space="0" w:color="auto"/>
              <w:bottom w:val="nil"/>
              <w:right w:val="single" w:sz="4" w:space="0" w:color="auto"/>
            </w:tcBorders>
          </w:tcPr>
          <w:p w14:paraId="1E92781D" w14:textId="77777777" w:rsidR="00FE5992" w:rsidRPr="00D045B3" w:rsidRDefault="00FE5992" w:rsidP="008A6837">
            <w:pPr>
              <w:pStyle w:val="Default"/>
              <w:jc w:val="center"/>
              <w:rPr>
                <w:sz w:val="22"/>
                <w:szCs w:val="22"/>
              </w:rPr>
            </w:pPr>
            <w:r w:rsidRPr="00D045B3">
              <w:rPr>
                <w:sz w:val="22"/>
                <w:szCs w:val="22"/>
              </w:rPr>
              <w:t>(2%) [0,6</w:t>
            </w:r>
            <w:r w:rsidRPr="00D045B3">
              <w:rPr>
                <w:sz w:val="22"/>
                <w:szCs w:val="22"/>
              </w:rPr>
              <w:noBreakHyphen/>
              <w:t>4,4]</w:t>
            </w:r>
          </w:p>
        </w:tc>
      </w:tr>
      <w:tr w:rsidR="00FE5992" w:rsidRPr="00D045B3" w14:paraId="1E927821" w14:textId="77777777" w:rsidTr="00FE5992">
        <w:trPr>
          <w:trHeight w:val="99"/>
        </w:trPr>
        <w:tc>
          <w:tcPr>
            <w:tcW w:w="4410" w:type="dxa"/>
            <w:tcBorders>
              <w:top w:val="nil"/>
              <w:left w:val="single" w:sz="4" w:space="0" w:color="auto"/>
              <w:bottom w:val="single" w:sz="4" w:space="0" w:color="auto"/>
              <w:right w:val="single" w:sz="4" w:space="0" w:color="auto"/>
            </w:tcBorders>
          </w:tcPr>
          <w:p w14:paraId="1E92781F" w14:textId="77777777" w:rsidR="00FE5992" w:rsidRPr="00D045B3" w:rsidRDefault="00FE5992" w:rsidP="00FE5992">
            <w:pPr>
              <w:pStyle w:val="Default"/>
              <w:ind w:left="284"/>
              <w:rPr>
                <w:sz w:val="22"/>
                <w:szCs w:val="22"/>
              </w:rPr>
            </w:pPr>
            <w:r w:rsidRPr="00D045B3">
              <w:rPr>
                <w:sz w:val="22"/>
                <w:szCs w:val="22"/>
              </w:rPr>
              <w:t xml:space="preserve">Részleges </w:t>
            </w:r>
          </w:p>
        </w:tc>
        <w:tc>
          <w:tcPr>
            <w:tcW w:w="4664" w:type="dxa"/>
            <w:tcBorders>
              <w:top w:val="nil"/>
              <w:left w:val="single" w:sz="4" w:space="0" w:color="auto"/>
              <w:bottom w:val="single" w:sz="4" w:space="0" w:color="auto"/>
              <w:right w:val="single" w:sz="4" w:space="0" w:color="auto"/>
            </w:tcBorders>
          </w:tcPr>
          <w:p w14:paraId="1E927820" w14:textId="77777777" w:rsidR="00FE5992" w:rsidRPr="00D045B3" w:rsidRDefault="00FE5992" w:rsidP="008A6837">
            <w:pPr>
              <w:pStyle w:val="Default"/>
              <w:jc w:val="center"/>
              <w:rPr>
                <w:sz w:val="22"/>
                <w:szCs w:val="22"/>
              </w:rPr>
            </w:pPr>
            <w:r w:rsidRPr="00D045B3">
              <w:rPr>
                <w:sz w:val="22"/>
                <w:szCs w:val="22"/>
              </w:rPr>
              <w:t>8%</w:t>
            </w:r>
          </w:p>
        </w:tc>
      </w:tr>
      <w:tr w:rsidR="00FE5992" w:rsidRPr="00D045B3" w14:paraId="1E92782A" w14:textId="77777777" w:rsidTr="00FE5992">
        <w:trPr>
          <w:trHeight w:val="888"/>
        </w:trPr>
        <w:tc>
          <w:tcPr>
            <w:tcW w:w="9074" w:type="dxa"/>
            <w:gridSpan w:val="2"/>
            <w:tcBorders>
              <w:top w:val="single" w:sz="4" w:space="0" w:color="auto"/>
              <w:left w:val="single" w:sz="4" w:space="0" w:color="auto"/>
              <w:bottom w:val="single" w:sz="4" w:space="0" w:color="auto"/>
              <w:right w:val="single" w:sz="4" w:space="0" w:color="auto"/>
            </w:tcBorders>
          </w:tcPr>
          <w:p w14:paraId="1E927822" w14:textId="77777777" w:rsidR="00FE5992" w:rsidRPr="00D045B3" w:rsidRDefault="00FE5992" w:rsidP="00FE5992">
            <w:pPr>
              <w:pStyle w:val="Default"/>
              <w:rPr>
                <w:sz w:val="22"/>
                <w:szCs w:val="22"/>
              </w:rPr>
            </w:pPr>
            <w:r w:rsidRPr="00D045B3">
              <w:rPr>
                <w:b/>
                <w:bCs/>
                <w:sz w:val="22"/>
                <w:szCs w:val="22"/>
                <w:vertAlign w:val="superscript"/>
              </w:rPr>
              <w:t>1</w:t>
            </w:r>
            <w:r w:rsidRPr="00D045B3">
              <w:rPr>
                <w:b/>
                <w:bCs/>
                <w:sz w:val="22"/>
                <w:szCs w:val="22"/>
              </w:rPr>
              <w:t xml:space="preserve"> A hematológiai válasz kritériumai (minden választ igazolni kell </w:t>
            </w:r>
            <w:r w:rsidRPr="00D045B3">
              <w:rPr>
                <w:sz w:val="22"/>
                <w:szCs w:val="22"/>
              </w:rPr>
              <w:t xml:space="preserve">≥ </w:t>
            </w:r>
            <w:r w:rsidRPr="00D045B3">
              <w:rPr>
                <w:b/>
                <w:bCs/>
                <w:sz w:val="22"/>
                <w:szCs w:val="22"/>
              </w:rPr>
              <w:t xml:space="preserve">4 hét után): </w:t>
            </w:r>
          </w:p>
          <w:p w14:paraId="1E927823" w14:textId="77777777" w:rsidR="00FE5992" w:rsidRPr="00D045B3" w:rsidRDefault="00FE5992" w:rsidP="008A6837">
            <w:pPr>
              <w:ind w:left="601" w:hanging="601"/>
              <w:rPr>
                <w:szCs w:val="22"/>
                <w:lang w:val="hu-HU"/>
              </w:rPr>
            </w:pPr>
            <w:smartTag w:uri="urn:schemas-microsoft-com:office:smarttags" w:element="stockticker">
              <w:r w:rsidRPr="00D045B3">
                <w:rPr>
                  <w:szCs w:val="22"/>
                  <w:lang w:val="hu-HU"/>
                </w:rPr>
                <w:t>CHR</w:t>
              </w:r>
            </w:smartTag>
            <w:r w:rsidRPr="00D045B3">
              <w:rPr>
                <w:szCs w:val="22"/>
                <w:lang w:val="hu-HU"/>
              </w:rPr>
              <w:t>: A 0102 számú vizsgálatban [ANC ≥ 1,5 × 10</w:t>
            </w:r>
            <w:r w:rsidRPr="00D045B3">
              <w:rPr>
                <w:szCs w:val="22"/>
                <w:vertAlign w:val="superscript"/>
                <w:lang w:val="hu-HU"/>
              </w:rPr>
              <w:t>9</w:t>
            </w:r>
            <w:r w:rsidRPr="00D045B3">
              <w:rPr>
                <w:szCs w:val="22"/>
                <w:lang w:val="hu-HU"/>
              </w:rPr>
              <w:t>/l, thrombocyták ≥ 100 × 10</w:t>
            </w:r>
            <w:r w:rsidRPr="00D045B3">
              <w:rPr>
                <w:szCs w:val="22"/>
                <w:vertAlign w:val="superscript"/>
                <w:lang w:val="hu-HU"/>
              </w:rPr>
              <w:t>9</w:t>
            </w:r>
            <w:r w:rsidRPr="00D045B3">
              <w:rPr>
                <w:szCs w:val="22"/>
                <w:lang w:val="hu-HU"/>
              </w:rPr>
              <w:t xml:space="preserve">/l, nincsenek blasztok a vérben, BM blasztok száma &lt; 5% és nincs extramedullaris betegség] </w:t>
            </w:r>
          </w:p>
          <w:p w14:paraId="1E927824" w14:textId="77777777" w:rsidR="00FE5992" w:rsidRPr="00D045B3" w:rsidRDefault="00FE5992" w:rsidP="008A6837">
            <w:pPr>
              <w:ind w:left="601" w:hanging="601"/>
              <w:rPr>
                <w:szCs w:val="22"/>
                <w:lang w:val="hu-HU"/>
              </w:rPr>
            </w:pPr>
            <w:r w:rsidRPr="00D045B3">
              <w:rPr>
                <w:szCs w:val="22"/>
                <w:lang w:val="hu-HU"/>
              </w:rPr>
              <w:t xml:space="preserve">NEL Ugyanazok a kritériumok, mint a </w:t>
            </w:r>
            <w:smartTag w:uri="urn:schemas-microsoft-com:office:smarttags" w:element="stockticker">
              <w:r w:rsidRPr="00D045B3">
                <w:rPr>
                  <w:szCs w:val="22"/>
                  <w:lang w:val="hu-HU"/>
                </w:rPr>
                <w:t>CHR</w:t>
              </w:r>
            </w:smartTag>
            <w:r w:rsidRPr="00D045B3">
              <w:rPr>
                <w:szCs w:val="22"/>
                <w:lang w:val="hu-HU"/>
              </w:rPr>
              <w:t xml:space="preserve"> esetében, de ANC ≥ 1 × 10</w:t>
            </w:r>
            <w:r w:rsidRPr="00D045B3">
              <w:rPr>
                <w:szCs w:val="22"/>
                <w:vertAlign w:val="superscript"/>
                <w:lang w:val="hu-HU"/>
              </w:rPr>
              <w:t>9</w:t>
            </w:r>
            <w:r w:rsidRPr="00D045B3">
              <w:rPr>
                <w:szCs w:val="22"/>
                <w:lang w:val="hu-HU"/>
              </w:rPr>
              <w:t>/l és thrombocyták  ≥ 20 × 10</w:t>
            </w:r>
            <w:r w:rsidRPr="00D045B3">
              <w:rPr>
                <w:szCs w:val="22"/>
                <w:vertAlign w:val="superscript"/>
                <w:lang w:val="hu-HU"/>
              </w:rPr>
              <w:t>9</w:t>
            </w:r>
            <w:r w:rsidRPr="00D045B3">
              <w:rPr>
                <w:szCs w:val="22"/>
                <w:lang w:val="hu-HU"/>
              </w:rPr>
              <w:t xml:space="preserve">/l </w:t>
            </w:r>
          </w:p>
          <w:p w14:paraId="1E927825" w14:textId="77777777" w:rsidR="00FE5992" w:rsidRPr="00D045B3" w:rsidRDefault="00FE5992" w:rsidP="00FE5992">
            <w:pPr>
              <w:pStyle w:val="Default"/>
              <w:ind w:left="601" w:hanging="601"/>
              <w:rPr>
                <w:sz w:val="22"/>
                <w:szCs w:val="22"/>
              </w:rPr>
            </w:pPr>
            <w:r w:rsidRPr="00D045B3">
              <w:rPr>
                <w:sz w:val="22"/>
                <w:szCs w:val="22"/>
              </w:rPr>
              <w:t>RTC &lt; 15% BM és PB blasztok &lt; 30% blasztok+promyelocyták BM</w:t>
            </w:r>
            <w:r w:rsidRPr="00D045B3">
              <w:rPr>
                <w:sz w:val="22"/>
                <w:szCs w:val="22"/>
              </w:rPr>
              <w:noBreakHyphen/>
              <w:t>ben és PB</w:t>
            </w:r>
            <w:r w:rsidRPr="00D045B3">
              <w:rPr>
                <w:sz w:val="22"/>
                <w:szCs w:val="22"/>
              </w:rPr>
              <w:noBreakHyphen/>
              <w:t>ben &lt; 20% bazofilek PB</w:t>
            </w:r>
            <w:r w:rsidRPr="00D045B3">
              <w:rPr>
                <w:sz w:val="22"/>
                <w:szCs w:val="22"/>
              </w:rPr>
              <w:noBreakHyphen/>
              <w:t xml:space="preserve">ben, a lépet és a májat érintő elváltozásokon kívül nincs jelen extramedullaris betegség. </w:t>
            </w:r>
          </w:p>
          <w:p w14:paraId="1E927826" w14:textId="77777777" w:rsidR="00FE5992" w:rsidRPr="00D045B3" w:rsidRDefault="00FE5992" w:rsidP="00FE5992">
            <w:pPr>
              <w:pStyle w:val="Default"/>
              <w:rPr>
                <w:sz w:val="22"/>
                <w:szCs w:val="22"/>
              </w:rPr>
            </w:pPr>
            <w:r w:rsidRPr="00D045B3">
              <w:rPr>
                <w:sz w:val="22"/>
                <w:szCs w:val="22"/>
              </w:rPr>
              <w:t xml:space="preserve">BM = csontvelő, PB = perifériás vér </w:t>
            </w:r>
          </w:p>
          <w:p w14:paraId="1E927827" w14:textId="77777777" w:rsidR="00FE5992" w:rsidRPr="00D045B3" w:rsidRDefault="00FE5992" w:rsidP="00FE5992">
            <w:pPr>
              <w:pStyle w:val="Default"/>
              <w:rPr>
                <w:sz w:val="22"/>
                <w:szCs w:val="22"/>
              </w:rPr>
            </w:pPr>
            <w:r w:rsidRPr="00D045B3">
              <w:rPr>
                <w:b/>
                <w:bCs/>
                <w:sz w:val="22"/>
                <w:szCs w:val="22"/>
                <w:vertAlign w:val="superscript"/>
              </w:rPr>
              <w:t>2</w:t>
            </w:r>
            <w:r w:rsidRPr="00D045B3">
              <w:rPr>
                <w:b/>
                <w:bCs/>
                <w:sz w:val="22"/>
                <w:szCs w:val="22"/>
              </w:rPr>
              <w:t xml:space="preserve"> Citogenetikai válasz kritériumai: </w:t>
            </w:r>
          </w:p>
          <w:p w14:paraId="1E927828" w14:textId="77777777" w:rsidR="00FE5992" w:rsidRPr="00D045B3" w:rsidRDefault="00FE5992" w:rsidP="00FE5992">
            <w:pPr>
              <w:pStyle w:val="Default"/>
              <w:rPr>
                <w:sz w:val="22"/>
                <w:szCs w:val="22"/>
              </w:rPr>
            </w:pPr>
            <w:r w:rsidRPr="00D045B3">
              <w:rPr>
                <w:sz w:val="22"/>
                <w:szCs w:val="22"/>
              </w:rPr>
              <w:t>A legfőbb válasz mind a teljes, mind a részleges válaszok kombinációja: teljes (0% Ph+ metafázisok), részleges (1</w:t>
            </w:r>
            <w:r w:rsidRPr="00D045B3">
              <w:rPr>
                <w:sz w:val="22"/>
                <w:szCs w:val="22"/>
              </w:rPr>
              <w:noBreakHyphen/>
              <w:t xml:space="preserve">35%) </w:t>
            </w:r>
          </w:p>
          <w:p w14:paraId="1E927829" w14:textId="77777777" w:rsidR="00FE5992" w:rsidRPr="00D045B3" w:rsidRDefault="00FE5992" w:rsidP="00FE5992">
            <w:pPr>
              <w:pStyle w:val="Default"/>
              <w:rPr>
                <w:sz w:val="22"/>
                <w:szCs w:val="22"/>
              </w:rPr>
            </w:pPr>
            <w:r w:rsidRPr="00D045B3">
              <w:rPr>
                <w:sz w:val="22"/>
                <w:szCs w:val="22"/>
                <w:vertAlign w:val="superscript"/>
              </w:rPr>
              <w:t>3</w:t>
            </w:r>
            <w:r w:rsidRPr="00D045B3">
              <w:rPr>
                <w:sz w:val="22"/>
                <w:szCs w:val="22"/>
              </w:rPr>
              <w:t xml:space="preserve"> Teljes citogenetikai válasz, amit az első csontvelő vizsgálat után legalább egy hónappal elvégzett második csontvelő citogenetikai értékelés igazol. </w:t>
            </w:r>
          </w:p>
        </w:tc>
      </w:tr>
    </w:tbl>
    <w:p w14:paraId="1E92782B" w14:textId="77777777" w:rsidR="00FE5992" w:rsidRPr="00D045B3" w:rsidRDefault="00FE5992" w:rsidP="00FE5992">
      <w:pPr>
        <w:pStyle w:val="KeinLeerraum"/>
        <w:rPr>
          <w:rFonts w:ascii="Times New Roman" w:hAnsi="Times New Roman"/>
        </w:rPr>
      </w:pPr>
    </w:p>
    <w:p w14:paraId="1E92782C" w14:textId="3CBD620D" w:rsidR="00FE5992" w:rsidRPr="00D045B3" w:rsidRDefault="00FE5992" w:rsidP="00FE5992">
      <w:pPr>
        <w:pStyle w:val="KeinLeerraum"/>
        <w:keepNext/>
        <w:rPr>
          <w:rFonts w:ascii="Times New Roman" w:hAnsi="Times New Roman"/>
        </w:rPr>
      </w:pPr>
      <w:r w:rsidRPr="00D045B3">
        <w:rPr>
          <w:rFonts w:ascii="Times New Roman" w:hAnsi="Times New Roman"/>
          <w:i/>
          <w:iCs/>
        </w:rPr>
        <w:t>Gyermekek</w:t>
      </w:r>
      <w:r w:rsidR="002274AF" w:rsidRPr="00D045B3">
        <w:rPr>
          <w:rFonts w:ascii="Times New Roman" w:hAnsi="Times New Roman"/>
          <w:i/>
          <w:iCs/>
        </w:rPr>
        <w:t xml:space="preserve"> és serdülők</w:t>
      </w:r>
      <w:r w:rsidRPr="00D045B3">
        <w:rPr>
          <w:rFonts w:ascii="Times New Roman" w:hAnsi="Times New Roman"/>
          <w:i/>
          <w:iCs/>
        </w:rPr>
        <w:t xml:space="preserve">: </w:t>
      </w:r>
      <w:r w:rsidRPr="00D045B3">
        <w:rPr>
          <w:rFonts w:ascii="Times New Roman" w:hAnsi="Times New Roman"/>
        </w:rPr>
        <w:t>összesen 26, 18 év alatti krónikus fázisú (n = 11) vagy blastos krízisben lévő CML</w:t>
      </w:r>
      <w:r w:rsidRPr="00D045B3">
        <w:rPr>
          <w:rFonts w:ascii="Times New Roman" w:hAnsi="Times New Roman"/>
        </w:rPr>
        <w:noBreakHyphen/>
        <w:t>es, illetve Ph+ akut leukaemiás (n = 15) gyermek</w:t>
      </w:r>
      <w:r w:rsidR="002274AF" w:rsidRPr="00D045B3">
        <w:rPr>
          <w:rFonts w:ascii="Times New Roman" w:hAnsi="Times New Roman"/>
        </w:rPr>
        <w:t>- és serdülő</w:t>
      </w:r>
      <w:r w:rsidRPr="00D045B3">
        <w:rPr>
          <w:rFonts w:ascii="Times New Roman" w:hAnsi="Times New Roman"/>
        </w:rPr>
        <w:t>korú beteget vontak be a dóziseszkalációs I</w:t>
      </w:r>
      <w:r w:rsidR="00622575" w:rsidRPr="00D045B3">
        <w:rPr>
          <w:rFonts w:ascii="Times New Roman" w:hAnsi="Times New Roman"/>
        </w:rPr>
        <w:t>. fázisú</w:t>
      </w:r>
      <w:r w:rsidRPr="00D045B3">
        <w:rPr>
          <w:rFonts w:ascii="Times New Roman" w:hAnsi="Times New Roman"/>
        </w:rPr>
        <w:t xml:space="preserve"> vizsgálatba. Nagymértékben előkezelt betegek voltak, 46%</w:t>
      </w:r>
      <w:r w:rsidRPr="00D045B3">
        <w:rPr>
          <w:rFonts w:ascii="Times New Roman" w:hAnsi="Times New Roman"/>
        </w:rPr>
        <w:noBreakHyphen/>
        <w:t>uk átesett már csontvelő</w:t>
      </w:r>
      <w:r w:rsidRPr="00D045B3">
        <w:rPr>
          <w:rFonts w:ascii="Times New Roman" w:hAnsi="Times New Roman"/>
        </w:rPr>
        <w:noBreakHyphen/>
        <w:t>transzplantáción, illetve 73%</w:t>
      </w:r>
      <w:r w:rsidRPr="00D045B3">
        <w:rPr>
          <w:rFonts w:ascii="Times New Roman" w:hAnsi="Times New Roman"/>
        </w:rPr>
        <w:noBreakHyphen/>
        <w:t>uk előzetesen kombinált kemoterápiát kapott. A betegeket 260 mg/m</w:t>
      </w:r>
      <w:r w:rsidRPr="00D045B3">
        <w:rPr>
          <w:rFonts w:ascii="Times New Roman" w:hAnsi="Times New Roman"/>
          <w:vertAlign w:val="superscript"/>
        </w:rPr>
        <w:t>2</w:t>
      </w:r>
      <w:r w:rsidRPr="00D045B3">
        <w:rPr>
          <w:rFonts w:ascii="Times New Roman" w:hAnsi="Times New Roman"/>
        </w:rPr>
        <w:t>/nap (n=5), 340 mg/m</w:t>
      </w:r>
      <w:r w:rsidRPr="00D045B3">
        <w:rPr>
          <w:rFonts w:ascii="Times New Roman" w:hAnsi="Times New Roman"/>
          <w:vertAlign w:val="superscript"/>
        </w:rPr>
        <w:t>2</w:t>
      </w:r>
      <w:r w:rsidRPr="00D045B3">
        <w:rPr>
          <w:rFonts w:ascii="Times New Roman" w:hAnsi="Times New Roman"/>
        </w:rPr>
        <w:t>/nap (n=9), 440 mg/m</w:t>
      </w:r>
      <w:r w:rsidRPr="00D045B3">
        <w:rPr>
          <w:rFonts w:ascii="Times New Roman" w:hAnsi="Times New Roman"/>
          <w:vertAlign w:val="superscript"/>
        </w:rPr>
        <w:t>2</w:t>
      </w:r>
      <w:r w:rsidRPr="00D045B3">
        <w:rPr>
          <w:rFonts w:ascii="Times New Roman" w:hAnsi="Times New Roman"/>
        </w:rPr>
        <w:t>/nap (n=7), ill. 570 mg/m</w:t>
      </w:r>
      <w:r w:rsidRPr="00D045B3">
        <w:rPr>
          <w:rFonts w:ascii="Times New Roman" w:hAnsi="Times New Roman"/>
          <w:vertAlign w:val="superscript"/>
        </w:rPr>
        <w:t>2</w:t>
      </w:r>
      <w:r w:rsidRPr="00D045B3">
        <w:rPr>
          <w:rFonts w:ascii="Times New Roman" w:hAnsi="Times New Roman"/>
        </w:rPr>
        <w:t>/nap (n=5) dózissal kezelték. A krónikus fázisú CML betegek közül 9</w:t>
      </w:r>
      <w:r w:rsidRPr="00D045B3">
        <w:rPr>
          <w:rFonts w:ascii="Times New Roman" w:hAnsi="Times New Roman"/>
        </w:rPr>
        <w:noBreakHyphen/>
        <w:t>nek állnak rendelkezésre a cytogenetikai adatai: közülük 4 (44%) ért el komplett, és 3 (33%) részleges cytogenetikai választ; ez 77% MCyR</w:t>
      </w:r>
      <w:r w:rsidRPr="00D045B3">
        <w:rPr>
          <w:rFonts w:ascii="Times New Roman" w:hAnsi="Times New Roman"/>
        </w:rPr>
        <w:noBreakHyphen/>
        <w:t xml:space="preserve">nek felel meg. </w:t>
      </w:r>
    </w:p>
    <w:p w14:paraId="1E92782D" w14:textId="77777777" w:rsidR="00FE5992" w:rsidRPr="00D045B3" w:rsidRDefault="00FE5992" w:rsidP="00FE5992">
      <w:pPr>
        <w:pStyle w:val="KeinLeerraum"/>
        <w:rPr>
          <w:rFonts w:ascii="Times New Roman" w:hAnsi="Times New Roman"/>
        </w:rPr>
      </w:pPr>
    </w:p>
    <w:p w14:paraId="1E92782E" w14:textId="486767E9" w:rsidR="00FE5992" w:rsidRPr="00D045B3" w:rsidRDefault="00FE5992" w:rsidP="00FE5992">
      <w:pPr>
        <w:pStyle w:val="KeinLeerraum"/>
        <w:rPr>
          <w:rFonts w:ascii="Times New Roman" w:hAnsi="Times New Roman"/>
        </w:rPr>
      </w:pPr>
      <w:r w:rsidRPr="00D045B3">
        <w:rPr>
          <w:rFonts w:ascii="Times New Roman" w:hAnsi="Times New Roman"/>
        </w:rPr>
        <w:t>Összesen 51, újonnan diagnosztizált és kezeletlen krónikus fázisú CML</w:t>
      </w:r>
      <w:r w:rsidRPr="00D045B3">
        <w:rPr>
          <w:rFonts w:ascii="Times New Roman" w:hAnsi="Times New Roman"/>
        </w:rPr>
        <w:noBreakHyphen/>
        <w:t>es gyermekgyógyászati beteget vontak be egy nyílt, multicenteres, egy vizsgálati karos, II</w:t>
      </w:r>
      <w:r w:rsidR="000D1381" w:rsidRPr="00D045B3">
        <w:rPr>
          <w:rFonts w:ascii="Times New Roman" w:hAnsi="Times New Roman"/>
        </w:rPr>
        <w:t>. fázisú</w:t>
      </w:r>
      <w:r w:rsidRPr="00D045B3">
        <w:rPr>
          <w:rFonts w:ascii="Times New Roman" w:hAnsi="Times New Roman"/>
        </w:rPr>
        <w:t xml:space="preserve"> vizsgálatba. Az imatinib dózisa 340 mg/m</w:t>
      </w:r>
      <w:r w:rsidRPr="00D045B3">
        <w:rPr>
          <w:rFonts w:ascii="Times New Roman" w:hAnsi="Times New Roman"/>
          <w:vertAlign w:val="superscript"/>
        </w:rPr>
        <w:t>2</w:t>
      </w:r>
      <w:r w:rsidRPr="00D045B3">
        <w:rPr>
          <w:rFonts w:ascii="Times New Roman" w:hAnsi="Times New Roman"/>
        </w:rPr>
        <w:t>/nap volt, dózislimitáló toxicitás hiányában a kezelést nem szakították meg. Az imatinib kezelés gyors választ indukál az újonnan diagnosztizált gyermekgyógyászati CML</w:t>
      </w:r>
      <w:r w:rsidRPr="00D045B3">
        <w:rPr>
          <w:rFonts w:ascii="Times New Roman" w:hAnsi="Times New Roman"/>
        </w:rPr>
        <w:noBreakHyphen/>
        <w:t>es betegeknél. 8 hetes kezelés után a CHR 78%. A CHR magas arányához 65%</w:t>
      </w:r>
      <w:r w:rsidRPr="00D045B3">
        <w:rPr>
          <w:rFonts w:ascii="Times New Roman" w:hAnsi="Times New Roman"/>
        </w:rPr>
        <w:noBreakHyphen/>
        <w:t>os komplett cytogenetikai válasz (CCyR) társul, ami hasonló a felnőtteknél tapasztalt eredményekhez. Ezenkívül 16%</w:t>
      </w:r>
      <w:r w:rsidRPr="00D045B3">
        <w:rPr>
          <w:rFonts w:ascii="Times New Roman" w:hAnsi="Times New Roman"/>
        </w:rPr>
        <w:noBreakHyphen/>
        <w:t>ban figyeltek meg részleges cytogenetikai választ (PCyR); ez 81% MCyR</w:t>
      </w:r>
      <w:r w:rsidRPr="00D045B3">
        <w:rPr>
          <w:rFonts w:ascii="Times New Roman" w:hAnsi="Times New Roman"/>
        </w:rPr>
        <w:noBreakHyphen/>
        <w:t>nek felel meg. A CCyR</w:t>
      </w:r>
      <w:r w:rsidRPr="00D045B3">
        <w:rPr>
          <w:rFonts w:ascii="Times New Roman" w:hAnsi="Times New Roman"/>
        </w:rPr>
        <w:noBreakHyphen/>
        <w:t>t elérő betegek többségében a 3. és a 10. hónap között alakult ki a CCyR, és a válaszig eltelt idő mediánértéke a Kaplan</w:t>
      </w:r>
      <w:r w:rsidRPr="00D045B3">
        <w:rPr>
          <w:rFonts w:ascii="Times New Roman" w:hAnsi="Times New Roman"/>
        </w:rPr>
        <w:noBreakHyphen/>
        <w:t xml:space="preserve">Meier becslés szerint 5,6 hónap. </w:t>
      </w:r>
    </w:p>
    <w:p w14:paraId="1E92782F" w14:textId="77777777" w:rsidR="00FE5992" w:rsidRPr="00D045B3" w:rsidRDefault="00FE5992" w:rsidP="00FE5992">
      <w:pPr>
        <w:pStyle w:val="KeinLeerraum"/>
        <w:rPr>
          <w:rFonts w:ascii="Times New Roman" w:hAnsi="Times New Roman"/>
        </w:rPr>
      </w:pPr>
    </w:p>
    <w:p w14:paraId="1E927830" w14:textId="77777777" w:rsidR="00FE5992" w:rsidRPr="00D045B3" w:rsidRDefault="00FE5992" w:rsidP="00FE5992">
      <w:pPr>
        <w:pStyle w:val="KeinLeerraum"/>
        <w:rPr>
          <w:rFonts w:ascii="Times New Roman" w:hAnsi="Times New Roman"/>
        </w:rPr>
      </w:pPr>
      <w:r w:rsidRPr="00D045B3">
        <w:rPr>
          <w:rFonts w:ascii="Times New Roman" w:hAnsi="Times New Roman"/>
        </w:rPr>
        <w:t>Az Európai Gyógyszerügynökség a gyermekek esetén minden korosztálynál eltekint az imatinib vizsgálati eredményeinek benyújtási kötelezettségétől Philadelphia kromoszóma (bcr</w:t>
      </w:r>
      <w:r w:rsidRPr="00D045B3">
        <w:rPr>
          <w:rFonts w:ascii="Times New Roman" w:hAnsi="Times New Roman"/>
        </w:rPr>
        <w:noBreakHyphen/>
        <w:t>abl transzlokáció)</w:t>
      </w:r>
      <w:r w:rsidRPr="00D045B3">
        <w:rPr>
          <w:rFonts w:ascii="Times New Roman" w:hAnsi="Times New Roman"/>
        </w:rPr>
        <w:noBreakHyphen/>
        <w:t>pozitív (Ph+) krónikus myeloid leukaemiában (lásd 4.2 pont, gyermekgyógyászati alkalmazásra vonatkozó információk).</w:t>
      </w:r>
    </w:p>
    <w:p w14:paraId="1E927831" w14:textId="77777777" w:rsidR="00FE5992" w:rsidRPr="00D045B3" w:rsidRDefault="00FE5992" w:rsidP="008A6837">
      <w:pPr>
        <w:pStyle w:val="KeinLeerraum"/>
        <w:rPr>
          <w:rFonts w:ascii="Times New Roman" w:hAnsi="Times New Roman"/>
          <w:b/>
        </w:rPr>
      </w:pPr>
    </w:p>
    <w:p w14:paraId="1E927832" w14:textId="77777777" w:rsidR="00FE5992" w:rsidRPr="00D045B3" w:rsidRDefault="00FE5992" w:rsidP="008A6837">
      <w:pPr>
        <w:pStyle w:val="Default"/>
        <w:keepNext/>
        <w:rPr>
          <w:sz w:val="22"/>
          <w:szCs w:val="22"/>
          <w:u w:val="single"/>
        </w:rPr>
      </w:pPr>
      <w:r w:rsidRPr="00D045B3">
        <w:rPr>
          <w:sz w:val="22"/>
          <w:szCs w:val="22"/>
          <w:u w:val="single"/>
        </w:rPr>
        <w:t>Klinikai vizsgálatok Ph+ ALL</w:t>
      </w:r>
      <w:r w:rsidRPr="00D045B3">
        <w:rPr>
          <w:sz w:val="22"/>
          <w:szCs w:val="22"/>
          <w:u w:val="single"/>
        </w:rPr>
        <w:noBreakHyphen/>
        <w:t xml:space="preserve">ben </w:t>
      </w:r>
    </w:p>
    <w:p w14:paraId="1E927833" w14:textId="77777777" w:rsidR="00FE5992" w:rsidRPr="00D045B3" w:rsidRDefault="00FE5992" w:rsidP="008A6837">
      <w:pPr>
        <w:pStyle w:val="Default"/>
        <w:keepNext/>
        <w:rPr>
          <w:color w:val="auto"/>
          <w:sz w:val="22"/>
          <w:szCs w:val="22"/>
        </w:rPr>
      </w:pPr>
      <w:r w:rsidRPr="00D045B3">
        <w:rPr>
          <w:i/>
          <w:iCs/>
          <w:sz w:val="22"/>
          <w:szCs w:val="22"/>
        </w:rPr>
        <w:t xml:space="preserve">Újonnan diagnosztizált Ph+ ALL: </w:t>
      </w:r>
      <w:r w:rsidRPr="00D045B3">
        <w:rPr>
          <w:sz w:val="22"/>
          <w:szCs w:val="22"/>
        </w:rPr>
        <w:t>Egy kontrollos vizsgálatban (ADE10) 55, újonnan diagnosztizált, 55 éves vagy idősebb betegnél hasonlították össze az imatinib</w:t>
      </w:r>
      <w:r w:rsidRPr="00D045B3">
        <w:rPr>
          <w:sz w:val="22"/>
          <w:szCs w:val="22"/>
        </w:rPr>
        <w:noBreakHyphen/>
        <w:t>, illetve az indukciós kemoterápia kezelést. Az imatinib monoterápia szignifikánsan magasabb arányban indukált komplett hematológiai választ, mint a kemoterápia (96,3% vs. 50%; p = 0,0001). Amikor a kemoterápiára nem vagy rosszul reagáló betegeknek „salvage” kezelésként imatinibet adtak, 11 betegből 9 esetében (81,8%) komplett hematológiai választ értek el. Ezen klinikai hatáshoz a bcr</w:t>
      </w:r>
      <w:r w:rsidRPr="00D045B3">
        <w:rPr>
          <w:sz w:val="22"/>
          <w:szCs w:val="22"/>
        </w:rPr>
        <w:noBreakHyphen/>
        <w:t>abl transzkripció nagyobb mértékű csökkenése társult az imatinibbel kezelt betegeknél, mint a kemoterápiás vizsgálati karban a 2 hetes kezelés után (p = 0,02). Az indukciót követően minden beteg imatinibet és konszolidációs kemoterápiát (lásd 5. táblázat) kapott, és a 8. héten a bcr</w:t>
      </w:r>
      <w:r w:rsidRPr="00D045B3">
        <w:rPr>
          <w:sz w:val="22"/>
          <w:szCs w:val="22"/>
        </w:rPr>
        <w:noBreakHyphen/>
        <w:t>abl transzkriptum szintje mindkét vizsgálati karban azonos volt. Amint az a vizsgálat elrendezése alapján várható volt, nem figyeltek meg különbséget a remisszió időtartamában, a betegségmentes túlélésben vagy az össz</w:t>
      </w:r>
      <w:r w:rsidRPr="00D045B3">
        <w:rPr>
          <w:sz w:val="22"/>
          <w:szCs w:val="22"/>
        </w:rPr>
        <w:noBreakHyphen/>
        <w:t xml:space="preserve">túlélésben, </w:t>
      </w:r>
      <w:r w:rsidRPr="00D045B3">
        <w:rPr>
          <w:color w:val="auto"/>
          <w:sz w:val="22"/>
          <w:szCs w:val="22"/>
        </w:rPr>
        <w:t xml:space="preserve">bár a teljes molekuláris választ mutató és minimális reziduális betegségben szenvedő betegeknél jobb kimenetet láttak mind a remisszió időtartama (p = 0,01), mind a betegségmentes túlélés (p = 0,02) terén. </w:t>
      </w:r>
    </w:p>
    <w:p w14:paraId="1E927834" w14:textId="77777777" w:rsidR="00FE5992" w:rsidRPr="00D045B3" w:rsidRDefault="00FE5992" w:rsidP="00FE5992">
      <w:pPr>
        <w:pStyle w:val="Default"/>
        <w:rPr>
          <w:color w:val="auto"/>
          <w:sz w:val="22"/>
          <w:szCs w:val="22"/>
        </w:rPr>
      </w:pPr>
    </w:p>
    <w:p w14:paraId="1E927835" w14:textId="77777777" w:rsidR="00FE5992" w:rsidRPr="00D045B3" w:rsidRDefault="00FE5992" w:rsidP="00FE5992">
      <w:pPr>
        <w:pStyle w:val="Default"/>
        <w:rPr>
          <w:color w:val="auto"/>
          <w:sz w:val="22"/>
          <w:szCs w:val="22"/>
        </w:rPr>
      </w:pPr>
      <w:r w:rsidRPr="00D045B3">
        <w:rPr>
          <w:color w:val="auto"/>
          <w:sz w:val="22"/>
          <w:szCs w:val="22"/>
        </w:rPr>
        <w:t>211, újonnan diagnosztizált Ph+ ALL</w:t>
      </w:r>
      <w:r w:rsidRPr="00D045B3">
        <w:rPr>
          <w:color w:val="auto"/>
          <w:sz w:val="22"/>
          <w:szCs w:val="22"/>
        </w:rPr>
        <w:noBreakHyphen/>
        <w:t>ben szenvedő betegből álló populációval végzett négy, nem kontrollos klinikai vizsgálat (AAU02, ADE04, AJP01 és AUS01) eredményei összhangban vannak a fent ismertetett eredményekkel. Az indukciós kemoterápiával együtt adott imatinib (lásd 4. táblázat) 93%</w:t>
      </w:r>
      <w:r w:rsidRPr="00D045B3">
        <w:rPr>
          <w:color w:val="auto"/>
          <w:sz w:val="22"/>
          <w:szCs w:val="22"/>
        </w:rPr>
        <w:noBreakHyphen/>
        <w:t>os komplett hematológiai válaszarányt (a 158 értékelhető betegből 147) és 90%</w:t>
      </w:r>
      <w:r w:rsidRPr="00D045B3">
        <w:rPr>
          <w:color w:val="auto"/>
          <w:sz w:val="22"/>
          <w:szCs w:val="22"/>
        </w:rPr>
        <w:noBreakHyphen/>
        <w:t>os nagyfokú cytogenetikai válaszarányt (a 21 értékelhető betegből 19) eredményezett. A komplett molekuláris válaszarány 48% volt (a 102 értékelhető betegből 49). Két vizsgálatban (AJP01 és AUS01) a betegségmentes túlélés (DFS) és az össz</w:t>
      </w:r>
      <w:r w:rsidRPr="00D045B3">
        <w:rPr>
          <w:color w:val="auto"/>
          <w:sz w:val="22"/>
          <w:szCs w:val="22"/>
        </w:rPr>
        <w:noBreakHyphen/>
        <w:t xml:space="preserve">túlélés (OS) folyamatosan meghaladta az 1 évet, és jobb volt a történeti kontrollhoz (DFS p &lt; 0,001; OS p &lt; 0,0001) viszonyítva. </w:t>
      </w:r>
    </w:p>
    <w:p w14:paraId="1E927836" w14:textId="77777777" w:rsidR="00FE5992" w:rsidRPr="00D045B3" w:rsidRDefault="00FE5992" w:rsidP="00FE5992">
      <w:pPr>
        <w:pStyle w:val="Default"/>
        <w:rPr>
          <w:color w:val="auto"/>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9180"/>
      </w:tblGrid>
      <w:tr w:rsidR="00FE5992" w:rsidRPr="00D045B3" w14:paraId="1E92787B" w14:textId="77777777" w:rsidTr="008A6837">
        <w:trPr>
          <w:trHeight w:val="98"/>
        </w:trPr>
        <w:tc>
          <w:tcPr>
            <w:tcW w:w="9180" w:type="dxa"/>
          </w:tcPr>
          <w:p w14:paraId="1E927837" w14:textId="6910A542" w:rsidR="00FE5992" w:rsidRPr="00D045B3" w:rsidRDefault="00634196" w:rsidP="002A5FCC">
            <w:pPr>
              <w:pStyle w:val="Default"/>
              <w:widowControl w:val="0"/>
              <w:rPr>
                <w:b/>
                <w:bCs/>
                <w:color w:val="auto"/>
                <w:sz w:val="22"/>
                <w:szCs w:val="22"/>
              </w:rPr>
            </w:pPr>
            <w:r w:rsidRPr="00D045B3">
              <w:rPr>
                <w:b/>
                <w:bCs/>
                <w:color w:val="auto"/>
                <w:sz w:val="22"/>
                <w:szCs w:val="22"/>
              </w:rPr>
              <w:t>3</w:t>
            </w:r>
            <w:r w:rsidR="00FE5992" w:rsidRPr="00D045B3">
              <w:rPr>
                <w:b/>
                <w:bCs/>
                <w:color w:val="auto"/>
                <w:sz w:val="22"/>
                <w:szCs w:val="22"/>
              </w:rPr>
              <w:t>. táblázat Az imatinibbel kombinációban alkalmazott kemoterápiás kezelési protokollok</w:t>
            </w:r>
          </w:p>
          <w:p w14:paraId="1E927838" w14:textId="77777777" w:rsidR="00FE5992" w:rsidRPr="00D045B3" w:rsidRDefault="00FE5992" w:rsidP="002A5FCC">
            <w:pPr>
              <w:pStyle w:val="Default"/>
              <w:widowControl w:val="0"/>
              <w:rPr>
                <w:b/>
                <w:bCs/>
                <w:color w:val="auto"/>
                <w:sz w:val="22"/>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FE5992" w:rsidRPr="00D045B3" w14:paraId="1E92783A" w14:textId="77777777" w:rsidTr="00FE5992">
              <w:trPr>
                <w:trHeight w:hRule="exact" w:val="329"/>
              </w:trPr>
              <w:tc>
                <w:tcPr>
                  <w:tcW w:w="8931" w:type="dxa"/>
                  <w:gridSpan w:val="2"/>
                  <w:shd w:val="clear" w:color="auto" w:fill="auto"/>
                  <w:tcMar>
                    <w:top w:w="57" w:type="dxa"/>
                    <w:bottom w:w="57" w:type="dxa"/>
                  </w:tcMar>
                </w:tcPr>
                <w:p w14:paraId="1E927839" w14:textId="77777777" w:rsidR="00FE5992" w:rsidRPr="00D045B3" w:rsidRDefault="00FE5992" w:rsidP="002A5FCC">
                  <w:pPr>
                    <w:widowControl w:val="0"/>
                    <w:spacing w:line="240" w:lineRule="auto"/>
                    <w:ind w:right="-23"/>
                    <w:rPr>
                      <w:rFonts w:eastAsia="Times New Roman"/>
                      <w:lang w:val="hu-HU"/>
                    </w:rPr>
                  </w:pPr>
                  <w:r w:rsidRPr="00D045B3">
                    <w:rPr>
                      <w:rFonts w:eastAsia="Times New Roman"/>
                      <w:b/>
                      <w:bCs/>
                      <w:lang w:val="hu-HU"/>
                    </w:rPr>
                    <w:t>ADE10 vizsgálat</w:t>
                  </w:r>
                </w:p>
              </w:tc>
            </w:tr>
            <w:tr w:rsidR="00FE5992" w:rsidRPr="00D045B3" w14:paraId="1E92783D" w14:textId="77777777" w:rsidTr="008A6837">
              <w:trPr>
                <w:trHeight w:hRule="exact" w:val="770"/>
              </w:trPr>
              <w:tc>
                <w:tcPr>
                  <w:tcW w:w="2133" w:type="dxa"/>
                  <w:tcBorders>
                    <w:right w:val="nil"/>
                  </w:tcBorders>
                  <w:shd w:val="clear" w:color="auto" w:fill="auto"/>
                  <w:tcMar>
                    <w:top w:w="57" w:type="dxa"/>
                    <w:bottom w:w="57" w:type="dxa"/>
                  </w:tcMar>
                </w:tcPr>
                <w:p w14:paraId="1E92783B"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Előfázis</w:t>
                  </w:r>
                </w:p>
              </w:tc>
              <w:tc>
                <w:tcPr>
                  <w:tcW w:w="6798" w:type="dxa"/>
                  <w:tcBorders>
                    <w:left w:val="nil"/>
                  </w:tcBorders>
                  <w:shd w:val="clear" w:color="auto" w:fill="auto"/>
                  <w:tcMar>
                    <w:top w:w="57" w:type="dxa"/>
                    <w:bottom w:w="57" w:type="dxa"/>
                  </w:tcMar>
                </w:tcPr>
                <w:p w14:paraId="1E92783C"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5 napokon; CP 200 mg/m</w:t>
                  </w:r>
                  <w:r w:rsidRPr="00D045B3">
                    <w:rPr>
                      <w:rFonts w:eastAsia="Times New Roman"/>
                      <w:vertAlign w:val="superscript"/>
                      <w:lang w:val="hu-HU"/>
                    </w:rPr>
                    <w:t>2</w:t>
                  </w:r>
                  <w:r w:rsidRPr="00D045B3">
                    <w:rPr>
                      <w:rFonts w:eastAsia="Times New Roman"/>
                      <w:lang w:val="hu-HU"/>
                    </w:rPr>
                    <w:t xml:space="preserve"> iv., a 3., 4., 5. napon; MTX 12 mg intrathecalisan az 1. napon</w:t>
                  </w:r>
                </w:p>
              </w:tc>
            </w:tr>
            <w:tr w:rsidR="00FE5992" w:rsidRPr="00D045B3" w14:paraId="1E927840" w14:textId="77777777" w:rsidTr="008A6837">
              <w:trPr>
                <w:trHeight w:hRule="exact" w:val="1221"/>
              </w:trPr>
              <w:tc>
                <w:tcPr>
                  <w:tcW w:w="2133" w:type="dxa"/>
                  <w:tcBorders>
                    <w:right w:val="nil"/>
                  </w:tcBorders>
                  <w:shd w:val="clear" w:color="auto" w:fill="auto"/>
                  <w:tcMar>
                    <w:top w:w="57" w:type="dxa"/>
                    <w:bottom w:w="57" w:type="dxa"/>
                  </w:tcMar>
                </w:tcPr>
                <w:p w14:paraId="1E92783E"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Remisszió indukció</w:t>
                  </w:r>
                </w:p>
              </w:tc>
              <w:tc>
                <w:tcPr>
                  <w:tcW w:w="6798" w:type="dxa"/>
                  <w:tcBorders>
                    <w:left w:val="nil"/>
                  </w:tcBorders>
                  <w:shd w:val="clear" w:color="auto" w:fill="auto"/>
                  <w:tcMar>
                    <w:top w:w="57" w:type="dxa"/>
                    <w:bottom w:w="57" w:type="dxa"/>
                  </w:tcMar>
                </w:tcPr>
                <w:p w14:paraId="1E92783F"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Pr="00D045B3">
                    <w:rPr>
                      <w:rFonts w:eastAsia="Times New Roman"/>
                      <w:lang w:val="hu-HU"/>
                    </w:rPr>
                    <w:t>per os, a 6</w:t>
                  </w:r>
                  <w:r w:rsidRPr="00D045B3">
                    <w:rPr>
                      <w:rFonts w:eastAsia="Times New Roman"/>
                      <w:lang w:val="hu-HU"/>
                    </w:rPr>
                    <w:noBreakHyphen/>
                    <w:t>7., és a 13</w:t>
                  </w:r>
                  <w:r w:rsidRPr="00D045B3">
                    <w:rPr>
                      <w:rFonts w:eastAsia="Times New Roman"/>
                      <w:lang w:val="hu-HU"/>
                    </w:rPr>
                    <w:noBreakHyphen/>
                    <w:t>16. napokon; VCR 1 mg iv., a 7., 14. napon; IDA 8 mg/m</w:t>
                  </w:r>
                  <w:r w:rsidRPr="00D045B3">
                    <w:rPr>
                      <w:rFonts w:eastAsia="Times New Roman"/>
                      <w:vertAlign w:val="superscript"/>
                      <w:lang w:val="hu-HU"/>
                    </w:rPr>
                    <w:t>2 </w:t>
                  </w:r>
                  <w:r w:rsidRPr="00D045B3">
                    <w:rPr>
                      <w:rFonts w:eastAsia="Times New Roman"/>
                      <w:lang w:val="hu-HU"/>
                    </w:rPr>
                    <w:t>iv. (0,5 órás), a 7., 8., 14., 15. napon; CP 500 mg/m</w:t>
                  </w:r>
                  <w:r w:rsidRPr="00D045B3">
                    <w:rPr>
                      <w:rFonts w:eastAsia="Times New Roman"/>
                      <w:vertAlign w:val="superscript"/>
                      <w:lang w:val="hu-HU"/>
                    </w:rPr>
                    <w:t>2 </w:t>
                  </w:r>
                  <w:r w:rsidRPr="00D045B3">
                    <w:rPr>
                      <w:rFonts w:eastAsia="Times New Roman"/>
                      <w:lang w:val="hu-HU"/>
                    </w:rPr>
                    <w:t>iv.(1 órás) az 1. napon; Ara</w:t>
                  </w:r>
                  <w:r w:rsidRPr="00D045B3">
                    <w:rPr>
                      <w:rFonts w:eastAsia="Times New Roman"/>
                      <w:lang w:val="hu-HU"/>
                    </w:rPr>
                    <w:noBreakHyphen/>
                    <w:t xml:space="preserve"> C 60 mg/m</w:t>
                  </w:r>
                  <w:r w:rsidRPr="00D045B3">
                    <w:rPr>
                      <w:rFonts w:eastAsia="Times New Roman"/>
                      <w:vertAlign w:val="superscript"/>
                      <w:lang w:val="hu-HU"/>
                    </w:rPr>
                    <w:t>2 </w:t>
                  </w:r>
                  <w:r w:rsidRPr="00D045B3">
                    <w:rPr>
                      <w:rFonts w:eastAsia="Times New Roman"/>
                      <w:lang w:val="hu-HU"/>
                    </w:rPr>
                    <w:t>iv., a 22</w:t>
                  </w:r>
                  <w:r w:rsidRPr="00D045B3">
                    <w:rPr>
                      <w:rFonts w:eastAsia="Times New Roman"/>
                      <w:lang w:val="hu-HU"/>
                    </w:rPr>
                    <w:noBreakHyphen/>
                    <w:t>25, és 29</w:t>
                  </w:r>
                  <w:r w:rsidRPr="00D045B3">
                    <w:rPr>
                      <w:rFonts w:eastAsia="Times New Roman"/>
                      <w:lang w:val="hu-HU"/>
                    </w:rPr>
                    <w:noBreakHyphen/>
                    <w:t xml:space="preserve">32. </w:t>
                  </w:r>
                  <w:r w:rsidR="00B119C9" w:rsidRPr="00D045B3">
                    <w:rPr>
                      <w:rFonts w:eastAsia="Times New Roman"/>
                      <w:lang w:val="hu-HU"/>
                    </w:rPr>
                    <w:t>N</w:t>
                  </w:r>
                  <w:r w:rsidRPr="00D045B3">
                    <w:rPr>
                      <w:rFonts w:eastAsia="Times New Roman"/>
                      <w:lang w:val="hu-HU"/>
                    </w:rPr>
                    <w:t>apokon</w:t>
                  </w:r>
                </w:p>
              </w:tc>
            </w:tr>
            <w:tr w:rsidR="00FE5992" w:rsidRPr="00D045B3" w14:paraId="1E927843" w14:textId="77777777" w:rsidTr="00FE5992">
              <w:trPr>
                <w:trHeight w:hRule="exact" w:val="567"/>
              </w:trPr>
              <w:tc>
                <w:tcPr>
                  <w:tcW w:w="2133" w:type="dxa"/>
                  <w:tcBorders>
                    <w:right w:val="nil"/>
                  </w:tcBorders>
                  <w:shd w:val="clear" w:color="auto" w:fill="auto"/>
                  <w:tcMar>
                    <w:top w:w="57" w:type="dxa"/>
                    <w:bottom w:w="57" w:type="dxa"/>
                  </w:tcMar>
                </w:tcPr>
                <w:p w14:paraId="1E927841" w14:textId="77777777" w:rsidR="00FE5992" w:rsidRPr="00D045B3" w:rsidRDefault="00FE5992" w:rsidP="00FE5992">
                  <w:pPr>
                    <w:spacing w:line="240" w:lineRule="auto"/>
                    <w:rPr>
                      <w:rFonts w:eastAsia="Times New Roman"/>
                      <w:lang w:val="hu-HU"/>
                    </w:rPr>
                  </w:pPr>
                  <w:r w:rsidRPr="00D045B3">
                    <w:rPr>
                      <w:rFonts w:eastAsia="Times New Roman"/>
                      <w:lang w:val="hu-HU"/>
                    </w:rPr>
                    <w:t>Konszolidációs terápia I, III, V</w:t>
                  </w:r>
                </w:p>
              </w:tc>
              <w:tc>
                <w:tcPr>
                  <w:tcW w:w="6798" w:type="dxa"/>
                  <w:tcBorders>
                    <w:left w:val="nil"/>
                  </w:tcBorders>
                  <w:shd w:val="clear" w:color="auto" w:fill="auto"/>
                  <w:tcMar>
                    <w:top w:w="57" w:type="dxa"/>
                    <w:bottom w:w="57" w:type="dxa"/>
                  </w:tcMar>
                </w:tcPr>
                <w:p w14:paraId="1E927842"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MTX 500 mg/m</w:t>
                  </w:r>
                  <w:r w:rsidRPr="00D045B3">
                    <w:rPr>
                      <w:rFonts w:eastAsia="Times New Roman"/>
                      <w:vertAlign w:val="superscript"/>
                      <w:lang w:val="hu-HU"/>
                    </w:rPr>
                    <w:t>2 </w:t>
                  </w:r>
                  <w:r w:rsidRPr="00D045B3">
                    <w:rPr>
                      <w:rFonts w:eastAsia="Times New Roman"/>
                      <w:lang w:val="hu-HU"/>
                    </w:rPr>
                    <w:t>iv. (24 órás), az 1. és a 15. napon; 6</w:t>
                  </w:r>
                  <w:r w:rsidRPr="00D045B3">
                    <w:rPr>
                      <w:rFonts w:eastAsia="Times New Roman"/>
                      <w:lang w:val="hu-HU"/>
                    </w:rPr>
                    <w:noBreakHyphen/>
                    <w:t>MP 25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 xml:space="preserve">20. </w:t>
                  </w:r>
                  <w:r w:rsidR="00B119C9" w:rsidRPr="00D045B3">
                    <w:rPr>
                      <w:rFonts w:eastAsia="Times New Roman"/>
                      <w:lang w:val="hu-HU"/>
                    </w:rPr>
                    <w:t>N</w:t>
                  </w:r>
                  <w:r w:rsidRPr="00D045B3">
                    <w:rPr>
                      <w:rFonts w:eastAsia="Times New Roman"/>
                      <w:lang w:val="hu-HU"/>
                    </w:rPr>
                    <w:t>apokon</w:t>
                  </w:r>
                </w:p>
              </w:tc>
            </w:tr>
            <w:tr w:rsidR="00FE5992" w:rsidRPr="00D045B3" w14:paraId="1E927846" w14:textId="77777777" w:rsidTr="00FE5992">
              <w:trPr>
                <w:trHeight w:hRule="exact" w:val="567"/>
              </w:trPr>
              <w:tc>
                <w:tcPr>
                  <w:tcW w:w="2133" w:type="dxa"/>
                  <w:tcBorders>
                    <w:right w:val="nil"/>
                  </w:tcBorders>
                  <w:shd w:val="clear" w:color="auto" w:fill="auto"/>
                  <w:tcMar>
                    <w:top w:w="57" w:type="dxa"/>
                    <w:bottom w:w="57" w:type="dxa"/>
                  </w:tcMar>
                </w:tcPr>
                <w:p w14:paraId="1E927844" w14:textId="77777777" w:rsidR="00FE5992" w:rsidRPr="00D045B3" w:rsidRDefault="00FE5992" w:rsidP="00FE5992">
                  <w:pPr>
                    <w:spacing w:line="240" w:lineRule="auto"/>
                    <w:rPr>
                      <w:rFonts w:eastAsia="Times New Roman"/>
                      <w:lang w:val="hu-HU"/>
                    </w:rPr>
                  </w:pPr>
                  <w:r w:rsidRPr="00D045B3">
                    <w:rPr>
                      <w:rFonts w:eastAsia="Times New Roman"/>
                      <w:lang w:val="hu-HU"/>
                    </w:rPr>
                    <w:t>Konszolidációs terápia II, IV</w:t>
                  </w:r>
                </w:p>
              </w:tc>
              <w:tc>
                <w:tcPr>
                  <w:tcW w:w="6798" w:type="dxa"/>
                  <w:tcBorders>
                    <w:left w:val="nil"/>
                  </w:tcBorders>
                  <w:shd w:val="clear" w:color="auto" w:fill="auto"/>
                  <w:tcMar>
                    <w:top w:w="57" w:type="dxa"/>
                    <w:bottom w:w="57" w:type="dxa"/>
                  </w:tcMar>
                </w:tcPr>
                <w:p w14:paraId="1E927845"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Ara</w:t>
                  </w:r>
                  <w:r w:rsidRPr="00D045B3">
                    <w:rPr>
                      <w:rFonts w:eastAsia="Times New Roman"/>
                      <w:lang w:val="hu-HU"/>
                    </w:rPr>
                    <w:noBreakHyphen/>
                    <w:t>C 75 mg/m</w:t>
                  </w:r>
                  <w:r w:rsidRPr="00D045B3">
                    <w:rPr>
                      <w:rFonts w:eastAsia="Times New Roman"/>
                      <w:vertAlign w:val="superscript"/>
                      <w:lang w:val="hu-HU"/>
                    </w:rPr>
                    <w:t>2 </w:t>
                  </w:r>
                  <w:r w:rsidRPr="00D045B3">
                    <w:rPr>
                      <w:rFonts w:eastAsia="Times New Roman"/>
                      <w:lang w:val="hu-HU"/>
                    </w:rPr>
                    <w:t>iv. (1 órás), az 1</w:t>
                  </w:r>
                  <w:r w:rsidRPr="00D045B3">
                    <w:rPr>
                      <w:rFonts w:eastAsia="Times New Roman"/>
                      <w:lang w:val="hu-HU"/>
                    </w:rPr>
                    <w:noBreakHyphen/>
                    <w:t>5. napokon; VM26 60 mg/m</w:t>
                  </w:r>
                  <w:r w:rsidRPr="00D045B3">
                    <w:rPr>
                      <w:rFonts w:eastAsia="Times New Roman"/>
                      <w:vertAlign w:val="superscript"/>
                      <w:lang w:val="hu-HU"/>
                    </w:rPr>
                    <w:t>2 </w:t>
                  </w:r>
                  <w:r w:rsidRPr="00D045B3">
                    <w:rPr>
                      <w:rFonts w:eastAsia="Times New Roman"/>
                      <w:lang w:val="hu-HU"/>
                    </w:rPr>
                    <w:t>iv. (1 órás), az 1</w:t>
                  </w:r>
                  <w:r w:rsidRPr="00D045B3">
                    <w:rPr>
                      <w:rFonts w:eastAsia="Times New Roman"/>
                      <w:lang w:val="hu-HU"/>
                    </w:rPr>
                    <w:noBreakHyphen/>
                    <w:t xml:space="preserve">5. </w:t>
                  </w:r>
                  <w:r w:rsidR="00B119C9" w:rsidRPr="00D045B3">
                    <w:rPr>
                      <w:rFonts w:eastAsia="Times New Roman"/>
                      <w:lang w:val="hu-HU"/>
                    </w:rPr>
                    <w:t>N</w:t>
                  </w:r>
                  <w:r w:rsidRPr="00D045B3">
                    <w:rPr>
                      <w:rFonts w:eastAsia="Times New Roman"/>
                      <w:lang w:val="hu-HU"/>
                    </w:rPr>
                    <w:t>apokon</w:t>
                  </w:r>
                </w:p>
              </w:tc>
            </w:tr>
            <w:tr w:rsidR="00FE5992" w:rsidRPr="00D045B3" w14:paraId="1E927848" w14:textId="77777777" w:rsidTr="00FE5992">
              <w:trPr>
                <w:trHeight w:hRule="exact" w:val="329"/>
              </w:trPr>
              <w:tc>
                <w:tcPr>
                  <w:tcW w:w="8931" w:type="dxa"/>
                  <w:gridSpan w:val="2"/>
                  <w:shd w:val="clear" w:color="auto" w:fill="auto"/>
                  <w:tcMar>
                    <w:top w:w="57" w:type="dxa"/>
                    <w:bottom w:w="57" w:type="dxa"/>
                  </w:tcMar>
                </w:tcPr>
                <w:p w14:paraId="1E927847" w14:textId="77777777" w:rsidR="00FE5992" w:rsidRPr="00D045B3" w:rsidRDefault="00FE5992" w:rsidP="00FE5992">
                  <w:pPr>
                    <w:keepNext/>
                    <w:spacing w:line="240" w:lineRule="auto"/>
                    <w:ind w:right="-23"/>
                    <w:rPr>
                      <w:rFonts w:eastAsia="Times New Roman"/>
                      <w:lang w:val="hu-HU"/>
                    </w:rPr>
                  </w:pPr>
                  <w:r w:rsidRPr="00D045B3">
                    <w:rPr>
                      <w:rFonts w:eastAsia="Times New Roman"/>
                      <w:b/>
                      <w:bCs/>
                      <w:lang w:val="hu-HU"/>
                    </w:rPr>
                    <w:t>AAU02 vizsgálat</w:t>
                  </w:r>
                </w:p>
              </w:tc>
            </w:tr>
            <w:tr w:rsidR="00FE5992" w:rsidRPr="00D045B3" w14:paraId="1E92784C" w14:textId="77777777" w:rsidTr="008A6837">
              <w:trPr>
                <w:trHeight w:hRule="exact" w:val="1985"/>
              </w:trPr>
              <w:tc>
                <w:tcPr>
                  <w:tcW w:w="2133" w:type="dxa"/>
                  <w:tcBorders>
                    <w:right w:val="nil"/>
                  </w:tcBorders>
                  <w:shd w:val="clear" w:color="auto" w:fill="auto"/>
                  <w:tcMar>
                    <w:top w:w="57" w:type="dxa"/>
                    <w:bottom w:w="57" w:type="dxa"/>
                  </w:tcMar>
                </w:tcPr>
                <w:p w14:paraId="1E927849" w14:textId="77777777" w:rsidR="00FE5992" w:rsidRPr="00D045B3" w:rsidRDefault="00FE5992" w:rsidP="00FE5992">
                  <w:pPr>
                    <w:spacing w:line="240" w:lineRule="auto"/>
                    <w:ind w:right="66"/>
                    <w:rPr>
                      <w:rFonts w:eastAsia="Times New Roman"/>
                      <w:lang w:val="hu-HU"/>
                    </w:rPr>
                  </w:pPr>
                  <w:r w:rsidRPr="00D045B3">
                    <w:rPr>
                      <w:rFonts w:eastAsia="Times New Roman"/>
                      <w:lang w:val="hu-HU"/>
                    </w:rPr>
                    <w:t>Indukciós terápia (</w:t>
                  </w:r>
                  <w:r w:rsidRPr="00D045B3">
                    <w:rPr>
                      <w:rFonts w:eastAsia="Times New Roman"/>
                      <w:i/>
                      <w:lang w:val="hu-HU"/>
                    </w:rPr>
                    <w:t xml:space="preserve">de novo </w:t>
                  </w:r>
                  <w:r w:rsidRPr="00D045B3">
                    <w:rPr>
                      <w:rFonts w:eastAsia="Times New Roman"/>
                      <w:lang w:val="hu-HU"/>
                    </w:rPr>
                    <w:t>Ph+ ALL)</w:t>
                  </w:r>
                </w:p>
              </w:tc>
              <w:tc>
                <w:tcPr>
                  <w:tcW w:w="6798" w:type="dxa"/>
                  <w:tcBorders>
                    <w:left w:val="nil"/>
                  </w:tcBorders>
                  <w:shd w:val="clear" w:color="auto" w:fill="auto"/>
                  <w:tcMar>
                    <w:top w:w="57" w:type="dxa"/>
                    <w:bottom w:w="57" w:type="dxa"/>
                  </w:tcMar>
                </w:tcPr>
                <w:p w14:paraId="1E92784A" w14:textId="77777777" w:rsidR="00FE5992" w:rsidRPr="00D045B3" w:rsidRDefault="00FE5992" w:rsidP="00FE5992">
                  <w:pPr>
                    <w:spacing w:line="240" w:lineRule="auto"/>
                    <w:ind w:right="173"/>
                    <w:rPr>
                      <w:rFonts w:eastAsia="Times New Roman"/>
                      <w:lang w:val="hu-HU"/>
                    </w:rPr>
                  </w:pPr>
                  <w:r w:rsidRPr="00D045B3">
                    <w:rPr>
                      <w:rFonts w:eastAsia="Times New Roman"/>
                      <w:lang w:val="hu-HU"/>
                    </w:rPr>
                    <w:t>Daunorubicin 30 mg/m</w:t>
                  </w:r>
                  <w:r w:rsidRPr="00D045B3">
                    <w:rPr>
                      <w:rFonts w:eastAsia="Times New Roman"/>
                      <w:vertAlign w:val="superscript"/>
                      <w:lang w:val="hu-HU"/>
                    </w:rPr>
                    <w:t>2 </w:t>
                  </w:r>
                  <w:r w:rsidRPr="00D045B3">
                    <w:rPr>
                      <w:rFonts w:eastAsia="Times New Roman"/>
                      <w:lang w:val="hu-HU"/>
                    </w:rPr>
                    <w:t>iv., az 1</w:t>
                  </w:r>
                  <w:r w:rsidRPr="00D045B3">
                    <w:rPr>
                      <w:rFonts w:eastAsia="Times New Roman"/>
                      <w:lang w:val="hu-HU"/>
                    </w:rPr>
                    <w:noBreakHyphen/>
                    <w:t>3. és 15</w:t>
                  </w:r>
                  <w:r w:rsidRPr="00D045B3">
                    <w:rPr>
                      <w:rFonts w:eastAsia="Times New Roman"/>
                      <w:lang w:val="hu-HU"/>
                    </w:rPr>
                    <w:noBreakHyphen/>
                    <w:t>16. napokon; VCR 2 mg összdózis iv., az 1., 8., 15., 22. napon; CP 750 mg/m</w:t>
                  </w:r>
                  <w:r w:rsidRPr="00D045B3">
                    <w:rPr>
                      <w:rFonts w:eastAsia="Times New Roman"/>
                      <w:vertAlign w:val="superscript"/>
                      <w:lang w:val="hu-HU"/>
                    </w:rPr>
                    <w:t>2 </w:t>
                  </w:r>
                  <w:r w:rsidRPr="00D045B3">
                    <w:rPr>
                      <w:rFonts w:eastAsia="Times New Roman"/>
                      <w:lang w:val="hu-HU"/>
                    </w:rPr>
                    <w:t>iv., az 1., 8. napon; prednizon 60 mg/m</w:t>
                  </w:r>
                  <w:r w:rsidRPr="00D045B3">
                    <w:rPr>
                      <w:rFonts w:eastAsia="Times New Roman"/>
                      <w:vertAlign w:val="superscript"/>
                      <w:lang w:val="hu-HU"/>
                    </w:rPr>
                    <w:t>2 </w:t>
                  </w:r>
                  <w:r w:rsidRPr="00D045B3">
                    <w:rPr>
                      <w:rFonts w:eastAsia="Times New Roman"/>
                      <w:lang w:val="hu-HU"/>
                    </w:rPr>
                    <w:t>per os, a 1</w:t>
                  </w:r>
                  <w:r w:rsidRPr="00D045B3">
                    <w:rPr>
                      <w:rFonts w:eastAsia="Times New Roman"/>
                      <w:lang w:val="hu-HU"/>
                    </w:rPr>
                    <w:noBreakHyphen/>
                    <w:t>7. napokon, és a 15</w:t>
                  </w:r>
                  <w:r w:rsidRPr="00D045B3">
                    <w:rPr>
                      <w:rFonts w:eastAsia="Times New Roman"/>
                      <w:lang w:val="hu-HU"/>
                    </w:rPr>
                    <w:noBreakHyphen/>
                    <w:t xml:space="preserve">21. napokon; </w:t>
                  </w:r>
                </w:p>
                <w:p w14:paraId="1E92784B" w14:textId="77777777" w:rsidR="00FE5992" w:rsidRPr="00D045B3" w:rsidRDefault="00FE5992" w:rsidP="00FE5992">
                  <w:pPr>
                    <w:spacing w:line="240" w:lineRule="auto"/>
                    <w:ind w:right="173"/>
                    <w:rPr>
                      <w:rFonts w:eastAsia="Times New Roman"/>
                      <w:lang w:val="hu-HU"/>
                    </w:rPr>
                  </w:pPr>
                  <w:r w:rsidRPr="00D045B3">
                    <w:rPr>
                      <w:rFonts w:eastAsia="Times New Roman"/>
                      <w:lang w:val="hu-HU"/>
                    </w:rPr>
                    <w:t>IDA 9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28. napokon; MTX 15 mg intrathecalisan, az 1., 8., 15. és 22. napon; Ara</w:t>
                  </w:r>
                  <w:r w:rsidRPr="00D045B3">
                    <w:rPr>
                      <w:rFonts w:eastAsia="Times New Roman"/>
                      <w:lang w:val="hu-HU"/>
                    </w:rPr>
                    <w:noBreakHyphen/>
                    <w:t xml:space="preserve">C 40 mg intrathecalisan, az 1., 8., 15. és 22. napon; metilprednizolon 40 mg intrathecalisan az 1., 8., 15. és 22. </w:t>
                  </w:r>
                  <w:r w:rsidR="00B119C9" w:rsidRPr="00D045B3">
                    <w:rPr>
                      <w:rFonts w:eastAsia="Times New Roman"/>
                      <w:lang w:val="hu-HU"/>
                    </w:rPr>
                    <w:t>N</w:t>
                  </w:r>
                  <w:r w:rsidRPr="00D045B3">
                    <w:rPr>
                      <w:rFonts w:eastAsia="Times New Roman"/>
                      <w:lang w:val="hu-HU"/>
                    </w:rPr>
                    <w:t>apon</w:t>
                  </w:r>
                </w:p>
              </w:tc>
            </w:tr>
            <w:tr w:rsidR="00FE5992" w:rsidRPr="00D045B3" w14:paraId="1E92784F" w14:textId="77777777" w:rsidTr="008A6837">
              <w:trPr>
                <w:trHeight w:hRule="exact" w:val="937"/>
              </w:trPr>
              <w:tc>
                <w:tcPr>
                  <w:tcW w:w="2133" w:type="dxa"/>
                  <w:tcBorders>
                    <w:right w:val="nil"/>
                  </w:tcBorders>
                  <w:shd w:val="clear" w:color="auto" w:fill="auto"/>
                  <w:tcMar>
                    <w:top w:w="57" w:type="dxa"/>
                    <w:bottom w:w="57" w:type="dxa"/>
                  </w:tcMar>
                </w:tcPr>
                <w:p w14:paraId="1E92784D" w14:textId="77777777" w:rsidR="00FE5992" w:rsidRPr="00D045B3" w:rsidRDefault="00FE5992" w:rsidP="00FE5992">
                  <w:pPr>
                    <w:spacing w:line="240" w:lineRule="auto"/>
                    <w:ind w:right="-68"/>
                    <w:rPr>
                      <w:rFonts w:eastAsia="Times New Roman"/>
                      <w:lang w:val="hu-HU"/>
                    </w:rPr>
                  </w:pPr>
                  <w:r w:rsidRPr="00D045B3">
                    <w:rPr>
                      <w:rFonts w:eastAsia="Times New Roman"/>
                      <w:lang w:val="hu-HU"/>
                    </w:rPr>
                    <w:t>Konszolidáció (</w:t>
                  </w:r>
                  <w:r w:rsidRPr="00D045B3">
                    <w:rPr>
                      <w:rFonts w:eastAsia="Times New Roman"/>
                      <w:i/>
                      <w:lang w:val="hu-HU"/>
                    </w:rPr>
                    <w:t xml:space="preserve">de novo </w:t>
                  </w:r>
                  <w:r w:rsidRPr="00D045B3">
                    <w:rPr>
                      <w:rFonts w:eastAsia="Times New Roman"/>
                      <w:lang w:val="hu-HU"/>
                    </w:rPr>
                    <w:t>Ph+ ALL)</w:t>
                  </w:r>
                </w:p>
              </w:tc>
              <w:tc>
                <w:tcPr>
                  <w:tcW w:w="6798" w:type="dxa"/>
                  <w:tcBorders>
                    <w:left w:val="nil"/>
                  </w:tcBorders>
                  <w:shd w:val="clear" w:color="auto" w:fill="auto"/>
                  <w:tcMar>
                    <w:top w:w="57" w:type="dxa"/>
                    <w:bottom w:w="57" w:type="dxa"/>
                  </w:tcMar>
                </w:tcPr>
                <w:p w14:paraId="1E92784E" w14:textId="77777777" w:rsidR="00FE5992" w:rsidRPr="00D045B3" w:rsidRDefault="00FE5992" w:rsidP="00FE5992">
                  <w:pPr>
                    <w:spacing w:line="240" w:lineRule="auto"/>
                    <w:ind w:right="227"/>
                    <w:rPr>
                      <w:rFonts w:eastAsia="Times New Roman"/>
                      <w:lang w:val="hu-HU"/>
                    </w:rPr>
                  </w:pPr>
                  <w:r w:rsidRPr="00D045B3">
                    <w:rPr>
                      <w:rFonts w:eastAsia="Times New Roman"/>
                      <w:lang w:val="hu-HU"/>
                    </w:rPr>
                    <w:t>Ara</w:t>
                  </w:r>
                  <w:r w:rsidRPr="00D045B3">
                    <w:rPr>
                      <w:rFonts w:eastAsia="Times New Roman"/>
                      <w:lang w:val="hu-HU"/>
                    </w:rPr>
                    <w:noBreakHyphen/>
                    <w:t>C 1000 mg/m</w:t>
                  </w:r>
                  <w:r w:rsidRPr="00D045B3">
                    <w:rPr>
                      <w:rFonts w:eastAsia="Times New Roman"/>
                      <w:vertAlign w:val="superscript"/>
                      <w:lang w:val="hu-HU"/>
                    </w:rPr>
                    <w:t>2 </w:t>
                  </w:r>
                  <w:r w:rsidRPr="00D045B3">
                    <w:rPr>
                      <w:rFonts w:eastAsia="Times New Roman"/>
                      <w:lang w:val="hu-HU"/>
                    </w:rPr>
                    <w:t>/12 óra iv.(3 órás), az 1</w:t>
                  </w:r>
                  <w:r w:rsidRPr="00D045B3">
                    <w:rPr>
                      <w:rFonts w:eastAsia="Times New Roman"/>
                      <w:lang w:val="hu-HU"/>
                    </w:rPr>
                    <w:noBreakHyphen/>
                    <w:t>4. napokon; mitoxantron 10 mg/m</w:t>
                  </w:r>
                  <w:r w:rsidRPr="00D045B3">
                    <w:rPr>
                      <w:rFonts w:eastAsia="Times New Roman"/>
                      <w:vertAlign w:val="superscript"/>
                      <w:lang w:val="hu-HU"/>
                    </w:rPr>
                    <w:t>2 </w:t>
                  </w:r>
                  <w:r w:rsidRPr="00D045B3">
                    <w:rPr>
                      <w:rFonts w:eastAsia="Times New Roman"/>
                      <w:lang w:val="hu-HU"/>
                    </w:rPr>
                    <w:t>iv. a 3</w:t>
                  </w:r>
                  <w:r w:rsidRPr="00D045B3">
                    <w:rPr>
                      <w:rFonts w:eastAsia="Times New Roman"/>
                      <w:lang w:val="hu-HU"/>
                    </w:rPr>
                    <w:noBreakHyphen/>
                    <w:t>5. napokon; MTX 15 mg intrathecalisan, az 1. napon; metilprednizolon 40 mg intrathecalisan, az 1. napon</w:t>
                  </w:r>
                </w:p>
              </w:tc>
            </w:tr>
            <w:tr w:rsidR="00FE5992" w:rsidRPr="00D045B3" w14:paraId="1E927851" w14:textId="77777777" w:rsidTr="00FE5992">
              <w:trPr>
                <w:trHeight w:hRule="exact" w:val="329"/>
              </w:trPr>
              <w:tc>
                <w:tcPr>
                  <w:tcW w:w="8931" w:type="dxa"/>
                  <w:gridSpan w:val="2"/>
                  <w:tcBorders>
                    <w:bottom w:val="single" w:sz="4" w:space="0" w:color="auto"/>
                  </w:tcBorders>
                  <w:shd w:val="clear" w:color="auto" w:fill="auto"/>
                  <w:tcMar>
                    <w:top w:w="57" w:type="dxa"/>
                    <w:bottom w:w="57" w:type="dxa"/>
                  </w:tcMar>
                </w:tcPr>
                <w:p w14:paraId="1E927850" w14:textId="77777777" w:rsidR="00FE5992" w:rsidRPr="00D045B3" w:rsidRDefault="00FE5992" w:rsidP="009B35E8">
                  <w:pPr>
                    <w:keepNext/>
                    <w:spacing w:line="240" w:lineRule="auto"/>
                    <w:ind w:right="-23"/>
                    <w:rPr>
                      <w:rFonts w:eastAsia="Times New Roman"/>
                      <w:lang w:val="hu-HU"/>
                    </w:rPr>
                  </w:pPr>
                  <w:r w:rsidRPr="00D045B3">
                    <w:rPr>
                      <w:rFonts w:eastAsia="Times New Roman"/>
                      <w:b/>
                      <w:bCs/>
                      <w:lang w:val="hu-HU"/>
                    </w:rPr>
                    <w:t>ADE04 vizsgálat</w:t>
                  </w:r>
                </w:p>
              </w:tc>
            </w:tr>
            <w:tr w:rsidR="00FE5992" w:rsidRPr="00D045B3" w14:paraId="1E927854" w14:textId="77777777" w:rsidTr="008A6837">
              <w:trPr>
                <w:trHeight w:hRule="exact" w:val="690"/>
              </w:trPr>
              <w:tc>
                <w:tcPr>
                  <w:tcW w:w="2133" w:type="dxa"/>
                  <w:tcBorders>
                    <w:right w:val="nil"/>
                  </w:tcBorders>
                  <w:shd w:val="clear" w:color="auto" w:fill="auto"/>
                  <w:tcMar>
                    <w:top w:w="57" w:type="dxa"/>
                    <w:bottom w:w="57" w:type="dxa"/>
                  </w:tcMar>
                </w:tcPr>
                <w:p w14:paraId="1E927852" w14:textId="77777777" w:rsidR="00FE5992" w:rsidRPr="00D045B3" w:rsidRDefault="00FE5992" w:rsidP="009B35E8">
                  <w:pPr>
                    <w:keepNext/>
                    <w:spacing w:line="240" w:lineRule="auto"/>
                    <w:ind w:right="-20"/>
                    <w:rPr>
                      <w:rFonts w:eastAsia="Times New Roman"/>
                      <w:lang w:val="hu-HU"/>
                    </w:rPr>
                  </w:pPr>
                  <w:r w:rsidRPr="00D045B3">
                    <w:rPr>
                      <w:rFonts w:eastAsia="Times New Roman"/>
                      <w:lang w:val="hu-HU"/>
                    </w:rPr>
                    <w:t>Előfázis</w:t>
                  </w:r>
                </w:p>
              </w:tc>
              <w:tc>
                <w:tcPr>
                  <w:tcW w:w="6798" w:type="dxa"/>
                  <w:tcBorders>
                    <w:left w:val="nil"/>
                  </w:tcBorders>
                  <w:shd w:val="clear" w:color="auto" w:fill="auto"/>
                  <w:tcMar>
                    <w:top w:w="57" w:type="dxa"/>
                    <w:bottom w:w="57" w:type="dxa"/>
                  </w:tcMar>
                </w:tcPr>
                <w:p w14:paraId="1E927853" w14:textId="77777777" w:rsidR="00FE5992" w:rsidRPr="00D045B3" w:rsidRDefault="00FE5992" w:rsidP="009B35E8">
                  <w:pPr>
                    <w:keepNext/>
                    <w:spacing w:line="240" w:lineRule="auto"/>
                    <w:ind w:right="124"/>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5. napokon; CP 200 mg/m</w:t>
                  </w:r>
                  <w:r w:rsidRPr="00D045B3">
                    <w:rPr>
                      <w:rFonts w:eastAsia="Times New Roman"/>
                      <w:vertAlign w:val="superscript"/>
                      <w:lang w:val="hu-HU"/>
                    </w:rPr>
                    <w:t>2 </w:t>
                  </w:r>
                  <w:r w:rsidRPr="00D045B3">
                    <w:rPr>
                      <w:rFonts w:eastAsia="Times New Roman"/>
                      <w:lang w:val="hu-HU"/>
                    </w:rPr>
                    <w:t>iv., a 3</w:t>
                  </w:r>
                  <w:r w:rsidRPr="00D045B3">
                    <w:rPr>
                      <w:rFonts w:eastAsia="Times New Roman"/>
                      <w:lang w:val="hu-HU"/>
                    </w:rPr>
                    <w:noBreakHyphen/>
                    <w:t>5. napokon; MTX 15 mg intrathecalisan, az 1. napon</w:t>
                  </w:r>
                </w:p>
              </w:tc>
            </w:tr>
            <w:tr w:rsidR="00FE5992" w:rsidRPr="00D045B3" w14:paraId="1E927857" w14:textId="77777777" w:rsidTr="008A6837">
              <w:trPr>
                <w:trHeight w:hRule="exact" w:val="656"/>
              </w:trPr>
              <w:tc>
                <w:tcPr>
                  <w:tcW w:w="2133" w:type="dxa"/>
                  <w:tcBorders>
                    <w:right w:val="nil"/>
                  </w:tcBorders>
                  <w:shd w:val="clear" w:color="auto" w:fill="auto"/>
                  <w:tcMar>
                    <w:top w:w="57" w:type="dxa"/>
                    <w:bottom w:w="57" w:type="dxa"/>
                  </w:tcMar>
                </w:tcPr>
                <w:p w14:paraId="1E927855"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Indukciós terápia I</w:t>
                  </w:r>
                </w:p>
              </w:tc>
              <w:tc>
                <w:tcPr>
                  <w:tcW w:w="6798" w:type="dxa"/>
                  <w:tcBorders>
                    <w:left w:val="nil"/>
                  </w:tcBorders>
                  <w:shd w:val="clear" w:color="auto" w:fill="auto"/>
                  <w:tcMar>
                    <w:top w:w="57" w:type="dxa"/>
                    <w:bottom w:w="57" w:type="dxa"/>
                  </w:tcMar>
                </w:tcPr>
                <w:p w14:paraId="1E927856"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5. napokon; VCR 2 mg iv., a 6., 13., 20. napon; daunorubicin 45 mg/m</w:t>
                  </w:r>
                  <w:r w:rsidRPr="00D045B3">
                    <w:rPr>
                      <w:rFonts w:eastAsia="Times New Roman"/>
                      <w:vertAlign w:val="superscript"/>
                      <w:lang w:val="hu-HU"/>
                    </w:rPr>
                    <w:t>2 </w:t>
                  </w:r>
                  <w:r w:rsidRPr="00D045B3">
                    <w:rPr>
                      <w:rFonts w:eastAsia="Times New Roman"/>
                      <w:lang w:val="hu-HU"/>
                    </w:rPr>
                    <w:t>iv., a 6</w:t>
                  </w:r>
                  <w:r w:rsidRPr="00D045B3">
                    <w:rPr>
                      <w:rFonts w:eastAsia="Times New Roman"/>
                      <w:lang w:val="hu-HU"/>
                    </w:rPr>
                    <w:noBreakHyphen/>
                    <w:t>7. és a 13</w:t>
                  </w:r>
                  <w:r w:rsidRPr="00D045B3">
                    <w:rPr>
                      <w:rFonts w:eastAsia="Times New Roman"/>
                      <w:lang w:val="hu-HU"/>
                    </w:rPr>
                    <w:noBreakHyphen/>
                    <w:t>14. napon</w:t>
                  </w:r>
                </w:p>
              </w:tc>
            </w:tr>
            <w:tr w:rsidR="00FE5992" w:rsidRPr="00D045B3" w14:paraId="1E92785C" w14:textId="77777777" w:rsidTr="008A6837">
              <w:trPr>
                <w:trHeight w:hRule="exact" w:val="918"/>
              </w:trPr>
              <w:tc>
                <w:tcPr>
                  <w:tcW w:w="2133" w:type="dxa"/>
                  <w:tcBorders>
                    <w:right w:val="nil"/>
                  </w:tcBorders>
                  <w:shd w:val="clear" w:color="auto" w:fill="auto"/>
                  <w:tcMar>
                    <w:top w:w="57" w:type="dxa"/>
                    <w:bottom w:w="57" w:type="dxa"/>
                  </w:tcMar>
                </w:tcPr>
                <w:p w14:paraId="1E927858"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Indukciós terápia II</w:t>
                  </w:r>
                </w:p>
              </w:tc>
              <w:tc>
                <w:tcPr>
                  <w:tcW w:w="6798" w:type="dxa"/>
                  <w:tcBorders>
                    <w:left w:val="nil"/>
                  </w:tcBorders>
                  <w:shd w:val="clear" w:color="auto" w:fill="auto"/>
                  <w:tcMar>
                    <w:top w:w="57" w:type="dxa"/>
                    <w:bottom w:w="57" w:type="dxa"/>
                  </w:tcMar>
                </w:tcPr>
                <w:p w14:paraId="1E927859"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CP 1 g/m</w:t>
                  </w:r>
                  <w:r w:rsidRPr="00D045B3">
                    <w:rPr>
                      <w:rFonts w:eastAsia="Times New Roman"/>
                      <w:vertAlign w:val="superscript"/>
                      <w:lang w:val="hu-HU"/>
                    </w:rPr>
                    <w:t>2 </w:t>
                  </w:r>
                  <w:r w:rsidRPr="00D045B3">
                    <w:rPr>
                      <w:rFonts w:eastAsia="Times New Roman"/>
                      <w:lang w:val="hu-HU"/>
                    </w:rPr>
                    <w:t xml:space="preserve">iv. (1 órás), a 26. és a 46. napon; </w:t>
                  </w:r>
                </w:p>
                <w:p w14:paraId="1E92785A"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Ara</w:t>
                  </w:r>
                  <w:r w:rsidRPr="00D045B3">
                    <w:rPr>
                      <w:rFonts w:eastAsia="Times New Roman"/>
                      <w:lang w:val="hu-HU"/>
                    </w:rPr>
                    <w:noBreakHyphen/>
                    <w:t>C 75 mg/m</w:t>
                  </w:r>
                  <w:r w:rsidRPr="00D045B3">
                    <w:rPr>
                      <w:rFonts w:eastAsia="Times New Roman"/>
                      <w:vertAlign w:val="superscript"/>
                      <w:lang w:val="hu-HU"/>
                    </w:rPr>
                    <w:t>2 </w:t>
                  </w:r>
                  <w:r w:rsidRPr="00D045B3">
                    <w:rPr>
                      <w:rFonts w:eastAsia="Times New Roman"/>
                      <w:lang w:val="hu-HU"/>
                    </w:rPr>
                    <w:t>iv. (1 órás), a 28</w:t>
                  </w:r>
                  <w:r w:rsidRPr="00D045B3">
                    <w:rPr>
                      <w:rFonts w:eastAsia="Times New Roman"/>
                      <w:lang w:val="hu-HU"/>
                    </w:rPr>
                    <w:noBreakHyphen/>
                    <w:t>31., 35</w:t>
                  </w:r>
                  <w:r w:rsidRPr="00D045B3">
                    <w:rPr>
                      <w:rFonts w:eastAsia="Times New Roman"/>
                      <w:lang w:val="hu-HU"/>
                    </w:rPr>
                    <w:noBreakHyphen/>
                    <w:t>38. és a 42</w:t>
                  </w:r>
                  <w:r w:rsidRPr="00D045B3">
                    <w:rPr>
                      <w:rFonts w:eastAsia="Times New Roman"/>
                      <w:lang w:val="hu-HU"/>
                    </w:rPr>
                    <w:noBreakHyphen/>
                    <w:t xml:space="preserve">45. napokon; </w:t>
                  </w:r>
                </w:p>
                <w:p w14:paraId="1E92785B"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6</w:t>
                  </w:r>
                  <w:r w:rsidRPr="00D045B3">
                    <w:rPr>
                      <w:rFonts w:eastAsia="Times New Roman"/>
                      <w:lang w:val="hu-HU"/>
                    </w:rPr>
                    <w:noBreakHyphen/>
                    <w:t>MP 60 mg/m</w:t>
                  </w:r>
                  <w:r w:rsidRPr="00D045B3">
                    <w:rPr>
                      <w:rFonts w:eastAsia="Times New Roman"/>
                      <w:vertAlign w:val="superscript"/>
                      <w:lang w:val="hu-HU"/>
                    </w:rPr>
                    <w:t>2 </w:t>
                  </w:r>
                  <w:r w:rsidRPr="00D045B3">
                    <w:rPr>
                      <w:rFonts w:eastAsia="Times New Roman"/>
                      <w:lang w:val="hu-HU"/>
                    </w:rPr>
                    <w:t>per os, a 26</w:t>
                  </w:r>
                  <w:r w:rsidRPr="00D045B3">
                    <w:rPr>
                      <w:rFonts w:eastAsia="Times New Roman"/>
                      <w:lang w:val="hu-HU"/>
                    </w:rPr>
                    <w:noBreakHyphen/>
                    <w:t>46. napokon</w:t>
                  </w:r>
                </w:p>
              </w:tc>
            </w:tr>
            <w:tr w:rsidR="00FE5992" w:rsidRPr="00D045B3" w14:paraId="1E927860" w14:textId="77777777" w:rsidTr="008A6837">
              <w:trPr>
                <w:trHeight w:hRule="exact" w:val="1215"/>
              </w:trPr>
              <w:tc>
                <w:tcPr>
                  <w:tcW w:w="2133" w:type="dxa"/>
                  <w:tcBorders>
                    <w:right w:val="nil"/>
                  </w:tcBorders>
                  <w:shd w:val="clear" w:color="auto" w:fill="auto"/>
                  <w:tcMar>
                    <w:top w:w="57" w:type="dxa"/>
                    <w:bottom w:w="57" w:type="dxa"/>
                  </w:tcMar>
                </w:tcPr>
                <w:p w14:paraId="1E92785D" w14:textId="77777777" w:rsidR="00FE5992" w:rsidRPr="00D045B3" w:rsidRDefault="00FE5992" w:rsidP="00FE5992">
                  <w:pPr>
                    <w:spacing w:line="240" w:lineRule="auto"/>
                    <w:rPr>
                      <w:rFonts w:eastAsia="Times New Roman"/>
                      <w:lang w:val="hu-HU"/>
                    </w:rPr>
                  </w:pPr>
                  <w:r w:rsidRPr="00D045B3">
                    <w:rPr>
                      <w:rFonts w:eastAsia="Times New Roman"/>
                      <w:lang w:val="hu-HU"/>
                    </w:rPr>
                    <w:t>Konszolidációs terápia</w:t>
                  </w:r>
                </w:p>
              </w:tc>
              <w:tc>
                <w:tcPr>
                  <w:tcW w:w="6798" w:type="dxa"/>
                  <w:tcBorders>
                    <w:left w:val="nil"/>
                  </w:tcBorders>
                  <w:shd w:val="clear" w:color="auto" w:fill="auto"/>
                  <w:tcMar>
                    <w:top w:w="57" w:type="dxa"/>
                    <w:bottom w:w="57" w:type="dxa"/>
                  </w:tcMar>
                </w:tcPr>
                <w:p w14:paraId="1E92785E"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DEX 10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5. napokon; vindezin 3 mg/m</w:t>
                  </w:r>
                  <w:r w:rsidRPr="00D045B3">
                    <w:rPr>
                      <w:rFonts w:eastAsia="Times New Roman"/>
                      <w:vertAlign w:val="superscript"/>
                      <w:lang w:val="hu-HU"/>
                    </w:rPr>
                    <w:t>2 </w:t>
                  </w:r>
                  <w:r w:rsidRPr="00D045B3">
                    <w:rPr>
                      <w:rFonts w:eastAsia="Times New Roman"/>
                      <w:lang w:val="hu-HU"/>
                    </w:rPr>
                    <w:t>iv., az 1. napon; MTX 1,5 g/m</w:t>
                  </w:r>
                  <w:r w:rsidRPr="00D045B3">
                    <w:rPr>
                      <w:rFonts w:eastAsia="Times New Roman"/>
                      <w:vertAlign w:val="superscript"/>
                      <w:lang w:val="hu-HU"/>
                    </w:rPr>
                    <w:t>2 </w:t>
                  </w:r>
                  <w:r w:rsidRPr="00D045B3">
                    <w:rPr>
                      <w:rFonts w:eastAsia="Times New Roman"/>
                      <w:lang w:val="hu-HU"/>
                    </w:rPr>
                    <w:t>iv. (24 órás), az 1. napon; etopozid 250 mg/m</w:t>
                  </w:r>
                  <w:r w:rsidRPr="00D045B3">
                    <w:rPr>
                      <w:rFonts w:eastAsia="Times New Roman"/>
                      <w:vertAlign w:val="superscript"/>
                      <w:lang w:val="hu-HU"/>
                    </w:rPr>
                    <w:t>2 </w:t>
                  </w:r>
                  <w:r w:rsidRPr="00D045B3">
                    <w:rPr>
                      <w:rFonts w:eastAsia="Times New Roman"/>
                      <w:lang w:val="hu-HU"/>
                    </w:rPr>
                    <w:t>iv. (1 órás) a 4</w:t>
                  </w:r>
                  <w:r w:rsidRPr="00D045B3">
                    <w:rPr>
                      <w:rFonts w:eastAsia="Times New Roman"/>
                      <w:lang w:val="hu-HU"/>
                    </w:rPr>
                    <w:noBreakHyphen/>
                    <w:t xml:space="preserve">5. napokon; </w:t>
                  </w:r>
                </w:p>
                <w:p w14:paraId="1E92785F"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Ara</w:t>
                  </w:r>
                  <w:r w:rsidRPr="00D045B3">
                    <w:rPr>
                      <w:rFonts w:eastAsia="Times New Roman"/>
                      <w:lang w:val="hu-HU"/>
                    </w:rPr>
                    <w:noBreakHyphen/>
                    <w:t>C 2</w:t>
                  </w:r>
                  <w:r w:rsidR="009B35E8" w:rsidRPr="00D045B3">
                    <w:rPr>
                      <w:rFonts w:eastAsia="Times New Roman"/>
                      <w:lang w:val="hu-HU"/>
                    </w:rPr>
                    <w:t> </w:t>
                  </w:r>
                  <w:r w:rsidRPr="00D045B3">
                    <w:rPr>
                      <w:rFonts w:eastAsia="Times New Roman"/>
                      <w:lang w:val="hu-HU"/>
                    </w:rPr>
                    <w:t>x 2 g/m</w:t>
                  </w:r>
                  <w:r w:rsidRPr="00D045B3">
                    <w:rPr>
                      <w:rFonts w:eastAsia="Times New Roman"/>
                      <w:vertAlign w:val="superscript"/>
                      <w:lang w:val="hu-HU"/>
                    </w:rPr>
                    <w:t>2 </w:t>
                  </w:r>
                  <w:r w:rsidRPr="00D045B3">
                    <w:rPr>
                      <w:rFonts w:eastAsia="Times New Roman"/>
                      <w:lang w:val="hu-HU"/>
                    </w:rPr>
                    <w:t>iv. (3 órás, 12 óránként), az 5. napon</w:t>
                  </w:r>
                </w:p>
              </w:tc>
            </w:tr>
            <w:tr w:rsidR="00FE5992" w:rsidRPr="00D045B3" w14:paraId="1E927862" w14:textId="77777777" w:rsidTr="00FE5992">
              <w:trPr>
                <w:trHeight w:hRule="exact" w:val="329"/>
              </w:trPr>
              <w:tc>
                <w:tcPr>
                  <w:tcW w:w="8931" w:type="dxa"/>
                  <w:gridSpan w:val="2"/>
                  <w:shd w:val="clear" w:color="auto" w:fill="auto"/>
                  <w:tcMar>
                    <w:top w:w="57" w:type="dxa"/>
                    <w:bottom w:w="57" w:type="dxa"/>
                  </w:tcMar>
                </w:tcPr>
                <w:p w14:paraId="1E927861" w14:textId="77777777" w:rsidR="00FE5992" w:rsidRPr="00D045B3" w:rsidRDefault="00FE5992" w:rsidP="00FE5992">
                  <w:pPr>
                    <w:keepNext/>
                    <w:spacing w:line="240" w:lineRule="auto"/>
                    <w:ind w:right="-23"/>
                    <w:rPr>
                      <w:rFonts w:eastAsia="Times New Roman"/>
                      <w:lang w:val="hu-HU"/>
                    </w:rPr>
                  </w:pPr>
                  <w:r w:rsidRPr="00D045B3">
                    <w:rPr>
                      <w:rFonts w:eastAsia="Times New Roman"/>
                      <w:b/>
                      <w:bCs/>
                      <w:lang w:val="hu-HU"/>
                    </w:rPr>
                    <w:t>AJP01 vizsgálat</w:t>
                  </w:r>
                </w:p>
              </w:tc>
            </w:tr>
            <w:tr w:rsidR="00FE5992" w:rsidRPr="00D045B3" w14:paraId="1E927865" w14:textId="77777777" w:rsidTr="008A6837">
              <w:trPr>
                <w:trHeight w:hRule="exact" w:val="953"/>
              </w:trPr>
              <w:tc>
                <w:tcPr>
                  <w:tcW w:w="2133" w:type="dxa"/>
                  <w:tcBorders>
                    <w:right w:val="nil"/>
                  </w:tcBorders>
                  <w:shd w:val="clear" w:color="auto" w:fill="auto"/>
                  <w:tcMar>
                    <w:top w:w="57" w:type="dxa"/>
                    <w:bottom w:w="57" w:type="dxa"/>
                  </w:tcMar>
                </w:tcPr>
                <w:p w14:paraId="1E927863"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Indukciós terápia</w:t>
                  </w:r>
                </w:p>
              </w:tc>
              <w:tc>
                <w:tcPr>
                  <w:tcW w:w="6798" w:type="dxa"/>
                  <w:tcBorders>
                    <w:left w:val="nil"/>
                  </w:tcBorders>
                  <w:shd w:val="clear" w:color="auto" w:fill="auto"/>
                  <w:tcMar>
                    <w:top w:w="57" w:type="dxa"/>
                    <w:bottom w:w="57" w:type="dxa"/>
                  </w:tcMar>
                </w:tcPr>
                <w:p w14:paraId="1E927864" w14:textId="77777777" w:rsidR="00FE5992" w:rsidRPr="00D045B3" w:rsidRDefault="00FE5992" w:rsidP="00FE5992">
                  <w:pPr>
                    <w:spacing w:line="240" w:lineRule="auto"/>
                    <w:ind w:right="160"/>
                    <w:jc w:val="both"/>
                    <w:rPr>
                      <w:rFonts w:eastAsia="Times New Roman"/>
                      <w:lang w:val="hu-HU"/>
                    </w:rPr>
                  </w:pPr>
                  <w:r w:rsidRPr="00D045B3">
                    <w:rPr>
                      <w:rFonts w:eastAsia="Times New Roman"/>
                      <w:lang w:val="hu-HU"/>
                    </w:rPr>
                    <w:t>CP 1.2 g/m</w:t>
                  </w:r>
                  <w:r w:rsidRPr="00D045B3">
                    <w:rPr>
                      <w:rFonts w:eastAsia="Times New Roman"/>
                      <w:vertAlign w:val="superscript"/>
                      <w:lang w:val="hu-HU"/>
                    </w:rPr>
                    <w:t>2 </w:t>
                  </w:r>
                  <w:r w:rsidRPr="00D045B3">
                    <w:rPr>
                      <w:rFonts w:eastAsia="Times New Roman"/>
                      <w:lang w:val="hu-HU"/>
                    </w:rPr>
                    <w:t>iv. (3 órás), az 1. napon; daunorubicin 60 mg/m</w:t>
                  </w:r>
                  <w:r w:rsidRPr="00D045B3">
                    <w:rPr>
                      <w:rFonts w:eastAsia="Times New Roman"/>
                      <w:vertAlign w:val="superscript"/>
                      <w:lang w:val="hu-HU"/>
                    </w:rPr>
                    <w:t>2 </w:t>
                  </w:r>
                  <w:r w:rsidRPr="00D045B3">
                    <w:rPr>
                      <w:rFonts w:eastAsia="Times New Roman"/>
                      <w:lang w:val="hu-HU"/>
                    </w:rPr>
                    <w:t>iv. (1 órás), az 1</w:t>
                  </w:r>
                  <w:r w:rsidRPr="00D045B3">
                    <w:rPr>
                      <w:rFonts w:eastAsia="Times New Roman"/>
                      <w:lang w:val="hu-HU"/>
                    </w:rPr>
                    <w:noBreakHyphen/>
                    <w:t>3. napokon; vincrisztin 1.3 mg/m</w:t>
                  </w:r>
                  <w:r w:rsidRPr="00D045B3">
                    <w:rPr>
                      <w:rFonts w:eastAsia="Times New Roman"/>
                      <w:vertAlign w:val="superscript"/>
                      <w:lang w:val="hu-HU"/>
                    </w:rPr>
                    <w:t>2 </w:t>
                  </w:r>
                  <w:r w:rsidRPr="00D045B3">
                    <w:rPr>
                      <w:rFonts w:eastAsia="Times New Roman"/>
                      <w:lang w:val="hu-HU"/>
                    </w:rPr>
                    <w:t>iv., az 1., 8., 15., 21. napon; prednizolon 60 mg/m</w:t>
                  </w:r>
                  <w:r w:rsidRPr="00D045B3">
                    <w:rPr>
                      <w:rFonts w:eastAsia="Times New Roman"/>
                      <w:vertAlign w:val="superscript"/>
                      <w:lang w:val="hu-HU"/>
                    </w:rPr>
                    <w:t>2</w:t>
                  </w:r>
                  <w:r w:rsidRPr="00D045B3">
                    <w:rPr>
                      <w:rFonts w:eastAsia="Times New Roman"/>
                      <w:lang w:val="hu-HU"/>
                    </w:rPr>
                    <w:t>/nap per os</w:t>
                  </w:r>
                </w:p>
              </w:tc>
            </w:tr>
            <w:tr w:rsidR="00FE5992" w:rsidRPr="00D045B3" w14:paraId="1E927868" w14:textId="77777777" w:rsidTr="00FE5992">
              <w:trPr>
                <w:trHeight w:hRule="exact" w:val="850"/>
              </w:trPr>
              <w:tc>
                <w:tcPr>
                  <w:tcW w:w="2133" w:type="dxa"/>
                  <w:tcBorders>
                    <w:right w:val="nil"/>
                  </w:tcBorders>
                  <w:shd w:val="clear" w:color="auto" w:fill="auto"/>
                  <w:tcMar>
                    <w:top w:w="57" w:type="dxa"/>
                    <w:bottom w:w="57" w:type="dxa"/>
                  </w:tcMar>
                </w:tcPr>
                <w:p w14:paraId="1E927866" w14:textId="77777777" w:rsidR="00FE5992" w:rsidRPr="00D045B3" w:rsidRDefault="00FE5992" w:rsidP="00FE5992">
                  <w:pPr>
                    <w:spacing w:line="240" w:lineRule="auto"/>
                    <w:rPr>
                      <w:rFonts w:eastAsia="Times New Roman"/>
                      <w:lang w:val="hu-HU"/>
                    </w:rPr>
                  </w:pPr>
                  <w:r w:rsidRPr="00D045B3">
                    <w:rPr>
                      <w:rFonts w:eastAsia="Times New Roman"/>
                      <w:lang w:val="hu-HU"/>
                    </w:rPr>
                    <w:t>Konszolidációs terápia</w:t>
                  </w:r>
                </w:p>
              </w:tc>
              <w:tc>
                <w:tcPr>
                  <w:tcW w:w="6798" w:type="dxa"/>
                  <w:tcBorders>
                    <w:left w:val="nil"/>
                  </w:tcBorders>
                  <w:shd w:val="clear" w:color="auto" w:fill="auto"/>
                  <w:tcMar>
                    <w:top w:w="57" w:type="dxa"/>
                    <w:bottom w:w="57" w:type="dxa"/>
                  </w:tcMar>
                </w:tcPr>
                <w:p w14:paraId="1E927867"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Váltó kemoterápiás kezelés: nagydózisú kemoterápia, MTX 1 g/m</w:t>
                  </w:r>
                  <w:r w:rsidRPr="00D045B3">
                    <w:rPr>
                      <w:rFonts w:eastAsia="Times New Roman"/>
                      <w:vertAlign w:val="superscript"/>
                      <w:lang w:val="hu-HU"/>
                    </w:rPr>
                    <w:t>2 </w:t>
                  </w:r>
                  <w:r w:rsidRPr="00D045B3">
                    <w:rPr>
                      <w:rFonts w:eastAsia="Times New Roman"/>
                      <w:lang w:val="hu-HU"/>
                    </w:rPr>
                    <w:t>iv. (24 órás), az 1. napon és Ara</w:t>
                  </w:r>
                  <w:r w:rsidRPr="00D045B3">
                    <w:rPr>
                      <w:rFonts w:eastAsia="Times New Roman"/>
                      <w:lang w:val="hu-HU"/>
                    </w:rPr>
                    <w:noBreakHyphen/>
                    <w:t>C 2 g/m</w:t>
                  </w:r>
                  <w:r w:rsidRPr="00D045B3">
                    <w:rPr>
                      <w:rFonts w:eastAsia="Times New Roman"/>
                      <w:vertAlign w:val="superscript"/>
                      <w:lang w:val="hu-HU"/>
                    </w:rPr>
                    <w:t>2 </w:t>
                  </w:r>
                  <w:r w:rsidRPr="00D045B3">
                    <w:rPr>
                      <w:rFonts w:eastAsia="Times New Roman"/>
                      <w:lang w:val="hu-HU"/>
                    </w:rPr>
                    <w:t>iv. (12 óránként), a 2</w:t>
                  </w:r>
                  <w:r w:rsidRPr="00D045B3">
                    <w:rPr>
                      <w:rFonts w:eastAsia="Times New Roman"/>
                      <w:lang w:val="hu-HU"/>
                    </w:rPr>
                    <w:noBreakHyphen/>
                    <w:t>3. napokon, 4 cikluson keresztül</w:t>
                  </w:r>
                </w:p>
              </w:tc>
            </w:tr>
            <w:tr w:rsidR="00FE5992" w:rsidRPr="00D045B3" w14:paraId="1E92786B" w14:textId="77777777" w:rsidTr="008A6837">
              <w:trPr>
                <w:trHeight w:hRule="exact" w:val="602"/>
              </w:trPr>
              <w:tc>
                <w:tcPr>
                  <w:tcW w:w="2133" w:type="dxa"/>
                  <w:tcBorders>
                    <w:right w:val="nil"/>
                  </w:tcBorders>
                  <w:shd w:val="clear" w:color="auto" w:fill="auto"/>
                  <w:tcMar>
                    <w:top w:w="57" w:type="dxa"/>
                    <w:bottom w:w="57" w:type="dxa"/>
                  </w:tcMar>
                </w:tcPr>
                <w:p w14:paraId="1E927869"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Fenntartó kezelés</w:t>
                  </w:r>
                </w:p>
              </w:tc>
              <w:tc>
                <w:tcPr>
                  <w:tcW w:w="6798" w:type="dxa"/>
                  <w:tcBorders>
                    <w:left w:val="nil"/>
                  </w:tcBorders>
                  <w:shd w:val="clear" w:color="auto" w:fill="auto"/>
                  <w:tcMar>
                    <w:top w:w="57" w:type="dxa"/>
                    <w:bottom w:w="57" w:type="dxa"/>
                  </w:tcMar>
                </w:tcPr>
                <w:p w14:paraId="1E92786A"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VCR 1.3 g/m</w:t>
                  </w:r>
                  <w:r w:rsidRPr="00D045B3">
                    <w:rPr>
                      <w:rFonts w:eastAsia="Times New Roman"/>
                      <w:vertAlign w:val="superscript"/>
                      <w:lang w:val="hu-HU"/>
                    </w:rPr>
                    <w:t>2 </w:t>
                  </w:r>
                  <w:r w:rsidRPr="00D045B3">
                    <w:rPr>
                      <w:rFonts w:eastAsia="Times New Roman"/>
                      <w:lang w:val="hu-HU"/>
                    </w:rPr>
                    <w:t>iv., az 1. napon; prednizolon 60 mg/m</w:t>
                  </w:r>
                  <w:r w:rsidRPr="00D045B3">
                    <w:rPr>
                      <w:rFonts w:eastAsia="Times New Roman"/>
                      <w:vertAlign w:val="superscript"/>
                      <w:lang w:val="hu-HU"/>
                    </w:rPr>
                    <w:t>2 </w:t>
                  </w:r>
                  <w:r w:rsidRPr="00D045B3">
                    <w:rPr>
                      <w:rFonts w:eastAsia="Times New Roman"/>
                      <w:lang w:val="hu-HU"/>
                    </w:rPr>
                    <w:t>per os, az 1</w:t>
                  </w:r>
                  <w:r w:rsidRPr="00D045B3">
                    <w:rPr>
                      <w:rFonts w:eastAsia="Times New Roman"/>
                      <w:lang w:val="hu-HU"/>
                    </w:rPr>
                    <w:noBreakHyphen/>
                    <w:t xml:space="preserve">5. </w:t>
                  </w:r>
                  <w:r w:rsidR="00B119C9" w:rsidRPr="00D045B3">
                    <w:rPr>
                      <w:rFonts w:eastAsia="Times New Roman"/>
                      <w:lang w:val="hu-HU"/>
                    </w:rPr>
                    <w:t>N</w:t>
                  </w:r>
                  <w:r w:rsidRPr="00D045B3">
                    <w:rPr>
                      <w:rFonts w:eastAsia="Times New Roman"/>
                      <w:lang w:val="hu-HU"/>
                    </w:rPr>
                    <w:t>apokon</w:t>
                  </w:r>
                </w:p>
              </w:tc>
            </w:tr>
            <w:tr w:rsidR="00FE5992" w:rsidRPr="00D045B3" w14:paraId="1E92786D" w14:textId="77777777" w:rsidTr="00FE5992">
              <w:trPr>
                <w:trHeight w:hRule="exact" w:val="340"/>
              </w:trPr>
              <w:tc>
                <w:tcPr>
                  <w:tcW w:w="8931" w:type="dxa"/>
                  <w:gridSpan w:val="2"/>
                  <w:shd w:val="clear" w:color="auto" w:fill="auto"/>
                  <w:tcMar>
                    <w:top w:w="57" w:type="dxa"/>
                    <w:bottom w:w="57" w:type="dxa"/>
                  </w:tcMar>
                </w:tcPr>
                <w:p w14:paraId="1E92786C" w14:textId="77777777" w:rsidR="00FE5992" w:rsidRPr="00D045B3" w:rsidRDefault="00FE5992" w:rsidP="00FE5992">
                  <w:pPr>
                    <w:keepNext/>
                    <w:spacing w:line="240" w:lineRule="auto"/>
                    <w:ind w:right="-23"/>
                    <w:rPr>
                      <w:rFonts w:eastAsia="Times New Roman"/>
                      <w:lang w:val="hu-HU"/>
                    </w:rPr>
                  </w:pPr>
                  <w:r w:rsidRPr="00D045B3">
                    <w:rPr>
                      <w:rFonts w:eastAsia="Times New Roman"/>
                      <w:b/>
                      <w:bCs/>
                      <w:lang w:val="hu-HU"/>
                    </w:rPr>
                    <w:t>AUS01 vizsgálat</w:t>
                  </w:r>
                </w:p>
              </w:tc>
            </w:tr>
            <w:tr w:rsidR="00FE5992" w:rsidRPr="00D045B3" w14:paraId="1E927870" w14:textId="77777777" w:rsidTr="008A6837">
              <w:trPr>
                <w:trHeight w:hRule="exact" w:val="1818"/>
              </w:trPr>
              <w:tc>
                <w:tcPr>
                  <w:tcW w:w="2133" w:type="dxa"/>
                  <w:tcBorders>
                    <w:right w:val="nil"/>
                  </w:tcBorders>
                  <w:shd w:val="clear" w:color="auto" w:fill="auto"/>
                  <w:tcMar>
                    <w:top w:w="57" w:type="dxa"/>
                    <w:bottom w:w="57" w:type="dxa"/>
                  </w:tcMar>
                </w:tcPr>
                <w:p w14:paraId="1E92786E"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Indukciós</w:t>
                  </w:r>
                  <w:r w:rsidRPr="00D045B3">
                    <w:rPr>
                      <w:rFonts w:eastAsia="Times New Roman"/>
                      <w:lang w:val="hu-HU"/>
                    </w:rPr>
                    <w:noBreakHyphen/>
                    <w:t xml:space="preserve"> konszolidációs terápia</w:t>
                  </w:r>
                </w:p>
              </w:tc>
              <w:tc>
                <w:tcPr>
                  <w:tcW w:w="6798" w:type="dxa"/>
                  <w:tcBorders>
                    <w:left w:val="nil"/>
                  </w:tcBorders>
                  <w:shd w:val="clear" w:color="auto" w:fill="auto"/>
                  <w:tcMar>
                    <w:top w:w="57" w:type="dxa"/>
                    <w:bottom w:w="57" w:type="dxa"/>
                  </w:tcMar>
                </w:tcPr>
                <w:p w14:paraId="1E92786F" w14:textId="77777777" w:rsidR="00FE5992" w:rsidRPr="00D045B3" w:rsidRDefault="00FE5992" w:rsidP="00FE5992">
                  <w:pPr>
                    <w:spacing w:line="240" w:lineRule="auto"/>
                    <w:ind w:left="49" w:hanging="49"/>
                    <w:rPr>
                      <w:rFonts w:eastAsia="Times New Roman"/>
                      <w:lang w:val="hu-HU"/>
                    </w:rPr>
                  </w:pPr>
                  <w:r w:rsidRPr="00D045B3">
                    <w:rPr>
                      <w:rFonts w:eastAsia="Times New Roman"/>
                      <w:lang w:val="hu-HU"/>
                    </w:rPr>
                    <w:t>Hyper</w:t>
                  </w:r>
                  <w:r w:rsidRPr="00D045B3">
                    <w:rPr>
                      <w:rFonts w:eastAsia="Times New Roman"/>
                      <w:lang w:val="hu-HU"/>
                    </w:rPr>
                    <w:noBreakHyphen/>
                    <w:t>CVAD rezsim: CP 300 mg/m</w:t>
                  </w:r>
                  <w:r w:rsidRPr="00D045B3">
                    <w:rPr>
                      <w:rFonts w:eastAsia="Times New Roman"/>
                      <w:vertAlign w:val="superscript"/>
                      <w:lang w:val="hu-HU"/>
                    </w:rPr>
                    <w:t>2 </w:t>
                  </w:r>
                  <w:r w:rsidRPr="00D045B3">
                    <w:rPr>
                      <w:rFonts w:eastAsia="Times New Roman"/>
                      <w:lang w:val="hu-HU"/>
                    </w:rPr>
                    <w:t>iv. (3 órás, 12 óránként), az 1</w:t>
                  </w:r>
                  <w:r w:rsidRPr="00D045B3">
                    <w:rPr>
                      <w:rFonts w:eastAsia="Times New Roman"/>
                      <w:lang w:val="hu-HU"/>
                    </w:rPr>
                    <w:noBreakHyphen/>
                    <w:t>3. napokon; vinkrisztin 2 mg iv., a 4. és a 11. napon; doxorubicin 50 mg/m</w:t>
                  </w:r>
                  <w:r w:rsidRPr="00D045B3">
                    <w:rPr>
                      <w:rFonts w:eastAsia="Times New Roman"/>
                      <w:vertAlign w:val="superscript"/>
                      <w:lang w:val="hu-HU"/>
                    </w:rPr>
                    <w:t>2 </w:t>
                  </w:r>
                  <w:r w:rsidRPr="00D045B3">
                    <w:rPr>
                      <w:rFonts w:eastAsia="Times New Roman"/>
                      <w:lang w:val="hu-HU"/>
                    </w:rPr>
                    <w:t>iv. (24 órás), a 4. napon; DEX 40 mg/nap az 1</w:t>
                  </w:r>
                  <w:r w:rsidRPr="00D045B3">
                    <w:rPr>
                      <w:rFonts w:eastAsia="Times New Roman"/>
                      <w:lang w:val="hu-HU"/>
                    </w:rPr>
                    <w:noBreakHyphen/>
                    <w:t>4. és a 11</w:t>
                  </w:r>
                  <w:r w:rsidRPr="00D045B3">
                    <w:rPr>
                      <w:rFonts w:eastAsia="Times New Roman"/>
                      <w:lang w:val="hu-HU"/>
                    </w:rPr>
                    <w:noBreakHyphen/>
                    <w:t>14. napokon, váltva az 1. napon adott MTX 1 g/m</w:t>
                  </w:r>
                  <w:r w:rsidRPr="00D045B3">
                    <w:rPr>
                      <w:rFonts w:eastAsia="Times New Roman"/>
                      <w:vertAlign w:val="superscript"/>
                      <w:lang w:val="hu-HU"/>
                    </w:rPr>
                    <w:t>2</w:t>
                  </w:r>
                  <w:r w:rsidRPr="00D045B3">
                    <w:rPr>
                      <w:rFonts w:eastAsia="Times New Roman"/>
                      <w:lang w:val="hu-HU"/>
                    </w:rPr>
                    <w:t xml:space="preserve"> iv. (24 órás) kezeléssel, Ara</w:t>
                  </w:r>
                  <w:r w:rsidRPr="00D045B3">
                    <w:rPr>
                      <w:rFonts w:eastAsia="Times New Roman"/>
                      <w:lang w:val="hu-HU"/>
                    </w:rPr>
                    <w:noBreakHyphen/>
                    <w:t>C 1 g/m</w:t>
                  </w:r>
                  <w:r w:rsidRPr="00D045B3">
                    <w:rPr>
                      <w:rFonts w:eastAsia="Times New Roman"/>
                      <w:vertAlign w:val="superscript"/>
                      <w:lang w:val="hu-HU"/>
                    </w:rPr>
                    <w:t>2</w:t>
                  </w:r>
                  <w:r w:rsidRPr="00D045B3">
                    <w:rPr>
                      <w:rFonts w:eastAsia="Times New Roman"/>
                      <w:lang w:val="hu-HU"/>
                    </w:rPr>
                    <w:t xml:space="preserve"> iv. (2 órás, 12 óránként), a 2</w:t>
                  </w:r>
                  <w:r w:rsidRPr="00D045B3">
                    <w:rPr>
                      <w:rFonts w:eastAsia="Times New Roman"/>
                      <w:lang w:val="hu-HU"/>
                    </w:rPr>
                    <w:noBreakHyphen/>
                    <w:t>3. napokon (összesen 8 kezelés)</w:t>
                  </w:r>
                </w:p>
              </w:tc>
            </w:tr>
            <w:tr w:rsidR="00FE5992" w:rsidRPr="00D045B3" w14:paraId="1E927873" w14:textId="77777777" w:rsidTr="00FE5992">
              <w:trPr>
                <w:trHeight w:hRule="exact" w:val="624"/>
              </w:trPr>
              <w:tc>
                <w:tcPr>
                  <w:tcW w:w="2133" w:type="dxa"/>
                  <w:tcBorders>
                    <w:right w:val="nil"/>
                  </w:tcBorders>
                  <w:shd w:val="clear" w:color="auto" w:fill="auto"/>
                  <w:tcMar>
                    <w:top w:w="57" w:type="dxa"/>
                    <w:bottom w:w="57" w:type="dxa"/>
                  </w:tcMar>
                </w:tcPr>
                <w:p w14:paraId="1E927871"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Fenntartó kezelés</w:t>
                  </w:r>
                </w:p>
              </w:tc>
              <w:tc>
                <w:tcPr>
                  <w:tcW w:w="6798" w:type="dxa"/>
                  <w:tcBorders>
                    <w:left w:val="nil"/>
                  </w:tcBorders>
                  <w:shd w:val="clear" w:color="auto" w:fill="auto"/>
                  <w:tcMar>
                    <w:top w:w="57" w:type="dxa"/>
                    <w:bottom w:w="57" w:type="dxa"/>
                  </w:tcMar>
                </w:tcPr>
                <w:p w14:paraId="1E927872"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VCR 2 mg iv. havonta, 13 hónapon keresztül; prednizolon 200 mg per os, havonta 5 napon keresztül, 13 hónapig</w:t>
                  </w:r>
                </w:p>
              </w:tc>
            </w:tr>
            <w:tr w:rsidR="00FE5992" w:rsidRPr="00D045B3" w14:paraId="1E927876" w14:textId="77777777" w:rsidTr="008A6837">
              <w:trPr>
                <w:trHeight w:hRule="exact" w:val="676"/>
              </w:trPr>
              <w:tc>
                <w:tcPr>
                  <w:tcW w:w="8931" w:type="dxa"/>
                  <w:gridSpan w:val="2"/>
                  <w:shd w:val="clear" w:color="auto" w:fill="auto"/>
                  <w:tcMar>
                    <w:top w:w="57" w:type="dxa"/>
                    <w:bottom w:w="57" w:type="dxa"/>
                  </w:tcMar>
                </w:tcPr>
                <w:p w14:paraId="1E927874" w14:textId="77777777" w:rsidR="00FE5992" w:rsidRPr="00D045B3" w:rsidRDefault="00FE5992" w:rsidP="00FE5992">
                  <w:pPr>
                    <w:pStyle w:val="Default"/>
                  </w:pPr>
                  <w:r w:rsidRPr="00D045B3">
                    <w:rPr>
                      <w:sz w:val="22"/>
                      <w:szCs w:val="22"/>
                    </w:rPr>
                    <w:t xml:space="preserve">Minden kezelési protokoll tartalmaz szteroidot a központi idegrendszeri hatások profilaxisa céljából. </w:t>
                  </w:r>
                </w:p>
                <w:p w14:paraId="1E927875" w14:textId="77777777" w:rsidR="00FE5992" w:rsidRPr="00D045B3" w:rsidRDefault="00FE5992" w:rsidP="00FE5992">
                  <w:pPr>
                    <w:spacing w:line="240" w:lineRule="auto"/>
                    <w:ind w:right="-20"/>
                    <w:rPr>
                      <w:rFonts w:eastAsia="Times New Roman"/>
                      <w:lang w:val="hu-HU"/>
                    </w:rPr>
                  </w:pPr>
                  <w:r w:rsidRPr="00D045B3">
                    <w:rPr>
                      <w:rFonts w:eastAsia="Times New Roman"/>
                      <w:lang w:val="hu-HU"/>
                    </w:rPr>
                    <w:t>.</w:t>
                  </w:r>
                </w:p>
              </w:tc>
            </w:tr>
            <w:tr w:rsidR="00FE5992" w:rsidRPr="00D045B3" w14:paraId="1E927879" w14:textId="77777777" w:rsidTr="008A6837">
              <w:trPr>
                <w:trHeight w:hRule="exact" w:val="786"/>
              </w:trPr>
              <w:tc>
                <w:tcPr>
                  <w:tcW w:w="8931" w:type="dxa"/>
                  <w:gridSpan w:val="2"/>
                  <w:shd w:val="clear" w:color="auto" w:fill="auto"/>
                  <w:tcMar>
                    <w:top w:w="57" w:type="dxa"/>
                    <w:bottom w:w="57" w:type="dxa"/>
                  </w:tcMar>
                </w:tcPr>
                <w:p w14:paraId="1E927877" w14:textId="77777777" w:rsidR="00FE5992" w:rsidRPr="00D045B3" w:rsidRDefault="00FE5992" w:rsidP="00FE5992">
                  <w:pPr>
                    <w:pStyle w:val="Default"/>
                  </w:pPr>
                  <w:r w:rsidRPr="00D045B3">
                    <w:rPr>
                      <w:sz w:val="22"/>
                      <w:szCs w:val="22"/>
                    </w:rPr>
                    <w:t>Ara</w:t>
                  </w:r>
                  <w:r w:rsidRPr="00D045B3">
                    <w:rPr>
                      <w:sz w:val="22"/>
                      <w:szCs w:val="22"/>
                    </w:rPr>
                    <w:noBreakHyphen/>
                    <w:t>C: citozin</w:t>
                  </w:r>
                  <w:r w:rsidRPr="00D045B3">
                    <w:rPr>
                      <w:sz w:val="22"/>
                      <w:szCs w:val="22"/>
                    </w:rPr>
                    <w:noBreakHyphen/>
                    <w:t>arabinozid; CP: ciklofoszfamid; DEX: dexametazon; MTX: metotrexát; 6</w:t>
                  </w:r>
                  <w:r w:rsidRPr="00D045B3">
                    <w:rPr>
                      <w:sz w:val="22"/>
                      <w:szCs w:val="22"/>
                    </w:rPr>
                    <w:noBreakHyphen/>
                    <w:t>MP: 6</w:t>
                  </w:r>
                  <w:r w:rsidRPr="00D045B3">
                    <w:rPr>
                      <w:sz w:val="22"/>
                      <w:szCs w:val="22"/>
                    </w:rPr>
                    <w:noBreakHyphen/>
                    <w:t xml:space="preserve">merkaptopurin; VM26: tenipozid; VCR: vinkrisztin; IDA: idarubicin; iv.: intravénás alkalmazás </w:t>
                  </w:r>
                </w:p>
                <w:p w14:paraId="1E927878" w14:textId="77777777" w:rsidR="00FE5992" w:rsidRPr="00D045B3" w:rsidRDefault="00FE5992" w:rsidP="00FE5992">
                  <w:pPr>
                    <w:spacing w:line="240" w:lineRule="auto"/>
                    <w:ind w:left="49" w:right="-20" w:hanging="49"/>
                    <w:rPr>
                      <w:rFonts w:eastAsia="Times New Roman"/>
                      <w:lang w:val="hu-HU"/>
                    </w:rPr>
                  </w:pPr>
                </w:p>
              </w:tc>
            </w:tr>
          </w:tbl>
          <w:p w14:paraId="1E92787A" w14:textId="77777777" w:rsidR="00FE5992" w:rsidRPr="00D045B3" w:rsidRDefault="00FE5992" w:rsidP="00FE5992">
            <w:pPr>
              <w:pStyle w:val="Default"/>
              <w:rPr>
                <w:sz w:val="22"/>
                <w:szCs w:val="22"/>
              </w:rPr>
            </w:pPr>
          </w:p>
        </w:tc>
      </w:tr>
    </w:tbl>
    <w:p w14:paraId="1E92787C" w14:textId="0C606011" w:rsidR="00AF680E" w:rsidRPr="00D045B3" w:rsidRDefault="00AF680E" w:rsidP="00AF680E">
      <w:pPr>
        <w:pStyle w:val="Endnotentext"/>
        <w:widowControl w:val="0"/>
        <w:rPr>
          <w:color w:val="000000"/>
          <w:lang w:val="hu-HU" w:eastAsia="hu-HU"/>
        </w:rPr>
      </w:pPr>
      <w:r w:rsidRPr="00D045B3">
        <w:rPr>
          <w:i/>
          <w:color w:val="000000"/>
          <w:lang w:val="hu-HU" w:eastAsia="hu-HU"/>
        </w:rPr>
        <w:t>Gyermek</w:t>
      </w:r>
      <w:r w:rsidR="002274AF" w:rsidRPr="00D045B3">
        <w:rPr>
          <w:i/>
          <w:color w:val="000000"/>
          <w:lang w:val="hu-HU" w:eastAsia="hu-HU"/>
        </w:rPr>
        <w:t>ek és serdülők</w:t>
      </w:r>
      <w:r w:rsidRPr="00D045B3">
        <w:rPr>
          <w:color w:val="000000"/>
          <w:lang w:val="hu-HU" w:eastAsia="hu-HU"/>
        </w:rPr>
        <w:t>:</w:t>
      </w:r>
      <w:r w:rsidRPr="00D045B3">
        <w:rPr>
          <w:lang w:val="hu-HU" w:eastAsia="hu-HU"/>
        </w:rPr>
        <w:t xml:space="preserve"> </w:t>
      </w:r>
      <w:r w:rsidRPr="00D045B3">
        <w:rPr>
          <w:color w:val="000000"/>
          <w:lang w:val="hu-HU" w:eastAsia="hu-HU"/>
        </w:rPr>
        <w:t>Az I2301, nyílt elrendezésű, multicentrikus, szekvenciális kohorszú, nem randomizált, III</w:t>
      </w:r>
      <w:r w:rsidR="002274AF" w:rsidRPr="00D045B3">
        <w:rPr>
          <w:color w:val="000000"/>
          <w:lang w:val="hu-HU" w:eastAsia="hu-HU"/>
        </w:rPr>
        <w:t>. fázisú</w:t>
      </w:r>
      <w:r w:rsidRPr="00D045B3">
        <w:rPr>
          <w:color w:val="000000"/>
          <w:lang w:val="hu-HU" w:eastAsia="hu-HU"/>
        </w:rPr>
        <w:t xml:space="preserve"> vizsgálatba összesen 93, Ph+ALL gyermek, serdülő</w:t>
      </w:r>
      <w:r w:rsidR="002274AF" w:rsidRPr="00D045B3">
        <w:rPr>
          <w:color w:val="000000"/>
          <w:lang w:val="hu-HU" w:eastAsia="hu-HU"/>
        </w:rPr>
        <w:t>korú</w:t>
      </w:r>
      <w:r w:rsidRPr="00D045B3">
        <w:rPr>
          <w:color w:val="000000"/>
          <w:lang w:val="hu-HU" w:eastAsia="hu-HU"/>
        </w:rPr>
        <w:t xml:space="preserve"> és fiatal felnőtt beteget vontak be (1</w:t>
      </w:r>
      <w:r w:rsidRPr="00D045B3">
        <w:rPr>
          <w:color w:val="000000"/>
          <w:lang w:val="hu-HU"/>
        </w:rPr>
        <w:t> év</w:t>
      </w:r>
      <w:r w:rsidRPr="00D045B3">
        <w:rPr>
          <w:color w:val="000000"/>
          <w:lang w:val="hu-HU" w:eastAsia="hu-HU"/>
        </w:rPr>
        <w:t>es kortól 22</w:t>
      </w:r>
      <w:r w:rsidRPr="00D045B3">
        <w:rPr>
          <w:color w:val="000000"/>
          <w:lang w:val="hu-HU"/>
        </w:rPr>
        <w:t> év</w:t>
      </w:r>
      <w:r w:rsidRPr="00D045B3">
        <w:rPr>
          <w:color w:val="000000"/>
          <w:lang w:val="hu-HU" w:eastAsia="hu-HU"/>
        </w:rPr>
        <w:t>es korig), és kezeltek imatinib</w:t>
      </w:r>
      <w:r w:rsidRPr="00D045B3">
        <w:rPr>
          <w:color w:val="000000"/>
          <w:lang w:val="hu-HU"/>
        </w:rPr>
        <w:noBreakHyphen/>
        <w:t>b</w:t>
      </w:r>
      <w:r w:rsidRPr="00D045B3">
        <w:rPr>
          <w:color w:val="000000"/>
          <w:lang w:val="hu-HU" w:eastAsia="hu-HU"/>
        </w:rPr>
        <w:t>el (340</w:t>
      </w:r>
      <w:r w:rsidRPr="00D045B3">
        <w:rPr>
          <w:color w:val="000000"/>
          <w:lang w:val="hu-HU"/>
        </w:rPr>
        <w:t> mg</w:t>
      </w:r>
      <w:r w:rsidRPr="00D045B3">
        <w:rPr>
          <w:color w:val="000000"/>
          <w:lang w:val="hu-HU" w:eastAsia="hu-HU"/>
        </w:rPr>
        <w:t>/m</w:t>
      </w:r>
      <w:r w:rsidRPr="00D045B3">
        <w:rPr>
          <w:color w:val="000000"/>
          <w:vertAlign w:val="superscript"/>
          <w:lang w:val="hu-HU" w:eastAsia="hu-HU"/>
        </w:rPr>
        <w:t>2</w:t>
      </w:r>
      <w:r w:rsidRPr="00D045B3">
        <w:rPr>
          <w:color w:val="000000"/>
          <w:lang w:val="hu-HU" w:eastAsia="hu-HU"/>
        </w:rPr>
        <w:t>/nap), az indukciós kezelés után intenzív kemoterápiával kombinálva. Az imatinib</w:t>
      </w:r>
      <w:r w:rsidRPr="00D045B3">
        <w:rPr>
          <w:color w:val="000000"/>
          <w:lang w:val="hu-HU"/>
        </w:rPr>
        <w:noBreakHyphen/>
      </w:r>
      <w:r w:rsidRPr="00D045B3">
        <w:rPr>
          <w:color w:val="000000"/>
          <w:lang w:val="hu-HU" w:eastAsia="hu-HU"/>
        </w:rPr>
        <w:t>et intermittálva adták az 1</w:t>
      </w:r>
      <w:r w:rsidRPr="00D045B3">
        <w:rPr>
          <w:color w:val="000000"/>
          <w:lang w:val="hu-HU"/>
        </w:rPr>
        <w:noBreakHyphen/>
      </w:r>
      <w:r w:rsidRPr="00D045B3">
        <w:rPr>
          <w:color w:val="000000"/>
          <w:lang w:val="hu-HU" w:eastAsia="hu-HU"/>
        </w:rPr>
        <w:t>5. kohorszokban, kohorszról</w:t>
      </w:r>
      <w:r w:rsidRPr="00D045B3">
        <w:rPr>
          <w:color w:val="000000"/>
          <w:lang w:val="hu-HU"/>
        </w:rPr>
        <w:noBreakHyphen/>
      </w:r>
      <w:r w:rsidRPr="00D045B3">
        <w:rPr>
          <w:color w:val="000000"/>
          <w:lang w:val="hu-HU" w:eastAsia="hu-HU"/>
        </w:rPr>
        <w:t>kohorszra növekvő időtartamban, és az imatinib</w:t>
      </w:r>
      <w:r w:rsidRPr="00D045B3">
        <w:rPr>
          <w:color w:val="000000"/>
          <w:lang w:val="hu-HU"/>
        </w:rPr>
        <w:noBreakHyphen/>
      </w:r>
      <w:r w:rsidRPr="00D045B3">
        <w:rPr>
          <w:color w:val="000000"/>
          <w:lang w:val="hu-HU" w:eastAsia="hu-HU"/>
        </w:rPr>
        <w:t>et korábban kezdve. Az 1. kohorsz kapta a legalacsonyabb és az 5. kohorsz kapta a legmagasabb imatinib intenzitást (az első kemoterápiás ciklusok alatt a leghosszabb a</w:t>
      </w:r>
      <w:r w:rsidRPr="00D045B3">
        <w:rPr>
          <w:color w:val="000000"/>
          <w:lang w:val="hu-HU"/>
        </w:rPr>
        <w:t xml:space="preserve"> nap</w:t>
      </w:r>
      <w:r w:rsidRPr="00D045B3">
        <w:rPr>
          <w:color w:val="000000"/>
          <w:lang w:val="hu-HU" w:eastAsia="hu-HU"/>
        </w:rPr>
        <w:t>okban mért időtartam, az imatinib folyamatos,</w:t>
      </w:r>
      <w:r w:rsidRPr="00D045B3">
        <w:rPr>
          <w:color w:val="000000"/>
          <w:lang w:val="hu-HU"/>
        </w:rPr>
        <w:t xml:space="preserve"> nap</w:t>
      </w:r>
      <w:r w:rsidRPr="00D045B3">
        <w:rPr>
          <w:color w:val="000000"/>
          <w:lang w:val="hu-HU" w:eastAsia="hu-HU"/>
        </w:rPr>
        <w:t>onkénti adagolásával). Az imatinib folyamatos,</w:t>
      </w:r>
      <w:r w:rsidRPr="00D045B3">
        <w:rPr>
          <w:color w:val="000000"/>
          <w:lang w:val="hu-HU"/>
        </w:rPr>
        <w:t xml:space="preserve"> nap</w:t>
      </w:r>
      <w:r w:rsidRPr="00D045B3">
        <w:rPr>
          <w:color w:val="000000"/>
          <w:lang w:val="hu-HU" w:eastAsia="hu-HU"/>
        </w:rPr>
        <w:t>onkénti expozíciója a terápiás ciklus korai időszakában, kemoterápiával kombinálva az 5. kohorsz betegeinél (n = 50) javította a 4</w:t>
      </w:r>
      <w:r w:rsidRPr="00D045B3">
        <w:rPr>
          <w:color w:val="000000"/>
          <w:lang w:val="hu-HU"/>
        </w:rPr>
        <w:t> év</w:t>
      </w:r>
      <w:r w:rsidRPr="00D045B3">
        <w:rPr>
          <w:color w:val="000000"/>
          <w:lang w:val="hu-HU" w:eastAsia="hu-HU"/>
        </w:rPr>
        <w:t>es, eseménymentes túlélést (EFS), azokhoz a hisztorikus kontrollokhoz képest (n = 120), akik imatinib nélkül kaptak standard kemoterápiát (sorrendben 69,6% vs. 31,6%). A becsült 4</w:t>
      </w:r>
      <w:r w:rsidRPr="00D045B3">
        <w:rPr>
          <w:color w:val="000000"/>
          <w:lang w:val="hu-HU"/>
        </w:rPr>
        <w:t> év</w:t>
      </w:r>
      <w:r w:rsidRPr="00D045B3">
        <w:rPr>
          <w:color w:val="000000"/>
          <w:lang w:val="hu-HU" w:eastAsia="hu-HU"/>
        </w:rPr>
        <w:t>es teljes túlélés az 5. kohorsz betegeinél 83,6% volt, a hisztorikus kontrolloknál észlelt 44,8%</w:t>
      </w:r>
      <w:r w:rsidRPr="00D045B3">
        <w:rPr>
          <w:color w:val="000000"/>
          <w:lang w:val="hu-HU"/>
        </w:rPr>
        <w:noBreakHyphen/>
      </w:r>
      <w:r w:rsidRPr="00D045B3">
        <w:rPr>
          <w:color w:val="000000"/>
          <w:lang w:val="hu-HU" w:eastAsia="hu-HU"/>
        </w:rPr>
        <w:t>hoz képest. Az 5. kohorsz 50 betege közül 20 (40%) esett át haemopoeticus őssejt transzplantáción.</w:t>
      </w:r>
    </w:p>
    <w:p w14:paraId="1E92787D" w14:textId="77777777" w:rsidR="00AF680E" w:rsidRPr="00D045B3" w:rsidRDefault="00AF680E" w:rsidP="00AF680E">
      <w:pPr>
        <w:pStyle w:val="Endnotentext"/>
        <w:widowControl w:val="0"/>
        <w:rPr>
          <w:color w:val="000000"/>
          <w:lang w:val="hu-HU"/>
        </w:rPr>
      </w:pPr>
    </w:p>
    <w:p w14:paraId="1E92787E" w14:textId="3AF6D932" w:rsidR="00AF680E" w:rsidRPr="00D045B3" w:rsidRDefault="000B0EAC" w:rsidP="00AF680E">
      <w:pPr>
        <w:pStyle w:val="Endnotentext"/>
        <w:widowControl w:val="0"/>
        <w:ind w:left="1134" w:hanging="1134"/>
        <w:rPr>
          <w:b/>
          <w:color w:val="000000"/>
          <w:lang w:val="hu-HU"/>
        </w:rPr>
      </w:pPr>
      <w:r w:rsidRPr="00D045B3">
        <w:rPr>
          <w:b/>
          <w:color w:val="000000"/>
          <w:lang w:val="hu-HU" w:eastAsia="hu-HU"/>
        </w:rPr>
        <w:t>4</w:t>
      </w:r>
      <w:r w:rsidR="00AF680E" w:rsidRPr="00D045B3">
        <w:rPr>
          <w:b/>
          <w:color w:val="000000"/>
          <w:lang w:val="hu-HU" w:eastAsia="hu-HU"/>
        </w:rPr>
        <w:t>. táblázat</w:t>
      </w:r>
      <w:r w:rsidR="00AF680E" w:rsidRPr="00D045B3">
        <w:rPr>
          <w:b/>
          <w:color w:val="000000"/>
          <w:lang w:val="hu-HU" w:eastAsia="hu-HU"/>
        </w:rPr>
        <w:tab/>
        <w:t>Az I2301</w:t>
      </w:r>
      <w:r w:rsidR="00AF680E" w:rsidRPr="00D045B3">
        <w:rPr>
          <w:b/>
          <w:color w:val="000000"/>
          <w:lang w:val="hu-HU"/>
        </w:rPr>
        <w:t xml:space="preserve"> </w:t>
      </w:r>
      <w:r w:rsidR="00AF680E" w:rsidRPr="00D045B3">
        <w:rPr>
          <w:b/>
          <w:color w:val="000000"/>
          <w:lang w:val="hu-HU" w:eastAsia="hu-HU"/>
        </w:rPr>
        <w:t>vizsgálatban az imatinibbel kombinációban alkalmazott kemoterápiás rezsim</w:t>
      </w:r>
    </w:p>
    <w:p w14:paraId="1E92787F" w14:textId="77777777" w:rsidR="00AF680E" w:rsidRPr="00D045B3" w:rsidRDefault="00AF680E" w:rsidP="00AF680E">
      <w:pPr>
        <w:pStyle w:val="Endnotentext"/>
        <w:widowControl w:val="0"/>
        <w:rPr>
          <w:color w:val="000000"/>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AF680E" w:rsidRPr="00D045B3" w14:paraId="1E927888" w14:textId="77777777" w:rsidTr="00921B46">
        <w:tc>
          <w:tcPr>
            <w:tcW w:w="2358" w:type="dxa"/>
            <w:shd w:val="clear" w:color="auto" w:fill="auto"/>
          </w:tcPr>
          <w:p w14:paraId="1E927880" w14:textId="77777777" w:rsidR="00AF680E" w:rsidRPr="00D045B3" w:rsidRDefault="00AF680E" w:rsidP="00921B46">
            <w:pPr>
              <w:pStyle w:val="Endnotentext"/>
              <w:widowControl w:val="0"/>
              <w:rPr>
                <w:color w:val="000000"/>
                <w:lang w:val="hu-HU"/>
              </w:rPr>
            </w:pPr>
            <w:r w:rsidRPr="00D045B3">
              <w:rPr>
                <w:color w:val="000000"/>
                <w:lang w:val="hu-HU"/>
              </w:rPr>
              <w:t>1. konszolidációs blokk</w:t>
            </w:r>
          </w:p>
          <w:p w14:paraId="1E927881" w14:textId="77777777" w:rsidR="00AF680E" w:rsidRPr="00D045B3" w:rsidRDefault="00AF680E" w:rsidP="00921B46">
            <w:pPr>
              <w:pStyle w:val="Endnotentext"/>
              <w:widowControl w:val="0"/>
              <w:rPr>
                <w:color w:val="000000"/>
                <w:lang w:val="hu-HU"/>
              </w:rPr>
            </w:pPr>
            <w:r w:rsidRPr="00D045B3">
              <w:rPr>
                <w:color w:val="000000"/>
                <w:lang w:val="hu-HU"/>
              </w:rPr>
              <w:t>(3 hét)</w:t>
            </w:r>
          </w:p>
        </w:tc>
        <w:tc>
          <w:tcPr>
            <w:tcW w:w="6929" w:type="dxa"/>
            <w:shd w:val="clear" w:color="auto" w:fill="auto"/>
          </w:tcPr>
          <w:p w14:paraId="1E927882" w14:textId="77777777" w:rsidR="00AF680E" w:rsidRPr="00D045B3" w:rsidRDefault="00AF680E" w:rsidP="00921B46">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/nap, iv.): 1</w:t>
            </w:r>
            <w:r w:rsidRPr="00D045B3">
              <w:rPr>
                <w:color w:val="000000"/>
                <w:lang w:val="hu-HU"/>
              </w:rPr>
              <w:noBreakHyphen/>
              <w:t>5. nap</w:t>
            </w:r>
          </w:p>
          <w:p w14:paraId="1E927883" w14:textId="77777777" w:rsidR="00AF680E" w:rsidRPr="00D045B3" w:rsidRDefault="00AF680E" w:rsidP="00921B46">
            <w:pPr>
              <w:pStyle w:val="Endnotentext"/>
              <w:widowControl w:val="0"/>
              <w:rPr>
                <w:color w:val="000000"/>
                <w:lang w:val="hu-HU"/>
              </w:rPr>
            </w:pPr>
            <w:r w:rsidRPr="00D045B3">
              <w:rPr>
                <w:color w:val="000000"/>
                <w:lang w:val="hu-HU"/>
              </w:rPr>
              <w:t>Ifoszfamid (1,8 g/m</w:t>
            </w:r>
            <w:r w:rsidRPr="00D045B3">
              <w:rPr>
                <w:color w:val="000000"/>
                <w:vertAlign w:val="superscript"/>
                <w:lang w:val="hu-HU"/>
              </w:rPr>
              <w:t>2</w:t>
            </w:r>
            <w:r w:rsidRPr="00D045B3">
              <w:rPr>
                <w:color w:val="000000"/>
                <w:lang w:val="hu-HU"/>
              </w:rPr>
              <w:t>/nap, iv.): 1</w:t>
            </w:r>
            <w:r w:rsidRPr="00D045B3">
              <w:rPr>
                <w:color w:val="000000"/>
                <w:lang w:val="hu-HU"/>
              </w:rPr>
              <w:noBreakHyphen/>
              <w:t>5. nap</w:t>
            </w:r>
          </w:p>
          <w:p w14:paraId="1E927884" w14:textId="77777777" w:rsidR="00AF680E" w:rsidRPr="00D045B3" w:rsidRDefault="00AF680E" w:rsidP="00921B46">
            <w:pPr>
              <w:pStyle w:val="Endnotentext"/>
              <w:widowControl w:val="0"/>
              <w:rPr>
                <w:color w:val="000000"/>
                <w:lang w:val="hu-HU"/>
              </w:rPr>
            </w:pPr>
            <w:r w:rsidRPr="00D045B3">
              <w:rPr>
                <w:color w:val="000000"/>
                <w:lang w:val="hu-HU"/>
              </w:rPr>
              <w:t>MESNA (360 mg/m</w:t>
            </w:r>
            <w:r w:rsidRPr="00D045B3">
              <w:rPr>
                <w:color w:val="000000"/>
                <w:vertAlign w:val="superscript"/>
                <w:lang w:val="hu-HU"/>
              </w:rPr>
              <w:t>2</w:t>
            </w:r>
            <w:r w:rsidRPr="00D045B3">
              <w:rPr>
                <w:color w:val="000000"/>
                <w:lang w:val="hu-HU"/>
              </w:rPr>
              <w:t>/dózis 3 óránként, 8 dózis/nap, iv.): 1</w:t>
            </w:r>
            <w:r w:rsidRPr="00D045B3">
              <w:rPr>
                <w:color w:val="000000"/>
                <w:lang w:val="hu-HU"/>
              </w:rPr>
              <w:noBreakHyphen/>
              <w:t>5. nap</w:t>
            </w:r>
          </w:p>
          <w:p w14:paraId="1E927885"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6</w:t>
            </w:r>
            <w:r w:rsidRPr="00D045B3">
              <w:rPr>
                <w:color w:val="000000"/>
                <w:lang w:val="hu-HU"/>
              </w:rPr>
              <w:noBreakHyphen/>
              <w:t>15. nap vagy addig, amíg az ANC &gt; 1500 a mélypont után</w:t>
            </w:r>
          </w:p>
          <w:p w14:paraId="1E927886" w14:textId="77777777" w:rsidR="00AF680E" w:rsidRPr="00D045B3" w:rsidRDefault="00AF680E" w:rsidP="00921B46">
            <w:pPr>
              <w:pStyle w:val="Endnotentext"/>
              <w:widowControl w:val="0"/>
              <w:rPr>
                <w:color w:val="000000"/>
                <w:lang w:val="hu-HU"/>
              </w:rPr>
            </w:pPr>
            <w:r w:rsidRPr="00D045B3">
              <w:rPr>
                <w:color w:val="000000"/>
                <w:lang w:val="hu-HU"/>
              </w:rPr>
              <w:t>i.t. metotrexát (életkorra korrigált): CSAK az 1. nap</w:t>
            </w:r>
          </w:p>
          <w:p w14:paraId="1E927887"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8., 15. nap</w:t>
            </w:r>
          </w:p>
        </w:tc>
      </w:tr>
      <w:tr w:rsidR="00AF680E" w:rsidRPr="00D045B3" w14:paraId="1E927890" w14:textId="77777777" w:rsidTr="00921B46">
        <w:tc>
          <w:tcPr>
            <w:tcW w:w="2358" w:type="dxa"/>
            <w:shd w:val="clear" w:color="auto" w:fill="auto"/>
          </w:tcPr>
          <w:p w14:paraId="1E927889" w14:textId="77777777" w:rsidR="00AF680E" w:rsidRPr="00D045B3" w:rsidRDefault="00AF680E" w:rsidP="00921B46">
            <w:pPr>
              <w:pStyle w:val="Endnotentext"/>
              <w:widowControl w:val="0"/>
              <w:rPr>
                <w:color w:val="000000"/>
                <w:lang w:val="hu-HU"/>
              </w:rPr>
            </w:pPr>
            <w:r w:rsidRPr="00D045B3">
              <w:rPr>
                <w:color w:val="000000"/>
                <w:lang w:val="hu-HU"/>
              </w:rPr>
              <w:t>2. konszolidációs blokk</w:t>
            </w:r>
          </w:p>
          <w:p w14:paraId="1E92788A" w14:textId="77777777" w:rsidR="00AF680E" w:rsidRPr="00D045B3" w:rsidRDefault="00AF680E" w:rsidP="00921B46">
            <w:pPr>
              <w:pStyle w:val="Endnotentext"/>
              <w:widowControl w:val="0"/>
              <w:rPr>
                <w:color w:val="000000"/>
                <w:lang w:val="hu-HU"/>
              </w:rPr>
            </w:pPr>
            <w:r w:rsidRPr="00D045B3">
              <w:rPr>
                <w:color w:val="000000"/>
                <w:lang w:val="hu-HU"/>
              </w:rPr>
              <w:t>(3 hét)</w:t>
            </w:r>
          </w:p>
        </w:tc>
        <w:tc>
          <w:tcPr>
            <w:tcW w:w="6929" w:type="dxa"/>
            <w:shd w:val="clear" w:color="auto" w:fill="auto"/>
          </w:tcPr>
          <w:p w14:paraId="1E92788B" w14:textId="77777777" w:rsidR="00AF680E" w:rsidRPr="00D045B3" w:rsidRDefault="00AF680E" w:rsidP="00921B46">
            <w:pPr>
              <w:pStyle w:val="Endnotentext"/>
              <w:widowControl w:val="0"/>
              <w:rPr>
                <w:color w:val="000000"/>
                <w:lang w:val="hu-HU"/>
              </w:rPr>
            </w:pPr>
            <w:r w:rsidRPr="00D045B3">
              <w:rPr>
                <w:color w:val="000000"/>
                <w:lang w:val="hu-HU"/>
              </w:rPr>
              <w:t>Metotrexát (5 g/m</w:t>
            </w:r>
            <w:r w:rsidRPr="00D045B3">
              <w:rPr>
                <w:color w:val="000000"/>
                <w:vertAlign w:val="superscript"/>
                <w:lang w:val="hu-HU"/>
              </w:rPr>
              <w:t>2</w:t>
            </w:r>
            <w:r w:rsidRPr="00D045B3">
              <w:rPr>
                <w:color w:val="000000"/>
                <w:lang w:val="hu-HU"/>
              </w:rPr>
              <w:t xml:space="preserve"> 24 óra alatt, iv.): 1. nap</w:t>
            </w:r>
          </w:p>
          <w:p w14:paraId="1E92788C" w14:textId="77777777" w:rsidR="00AF680E" w:rsidRPr="00D045B3" w:rsidRDefault="00AF680E" w:rsidP="00921B46">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és 3. nap</w:t>
            </w:r>
          </w:p>
          <w:p w14:paraId="1E92788D"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1. nap</w:t>
            </w:r>
          </w:p>
          <w:p w14:paraId="1E92788E" w14:textId="77777777" w:rsidR="00AF680E" w:rsidRPr="00D045B3" w:rsidRDefault="00AF680E" w:rsidP="00921B46">
            <w:pPr>
              <w:pStyle w:val="Endnotentext"/>
              <w:widowControl w:val="0"/>
              <w:rPr>
                <w:color w:val="000000"/>
                <w:lang w:val="hu-HU"/>
              </w:rPr>
            </w:pPr>
            <w:r w:rsidRPr="00D045B3">
              <w:rPr>
                <w:color w:val="000000"/>
                <w:lang w:val="hu-HU"/>
              </w:rPr>
              <w:t>ARA</w:t>
            </w:r>
            <w:r w:rsidRPr="00D045B3">
              <w:rPr>
                <w:color w:val="000000"/>
                <w:lang w:val="hu-HU"/>
              </w:rPr>
              <w:noBreakHyphen/>
              <w:t>C (3 g/m</w:t>
            </w:r>
            <w:r w:rsidRPr="00D045B3">
              <w:rPr>
                <w:color w:val="000000"/>
                <w:vertAlign w:val="superscript"/>
                <w:lang w:val="hu-HU"/>
              </w:rPr>
              <w:t>2</w:t>
            </w:r>
            <w:r w:rsidRPr="00D045B3">
              <w:rPr>
                <w:color w:val="000000"/>
                <w:lang w:val="hu-HU"/>
              </w:rPr>
              <w:t>/dózis 12 óránként x 4, iv.): 2. és 3. nap</w:t>
            </w:r>
          </w:p>
          <w:p w14:paraId="1E92788F"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4</w:t>
            </w:r>
            <w:r w:rsidRPr="00D045B3">
              <w:rPr>
                <w:color w:val="000000"/>
                <w:lang w:val="hu-HU"/>
              </w:rPr>
              <w:noBreakHyphen/>
              <w:t>13. nap vagy addig, amíg az ANC &gt; 1500 a mélypont után</w:t>
            </w:r>
          </w:p>
        </w:tc>
      </w:tr>
      <w:tr w:rsidR="00AF680E" w:rsidRPr="00D045B3" w14:paraId="1E92789A" w14:textId="77777777" w:rsidTr="00921B46">
        <w:tc>
          <w:tcPr>
            <w:tcW w:w="2358" w:type="dxa"/>
            <w:shd w:val="clear" w:color="auto" w:fill="auto"/>
          </w:tcPr>
          <w:p w14:paraId="1E927891" w14:textId="77777777" w:rsidR="00AF680E" w:rsidRPr="00D045B3" w:rsidRDefault="00AF680E" w:rsidP="00921B46">
            <w:pPr>
              <w:pStyle w:val="Endnotentext"/>
              <w:widowControl w:val="0"/>
              <w:rPr>
                <w:color w:val="000000"/>
                <w:lang w:val="hu-HU"/>
              </w:rPr>
            </w:pPr>
            <w:r w:rsidRPr="00D045B3">
              <w:rPr>
                <w:color w:val="000000"/>
                <w:lang w:val="hu-HU"/>
              </w:rPr>
              <w:t>1. reindukciós blokk</w:t>
            </w:r>
          </w:p>
          <w:p w14:paraId="1E927892" w14:textId="77777777" w:rsidR="00AF680E" w:rsidRPr="00D045B3" w:rsidRDefault="00AF680E" w:rsidP="00921B46">
            <w:pPr>
              <w:pStyle w:val="Endnotentext"/>
              <w:widowControl w:val="0"/>
              <w:rPr>
                <w:color w:val="000000"/>
                <w:lang w:val="hu-HU"/>
              </w:rPr>
            </w:pPr>
            <w:r w:rsidRPr="00D045B3">
              <w:rPr>
                <w:color w:val="000000"/>
                <w:lang w:val="hu-HU"/>
              </w:rPr>
              <w:t>(3 hét)</w:t>
            </w:r>
          </w:p>
        </w:tc>
        <w:tc>
          <w:tcPr>
            <w:tcW w:w="6929" w:type="dxa"/>
            <w:shd w:val="clear" w:color="auto" w:fill="auto"/>
          </w:tcPr>
          <w:p w14:paraId="1E927893" w14:textId="77777777" w:rsidR="00AF680E" w:rsidRPr="00D045B3" w:rsidRDefault="00AF680E" w:rsidP="00921B46">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8. és 15. nap</w:t>
            </w:r>
          </w:p>
          <w:p w14:paraId="1E927894" w14:textId="77777777" w:rsidR="00AF680E" w:rsidRPr="00D045B3" w:rsidRDefault="00AF680E" w:rsidP="00921B46">
            <w:pPr>
              <w:pStyle w:val="Endnotentext"/>
              <w:widowControl w:val="0"/>
              <w:rPr>
                <w:color w:val="000000"/>
                <w:lang w:val="hu-HU"/>
              </w:rPr>
            </w:pPr>
            <w:r w:rsidRPr="00D045B3">
              <w:rPr>
                <w:color w:val="000000"/>
                <w:lang w:val="hu-HU"/>
              </w:rPr>
              <w:t>DAUN (45 mg/m</w:t>
            </w:r>
            <w:r w:rsidRPr="00D045B3">
              <w:rPr>
                <w:color w:val="000000"/>
                <w:vertAlign w:val="superscript"/>
                <w:lang w:val="hu-HU"/>
              </w:rPr>
              <w:t>2</w:t>
            </w:r>
            <w:r w:rsidRPr="00D045B3">
              <w:rPr>
                <w:color w:val="000000"/>
                <w:lang w:val="hu-HU"/>
              </w:rPr>
              <w:t>/nap bólus, iv.): 1. és 2. nap</w:t>
            </w:r>
          </w:p>
          <w:p w14:paraId="1E927895" w14:textId="77777777" w:rsidR="00AF680E" w:rsidRPr="00D045B3" w:rsidRDefault="00AF680E" w:rsidP="00921B46">
            <w:pPr>
              <w:pStyle w:val="Endnotentext"/>
              <w:widowControl w:val="0"/>
              <w:rPr>
                <w:color w:val="000000"/>
                <w:lang w:val="hu-HU"/>
              </w:rPr>
            </w:pPr>
            <w:r w:rsidRPr="00D045B3">
              <w:rPr>
                <w:color w:val="000000"/>
                <w:lang w:val="hu-HU"/>
              </w:rPr>
              <w:t>CPM (250 mg/m</w:t>
            </w:r>
            <w:r w:rsidRPr="00D045B3">
              <w:rPr>
                <w:color w:val="000000"/>
                <w:vertAlign w:val="superscript"/>
                <w:lang w:val="hu-HU"/>
              </w:rPr>
              <w:t>2</w:t>
            </w:r>
            <w:r w:rsidRPr="00D045B3">
              <w:rPr>
                <w:color w:val="000000"/>
                <w:lang w:val="hu-HU"/>
              </w:rPr>
              <w:t>/dózis 12 óránként, 4 dózis, iv.): 3. és 4. nap</w:t>
            </w:r>
          </w:p>
          <w:p w14:paraId="1E927896" w14:textId="77777777" w:rsidR="00AF680E" w:rsidRPr="00D045B3" w:rsidRDefault="00AF680E" w:rsidP="00921B46">
            <w:pPr>
              <w:pStyle w:val="Endnotentext"/>
              <w:widowControl w:val="0"/>
              <w:rPr>
                <w:color w:val="000000"/>
                <w:lang w:val="hu-HU"/>
              </w:rPr>
            </w:pPr>
            <w:r w:rsidRPr="00D045B3">
              <w:rPr>
                <w:color w:val="000000"/>
                <w:lang w:val="hu-HU"/>
              </w:rPr>
              <w:t>PEG</w:t>
            </w:r>
            <w:r w:rsidRPr="00D045B3">
              <w:rPr>
                <w:color w:val="000000"/>
                <w:lang w:val="hu-HU"/>
              </w:rPr>
              <w:noBreakHyphen/>
              <w:t>ASP (2500 NE/m</w:t>
            </w:r>
            <w:r w:rsidRPr="00D045B3">
              <w:rPr>
                <w:color w:val="000000"/>
                <w:vertAlign w:val="superscript"/>
                <w:lang w:val="hu-HU"/>
              </w:rPr>
              <w:t>2</w:t>
            </w:r>
            <w:r w:rsidRPr="00D045B3">
              <w:rPr>
                <w:color w:val="000000"/>
                <w:lang w:val="hu-HU"/>
              </w:rPr>
              <w:t>, i.m.): 4. nap</w:t>
            </w:r>
          </w:p>
          <w:p w14:paraId="1E927897"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5</w:t>
            </w:r>
            <w:r w:rsidRPr="00D045B3">
              <w:rPr>
                <w:color w:val="000000"/>
                <w:lang w:val="hu-HU"/>
              </w:rPr>
              <w:noBreakHyphen/>
              <w:t>14. nap vagy addig, amíg az ANC &gt; 1500 a mélypont után</w:t>
            </w:r>
          </w:p>
          <w:p w14:paraId="1E927898"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1. és 15. nap</w:t>
            </w:r>
          </w:p>
          <w:p w14:paraId="1E927899" w14:textId="77777777" w:rsidR="00AF680E" w:rsidRPr="00D045B3" w:rsidRDefault="00AF680E" w:rsidP="00921B46">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7. és 15</w:t>
            </w:r>
            <w:r w:rsidRPr="00D045B3">
              <w:rPr>
                <w:color w:val="000000"/>
                <w:lang w:val="hu-HU"/>
              </w:rPr>
              <w:noBreakHyphen/>
              <w:t>21. nap</w:t>
            </w:r>
          </w:p>
        </w:tc>
      </w:tr>
      <w:tr w:rsidR="00AF680E" w:rsidRPr="00D045B3" w14:paraId="1E9278A6" w14:textId="77777777" w:rsidTr="00921B46">
        <w:tc>
          <w:tcPr>
            <w:tcW w:w="2358" w:type="dxa"/>
            <w:shd w:val="clear" w:color="auto" w:fill="auto"/>
          </w:tcPr>
          <w:p w14:paraId="1E92789B" w14:textId="77777777" w:rsidR="00AF680E" w:rsidRPr="00D045B3" w:rsidRDefault="00AF680E" w:rsidP="00921B46">
            <w:pPr>
              <w:pStyle w:val="Endnotentext"/>
              <w:widowControl w:val="0"/>
              <w:rPr>
                <w:color w:val="000000"/>
                <w:lang w:val="hu-HU"/>
              </w:rPr>
            </w:pPr>
            <w:r w:rsidRPr="00D045B3">
              <w:rPr>
                <w:color w:val="000000"/>
                <w:lang w:val="hu-HU"/>
              </w:rPr>
              <w:t>1. intenzifikációs blokk</w:t>
            </w:r>
          </w:p>
          <w:p w14:paraId="1E92789C" w14:textId="77777777" w:rsidR="00AF680E" w:rsidRPr="00D045B3" w:rsidRDefault="00AF680E" w:rsidP="00921B46">
            <w:pPr>
              <w:pStyle w:val="Endnotentext"/>
              <w:widowControl w:val="0"/>
              <w:rPr>
                <w:color w:val="000000"/>
                <w:lang w:val="hu-HU"/>
              </w:rPr>
            </w:pPr>
            <w:r w:rsidRPr="00D045B3">
              <w:rPr>
                <w:color w:val="000000"/>
                <w:lang w:val="hu-HU"/>
              </w:rPr>
              <w:t>(9 hét)</w:t>
            </w:r>
          </w:p>
        </w:tc>
        <w:tc>
          <w:tcPr>
            <w:tcW w:w="6929" w:type="dxa"/>
            <w:shd w:val="clear" w:color="auto" w:fill="auto"/>
          </w:tcPr>
          <w:p w14:paraId="1E92789D" w14:textId="77777777" w:rsidR="00AF680E" w:rsidRPr="00D045B3" w:rsidRDefault="00AF680E" w:rsidP="00921B46">
            <w:pPr>
              <w:pStyle w:val="Endnotentext"/>
              <w:widowControl w:val="0"/>
              <w:rPr>
                <w:color w:val="000000"/>
                <w:lang w:val="hu-HU"/>
              </w:rPr>
            </w:pPr>
            <w:r w:rsidRPr="00D045B3">
              <w:rPr>
                <w:color w:val="000000"/>
                <w:lang w:val="hu-HU"/>
              </w:rPr>
              <w:t>Metotrexát (5 g/m</w:t>
            </w:r>
            <w:r w:rsidRPr="00D045B3">
              <w:rPr>
                <w:color w:val="000000"/>
                <w:vertAlign w:val="superscript"/>
                <w:lang w:val="hu-HU"/>
              </w:rPr>
              <w:t>2</w:t>
            </w:r>
            <w:r w:rsidRPr="00D045B3">
              <w:rPr>
                <w:color w:val="000000"/>
                <w:lang w:val="hu-HU"/>
              </w:rPr>
              <w:t xml:space="preserve"> 24 óra alatt, iv.): 1. és 15. nap</w:t>
            </w:r>
          </w:p>
          <w:p w14:paraId="1E92789E" w14:textId="77777777" w:rsidR="00AF680E" w:rsidRPr="00D045B3" w:rsidRDefault="00AF680E" w:rsidP="00921B46">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3., 16. és 17. nap</w:t>
            </w:r>
          </w:p>
          <w:p w14:paraId="1E92789F"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1. és 22. nap</w:t>
            </w:r>
          </w:p>
          <w:p w14:paraId="1E9278A0" w14:textId="77777777" w:rsidR="00AF680E" w:rsidRPr="00D045B3" w:rsidRDefault="00AF680E" w:rsidP="00921B46">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8A1" w14:textId="77777777" w:rsidR="00AF680E" w:rsidRPr="00D045B3" w:rsidRDefault="00AF680E" w:rsidP="00921B46">
            <w:pPr>
              <w:pStyle w:val="Endnotentext"/>
              <w:widowControl w:val="0"/>
              <w:rPr>
                <w:color w:val="000000"/>
                <w:lang w:val="hu-HU"/>
              </w:rPr>
            </w:pPr>
            <w:r w:rsidRPr="00D045B3">
              <w:rPr>
                <w:color w:val="000000"/>
                <w:lang w:val="hu-HU"/>
              </w:rPr>
              <w:t>CPM (300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8A2" w14:textId="77777777" w:rsidR="00AF680E" w:rsidRPr="00D045B3" w:rsidRDefault="00AF680E" w:rsidP="00921B46">
            <w:pPr>
              <w:pStyle w:val="Endnotentext"/>
              <w:widowControl w:val="0"/>
              <w:rPr>
                <w:color w:val="000000"/>
                <w:lang w:val="hu-HU"/>
              </w:rPr>
            </w:pPr>
            <w:r w:rsidRPr="00D045B3">
              <w:rPr>
                <w:color w:val="000000"/>
                <w:lang w:val="hu-HU"/>
              </w:rPr>
              <w:t>MESNA (150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8A3"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27</w:t>
            </w:r>
            <w:r w:rsidRPr="00D045B3">
              <w:rPr>
                <w:color w:val="000000"/>
                <w:lang w:val="hu-HU"/>
              </w:rPr>
              <w:noBreakHyphen/>
              <w:t>36. nap vagy addig, amíg az ANC &gt; 1500 a mélypont után</w:t>
            </w:r>
          </w:p>
          <w:p w14:paraId="1E9278A4" w14:textId="77777777" w:rsidR="00AF680E" w:rsidRPr="00D045B3" w:rsidRDefault="00AF680E" w:rsidP="00921B46">
            <w:pPr>
              <w:pStyle w:val="Endnotentext"/>
              <w:widowControl w:val="0"/>
              <w:rPr>
                <w:color w:val="000000"/>
                <w:lang w:val="hu-HU"/>
              </w:rPr>
            </w:pPr>
            <w:r w:rsidRPr="00D045B3">
              <w:rPr>
                <w:color w:val="000000"/>
                <w:lang w:val="hu-HU"/>
              </w:rPr>
              <w:t>ARA</w:t>
            </w:r>
            <w:r w:rsidRPr="00D045B3">
              <w:rPr>
                <w:color w:val="000000"/>
                <w:lang w:val="hu-HU"/>
              </w:rPr>
              <w:noBreakHyphen/>
              <w:t>C (3 g/m</w:t>
            </w:r>
            <w:r w:rsidRPr="00D045B3">
              <w:rPr>
                <w:color w:val="000000"/>
                <w:vertAlign w:val="superscript"/>
                <w:lang w:val="hu-HU"/>
              </w:rPr>
              <w:t>2</w:t>
            </w:r>
            <w:r w:rsidRPr="00D045B3">
              <w:rPr>
                <w:color w:val="000000"/>
                <w:lang w:val="hu-HU"/>
              </w:rPr>
              <w:t>, 12 óránként, iv.): 43. 44. nap</w:t>
            </w:r>
          </w:p>
          <w:p w14:paraId="1E9278A5" w14:textId="77777777" w:rsidR="00AF680E" w:rsidRPr="00D045B3" w:rsidRDefault="00AF680E" w:rsidP="00921B46">
            <w:pPr>
              <w:pStyle w:val="Endnotentext"/>
              <w:widowControl w:val="0"/>
              <w:rPr>
                <w:color w:val="000000"/>
                <w:lang w:val="hu-HU"/>
              </w:rPr>
            </w:pPr>
            <w:r w:rsidRPr="00D045B3">
              <w:rPr>
                <w:color w:val="000000"/>
                <w:lang w:val="hu-HU"/>
              </w:rPr>
              <w:t>L</w:t>
            </w:r>
            <w:r w:rsidRPr="00D045B3">
              <w:rPr>
                <w:color w:val="000000"/>
                <w:lang w:val="hu-HU"/>
              </w:rPr>
              <w:noBreakHyphen/>
              <w:t>ASP (6000 NE/m</w:t>
            </w:r>
            <w:r w:rsidRPr="00D045B3">
              <w:rPr>
                <w:color w:val="000000"/>
                <w:vertAlign w:val="superscript"/>
                <w:lang w:val="hu-HU"/>
              </w:rPr>
              <w:t>2</w:t>
            </w:r>
            <w:r w:rsidRPr="00D045B3">
              <w:rPr>
                <w:color w:val="000000"/>
                <w:lang w:val="hu-HU"/>
              </w:rPr>
              <w:t>, i.m.): 44. Nap</w:t>
            </w:r>
          </w:p>
        </w:tc>
      </w:tr>
      <w:tr w:rsidR="00AF680E" w:rsidRPr="00D045B3" w14:paraId="1E9278B0" w14:textId="77777777" w:rsidTr="00921B46">
        <w:tc>
          <w:tcPr>
            <w:tcW w:w="2358" w:type="dxa"/>
            <w:shd w:val="clear" w:color="auto" w:fill="auto"/>
          </w:tcPr>
          <w:p w14:paraId="1E9278A7" w14:textId="77777777" w:rsidR="00AF680E" w:rsidRPr="00D045B3" w:rsidRDefault="00AF680E" w:rsidP="00921B46">
            <w:pPr>
              <w:pStyle w:val="Endnotentext"/>
              <w:widowControl w:val="0"/>
              <w:rPr>
                <w:color w:val="000000"/>
                <w:lang w:val="hu-HU"/>
              </w:rPr>
            </w:pPr>
            <w:r w:rsidRPr="00D045B3">
              <w:rPr>
                <w:color w:val="000000"/>
                <w:lang w:val="hu-HU"/>
              </w:rPr>
              <w:t>2. reindukciós blokk</w:t>
            </w:r>
          </w:p>
          <w:p w14:paraId="1E9278A8" w14:textId="77777777" w:rsidR="00AF680E" w:rsidRPr="00D045B3" w:rsidRDefault="00AF680E" w:rsidP="00921B46">
            <w:pPr>
              <w:pStyle w:val="Endnotentext"/>
              <w:widowControl w:val="0"/>
              <w:rPr>
                <w:color w:val="000000"/>
                <w:lang w:val="hu-HU"/>
              </w:rPr>
            </w:pPr>
            <w:r w:rsidRPr="00D045B3">
              <w:rPr>
                <w:color w:val="000000"/>
                <w:lang w:val="hu-HU"/>
              </w:rPr>
              <w:t>(3 hét)</w:t>
            </w:r>
          </w:p>
        </w:tc>
        <w:tc>
          <w:tcPr>
            <w:tcW w:w="6929" w:type="dxa"/>
            <w:shd w:val="clear" w:color="auto" w:fill="auto"/>
          </w:tcPr>
          <w:p w14:paraId="1E9278A9" w14:textId="77777777" w:rsidR="00AF680E" w:rsidRPr="00D045B3" w:rsidRDefault="00AF680E" w:rsidP="00921B46">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8. és 15. nap</w:t>
            </w:r>
          </w:p>
          <w:p w14:paraId="1E9278AA" w14:textId="77777777" w:rsidR="00AF680E" w:rsidRPr="00D045B3" w:rsidRDefault="00AF680E" w:rsidP="00921B46">
            <w:pPr>
              <w:pStyle w:val="Endnotentext"/>
              <w:widowControl w:val="0"/>
              <w:rPr>
                <w:color w:val="000000"/>
                <w:lang w:val="hu-HU"/>
              </w:rPr>
            </w:pPr>
            <w:r w:rsidRPr="00D045B3">
              <w:rPr>
                <w:color w:val="000000"/>
                <w:lang w:val="hu-HU"/>
              </w:rPr>
              <w:t>DAUN (45 mg/m</w:t>
            </w:r>
            <w:r w:rsidRPr="00D045B3">
              <w:rPr>
                <w:color w:val="000000"/>
                <w:vertAlign w:val="superscript"/>
                <w:lang w:val="hu-HU"/>
              </w:rPr>
              <w:t>2</w:t>
            </w:r>
            <w:r w:rsidRPr="00D045B3">
              <w:rPr>
                <w:color w:val="000000"/>
                <w:lang w:val="hu-HU"/>
              </w:rPr>
              <w:t>/nap bólus, iv.): 1. és 2. nap</w:t>
            </w:r>
          </w:p>
          <w:p w14:paraId="1E9278AB" w14:textId="77777777" w:rsidR="00AF680E" w:rsidRPr="00D045B3" w:rsidRDefault="00AF680E" w:rsidP="00921B46">
            <w:pPr>
              <w:pStyle w:val="Endnotentext"/>
              <w:widowControl w:val="0"/>
              <w:rPr>
                <w:color w:val="000000"/>
                <w:lang w:val="hu-HU"/>
              </w:rPr>
            </w:pPr>
            <w:r w:rsidRPr="00D045B3">
              <w:rPr>
                <w:color w:val="000000"/>
                <w:lang w:val="hu-HU"/>
              </w:rPr>
              <w:t>CPM (250 mg/m</w:t>
            </w:r>
            <w:r w:rsidRPr="00D045B3">
              <w:rPr>
                <w:color w:val="000000"/>
                <w:vertAlign w:val="superscript"/>
                <w:lang w:val="hu-HU"/>
              </w:rPr>
              <w:t>2</w:t>
            </w:r>
            <w:r w:rsidRPr="00D045B3">
              <w:rPr>
                <w:color w:val="000000"/>
                <w:lang w:val="hu-HU"/>
              </w:rPr>
              <w:t>/dózis 12 óránként, 4 dózis, iv.): 3. és 4. nap</w:t>
            </w:r>
          </w:p>
          <w:p w14:paraId="1E9278AC" w14:textId="77777777" w:rsidR="00AF680E" w:rsidRPr="00D045B3" w:rsidRDefault="00AF680E" w:rsidP="00921B46">
            <w:pPr>
              <w:pStyle w:val="Endnotentext"/>
              <w:widowControl w:val="0"/>
              <w:rPr>
                <w:color w:val="000000"/>
                <w:lang w:val="hu-HU"/>
              </w:rPr>
            </w:pPr>
            <w:r w:rsidRPr="00D045B3">
              <w:rPr>
                <w:color w:val="000000"/>
                <w:lang w:val="hu-HU"/>
              </w:rPr>
              <w:t>PEG</w:t>
            </w:r>
            <w:r w:rsidRPr="00D045B3">
              <w:rPr>
                <w:color w:val="000000"/>
                <w:lang w:val="hu-HU"/>
              </w:rPr>
              <w:noBreakHyphen/>
              <w:t>ASP (2500 NE/m</w:t>
            </w:r>
            <w:r w:rsidRPr="00D045B3">
              <w:rPr>
                <w:color w:val="000000"/>
                <w:vertAlign w:val="superscript"/>
                <w:lang w:val="hu-HU"/>
              </w:rPr>
              <w:t>2</w:t>
            </w:r>
            <w:r w:rsidRPr="00D045B3">
              <w:rPr>
                <w:color w:val="000000"/>
                <w:lang w:val="hu-HU"/>
              </w:rPr>
              <w:t>, i.m.): 4. nap</w:t>
            </w:r>
          </w:p>
          <w:p w14:paraId="1E9278AD"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5</w:t>
            </w:r>
            <w:r w:rsidRPr="00D045B3">
              <w:rPr>
                <w:color w:val="000000"/>
                <w:lang w:val="hu-HU"/>
              </w:rPr>
              <w:noBreakHyphen/>
              <w:t>14. nap vagy addig, amíg az ANC &gt; 1500 a mélypont után</w:t>
            </w:r>
          </w:p>
          <w:p w14:paraId="1E9278AE"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1. és 15. nap</w:t>
            </w:r>
          </w:p>
          <w:p w14:paraId="1E9278AF" w14:textId="77777777" w:rsidR="00AF680E" w:rsidRPr="00D045B3" w:rsidRDefault="00AF680E" w:rsidP="00921B46">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7. és 15</w:t>
            </w:r>
            <w:r w:rsidRPr="00D045B3">
              <w:rPr>
                <w:color w:val="000000"/>
                <w:lang w:val="hu-HU"/>
              </w:rPr>
              <w:noBreakHyphen/>
              <w:t>21. nap</w:t>
            </w:r>
          </w:p>
        </w:tc>
      </w:tr>
      <w:tr w:rsidR="00AF680E" w:rsidRPr="00D045B3" w14:paraId="1E9278BC" w14:textId="77777777" w:rsidTr="00921B46">
        <w:tc>
          <w:tcPr>
            <w:tcW w:w="2358" w:type="dxa"/>
            <w:shd w:val="clear" w:color="auto" w:fill="auto"/>
          </w:tcPr>
          <w:p w14:paraId="1E9278B1" w14:textId="77777777" w:rsidR="00AF680E" w:rsidRPr="00D045B3" w:rsidRDefault="00AF680E" w:rsidP="00921B46">
            <w:pPr>
              <w:pStyle w:val="Endnotentext"/>
              <w:widowControl w:val="0"/>
              <w:rPr>
                <w:color w:val="000000"/>
                <w:lang w:val="hu-HU"/>
              </w:rPr>
            </w:pPr>
            <w:r w:rsidRPr="00D045B3">
              <w:rPr>
                <w:color w:val="000000"/>
                <w:lang w:val="hu-HU"/>
              </w:rPr>
              <w:t>2. intenzifikációs blokk</w:t>
            </w:r>
          </w:p>
          <w:p w14:paraId="1E9278B2" w14:textId="77777777" w:rsidR="00AF680E" w:rsidRPr="00D045B3" w:rsidRDefault="00AF680E" w:rsidP="00921B46">
            <w:pPr>
              <w:pStyle w:val="Endnotentext"/>
              <w:widowControl w:val="0"/>
              <w:rPr>
                <w:color w:val="000000"/>
                <w:lang w:val="hu-HU"/>
              </w:rPr>
            </w:pPr>
            <w:r w:rsidRPr="00D045B3">
              <w:rPr>
                <w:color w:val="000000"/>
                <w:lang w:val="hu-HU"/>
              </w:rPr>
              <w:t>(9 hét)</w:t>
            </w:r>
          </w:p>
        </w:tc>
        <w:tc>
          <w:tcPr>
            <w:tcW w:w="6929" w:type="dxa"/>
            <w:shd w:val="clear" w:color="auto" w:fill="auto"/>
          </w:tcPr>
          <w:p w14:paraId="1E9278B3" w14:textId="77777777" w:rsidR="00AF680E" w:rsidRPr="00D045B3" w:rsidRDefault="00AF680E" w:rsidP="00921B46">
            <w:pPr>
              <w:pStyle w:val="Endnotentext"/>
              <w:widowControl w:val="0"/>
              <w:rPr>
                <w:color w:val="000000"/>
                <w:lang w:val="hu-HU"/>
              </w:rPr>
            </w:pPr>
            <w:r w:rsidRPr="00D045B3">
              <w:rPr>
                <w:color w:val="000000"/>
                <w:lang w:val="hu-HU"/>
              </w:rPr>
              <w:t>Metotrexát (5 g/m</w:t>
            </w:r>
            <w:r w:rsidRPr="00D045B3">
              <w:rPr>
                <w:color w:val="000000"/>
                <w:vertAlign w:val="superscript"/>
                <w:lang w:val="hu-HU"/>
              </w:rPr>
              <w:t>2</w:t>
            </w:r>
            <w:r w:rsidRPr="00D045B3">
              <w:rPr>
                <w:color w:val="000000"/>
                <w:lang w:val="hu-HU"/>
              </w:rPr>
              <w:t xml:space="preserve"> 24 óra alatt, iv.): 1. és 15. nap</w:t>
            </w:r>
          </w:p>
          <w:p w14:paraId="1E9278B4" w14:textId="77777777" w:rsidR="00AF680E" w:rsidRPr="00D045B3" w:rsidRDefault="00AF680E" w:rsidP="00921B46">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3., 16. és 17. nap</w:t>
            </w:r>
          </w:p>
          <w:p w14:paraId="1E9278B5"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1. és 22. nap</w:t>
            </w:r>
          </w:p>
          <w:p w14:paraId="1E9278B6" w14:textId="77777777" w:rsidR="00AF680E" w:rsidRPr="00D045B3" w:rsidRDefault="00AF680E" w:rsidP="00921B46">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8B7" w14:textId="77777777" w:rsidR="00AF680E" w:rsidRPr="00D045B3" w:rsidRDefault="00AF680E" w:rsidP="00921B46">
            <w:pPr>
              <w:pStyle w:val="Endnotentext"/>
              <w:widowControl w:val="0"/>
              <w:rPr>
                <w:color w:val="000000"/>
                <w:lang w:val="hu-HU"/>
              </w:rPr>
            </w:pPr>
            <w:r w:rsidRPr="00D045B3">
              <w:rPr>
                <w:color w:val="000000"/>
                <w:lang w:val="hu-HU"/>
              </w:rPr>
              <w:t>CPM (300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8B8" w14:textId="77777777" w:rsidR="00AF680E" w:rsidRPr="00D045B3" w:rsidRDefault="00AF680E" w:rsidP="00921B46">
            <w:pPr>
              <w:pStyle w:val="Endnotentext"/>
              <w:widowControl w:val="0"/>
              <w:rPr>
                <w:color w:val="000000"/>
                <w:lang w:val="hu-HU"/>
              </w:rPr>
            </w:pPr>
            <w:r w:rsidRPr="00D045B3">
              <w:rPr>
                <w:color w:val="000000"/>
                <w:lang w:val="hu-HU"/>
              </w:rPr>
              <w:t>MESNA (150 mg/m</w:t>
            </w:r>
            <w:r w:rsidRPr="00D045B3">
              <w:rPr>
                <w:color w:val="000000"/>
                <w:vertAlign w:val="superscript"/>
                <w:lang w:val="hu-HU"/>
              </w:rPr>
              <w:t>2</w:t>
            </w:r>
            <w:r w:rsidRPr="00D045B3">
              <w:rPr>
                <w:color w:val="000000"/>
                <w:lang w:val="hu-HU"/>
              </w:rPr>
              <w:t>/nap, iv.): 22</w:t>
            </w:r>
            <w:r w:rsidRPr="00D045B3">
              <w:rPr>
                <w:color w:val="000000"/>
                <w:lang w:val="hu-HU"/>
              </w:rPr>
              <w:noBreakHyphen/>
              <w:t>26. nap</w:t>
            </w:r>
          </w:p>
          <w:p w14:paraId="1E9278B9"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27</w:t>
            </w:r>
            <w:r w:rsidRPr="00D045B3">
              <w:rPr>
                <w:color w:val="000000"/>
                <w:lang w:val="hu-HU"/>
              </w:rPr>
              <w:noBreakHyphen/>
              <w:t>36. nap vagy addig, amíg az ANC &gt; 1500 a mélypont után</w:t>
            </w:r>
          </w:p>
          <w:p w14:paraId="1E9278BA" w14:textId="77777777" w:rsidR="00AF680E" w:rsidRPr="00D045B3" w:rsidRDefault="00AF680E" w:rsidP="00921B46">
            <w:pPr>
              <w:pStyle w:val="Endnotentext"/>
              <w:widowControl w:val="0"/>
              <w:rPr>
                <w:color w:val="000000"/>
                <w:lang w:val="hu-HU"/>
              </w:rPr>
            </w:pPr>
            <w:r w:rsidRPr="00D045B3">
              <w:rPr>
                <w:color w:val="000000"/>
                <w:lang w:val="hu-HU"/>
              </w:rPr>
              <w:t>ARA</w:t>
            </w:r>
            <w:r w:rsidRPr="00D045B3">
              <w:rPr>
                <w:color w:val="000000"/>
                <w:lang w:val="hu-HU"/>
              </w:rPr>
              <w:noBreakHyphen/>
              <w:t>C (3 g/m</w:t>
            </w:r>
            <w:r w:rsidRPr="00D045B3">
              <w:rPr>
                <w:color w:val="000000"/>
                <w:vertAlign w:val="superscript"/>
                <w:lang w:val="hu-HU"/>
              </w:rPr>
              <w:t>2</w:t>
            </w:r>
            <w:r w:rsidRPr="00D045B3">
              <w:rPr>
                <w:color w:val="000000"/>
                <w:lang w:val="hu-HU"/>
              </w:rPr>
              <w:t>, 12 óránként, iv.): 43., 44. nap</w:t>
            </w:r>
          </w:p>
          <w:p w14:paraId="1E9278BB" w14:textId="77777777" w:rsidR="00AF680E" w:rsidRPr="00D045B3" w:rsidRDefault="00AF680E" w:rsidP="00921B46">
            <w:pPr>
              <w:pStyle w:val="Endnotentext"/>
              <w:widowControl w:val="0"/>
              <w:rPr>
                <w:color w:val="000000"/>
                <w:lang w:val="hu-HU"/>
              </w:rPr>
            </w:pPr>
            <w:r w:rsidRPr="00D045B3">
              <w:rPr>
                <w:color w:val="000000"/>
                <w:lang w:val="hu-HU"/>
              </w:rPr>
              <w:t>L</w:t>
            </w:r>
            <w:r w:rsidRPr="00D045B3">
              <w:rPr>
                <w:color w:val="000000"/>
                <w:lang w:val="hu-HU"/>
              </w:rPr>
              <w:noBreakHyphen/>
              <w:t>ASP (6000 NE/m</w:t>
            </w:r>
            <w:r w:rsidRPr="00D045B3">
              <w:rPr>
                <w:color w:val="000000"/>
                <w:vertAlign w:val="superscript"/>
                <w:lang w:val="hu-HU"/>
              </w:rPr>
              <w:t>2</w:t>
            </w:r>
            <w:r w:rsidRPr="00D045B3">
              <w:rPr>
                <w:color w:val="000000"/>
                <w:lang w:val="hu-HU"/>
              </w:rPr>
              <w:t>, i.m.): 44. Nap</w:t>
            </w:r>
          </w:p>
        </w:tc>
      </w:tr>
      <w:tr w:rsidR="00AF680E" w:rsidRPr="00D045B3" w14:paraId="1E9278CB" w14:textId="77777777" w:rsidTr="00921B46">
        <w:tc>
          <w:tcPr>
            <w:tcW w:w="2358" w:type="dxa"/>
            <w:shd w:val="clear" w:color="auto" w:fill="auto"/>
          </w:tcPr>
          <w:p w14:paraId="1E9278BD" w14:textId="77777777" w:rsidR="00AF680E" w:rsidRPr="00D045B3" w:rsidRDefault="00AF680E" w:rsidP="00921B46">
            <w:pPr>
              <w:pStyle w:val="Endnotentext"/>
              <w:widowControl w:val="0"/>
              <w:rPr>
                <w:color w:val="000000"/>
                <w:lang w:val="hu-HU"/>
              </w:rPr>
            </w:pPr>
            <w:r w:rsidRPr="00D045B3">
              <w:rPr>
                <w:color w:val="000000"/>
                <w:lang w:val="hu-HU"/>
              </w:rPr>
              <w:t>Fenntartó kezelés</w:t>
            </w:r>
          </w:p>
          <w:p w14:paraId="1E9278BE" w14:textId="77777777" w:rsidR="00AF680E" w:rsidRPr="00D045B3" w:rsidRDefault="00AF680E" w:rsidP="00921B46">
            <w:pPr>
              <w:pStyle w:val="Endnotentext"/>
              <w:widowControl w:val="0"/>
              <w:rPr>
                <w:color w:val="000000"/>
                <w:lang w:val="hu-HU"/>
              </w:rPr>
            </w:pPr>
            <w:r w:rsidRPr="00D045B3">
              <w:rPr>
                <w:color w:val="000000"/>
                <w:lang w:val="hu-HU"/>
              </w:rPr>
              <w:t>(8 hetes ciklusok)</w:t>
            </w:r>
          </w:p>
          <w:p w14:paraId="1E9278BF" w14:textId="77777777" w:rsidR="00AF680E" w:rsidRPr="00D045B3" w:rsidRDefault="00AF680E" w:rsidP="00921B46">
            <w:pPr>
              <w:pStyle w:val="Endnotentext"/>
              <w:widowControl w:val="0"/>
              <w:rPr>
                <w:color w:val="000000"/>
                <w:lang w:val="hu-HU"/>
              </w:rPr>
            </w:pPr>
            <w:r w:rsidRPr="00D045B3">
              <w:rPr>
                <w:color w:val="000000"/>
                <w:lang w:val="hu-HU"/>
              </w:rPr>
              <w:t>1–4. Ciklus</w:t>
            </w:r>
          </w:p>
        </w:tc>
        <w:tc>
          <w:tcPr>
            <w:tcW w:w="6929" w:type="dxa"/>
            <w:shd w:val="clear" w:color="auto" w:fill="auto"/>
          </w:tcPr>
          <w:p w14:paraId="1E9278C0" w14:textId="77777777" w:rsidR="00AF680E" w:rsidRPr="00D045B3" w:rsidRDefault="00AF680E" w:rsidP="00921B46">
            <w:pPr>
              <w:pStyle w:val="Endnotentext"/>
              <w:widowControl w:val="0"/>
              <w:rPr>
                <w:color w:val="000000"/>
                <w:lang w:val="hu-HU"/>
              </w:rPr>
            </w:pPr>
            <w:r w:rsidRPr="00D045B3">
              <w:rPr>
                <w:color w:val="000000"/>
                <w:lang w:val="hu-HU"/>
              </w:rPr>
              <w:t>MTX (5 g/m</w:t>
            </w:r>
            <w:r w:rsidRPr="00D045B3">
              <w:rPr>
                <w:color w:val="000000"/>
                <w:vertAlign w:val="superscript"/>
                <w:lang w:val="hu-HU"/>
              </w:rPr>
              <w:t>2</w:t>
            </w:r>
            <w:r w:rsidRPr="00D045B3">
              <w:rPr>
                <w:color w:val="000000"/>
                <w:lang w:val="hu-HU"/>
              </w:rPr>
              <w:t xml:space="preserve"> 24 óra alatt, iv.): 1. nap</w:t>
            </w:r>
          </w:p>
          <w:p w14:paraId="1E9278C1" w14:textId="77777777" w:rsidR="00AF680E" w:rsidRPr="00D045B3" w:rsidRDefault="00AF680E" w:rsidP="00921B46">
            <w:pPr>
              <w:pStyle w:val="Endnotentext"/>
              <w:widowControl w:val="0"/>
              <w:rPr>
                <w:color w:val="000000"/>
                <w:lang w:val="hu-HU"/>
              </w:rPr>
            </w:pPr>
            <w:r w:rsidRPr="00D045B3">
              <w:rPr>
                <w:color w:val="000000"/>
                <w:lang w:val="hu-HU"/>
              </w:rPr>
              <w:t>Leukovorin (75 mg/m</w:t>
            </w:r>
            <w:r w:rsidRPr="00D045B3">
              <w:rPr>
                <w:color w:val="000000"/>
                <w:vertAlign w:val="superscript"/>
                <w:lang w:val="hu-HU"/>
              </w:rPr>
              <w:t>2</w:t>
            </w:r>
            <w:r w:rsidRPr="00D045B3">
              <w:rPr>
                <w:color w:val="000000"/>
                <w:lang w:val="hu-HU"/>
              </w:rPr>
              <w:t xml:space="preserve"> a 36. órában, iv.; 15 mg/m</w:t>
            </w:r>
            <w:r w:rsidRPr="00D045B3">
              <w:rPr>
                <w:color w:val="000000"/>
                <w:vertAlign w:val="superscript"/>
                <w:lang w:val="hu-HU"/>
              </w:rPr>
              <w:t>2</w:t>
            </w:r>
            <w:r w:rsidRPr="00D045B3">
              <w:rPr>
                <w:color w:val="000000"/>
                <w:lang w:val="hu-HU"/>
              </w:rPr>
              <w:t xml:space="preserve"> iv. vagy p.o. 6 óránként, 6 dózis)iii: 2. és 3. nap</w:t>
            </w:r>
          </w:p>
          <w:p w14:paraId="1E9278C2" w14:textId="77777777" w:rsidR="00AF680E" w:rsidRPr="00D045B3" w:rsidRDefault="00AF680E" w:rsidP="00921B46">
            <w:pPr>
              <w:pStyle w:val="Endnotentext"/>
              <w:widowControl w:val="0"/>
              <w:rPr>
                <w:color w:val="000000"/>
                <w:lang w:val="hu-HU"/>
              </w:rPr>
            </w:pPr>
            <w:r w:rsidRPr="00D045B3">
              <w:rPr>
                <w:color w:val="000000"/>
                <w:lang w:val="hu-HU"/>
              </w:rPr>
              <w:t>Hármas i.t. kezelés (életkorra korrigált): 1., 29. nap</w:t>
            </w:r>
          </w:p>
          <w:p w14:paraId="1E9278C3" w14:textId="77777777" w:rsidR="00AF680E" w:rsidRPr="00D045B3" w:rsidRDefault="00AF680E" w:rsidP="00921B46">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 iv.): 1., 29. nap</w:t>
            </w:r>
          </w:p>
          <w:p w14:paraId="1E9278C4" w14:textId="77777777" w:rsidR="00AF680E" w:rsidRPr="00D045B3" w:rsidRDefault="00AF680E" w:rsidP="00921B46">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5.; 29</w:t>
            </w:r>
            <w:r w:rsidRPr="00D045B3">
              <w:rPr>
                <w:color w:val="000000"/>
                <w:lang w:val="hu-HU"/>
              </w:rPr>
              <w:noBreakHyphen/>
              <w:t>33. nap</w:t>
            </w:r>
          </w:p>
          <w:p w14:paraId="1E9278C5" w14:textId="77777777" w:rsidR="00AF680E" w:rsidRPr="00D045B3" w:rsidRDefault="00AF680E" w:rsidP="00921B46">
            <w:pPr>
              <w:pStyle w:val="Endnotentext"/>
              <w:widowControl w:val="0"/>
              <w:rPr>
                <w:color w:val="000000"/>
                <w:lang w:val="hu-HU"/>
              </w:rPr>
            </w:pPr>
            <w:r w:rsidRPr="00D045B3">
              <w:rPr>
                <w:color w:val="000000"/>
                <w:lang w:val="hu-HU"/>
              </w:rPr>
              <w:t>6</w:t>
            </w:r>
            <w:r w:rsidRPr="00D045B3">
              <w:rPr>
                <w:color w:val="000000"/>
                <w:lang w:val="hu-HU"/>
              </w:rPr>
              <w:noBreakHyphen/>
              <w:t>MP (75 mg/m</w:t>
            </w:r>
            <w:r w:rsidRPr="00D045B3">
              <w:rPr>
                <w:color w:val="000000"/>
                <w:vertAlign w:val="superscript"/>
                <w:lang w:val="hu-HU"/>
              </w:rPr>
              <w:t>2</w:t>
            </w:r>
            <w:r w:rsidRPr="00D045B3">
              <w:rPr>
                <w:color w:val="000000"/>
                <w:lang w:val="hu-HU"/>
              </w:rPr>
              <w:t>/nap, p.o.): 8</w:t>
            </w:r>
            <w:r w:rsidRPr="00D045B3">
              <w:rPr>
                <w:color w:val="000000"/>
                <w:lang w:val="hu-HU"/>
              </w:rPr>
              <w:noBreakHyphen/>
              <w:t>28. nap</w:t>
            </w:r>
          </w:p>
          <w:p w14:paraId="1E9278C6" w14:textId="77777777" w:rsidR="00AF680E" w:rsidRPr="00D045B3" w:rsidRDefault="00AF680E" w:rsidP="00921B46">
            <w:pPr>
              <w:pStyle w:val="Endnotentext"/>
              <w:widowControl w:val="0"/>
              <w:rPr>
                <w:color w:val="000000"/>
                <w:lang w:val="hu-HU"/>
              </w:rPr>
            </w:pPr>
            <w:r w:rsidRPr="00D045B3">
              <w:rPr>
                <w:color w:val="000000"/>
                <w:lang w:val="hu-HU"/>
              </w:rPr>
              <w:t>Metotrexát (20 mg/m</w:t>
            </w:r>
            <w:r w:rsidRPr="00D045B3">
              <w:rPr>
                <w:color w:val="000000"/>
                <w:vertAlign w:val="superscript"/>
                <w:lang w:val="hu-HU"/>
              </w:rPr>
              <w:t>2</w:t>
            </w:r>
            <w:r w:rsidRPr="00D045B3">
              <w:rPr>
                <w:color w:val="000000"/>
                <w:lang w:val="hu-HU"/>
              </w:rPr>
              <w:t>/hét, p.o.): 8., 15., 22. nap</w:t>
            </w:r>
          </w:p>
          <w:p w14:paraId="1E9278C7" w14:textId="77777777" w:rsidR="00AF680E" w:rsidRPr="00D045B3" w:rsidRDefault="00AF680E" w:rsidP="00921B46">
            <w:pPr>
              <w:pStyle w:val="Endnotentext"/>
              <w:widowControl w:val="0"/>
              <w:rPr>
                <w:color w:val="000000"/>
                <w:lang w:val="hu-HU"/>
              </w:rPr>
            </w:pPr>
            <w:r w:rsidRPr="00D045B3">
              <w:rPr>
                <w:color w:val="000000"/>
                <w:lang w:val="hu-HU"/>
              </w:rPr>
              <w:t>VP</w:t>
            </w:r>
            <w:r w:rsidRPr="00D045B3">
              <w:rPr>
                <w:color w:val="000000"/>
                <w:lang w:val="hu-HU"/>
              </w:rPr>
              <w:noBreakHyphen/>
              <w:t>16 (100 mg/m</w:t>
            </w:r>
            <w:r w:rsidRPr="00D045B3">
              <w:rPr>
                <w:color w:val="000000"/>
                <w:vertAlign w:val="superscript"/>
                <w:lang w:val="hu-HU"/>
              </w:rPr>
              <w:t>2</w:t>
            </w:r>
            <w:r w:rsidRPr="00D045B3">
              <w:rPr>
                <w:color w:val="000000"/>
                <w:lang w:val="hu-HU"/>
              </w:rPr>
              <w:t>, iv.): 29</w:t>
            </w:r>
            <w:r w:rsidRPr="00D045B3">
              <w:rPr>
                <w:color w:val="000000"/>
                <w:lang w:val="hu-HU"/>
              </w:rPr>
              <w:noBreakHyphen/>
              <w:t>33. nap</w:t>
            </w:r>
          </w:p>
          <w:p w14:paraId="1E9278C8" w14:textId="77777777" w:rsidR="00AF680E" w:rsidRPr="00D045B3" w:rsidRDefault="00AF680E" w:rsidP="00921B46">
            <w:pPr>
              <w:pStyle w:val="Endnotentext"/>
              <w:widowControl w:val="0"/>
              <w:rPr>
                <w:color w:val="000000"/>
                <w:lang w:val="hu-HU"/>
              </w:rPr>
            </w:pPr>
            <w:r w:rsidRPr="00D045B3">
              <w:rPr>
                <w:color w:val="000000"/>
                <w:lang w:val="hu-HU"/>
              </w:rPr>
              <w:t>CPM (300 mg/m</w:t>
            </w:r>
            <w:r w:rsidRPr="00D045B3">
              <w:rPr>
                <w:color w:val="000000"/>
                <w:vertAlign w:val="superscript"/>
                <w:lang w:val="hu-HU"/>
              </w:rPr>
              <w:t>2</w:t>
            </w:r>
            <w:r w:rsidRPr="00D045B3">
              <w:rPr>
                <w:color w:val="000000"/>
                <w:lang w:val="hu-HU"/>
              </w:rPr>
              <w:t>, iv.): 29</w:t>
            </w:r>
            <w:r w:rsidRPr="00D045B3">
              <w:rPr>
                <w:color w:val="000000"/>
                <w:lang w:val="hu-HU"/>
              </w:rPr>
              <w:noBreakHyphen/>
              <w:t>33. nap</w:t>
            </w:r>
          </w:p>
          <w:p w14:paraId="1E9278C9" w14:textId="77777777" w:rsidR="00AF680E" w:rsidRPr="00D045B3" w:rsidRDefault="00AF680E" w:rsidP="00921B46">
            <w:pPr>
              <w:pStyle w:val="Endnotentext"/>
              <w:widowControl w:val="0"/>
              <w:rPr>
                <w:color w:val="000000"/>
                <w:lang w:val="hu-HU"/>
              </w:rPr>
            </w:pPr>
            <w:r w:rsidRPr="00D045B3">
              <w:rPr>
                <w:color w:val="000000"/>
                <w:lang w:val="hu-HU"/>
              </w:rPr>
              <w:t>MESNA iv., 29</w:t>
            </w:r>
            <w:r w:rsidRPr="00D045B3">
              <w:rPr>
                <w:color w:val="000000"/>
                <w:lang w:val="hu-HU"/>
              </w:rPr>
              <w:noBreakHyphen/>
              <w:t>33. nap</w:t>
            </w:r>
          </w:p>
          <w:p w14:paraId="1E9278CA" w14:textId="77777777" w:rsidR="00AF680E" w:rsidRPr="00D045B3" w:rsidRDefault="00AF680E" w:rsidP="00921B46">
            <w:pPr>
              <w:pStyle w:val="Endnotentext"/>
              <w:widowControl w:val="0"/>
              <w:rPr>
                <w:color w:val="000000"/>
                <w:lang w:val="hu-HU"/>
              </w:rPr>
            </w:pPr>
            <w:r w:rsidRPr="00D045B3">
              <w:rPr>
                <w:color w:val="000000"/>
                <w:lang w:val="hu-HU"/>
              </w:rPr>
              <w:t>G</w:t>
            </w:r>
            <w:r w:rsidRPr="00D045B3">
              <w:rPr>
                <w:color w:val="000000"/>
                <w:lang w:val="hu-HU"/>
              </w:rPr>
              <w:noBreakHyphen/>
              <w:t>CSF (5 μg/kg, sc.): 34</w:t>
            </w:r>
            <w:r w:rsidRPr="00D045B3">
              <w:rPr>
                <w:color w:val="000000"/>
                <w:lang w:val="hu-HU"/>
              </w:rPr>
              <w:noBreakHyphen/>
              <w:t>43. Nap</w:t>
            </w:r>
          </w:p>
        </w:tc>
      </w:tr>
      <w:tr w:rsidR="00AF680E" w:rsidRPr="00D045B3" w14:paraId="1E9278D6" w14:textId="77777777" w:rsidTr="00921B46">
        <w:tc>
          <w:tcPr>
            <w:tcW w:w="2358" w:type="dxa"/>
            <w:shd w:val="clear" w:color="auto" w:fill="auto"/>
          </w:tcPr>
          <w:p w14:paraId="1E9278CC" w14:textId="77777777" w:rsidR="00AF680E" w:rsidRPr="00D045B3" w:rsidRDefault="00AF680E" w:rsidP="00921B46">
            <w:pPr>
              <w:pStyle w:val="Endnotentext"/>
              <w:widowControl w:val="0"/>
              <w:rPr>
                <w:color w:val="000000"/>
                <w:lang w:val="hu-HU"/>
              </w:rPr>
            </w:pPr>
            <w:r w:rsidRPr="00D045B3">
              <w:rPr>
                <w:color w:val="000000"/>
                <w:lang w:val="hu-HU"/>
              </w:rPr>
              <w:t>Fenntartó kezelés</w:t>
            </w:r>
          </w:p>
          <w:p w14:paraId="1E9278CD" w14:textId="77777777" w:rsidR="00AF680E" w:rsidRPr="00D045B3" w:rsidRDefault="00AF680E" w:rsidP="00921B46">
            <w:pPr>
              <w:pStyle w:val="Endnotentext"/>
              <w:widowControl w:val="0"/>
              <w:rPr>
                <w:color w:val="000000"/>
                <w:lang w:val="hu-HU"/>
              </w:rPr>
            </w:pPr>
            <w:r w:rsidRPr="00D045B3">
              <w:rPr>
                <w:color w:val="000000"/>
                <w:lang w:val="hu-HU"/>
              </w:rPr>
              <w:t>(8 hetes ciklusok)</w:t>
            </w:r>
          </w:p>
          <w:p w14:paraId="1E9278CE" w14:textId="77777777" w:rsidR="00AF680E" w:rsidRPr="00D045B3" w:rsidRDefault="00AF680E" w:rsidP="00921B46">
            <w:pPr>
              <w:pStyle w:val="Endnotentext"/>
              <w:widowControl w:val="0"/>
              <w:rPr>
                <w:color w:val="000000"/>
                <w:lang w:val="hu-HU"/>
              </w:rPr>
            </w:pPr>
            <w:r w:rsidRPr="00D045B3">
              <w:rPr>
                <w:color w:val="000000"/>
                <w:lang w:val="hu-HU"/>
              </w:rPr>
              <w:t>5. ciklus</w:t>
            </w:r>
          </w:p>
        </w:tc>
        <w:tc>
          <w:tcPr>
            <w:tcW w:w="6929" w:type="dxa"/>
            <w:shd w:val="clear" w:color="auto" w:fill="auto"/>
          </w:tcPr>
          <w:p w14:paraId="1E9278CF" w14:textId="77777777" w:rsidR="00AF680E" w:rsidRPr="00D045B3" w:rsidRDefault="00AF680E" w:rsidP="00921B46">
            <w:pPr>
              <w:pStyle w:val="Endnotentext"/>
              <w:widowControl w:val="0"/>
              <w:rPr>
                <w:color w:val="000000"/>
                <w:lang w:val="hu-HU"/>
              </w:rPr>
            </w:pPr>
            <w:r w:rsidRPr="00D045B3">
              <w:rPr>
                <w:color w:val="000000"/>
                <w:lang w:val="hu-HU"/>
              </w:rPr>
              <w:t>Koponya irradiáció (csak az 5. blokkban)</w:t>
            </w:r>
          </w:p>
          <w:p w14:paraId="1E9278D0" w14:textId="77777777" w:rsidR="00AF680E" w:rsidRPr="00D045B3" w:rsidRDefault="00AF680E" w:rsidP="00921B46">
            <w:pPr>
              <w:pStyle w:val="Endnotentext"/>
              <w:widowControl w:val="0"/>
              <w:rPr>
                <w:color w:val="000000"/>
                <w:lang w:val="hu-HU"/>
              </w:rPr>
            </w:pPr>
            <w:r w:rsidRPr="00D045B3">
              <w:rPr>
                <w:color w:val="000000"/>
                <w:lang w:val="hu-HU"/>
              </w:rPr>
              <w:t>12 Gy 8 frakcióban, minden olyan betegnél, aki a diagnózis pillanatában CNS1 és CNS2 stádiumban van</w:t>
            </w:r>
          </w:p>
          <w:p w14:paraId="1E9278D1" w14:textId="77777777" w:rsidR="00AF680E" w:rsidRPr="00D045B3" w:rsidRDefault="00AF680E" w:rsidP="00921B46">
            <w:pPr>
              <w:pStyle w:val="Endnotentext"/>
              <w:widowControl w:val="0"/>
              <w:rPr>
                <w:color w:val="000000"/>
                <w:lang w:val="hu-HU"/>
              </w:rPr>
            </w:pPr>
            <w:r w:rsidRPr="00D045B3">
              <w:rPr>
                <w:color w:val="000000"/>
                <w:lang w:val="hu-HU"/>
              </w:rPr>
              <w:t>18 Gy 10 frakcióban, minden olyan betegnél, aki a diagnózis pillanatában CNS3 stádiumban van</w:t>
            </w:r>
          </w:p>
          <w:p w14:paraId="1E9278D2" w14:textId="77777777" w:rsidR="00AF680E" w:rsidRPr="00D045B3" w:rsidRDefault="00AF680E" w:rsidP="00921B46">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29. nap</w:t>
            </w:r>
          </w:p>
          <w:p w14:paraId="1E9278D3" w14:textId="77777777" w:rsidR="00AF680E" w:rsidRPr="00D045B3" w:rsidRDefault="00AF680E" w:rsidP="00921B46">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5.; 29</w:t>
            </w:r>
            <w:r w:rsidRPr="00D045B3">
              <w:rPr>
                <w:color w:val="000000"/>
                <w:lang w:val="hu-HU"/>
              </w:rPr>
              <w:noBreakHyphen/>
              <w:t>33. nap</w:t>
            </w:r>
          </w:p>
          <w:p w14:paraId="1E9278D4" w14:textId="77777777" w:rsidR="00AF680E" w:rsidRPr="00D045B3" w:rsidRDefault="00AF680E" w:rsidP="00921B46">
            <w:pPr>
              <w:pStyle w:val="Endnotentext"/>
              <w:widowControl w:val="0"/>
              <w:rPr>
                <w:color w:val="000000"/>
                <w:lang w:val="hu-HU"/>
              </w:rPr>
            </w:pPr>
            <w:r w:rsidRPr="00D045B3">
              <w:rPr>
                <w:color w:val="000000"/>
                <w:lang w:val="hu-HU"/>
              </w:rPr>
              <w:t>6</w:t>
            </w:r>
            <w:r w:rsidRPr="00D045B3">
              <w:rPr>
                <w:color w:val="000000"/>
                <w:lang w:val="hu-HU"/>
              </w:rPr>
              <w:noBreakHyphen/>
              <w:t>MP (75 mg/m</w:t>
            </w:r>
            <w:r w:rsidRPr="00D045B3">
              <w:rPr>
                <w:color w:val="000000"/>
                <w:vertAlign w:val="superscript"/>
                <w:lang w:val="hu-HU"/>
              </w:rPr>
              <w:t>2</w:t>
            </w:r>
            <w:r w:rsidRPr="00D045B3">
              <w:rPr>
                <w:color w:val="000000"/>
                <w:lang w:val="hu-HU"/>
              </w:rPr>
              <w:t>/nap, p.o.): 11</w:t>
            </w:r>
            <w:r w:rsidRPr="00D045B3">
              <w:rPr>
                <w:color w:val="000000"/>
                <w:lang w:val="hu-HU"/>
              </w:rPr>
              <w:noBreakHyphen/>
              <w:t>56. nap (Az 5. ciklus 1. napján kezdődő koponya irradiáció 6</w:t>
            </w:r>
            <w:r w:rsidRPr="00D045B3">
              <w:rPr>
                <w:color w:val="000000"/>
                <w:lang w:val="hu-HU"/>
              </w:rPr>
              <w:noBreakHyphen/>
              <w:t>10. napja alatt a 6</w:t>
            </w:r>
            <w:r w:rsidRPr="00D045B3">
              <w:rPr>
                <w:color w:val="000000"/>
                <w:lang w:val="hu-HU"/>
              </w:rPr>
              <w:noBreakHyphen/>
              <w:t>MP adását abba kell hagyni. A 6</w:t>
            </w:r>
            <w:r w:rsidRPr="00D045B3">
              <w:rPr>
                <w:color w:val="000000"/>
                <w:lang w:val="hu-HU"/>
              </w:rPr>
              <w:noBreakHyphen/>
              <w:t>MP</w:t>
            </w:r>
            <w:r w:rsidRPr="00D045B3">
              <w:rPr>
                <w:color w:val="000000"/>
                <w:lang w:val="hu-HU"/>
              </w:rPr>
              <w:noBreakHyphen/>
              <w:t>t a koponya irradiáció befejezése utáni 1. nap kell elkezdeni.)</w:t>
            </w:r>
          </w:p>
          <w:p w14:paraId="1E9278D5" w14:textId="77777777" w:rsidR="00AF680E" w:rsidRPr="00D045B3" w:rsidRDefault="00AF680E" w:rsidP="00921B46">
            <w:pPr>
              <w:pStyle w:val="Endnotentext"/>
              <w:widowControl w:val="0"/>
              <w:rPr>
                <w:color w:val="000000"/>
                <w:lang w:val="hu-HU"/>
              </w:rPr>
            </w:pPr>
            <w:r w:rsidRPr="00D045B3">
              <w:rPr>
                <w:color w:val="000000"/>
                <w:lang w:val="hu-HU"/>
              </w:rPr>
              <w:t>Metotrexát (20 mg/m</w:t>
            </w:r>
            <w:r w:rsidRPr="00D045B3">
              <w:rPr>
                <w:color w:val="000000"/>
                <w:vertAlign w:val="superscript"/>
                <w:lang w:val="hu-HU"/>
              </w:rPr>
              <w:t>2</w:t>
            </w:r>
            <w:r w:rsidRPr="00D045B3">
              <w:rPr>
                <w:color w:val="000000"/>
                <w:lang w:val="hu-HU"/>
              </w:rPr>
              <w:t>/hét, p.o.): 8., 15., 22., 29., 36., 43., 50. nap</w:t>
            </w:r>
          </w:p>
        </w:tc>
      </w:tr>
      <w:tr w:rsidR="00AF680E" w:rsidRPr="00D045B3" w14:paraId="1E9278DE" w14:textId="77777777" w:rsidTr="00921B46">
        <w:tc>
          <w:tcPr>
            <w:tcW w:w="2358" w:type="dxa"/>
            <w:shd w:val="clear" w:color="auto" w:fill="auto"/>
          </w:tcPr>
          <w:p w14:paraId="1E9278D7" w14:textId="77777777" w:rsidR="00AF680E" w:rsidRPr="00D045B3" w:rsidRDefault="00AF680E" w:rsidP="00921B46">
            <w:pPr>
              <w:pStyle w:val="Endnotentext"/>
              <w:widowControl w:val="0"/>
              <w:rPr>
                <w:color w:val="000000"/>
                <w:lang w:val="hu-HU"/>
              </w:rPr>
            </w:pPr>
            <w:r w:rsidRPr="00D045B3">
              <w:rPr>
                <w:color w:val="000000"/>
                <w:lang w:val="hu-HU"/>
              </w:rPr>
              <w:t>Fenntartó kezelés</w:t>
            </w:r>
          </w:p>
          <w:p w14:paraId="1E9278D8" w14:textId="77777777" w:rsidR="00AF680E" w:rsidRPr="00D045B3" w:rsidRDefault="00AF680E" w:rsidP="00921B46">
            <w:pPr>
              <w:pStyle w:val="Endnotentext"/>
              <w:widowControl w:val="0"/>
              <w:rPr>
                <w:color w:val="000000"/>
                <w:lang w:val="hu-HU"/>
              </w:rPr>
            </w:pPr>
            <w:r w:rsidRPr="00D045B3">
              <w:rPr>
                <w:color w:val="000000"/>
                <w:lang w:val="hu-HU"/>
              </w:rPr>
              <w:t>(8 hetes ciklusok)</w:t>
            </w:r>
          </w:p>
          <w:p w14:paraId="1E9278D9" w14:textId="77777777" w:rsidR="00AF680E" w:rsidRPr="00D045B3" w:rsidRDefault="00AF680E" w:rsidP="00921B46">
            <w:pPr>
              <w:pStyle w:val="Endnotentext"/>
              <w:widowControl w:val="0"/>
              <w:rPr>
                <w:color w:val="000000"/>
                <w:lang w:val="hu-HU"/>
              </w:rPr>
            </w:pPr>
            <w:r w:rsidRPr="00D045B3">
              <w:rPr>
                <w:color w:val="000000"/>
                <w:lang w:val="hu-HU"/>
              </w:rPr>
              <w:t>6</w:t>
            </w:r>
            <w:r w:rsidRPr="00D045B3">
              <w:rPr>
                <w:color w:val="000000"/>
                <w:lang w:val="hu-HU"/>
              </w:rPr>
              <w:noBreakHyphen/>
              <w:t>12. ciklus</w:t>
            </w:r>
          </w:p>
        </w:tc>
        <w:tc>
          <w:tcPr>
            <w:tcW w:w="6929" w:type="dxa"/>
            <w:shd w:val="clear" w:color="auto" w:fill="auto"/>
          </w:tcPr>
          <w:p w14:paraId="1E9278DA" w14:textId="77777777" w:rsidR="00AF680E" w:rsidRPr="00D045B3" w:rsidRDefault="00AF680E" w:rsidP="00921B46">
            <w:pPr>
              <w:pStyle w:val="Endnotentext"/>
              <w:widowControl w:val="0"/>
              <w:rPr>
                <w:color w:val="000000"/>
                <w:lang w:val="hu-HU"/>
              </w:rPr>
            </w:pPr>
            <w:r w:rsidRPr="00D045B3">
              <w:rPr>
                <w:color w:val="000000"/>
                <w:lang w:val="hu-HU"/>
              </w:rPr>
              <w:t>VCR (1,5 mg/m</w:t>
            </w:r>
            <w:r w:rsidRPr="00D045B3">
              <w:rPr>
                <w:color w:val="000000"/>
                <w:vertAlign w:val="superscript"/>
                <w:lang w:val="hu-HU"/>
              </w:rPr>
              <w:t>2</w:t>
            </w:r>
            <w:r w:rsidRPr="00D045B3">
              <w:rPr>
                <w:color w:val="000000"/>
                <w:lang w:val="hu-HU"/>
              </w:rPr>
              <w:t>/nap, iv.): 1., 29. nap</w:t>
            </w:r>
          </w:p>
          <w:p w14:paraId="1E9278DB" w14:textId="77777777" w:rsidR="00AF680E" w:rsidRPr="00D045B3" w:rsidRDefault="00AF680E" w:rsidP="00921B46">
            <w:pPr>
              <w:pStyle w:val="Endnotentext"/>
              <w:widowControl w:val="0"/>
              <w:rPr>
                <w:color w:val="000000"/>
                <w:lang w:val="hu-HU"/>
              </w:rPr>
            </w:pPr>
            <w:r w:rsidRPr="00D045B3">
              <w:rPr>
                <w:color w:val="000000"/>
                <w:lang w:val="hu-HU"/>
              </w:rPr>
              <w:t>DEX (6 mg/m</w:t>
            </w:r>
            <w:r w:rsidRPr="00D045B3">
              <w:rPr>
                <w:color w:val="000000"/>
                <w:vertAlign w:val="superscript"/>
                <w:lang w:val="hu-HU"/>
              </w:rPr>
              <w:t>2</w:t>
            </w:r>
            <w:r w:rsidRPr="00D045B3">
              <w:rPr>
                <w:color w:val="000000"/>
                <w:lang w:val="hu-HU"/>
              </w:rPr>
              <w:t>/nap, p.o.): 1</w:t>
            </w:r>
            <w:r w:rsidRPr="00D045B3">
              <w:rPr>
                <w:color w:val="000000"/>
                <w:lang w:val="hu-HU"/>
              </w:rPr>
              <w:noBreakHyphen/>
              <w:t>5.; 29</w:t>
            </w:r>
            <w:r w:rsidRPr="00D045B3">
              <w:rPr>
                <w:color w:val="000000"/>
                <w:lang w:val="hu-HU"/>
              </w:rPr>
              <w:noBreakHyphen/>
              <w:t>33. nap</w:t>
            </w:r>
          </w:p>
          <w:p w14:paraId="1E9278DC" w14:textId="77777777" w:rsidR="00AF680E" w:rsidRPr="00D045B3" w:rsidRDefault="00AF680E" w:rsidP="00921B46">
            <w:pPr>
              <w:pStyle w:val="Endnotentext"/>
              <w:widowControl w:val="0"/>
              <w:rPr>
                <w:color w:val="000000"/>
                <w:lang w:val="hu-HU"/>
              </w:rPr>
            </w:pPr>
            <w:r w:rsidRPr="00D045B3">
              <w:rPr>
                <w:color w:val="000000"/>
                <w:lang w:val="hu-HU"/>
              </w:rPr>
              <w:t>6</w:t>
            </w:r>
            <w:r w:rsidRPr="00D045B3">
              <w:rPr>
                <w:color w:val="000000"/>
                <w:lang w:val="hu-HU"/>
              </w:rPr>
              <w:noBreakHyphen/>
              <w:t>MP (75 mg/m</w:t>
            </w:r>
            <w:r w:rsidRPr="00D045B3">
              <w:rPr>
                <w:color w:val="000000"/>
                <w:vertAlign w:val="superscript"/>
                <w:lang w:val="hu-HU"/>
              </w:rPr>
              <w:t>2</w:t>
            </w:r>
            <w:r w:rsidRPr="00D045B3">
              <w:rPr>
                <w:color w:val="000000"/>
                <w:lang w:val="hu-HU"/>
              </w:rPr>
              <w:t>/nap, p.o.): 1</w:t>
            </w:r>
            <w:r w:rsidRPr="00D045B3">
              <w:rPr>
                <w:color w:val="000000"/>
                <w:lang w:val="hu-HU"/>
              </w:rPr>
              <w:noBreakHyphen/>
              <w:t>56. nap</w:t>
            </w:r>
          </w:p>
          <w:p w14:paraId="1E9278DD" w14:textId="77777777" w:rsidR="00AF680E" w:rsidRPr="00D045B3" w:rsidRDefault="00AF680E" w:rsidP="00921B46">
            <w:pPr>
              <w:pStyle w:val="Endnotentext"/>
              <w:widowControl w:val="0"/>
              <w:rPr>
                <w:color w:val="000000"/>
                <w:lang w:val="hu-HU"/>
              </w:rPr>
            </w:pPr>
            <w:r w:rsidRPr="00D045B3">
              <w:rPr>
                <w:color w:val="000000"/>
                <w:lang w:val="hu-HU"/>
              </w:rPr>
              <w:t>Metotrexát (20 mg/m</w:t>
            </w:r>
            <w:r w:rsidRPr="00D045B3">
              <w:rPr>
                <w:color w:val="000000"/>
                <w:vertAlign w:val="superscript"/>
                <w:lang w:val="hu-HU"/>
              </w:rPr>
              <w:t>2</w:t>
            </w:r>
            <w:r w:rsidRPr="00D045B3">
              <w:rPr>
                <w:color w:val="000000"/>
                <w:lang w:val="hu-HU"/>
              </w:rPr>
              <w:t>/hét, p.o.): 1., 8., 15., 22., 29., 36., 43., 50. nap</w:t>
            </w:r>
          </w:p>
        </w:tc>
      </w:tr>
    </w:tbl>
    <w:p w14:paraId="1E9278DF" w14:textId="77777777" w:rsidR="00AF680E" w:rsidRPr="00D045B3" w:rsidRDefault="00AF680E" w:rsidP="00AF680E">
      <w:pPr>
        <w:pStyle w:val="Endnotentext"/>
        <w:widowControl w:val="0"/>
        <w:rPr>
          <w:color w:val="000000"/>
          <w:szCs w:val="22"/>
          <w:lang w:val="hu-HU"/>
        </w:rPr>
      </w:pPr>
      <w:r w:rsidRPr="00D045B3">
        <w:rPr>
          <w:color w:val="000000"/>
          <w:lang w:val="hu-HU" w:eastAsia="hu-HU"/>
        </w:rPr>
        <w:t>G</w:t>
      </w:r>
      <w:r w:rsidRPr="00D045B3">
        <w:rPr>
          <w:color w:val="000000"/>
          <w:lang w:val="hu-HU"/>
        </w:rPr>
        <w:noBreakHyphen/>
      </w:r>
      <w:r w:rsidRPr="00D045B3">
        <w:rPr>
          <w:color w:val="000000"/>
          <w:lang w:val="hu-HU" w:eastAsia="hu-HU"/>
        </w:rPr>
        <w:t>CSF = granulocyta</w:t>
      </w:r>
      <w:r w:rsidRPr="00D045B3">
        <w:rPr>
          <w:color w:val="000000"/>
          <w:lang w:val="hu-HU"/>
        </w:rPr>
        <w:noBreakHyphen/>
      </w:r>
      <w:r w:rsidRPr="00D045B3">
        <w:rPr>
          <w:color w:val="000000"/>
          <w:lang w:val="hu-HU" w:eastAsia="hu-HU"/>
        </w:rPr>
        <w:t>kolónia stimuláló faktor, VP</w:t>
      </w:r>
      <w:r w:rsidRPr="00D045B3">
        <w:rPr>
          <w:color w:val="000000"/>
          <w:lang w:val="hu-HU"/>
        </w:rPr>
        <w:noBreakHyphen/>
      </w:r>
      <w:r w:rsidRPr="00D045B3">
        <w:rPr>
          <w:color w:val="000000"/>
          <w:lang w:val="hu-HU" w:eastAsia="hu-HU"/>
        </w:rPr>
        <w:t>16 = etopozid, MTX = metotrexát, iv. = intravénás, sc. = subcutan, i.t. = intrathecalis, p.o. = per os, i.m. = intramuscularis, ARA</w:t>
      </w:r>
      <w:r w:rsidRPr="00D045B3">
        <w:rPr>
          <w:color w:val="000000"/>
          <w:lang w:val="hu-HU"/>
        </w:rPr>
        <w:noBreakHyphen/>
      </w:r>
      <w:r w:rsidRPr="00D045B3">
        <w:rPr>
          <w:color w:val="000000"/>
          <w:lang w:val="hu-HU" w:eastAsia="hu-HU"/>
        </w:rPr>
        <w:t>C = citarabin, CPM = ciklofoszfamid, VCR = vinkrisztin, DEX = dexametazon, DAUN = daunorubicin, 6</w:t>
      </w:r>
      <w:r w:rsidRPr="00D045B3">
        <w:rPr>
          <w:color w:val="000000"/>
          <w:lang w:val="hu-HU"/>
        </w:rPr>
        <w:noBreakHyphen/>
      </w:r>
      <w:r w:rsidRPr="00D045B3">
        <w:rPr>
          <w:color w:val="000000"/>
          <w:lang w:val="hu-HU" w:eastAsia="hu-HU"/>
        </w:rPr>
        <w:t>MP = 6</w:t>
      </w:r>
      <w:r w:rsidRPr="00D045B3">
        <w:rPr>
          <w:color w:val="000000"/>
          <w:lang w:val="hu-HU"/>
        </w:rPr>
        <w:noBreakHyphen/>
      </w:r>
      <w:r w:rsidRPr="00D045B3">
        <w:rPr>
          <w:color w:val="000000"/>
          <w:lang w:val="hu-HU" w:eastAsia="hu-HU"/>
        </w:rPr>
        <w:t>merkaptopurin, E. Coli L</w:t>
      </w:r>
      <w:r w:rsidRPr="00D045B3">
        <w:rPr>
          <w:color w:val="000000"/>
          <w:lang w:val="hu-HU"/>
        </w:rPr>
        <w:noBreakHyphen/>
      </w:r>
      <w:r w:rsidRPr="00D045B3">
        <w:rPr>
          <w:color w:val="000000"/>
          <w:lang w:val="hu-HU" w:eastAsia="hu-HU"/>
        </w:rPr>
        <w:t>ASP = L</w:t>
      </w:r>
      <w:r w:rsidRPr="00D045B3">
        <w:rPr>
          <w:color w:val="000000"/>
          <w:lang w:val="hu-HU"/>
        </w:rPr>
        <w:noBreakHyphen/>
      </w:r>
      <w:r w:rsidRPr="00D045B3">
        <w:rPr>
          <w:color w:val="000000"/>
          <w:lang w:val="hu-HU" w:eastAsia="hu-HU"/>
        </w:rPr>
        <w:t>aszparagináz, PEG</w:t>
      </w:r>
      <w:r w:rsidRPr="00D045B3">
        <w:rPr>
          <w:color w:val="000000"/>
          <w:lang w:val="hu-HU"/>
        </w:rPr>
        <w:noBreakHyphen/>
      </w:r>
      <w:r w:rsidRPr="00D045B3">
        <w:rPr>
          <w:color w:val="000000"/>
          <w:lang w:val="hu-HU" w:eastAsia="hu-HU"/>
        </w:rPr>
        <w:t>ASP = PEG aszparagináz, MESNA = 2</w:t>
      </w:r>
      <w:r w:rsidRPr="00D045B3">
        <w:rPr>
          <w:color w:val="000000"/>
          <w:lang w:val="hu-HU"/>
        </w:rPr>
        <w:noBreakHyphen/>
      </w:r>
      <w:r w:rsidRPr="00D045B3">
        <w:rPr>
          <w:color w:val="000000"/>
          <w:lang w:val="hu-HU" w:eastAsia="hu-HU"/>
        </w:rPr>
        <w:t>merkaptoetán</w:t>
      </w:r>
      <w:r w:rsidRPr="00D045B3">
        <w:rPr>
          <w:color w:val="000000"/>
          <w:lang w:val="hu-HU" w:eastAsia="hu-HU"/>
        </w:rPr>
        <w:noBreakHyphen/>
        <w:t>szulfonát</w:t>
      </w:r>
      <w:r w:rsidRPr="00D045B3">
        <w:rPr>
          <w:color w:val="000000"/>
          <w:lang w:val="hu-HU"/>
        </w:rPr>
        <w:noBreakHyphen/>
      </w:r>
      <w:r w:rsidRPr="00D045B3">
        <w:rPr>
          <w:color w:val="000000"/>
          <w:lang w:val="hu-HU" w:eastAsia="hu-HU"/>
        </w:rPr>
        <w:t>nátrium, iii = vagy amíg a MTX</w:t>
      </w:r>
      <w:r w:rsidRPr="00D045B3">
        <w:rPr>
          <w:color w:val="000000"/>
          <w:lang w:val="hu-HU"/>
        </w:rPr>
        <w:noBreakHyphen/>
      </w:r>
      <w:r w:rsidRPr="00D045B3">
        <w:rPr>
          <w:color w:val="000000"/>
          <w:lang w:val="hu-HU" w:eastAsia="hu-HU"/>
        </w:rPr>
        <w:t>szint &lt; 0,1 µM, Gy = Gray</w:t>
      </w:r>
    </w:p>
    <w:p w14:paraId="1E9278E0" w14:textId="77777777" w:rsidR="00AF680E" w:rsidRPr="00D045B3" w:rsidRDefault="00AF680E" w:rsidP="00AF680E">
      <w:pPr>
        <w:pStyle w:val="Endnotentext"/>
        <w:widowControl w:val="0"/>
        <w:jc w:val="both"/>
        <w:rPr>
          <w:color w:val="000000"/>
          <w:sz w:val="20"/>
          <w:lang w:val="hu-HU"/>
        </w:rPr>
      </w:pPr>
    </w:p>
    <w:p w14:paraId="1E9278E1" w14:textId="68521EE6" w:rsidR="00AF680E" w:rsidRPr="00D045B3" w:rsidRDefault="00AF680E" w:rsidP="00AF680E">
      <w:pPr>
        <w:pStyle w:val="KeinLeerraum"/>
        <w:rPr>
          <w:rFonts w:ascii="Times New Roman" w:hAnsi="Times New Roman"/>
          <w:b/>
        </w:rPr>
      </w:pPr>
      <w:r w:rsidRPr="00D045B3">
        <w:rPr>
          <w:rFonts w:ascii="Times New Roman" w:hAnsi="Times New Roman"/>
          <w:color w:val="000000"/>
          <w:lang w:eastAsia="hu-HU"/>
        </w:rPr>
        <w:t>Az AIT07</w:t>
      </w:r>
      <w:r w:rsidRPr="00D045B3">
        <w:rPr>
          <w:rFonts w:ascii="Times New Roman" w:hAnsi="Times New Roman"/>
          <w:color w:val="000000"/>
        </w:rPr>
        <w:noBreakHyphen/>
      </w:r>
      <w:r w:rsidRPr="00D045B3">
        <w:rPr>
          <w:rFonts w:ascii="Times New Roman" w:hAnsi="Times New Roman"/>
          <w:color w:val="000000"/>
          <w:lang w:eastAsia="hu-HU"/>
        </w:rPr>
        <w:t>vizsgálat egy multicentrikus, nyílt elrendezésű, randomizált, II/III</w:t>
      </w:r>
      <w:r w:rsidR="00AA2E59" w:rsidRPr="00D045B3">
        <w:rPr>
          <w:rFonts w:ascii="Times New Roman" w:hAnsi="Times New Roman"/>
          <w:color w:val="000000"/>
          <w:lang w:eastAsia="hu-HU"/>
        </w:rPr>
        <w:t>. fázisú</w:t>
      </w:r>
      <w:r w:rsidRPr="00D045B3">
        <w:rPr>
          <w:rFonts w:ascii="Times New Roman" w:hAnsi="Times New Roman"/>
          <w:color w:val="000000"/>
          <w:lang w:eastAsia="hu-HU"/>
        </w:rPr>
        <w:t xml:space="preserve"> vizsgálat volt, amelyben 128 (1 </w:t>
      </w:r>
      <w:r w:rsidRPr="00D045B3">
        <w:rPr>
          <w:rFonts w:ascii="Times New Roman" w:hAnsi="Times New Roman"/>
          <w:color w:val="000000"/>
        </w:rPr>
        <w:noBreakHyphen/>
      </w:r>
      <w:r w:rsidRPr="00D045B3">
        <w:rPr>
          <w:rFonts w:ascii="Times New Roman" w:hAnsi="Times New Roman"/>
          <w:color w:val="000000"/>
          <w:lang w:eastAsia="hu-HU"/>
        </w:rPr>
        <w:t> &lt; 18</w:t>
      </w:r>
      <w:r w:rsidRPr="00D045B3">
        <w:rPr>
          <w:rFonts w:ascii="Times New Roman" w:hAnsi="Times New Roman"/>
          <w:color w:val="000000"/>
        </w:rPr>
        <w:t> év</w:t>
      </w:r>
      <w:r w:rsidRPr="00D045B3">
        <w:rPr>
          <w:rFonts w:ascii="Times New Roman" w:hAnsi="Times New Roman"/>
          <w:color w:val="000000"/>
          <w:lang w:eastAsia="hu-HU"/>
        </w:rPr>
        <w:t>es), kemoterápiával kombinációban imatinibbel kezelt beteg vett részt. úgy Tűnik, hogy ennek a vizsgálatnak a biztonságossági adatai a Ph+ALL</w:t>
      </w:r>
      <w:r w:rsidRPr="00D045B3">
        <w:rPr>
          <w:rFonts w:ascii="Times New Roman" w:hAnsi="Times New Roman"/>
          <w:color w:val="000000"/>
        </w:rPr>
        <w:noBreakHyphen/>
      </w:r>
      <w:r w:rsidRPr="00D045B3">
        <w:rPr>
          <w:rFonts w:ascii="Times New Roman" w:hAnsi="Times New Roman"/>
          <w:color w:val="000000"/>
          <w:lang w:eastAsia="hu-HU"/>
        </w:rPr>
        <w:t>ben szenvedő betegeknél</w:t>
      </w:r>
      <w:r w:rsidRPr="00D045B3" w:rsidDel="001C2432">
        <w:rPr>
          <w:rFonts w:ascii="Times New Roman" w:hAnsi="Times New Roman"/>
          <w:color w:val="000000"/>
          <w:lang w:eastAsia="hu-HU"/>
        </w:rPr>
        <w:t xml:space="preserve"> </w:t>
      </w:r>
      <w:r w:rsidRPr="00D045B3">
        <w:rPr>
          <w:rFonts w:ascii="Times New Roman" w:hAnsi="Times New Roman"/>
          <w:color w:val="000000"/>
          <w:lang w:eastAsia="hu-HU"/>
        </w:rPr>
        <w:t>összhangban vannak az imatinib biztonságossági profiljával.</w:t>
      </w:r>
    </w:p>
    <w:p w14:paraId="1E9278E2" w14:textId="77777777" w:rsidR="00FE5992" w:rsidRPr="00D045B3" w:rsidRDefault="00FE5992" w:rsidP="008A6837">
      <w:pPr>
        <w:pStyle w:val="KeinLeerraum"/>
        <w:rPr>
          <w:rFonts w:ascii="Times New Roman" w:hAnsi="Times New Roman"/>
          <w:b/>
        </w:rPr>
      </w:pPr>
    </w:p>
    <w:p w14:paraId="1E9278E3" w14:textId="77777777" w:rsidR="00FE5992" w:rsidRPr="00D045B3" w:rsidRDefault="00FE5992" w:rsidP="00FE5992">
      <w:pPr>
        <w:pStyle w:val="Default"/>
        <w:rPr>
          <w:sz w:val="22"/>
          <w:szCs w:val="22"/>
        </w:rPr>
      </w:pPr>
      <w:r w:rsidRPr="00D045B3">
        <w:rPr>
          <w:i/>
          <w:iCs/>
          <w:sz w:val="22"/>
          <w:szCs w:val="22"/>
        </w:rPr>
        <w:t xml:space="preserve">Recidiváló/refrakter Ph+ ALL: </w:t>
      </w:r>
      <w:r w:rsidRPr="00D045B3">
        <w:rPr>
          <w:iCs/>
          <w:sz w:val="22"/>
          <w:szCs w:val="22"/>
        </w:rPr>
        <w:t>Amikor i</w:t>
      </w:r>
      <w:r w:rsidRPr="00D045B3">
        <w:rPr>
          <w:sz w:val="22"/>
          <w:szCs w:val="22"/>
        </w:rPr>
        <w:t>matinib monoterápiát alkalmaztak recidiváló/refrakter Ph+ ALL</w:t>
      </w:r>
      <w:r w:rsidRPr="00D045B3">
        <w:rPr>
          <w:sz w:val="22"/>
          <w:szCs w:val="22"/>
        </w:rPr>
        <w:noBreakHyphen/>
        <w:t>es betegeknél, a terápiás válasz szempontjából értékelhető 411 betegből 53</w:t>
      </w:r>
      <w:r w:rsidRPr="00D045B3">
        <w:rPr>
          <w:sz w:val="22"/>
          <w:szCs w:val="22"/>
        </w:rPr>
        <w:noBreakHyphen/>
        <w:t>nál 30%</w:t>
      </w:r>
      <w:r w:rsidRPr="00D045B3">
        <w:rPr>
          <w:sz w:val="22"/>
          <w:szCs w:val="22"/>
        </w:rPr>
        <w:noBreakHyphen/>
        <w:t>os hematológiai válaszarányt (9% komplett) és 23%</w:t>
      </w:r>
      <w:r w:rsidRPr="00D045B3">
        <w:rPr>
          <w:sz w:val="22"/>
          <w:szCs w:val="22"/>
        </w:rPr>
        <w:noBreakHyphen/>
        <w:t>os nagyfokú cytogenetikai válaszarányt értek el. (Fontos megjegyezni, hogy a 411 betegből 353</w:t>
      </w:r>
      <w:r w:rsidRPr="00D045B3">
        <w:rPr>
          <w:sz w:val="22"/>
          <w:szCs w:val="22"/>
        </w:rPr>
        <w:noBreakHyphen/>
        <w:t>at egy kiterjesztett gyógyszerhozzáférési program keretében kezeltek, és esetükben nem gyűjtöttek adatokat a primer válaszról.) A progresszióig eltelt idő medián értéke a teljes 411 fős recidiváló/refrakter Ph+ ALL</w:t>
      </w:r>
      <w:r w:rsidRPr="00D045B3">
        <w:rPr>
          <w:sz w:val="22"/>
          <w:szCs w:val="22"/>
        </w:rPr>
        <w:noBreakHyphen/>
        <w:t>es betegmintában 2,6</w:t>
      </w:r>
      <w:r w:rsidRPr="00D045B3">
        <w:rPr>
          <w:sz w:val="22"/>
          <w:szCs w:val="22"/>
        </w:rPr>
        <w:noBreakHyphen/>
        <w:t>3,1 hónap, míg a teljes túlélés medián értéke a 401 értékelhető beteg esetében 4,9</w:t>
      </w:r>
      <w:r w:rsidRPr="00D045B3">
        <w:rPr>
          <w:sz w:val="22"/>
          <w:szCs w:val="22"/>
        </w:rPr>
        <w:noBreakHyphen/>
        <w:t xml:space="preserve">9 hónap volt. Hasonló eredményeket kaptak, amikor az adatok ismételt elemzésekor csak az 55 éves vagy idősebb betegek adatait vizsgálták. </w:t>
      </w:r>
    </w:p>
    <w:p w14:paraId="1E9278E4" w14:textId="77777777" w:rsidR="00FE5992" w:rsidRPr="00D045B3" w:rsidRDefault="00FE5992" w:rsidP="00FE5992">
      <w:pPr>
        <w:pStyle w:val="Default"/>
        <w:rPr>
          <w:sz w:val="22"/>
          <w:szCs w:val="22"/>
        </w:rPr>
      </w:pPr>
    </w:p>
    <w:p w14:paraId="1E9278E5" w14:textId="77777777" w:rsidR="00FE5992" w:rsidRPr="00D045B3" w:rsidRDefault="00FE5992" w:rsidP="00190CF7">
      <w:pPr>
        <w:pStyle w:val="Default"/>
        <w:widowControl w:val="0"/>
        <w:rPr>
          <w:sz w:val="22"/>
          <w:szCs w:val="22"/>
          <w:u w:val="single"/>
        </w:rPr>
      </w:pPr>
      <w:r w:rsidRPr="00D045B3">
        <w:rPr>
          <w:sz w:val="22"/>
          <w:szCs w:val="22"/>
          <w:u w:val="single"/>
        </w:rPr>
        <w:t>Klinikai vizsgálatok MDS/MPD</w:t>
      </w:r>
      <w:r w:rsidRPr="00D045B3">
        <w:rPr>
          <w:sz w:val="22"/>
          <w:szCs w:val="22"/>
          <w:u w:val="single"/>
        </w:rPr>
        <w:noBreakHyphen/>
        <w:t xml:space="preserve">ben </w:t>
      </w:r>
    </w:p>
    <w:p w14:paraId="1E9278E6" w14:textId="31785CA2" w:rsidR="00CE4874" w:rsidRPr="00D045B3" w:rsidRDefault="00FE5992" w:rsidP="00190CF7">
      <w:pPr>
        <w:pStyle w:val="Default"/>
        <w:widowControl w:val="0"/>
        <w:rPr>
          <w:sz w:val="22"/>
          <w:szCs w:val="22"/>
        </w:rPr>
      </w:pPr>
      <w:r w:rsidRPr="00D045B3">
        <w:rPr>
          <w:sz w:val="22"/>
          <w:szCs w:val="22"/>
        </w:rPr>
        <w:t>Ebben az indikációban az imatinib alkalmazásáról nagyon kevés tapasztalat áll rendelkezésre, amely hematológiai és a cytogenetikai válaszarányokon alapul. Nem végeztek klinikai előnyt vagy a túlélés javulását igazoló klinikai vizsgálatokat. Egy nyílt, multicenteres, II</w:t>
      </w:r>
      <w:r w:rsidR="00AA2E59" w:rsidRPr="00D045B3">
        <w:rPr>
          <w:sz w:val="22"/>
          <w:szCs w:val="22"/>
        </w:rPr>
        <w:t>. fázisú</w:t>
      </w:r>
      <w:r w:rsidRPr="00D045B3">
        <w:rPr>
          <w:sz w:val="22"/>
          <w:szCs w:val="22"/>
        </w:rPr>
        <w:t xml:space="preserve"> klinikai vizsgálatban (B2225 vizsgálat) tanulmányozták az imatinib hatásait Abl, Kit vagy PDGFR protein tirozinkinázokkal kapcsolat</w:t>
      </w:r>
      <w:r w:rsidR="00E92640" w:rsidRPr="00D045B3">
        <w:rPr>
          <w:sz w:val="22"/>
          <w:szCs w:val="22"/>
        </w:rPr>
        <w:t>os</w:t>
      </w:r>
      <w:r w:rsidRPr="00D045B3">
        <w:rPr>
          <w:sz w:val="22"/>
          <w:szCs w:val="22"/>
        </w:rPr>
        <w:t>, életet veszélyeztető betegségekben szenvedő egyénekből álló különböző betegcsoportokban. Ebbe a vizsgálatba 7, MDS/MPD</w:t>
      </w:r>
      <w:r w:rsidRPr="00D045B3">
        <w:rPr>
          <w:sz w:val="22"/>
          <w:szCs w:val="22"/>
        </w:rPr>
        <w:noBreakHyphen/>
        <w:t xml:space="preserve">ben szenvedő beteget vontak be, akiket napi 400 mg imatinibbel kezeltek. </w:t>
      </w:r>
      <w:r w:rsidR="004007F8" w:rsidRPr="00D045B3">
        <w:rPr>
          <w:sz w:val="22"/>
          <w:szCs w:val="22"/>
        </w:rPr>
        <w:t>Három</w:t>
      </w:r>
      <w:r w:rsidRPr="00D045B3">
        <w:rPr>
          <w:sz w:val="22"/>
          <w:szCs w:val="22"/>
        </w:rPr>
        <w:t xml:space="preserve"> betegnél komplett hematológiai válasz (CHR), egy betegnél részleges hematológiai válasz (PHR) volt tapasztalható. Az eredeti analízis idején a négy, PDGFR génátrendeződést mutató beteg közül </w:t>
      </w:r>
      <w:r w:rsidR="004007F8" w:rsidRPr="00D045B3">
        <w:rPr>
          <w:sz w:val="22"/>
          <w:szCs w:val="22"/>
        </w:rPr>
        <w:t>három</w:t>
      </w:r>
      <w:r w:rsidRPr="00D045B3">
        <w:rPr>
          <w:sz w:val="22"/>
          <w:szCs w:val="22"/>
        </w:rPr>
        <w:t>nál (2 CHR és 1 PHR) mutatkozott hematológiai válasz. A betegek életkora 20</w:t>
      </w:r>
      <w:r w:rsidRPr="00D045B3">
        <w:rPr>
          <w:sz w:val="22"/>
          <w:szCs w:val="22"/>
        </w:rPr>
        <w:noBreakHyphen/>
        <w:t xml:space="preserve">72 év között volt. </w:t>
      </w:r>
    </w:p>
    <w:p w14:paraId="1E9278E7" w14:textId="77777777" w:rsidR="00CE4874" w:rsidRPr="00D045B3" w:rsidRDefault="00CE4874" w:rsidP="00190CF7">
      <w:pPr>
        <w:pStyle w:val="Default"/>
        <w:widowControl w:val="0"/>
        <w:rPr>
          <w:sz w:val="22"/>
          <w:szCs w:val="22"/>
        </w:rPr>
      </w:pPr>
    </w:p>
    <w:p w14:paraId="1E9278E8" w14:textId="77777777" w:rsidR="00CE4874" w:rsidRPr="00D045B3" w:rsidRDefault="00CE4874" w:rsidP="00CE4874">
      <w:pPr>
        <w:pStyle w:val="Endnotentext"/>
        <w:widowControl w:val="0"/>
        <w:spacing w:line="240" w:lineRule="auto"/>
        <w:rPr>
          <w:color w:val="000000"/>
          <w:szCs w:val="22"/>
          <w:lang w:val="hu-HU"/>
        </w:rPr>
      </w:pPr>
      <w:r w:rsidRPr="00D045B3">
        <w:rPr>
          <w:lang w:val="hu-HU"/>
        </w:rPr>
        <w:t>Azért, hogy hosszú távú biztonságossági és hatásossági adatokat gyűjtsenek a PDGFR</w:t>
      </w:r>
      <w:r w:rsidRPr="00D045B3">
        <w:rPr>
          <w:lang w:val="hu-HU"/>
        </w:rPr>
        <w:noBreakHyphen/>
        <w:t xml:space="preserve">β génátrendeződéssel társuló myeloproliferativ daganatokban szenvedő olyan betegektől, akiket </w:t>
      </w:r>
      <w:r w:rsidR="00286B59" w:rsidRPr="00D045B3">
        <w:rPr>
          <w:lang w:val="hu-HU"/>
        </w:rPr>
        <w:t>imatinibb</w:t>
      </w:r>
      <w:r w:rsidRPr="00D045B3">
        <w:rPr>
          <w:lang w:val="hu-HU"/>
        </w:rPr>
        <w:t>el kezeltek, egy obszervációs regisztert (L2401</w:t>
      </w:r>
      <w:r w:rsidRPr="00D045B3">
        <w:rPr>
          <w:lang w:val="hu-HU"/>
        </w:rPr>
        <w:noBreakHyphen/>
        <w:t xml:space="preserve">vizsgálat) hoztak létre. </w:t>
      </w:r>
      <w:r w:rsidRPr="00D045B3">
        <w:rPr>
          <w:color w:val="000000"/>
          <w:lang w:val="hu-HU"/>
        </w:rPr>
        <w:t>Az ebbe a regiszterbe bevont 23 beteg 264 mg</w:t>
      </w:r>
      <w:r w:rsidRPr="00D045B3">
        <w:rPr>
          <w:color w:val="000000"/>
          <w:lang w:val="hu-HU"/>
        </w:rPr>
        <w:noBreakHyphen/>
        <w:t xml:space="preserve">os medián napi dózisban kapott </w:t>
      </w:r>
      <w:r w:rsidR="00286B59" w:rsidRPr="00D045B3">
        <w:rPr>
          <w:color w:val="000000"/>
          <w:lang w:val="hu-HU"/>
        </w:rPr>
        <w:t>imatinib</w:t>
      </w:r>
      <w:r w:rsidRPr="00D045B3">
        <w:rPr>
          <w:color w:val="000000"/>
          <w:lang w:val="hu-HU"/>
        </w:rPr>
        <w:t>et (szélső értékek: 100</w:t>
      </w:r>
      <w:r w:rsidRPr="00D045B3">
        <w:rPr>
          <w:color w:val="000000"/>
          <w:lang w:val="hu-HU"/>
        </w:rPr>
        <w:noBreakHyphen/>
        <w:t>400 mg), 7,2 éves medián időtartamban (szélső értékek: 0,1 </w:t>
      </w:r>
      <w:r w:rsidRPr="00D045B3">
        <w:rPr>
          <w:color w:val="000000"/>
          <w:lang w:val="hu-HU"/>
        </w:rPr>
        <w:noBreakHyphen/>
        <w:t xml:space="preserve"> 12,7 év). </w:t>
      </w:r>
      <w:r w:rsidRPr="00D045B3">
        <w:rPr>
          <w:lang w:val="hu-HU"/>
        </w:rPr>
        <w:t>A regiszter obszervációs jellegéből adódóan a 23 bevont betegből a hematológiai vizsgálati adatok 22 betegnél, a citogenetikai vizsgálati eredmények 9 betegnél, a molekuláris vizsgálati adatok 17 betegnél álltak rendelkezésre.</w:t>
      </w:r>
      <w:r w:rsidRPr="00D045B3">
        <w:rPr>
          <w:color w:val="000000"/>
          <w:lang w:val="hu-HU"/>
        </w:rPr>
        <w:t xml:space="preserve"> Konzervatívan feltételezve, hogy azok a betegek, akiknél az adatok hiányoztak, non</w:t>
      </w:r>
      <w:r w:rsidRPr="00D045B3">
        <w:rPr>
          <w:color w:val="000000"/>
          <w:lang w:val="hu-HU"/>
        </w:rPr>
        <w:noBreakHyphen/>
        <w:t>reszponderek voltak, komplett hematológiai választ 20/23 (87%) betegnél, komplett cytogenetikai választ 9/23 (39,1%) betegnél, és molekuláris választ 11/23 (47,8%) betegnél figyeltek meg. Amikor a válaszadási arányt olyan betegeknél számították, akiknél legalább egy valós vizsgálati adat volt, a CHR, CCyR és MR válaszadási arány sorrendben 20/22 (90,9%), 9/9 (100%) és 11/17 (64,7%) volt.</w:t>
      </w:r>
    </w:p>
    <w:p w14:paraId="1E9278E9" w14:textId="77777777" w:rsidR="00CE4874" w:rsidRPr="00D045B3" w:rsidRDefault="00CE4874" w:rsidP="00190CF7">
      <w:pPr>
        <w:pStyle w:val="Default"/>
        <w:widowControl w:val="0"/>
        <w:rPr>
          <w:sz w:val="22"/>
          <w:szCs w:val="22"/>
        </w:rPr>
      </w:pPr>
    </w:p>
    <w:p w14:paraId="1E9278EA" w14:textId="77777777" w:rsidR="00FE5992" w:rsidRPr="00D045B3" w:rsidRDefault="00FE5992" w:rsidP="00190CF7">
      <w:pPr>
        <w:pStyle w:val="Default"/>
        <w:widowControl w:val="0"/>
        <w:rPr>
          <w:sz w:val="22"/>
          <w:szCs w:val="22"/>
        </w:rPr>
      </w:pPr>
      <w:r w:rsidRPr="00D045B3">
        <w:rPr>
          <w:sz w:val="22"/>
          <w:szCs w:val="22"/>
        </w:rPr>
        <w:t>13 publikált esettanulmányban további 24, MDS/MPD</w:t>
      </w:r>
      <w:r w:rsidRPr="00D045B3">
        <w:rPr>
          <w:sz w:val="22"/>
          <w:szCs w:val="22"/>
        </w:rPr>
        <w:noBreakHyphen/>
        <w:t xml:space="preserve">ben szenvedő betegről számoltak be. 21 beteget kezeltek napi 400 mg imatinibbel, míg a másik 3 beteg kisebb dózist kapott. </w:t>
      </w:r>
      <w:r w:rsidR="004007F8" w:rsidRPr="00D045B3">
        <w:rPr>
          <w:sz w:val="22"/>
          <w:szCs w:val="22"/>
        </w:rPr>
        <w:t xml:space="preserve">Tizenegy </w:t>
      </w:r>
      <w:r w:rsidRPr="00D045B3">
        <w:rPr>
          <w:sz w:val="22"/>
          <w:szCs w:val="22"/>
        </w:rPr>
        <w:t>betegnél mutattak ki PDGFR génátrendeződést, akik közül 9</w:t>
      </w:r>
      <w:r w:rsidRPr="00D045B3">
        <w:rPr>
          <w:sz w:val="22"/>
          <w:szCs w:val="22"/>
        </w:rPr>
        <w:noBreakHyphen/>
        <w:t>nél jelentkezett CHR és egynél PHR. A betegek életkora 2</w:t>
      </w:r>
      <w:r w:rsidRPr="00D045B3">
        <w:rPr>
          <w:sz w:val="22"/>
          <w:szCs w:val="22"/>
        </w:rPr>
        <w:noBreakHyphen/>
        <w:t>79 év között volt. Egy, a vizsgálatot követően megjelent publikáció szerint - mely ebből a 11 betegből 6</w:t>
      </w:r>
      <w:r w:rsidRPr="00D045B3">
        <w:rPr>
          <w:sz w:val="22"/>
          <w:szCs w:val="22"/>
        </w:rPr>
        <w:noBreakHyphen/>
        <w:t>ról friss információkat közöl - ezen betegek mindegyike cytogenetikai remisszióban maradt (32</w:t>
      </w:r>
      <w:r w:rsidRPr="00D045B3">
        <w:rPr>
          <w:sz w:val="22"/>
          <w:szCs w:val="22"/>
        </w:rPr>
        <w:noBreakHyphen/>
        <w:t>38 hónap). Ugyanez a publikáció hosszú távú utánkövetési adatokat közöl 12, PDGFR génátrendeződéssel társuló MDS/MPD</w:t>
      </w:r>
      <w:r w:rsidRPr="00D045B3">
        <w:rPr>
          <w:sz w:val="22"/>
          <w:szCs w:val="22"/>
        </w:rPr>
        <w:noBreakHyphen/>
        <w:t>ben szenvedő betegről (ebből 5 beteg a B2225 vizsgálatból származik). Ezek a betegek átlagosan 47 hónapon keresztül (24 nap</w:t>
      </w:r>
      <w:r w:rsidRPr="00D045B3">
        <w:rPr>
          <w:sz w:val="22"/>
          <w:szCs w:val="22"/>
        </w:rPr>
        <w:noBreakHyphen/>
        <w:t>60 hónap) kaptak imatinibet. Közülük 6 beteg esetében az utánkövetési idő jelenleg meghaladja a 4 évet. 11 betegnél jelentkezett gyorsan kialakuló CHR, 10 beteg esetében szűntek meg teljesen a cytogenetikai rendellenességek és csökkent vagy nem volt kimutatható a RT</w:t>
      </w:r>
      <w:r w:rsidRPr="00D045B3">
        <w:rPr>
          <w:sz w:val="22"/>
          <w:szCs w:val="22"/>
        </w:rPr>
        <w:noBreakHyphen/>
        <w:t>PCR</w:t>
      </w:r>
      <w:r w:rsidRPr="00D045B3">
        <w:rPr>
          <w:sz w:val="22"/>
          <w:szCs w:val="22"/>
        </w:rPr>
        <w:noBreakHyphen/>
        <w:t>rel mért fúziós transzkripció. A hematológiai és a cytogenetikai válasz sorrendben átlagosan 49 hónapig (19</w:t>
      </w:r>
      <w:r w:rsidRPr="00D045B3">
        <w:rPr>
          <w:sz w:val="22"/>
          <w:szCs w:val="22"/>
        </w:rPr>
        <w:noBreakHyphen/>
        <w:t>60 hónap), illetve átlagosan 47 hónapig (16</w:t>
      </w:r>
      <w:r w:rsidRPr="00D045B3">
        <w:rPr>
          <w:sz w:val="22"/>
          <w:szCs w:val="22"/>
        </w:rPr>
        <w:noBreakHyphen/>
        <w:t>59 hónap) maradt fent. Az össz</w:t>
      </w:r>
      <w:r w:rsidRPr="00D045B3">
        <w:rPr>
          <w:sz w:val="22"/>
          <w:szCs w:val="22"/>
        </w:rPr>
        <w:noBreakHyphen/>
        <w:t>túlélés a diagnózis időpontjától számított 65 hónap (25</w:t>
      </w:r>
      <w:r w:rsidRPr="00D045B3">
        <w:rPr>
          <w:sz w:val="22"/>
          <w:szCs w:val="22"/>
        </w:rPr>
        <w:noBreakHyphen/>
        <w:t xml:space="preserve">234 hónap). Az imatinib alkalmazása a genetikai transzlokációt nem mutató betegeknél rendszerint nem eredményez javulást. </w:t>
      </w:r>
    </w:p>
    <w:p w14:paraId="1E9278EB" w14:textId="77777777" w:rsidR="00FE5992" w:rsidRPr="00D045B3" w:rsidRDefault="00FE5992" w:rsidP="00FE5992">
      <w:pPr>
        <w:pStyle w:val="Default"/>
        <w:rPr>
          <w:sz w:val="22"/>
          <w:szCs w:val="22"/>
        </w:rPr>
      </w:pPr>
    </w:p>
    <w:p w14:paraId="1E9278EC" w14:textId="77777777" w:rsidR="00FE5992" w:rsidRPr="00D045B3" w:rsidRDefault="00FE5992" w:rsidP="00FE5992">
      <w:pPr>
        <w:pStyle w:val="Default"/>
        <w:rPr>
          <w:sz w:val="22"/>
          <w:szCs w:val="22"/>
        </w:rPr>
      </w:pPr>
      <w:r w:rsidRPr="00D045B3">
        <w:rPr>
          <w:sz w:val="22"/>
          <w:szCs w:val="22"/>
        </w:rPr>
        <w:t>MDS/MPD</w:t>
      </w:r>
      <w:r w:rsidRPr="00D045B3">
        <w:rPr>
          <w:sz w:val="22"/>
          <w:szCs w:val="22"/>
        </w:rPr>
        <w:noBreakHyphen/>
        <w:t>ben szenvedő gyermekgyógyászati betegekkel nincsenek kontrollos vizsgálatok. Négy publikációban öt (5), PDGFR</w:t>
      </w:r>
      <w:r w:rsidRPr="00D045B3">
        <w:rPr>
          <w:sz w:val="22"/>
          <w:szCs w:val="22"/>
        </w:rPr>
        <w:noBreakHyphen/>
        <w:t>rel társult, MDS/MPD</w:t>
      </w:r>
      <w:r w:rsidRPr="00D045B3">
        <w:rPr>
          <w:sz w:val="22"/>
          <w:szCs w:val="22"/>
        </w:rPr>
        <w:noBreakHyphen/>
        <w:t>ben szenvedő betegnél génátrendeződésről számoltak be. A betegek életkora 3 hónap és 4 év közé esett, és az imatinibet napi 50 mg</w:t>
      </w:r>
      <w:r w:rsidRPr="00D045B3">
        <w:rPr>
          <w:sz w:val="22"/>
          <w:szCs w:val="22"/>
        </w:rPr>
        <w:noBreakHyphen/>
        <w:t>os dózisban vagy napi 92,5</w:t>
      </w:r>
      <w:r w:rsidRPr="00D045B3">
        <w:rPr>
          <w:sz w:val="22"/>
          <w:szCs w:val="22"/>
        </w:rPr>
        <w:noBreakHyphen/>
        <w:t>340 mg/m</w:t>
      </w:r>
      <w:r w:rsidRPr="00D045B3">
        <w:rPr>
          <w:sz w:val="22"/>
          <w:szCs w:val="22"/>
          <w:vertAlign w:val="superscript"/>
        </w:rPr>
        <w:t>2</w:t>
      </w:r>
      <w:r w:rsidRPr="00D045B3">
        <w:rPr>
          <w:sz w:val="14"/>
          <w:szCs w:val="14"/>
        </w:rPr>
        <w:t xml:space="preserve"> </w:t>
      </w:r>
      <w:r w:rsidRPr="00D045B3">
        <w:rPr>
          <w:sz w:val="22"/>
          <w:szCs w:val="22"/>
        </w:rPr>
        <w:t xml:space="preserve">közötti dózisokban kapták. Minden beteg teljes hematológiai választ, cytogenetikai választ és/vagy klinikai választ ért el. </w:t>
      </w:r>
    </w:p>
    <w:p w14:paraId="1E9278ED" w14:textId="77777777" w:rsidR="00FE5992" w:rsidRPr="00D045B3" w:rsidRDefault="00FE5992" w:rsidP="00FE5992">
      <w:pPr>
        <w:pStyle w:val="Default"/>
        <w:rPr>
          <w:sz w:val="22"/>
          <w:szCs w:val="22"/>
        </w:rPr>
      </w:pPr>
    </w:p>
    <w:p w14:paraId="1E9278EE" w14:textId="77777777" w:rsidR="00FE5992" w:rsidRPr="00D045B3" w:rsidRDefault="00FE5992" w:rsidP="00190CF7">
      <w:pPr>
        <w:pStyle w:val="Default"/>
        <w:keepNext/>
        <w:rPr>
          <w:sz w:val="22"/>
          <w:szCs w:val="22"/>
          <w:u w:val="single"/>
        </w:rPr>
      </w:pPr>
      <w:r w:rsidRPr="00D045B3">
        <w:rPr>
          <w:sz w:val="22"/>
          <w:szCs w:val="22"/>
          <w:u w:val="single"/>
        </w:rPr>
        <w:t>Klinikai vizsgálatok HES/CEL</w:t>
      </w:r>
      <w:r w:rsidRPr="00D045B3">
        <w:rPr>
          <w:sz w:val="22"/>
          <w:szCs w:val="22"/>
          <w:u w:val="single"/>
        </w:rPr>
        <w:noBreakHyphen/>
        <w:t xml:space="preserve">ben </w:t>
      </w:r>
    </w:p>
    <w:p w14:paraId="1E9278EF" w14:textId="71868F16" w:rsidR="00FE5992" w:rsidRPr="00D045B3" w:rsidRDefault="00FE5992" w:rsidP="00CA41FD">
      <w:pPr>
        <w:pStyle w:val="Default"/>
        <w:rPr>
          <w:color w:val="auto"/>
          <w:sz w:val="22"/>
          <w:szCs w:val="22"/>
        </w:rPr>
      </w:pPr>
      <w:r w:rsidRPr="00D045B3">
        <w:rPr>
          <w:sz w:val="22"/>
          <w:szCs w:val="22"/>
        </w:rPr>
        <w:t>Egy nyílt, multicentrikus, II</w:t>
      </w:r>
      <w:r w:rsidR="00AA2E59" w:rsidRPr="00D045B3">
        <w:rPr>
          <w:sz w:val="22"/>
          <w:szCs w:val="22"/>
        </w:rPr>
        <w:t>. fázisú</w:t>
      </w:r>
      <w:r w:rsidRPr="00D045B3">
        <w:rPr>
          <w:sz w:val="22"/>
          <w:szCs w:val="22"/>
        </w:rPr>
        <w:t xml:space="preserve"> klinikai vizsgálatban (B2225 vizsgálat) az Abl, Kit vagy PDGFR protein tirozinkinázokkal kapcsolatban álló életveszélyes betegségekben szenvedő betegek különféle populációiban vizsgálták az imatinibet. A vizsgálatba bevont 14, HES/CEL</w:t>
      </w:r>
      <w:r w:rsidRPr="00D045B3">
        <w:rPr>
          <w:sz w:val="22"/>
          <w:szCs w:val="22"/>
        </w:rPr>
        <w:noBreakHyphen/>
        <w:t>ben szenvedő beteg naponta 100</w:t>
      </w:r>
      <w:r w:rsidRPr="00D045B3">
        <w:rPr>
          <w:sz w:val="22"/>
          <w:szCs w:val="22"/>
        </w:rPr>
        <w:noBreakHyphen/>
        <w:t>1000 mg dózisban kapott imatinibet. 35 publikált esettanulmányban és esetsorozatban további 162, HES/CEL</w:t>
      </w:r>
      <w:r w:rsidRPr="00D045B3">
        <w:rPr>
          <w:sz w:val="22"/>
          <w:szCs w:val="22"/>
        </w:rPr>
        <w:noBreakHyphen/>
        <w:t>ben szenvedő betegről számoltak be, akik naponta 75</w:t>
      </w:r>
      <w:r w:rsidRPr="00D045B3">
        <w:rPr>
          <w:sz w:val="22"/>
          <w:szCs w:val="22"/>
        </w:rPr>
        <w:noBreakHyphen/>
        <w:t>800 mg dózisban kaptak imatinibet. Az összesen 176 betegből álló populációból 117 esetében vizsgálták a citogenetikai rendellenességeket. A 117 beteg közül 61</w:t>
      </w:r>
      <w:r w:rsidRPr="00D045B3">
        <w:rPr>
          <w:sz w:val="22"/>
          <w:szCs w:val="22"/>
        </w:rPr>
        <w:noBreakHyphen/>
        <w:t>nél mutatták ki a FIP1L1</w:t>
      </w:r>
      <w:r w:rsidRPr="00D045B3">
        <w:rPr>
          <w:sz w:val="22"/>
          <w:szCs w:val="22"/>
        </w:rPr>
        <w:noBreakHyphen/>
        <w:t>PDGFRα fúziós kinázt. 3 másik publikációban további 4, FIP1L1</w:t>
      </w:r>
      <w:r w:rsidRPr="00D045B3">
        <w:rPr>
          <w:sz w:val="22"/>
          <w:szCs w:val="22"/>
        </w:rPr>
        <w:noBreakHyphen/>
        <w:t>PDGFRα fúziós kináz pozitív, HES</w:t>
      </w:r>
      <w:r w:rsidRPr="00D045B3">
        <w:rPr>
          <w:sz w:val="22"/>
          <w:szCs w:val="22"/>
        </w:rPr>
        <w:noBreakHyphen/>
        <w:t>ben szenvedő betegről számoltak be. Mind a 65, FIP1L1</w:t>
      </w:r>
      <w:r w:rsidRPr="00D045B3">
        <w:rPr>
          <w:sz w:val="22"/>
          <w:szCs w:val="22"/>
        </w:rPr>
        <w:noBreakHyphen/>
        <w:t xml:space="preserve">PDGFRα fúziós kináz pozitív beteg teljes hematológiai választ ért el, amely hónapokig fennmaradt (1+ és 44+ hónap között, a bejelentés időpontjakor cenzúrázva). Amint arról egy utóbb megjelent publikációban beszámoltak, a 65 beteg közül 21 ért el teljes molekuláris remissziót az átlagosan </w:t>
      </w:r>
      <w:r w:rsidRPr="00D045B3">
        <w:rPr>
          <w:color w:val="auto"/>
          <w:sz w:val="22"/>
          <w:szCs w:val="22"/>
        </w:rPr>
        <w:t>28 hónapos (13</w:t>
      </w:r>
      <w:r w:rsidRPr="00D045B3">
        <w:rPr>
          <w:color w:val="auto"/>
          <w:sz w:val="22"/>
          <w:szCs w:val="22"/>
        </w:rPr>
        <w:noBreakHyphen/>
        <w:t>67 hónap) utánkövetési idő alatt. A betegek életkora 25</w:t>
      </w:r>
      <w:r w:rsidRPr="00D045B3">
        <w:rPr>
          <w:color w:val="auto"/>
          <w:sz w:val="22"/>
          <w:szCs w:val="22"/>
        </w:rPr>
        <w:noBreakHyphen/>
        <w:t xml:space="preserve">72 év volt. Az esettanulmányokban a vizsgálatvezetők ezenkívül a tünetegyüttes és az egyéb szervekben fellépett működési rendellenességek javulásáról számoltak be. Javulást jelentettek a szív, az idegrendszer, bőr/bőr alatti szövetek, légzőrendszer/mellkas/mediastinum, vázizom/kötőszövet/érrendszer és emésztőrendszer tekintetében. </w:t>
      </w:r>
    </w:p>
    <w:p w14:paraId="1E9278F0" w14:textId="77777777" w:rsidR="00FE5992" w:rsidRPr="00D045B3" w:rsidRDefault="00FE5992" w:rsidP="00FE5992">
      <w:pPr>
        <w:pStyle w:val="Default"/>
        <w:rPr>
          <w:color w:val="auto"/>
          <w:sz w:val="22"/>
          <w:szCs w:val="22"/>
        </w:rPr>
      </w:pPr>
    </w:p>
    <w:p w14:paraId="1E9278F1" w14:textId="77777777" w:rsidR="00FE5992" w:rsidRPr="00D045B3" w:rsidRDefault="00FE5992" w:rsidP="00FE5992">
      <w:pPr>
        <w:pStyle w:val="Default"/>
        <w:rPr>
          <w:color w:val="auto"/>
          <w:sz w:val="22"/>
          <w:szCs w:val="22"/>
        </w:rPr>
      </w:pPr>
      <w:r w:rsidRPr="00D045B3">
        <w:rPr>
          <w:color w:val="auto"/>
          <w:sz w:val="22"/>
          <w:szCs w:val="22"/>
        </w:rPr>
        <w:t>HES/CEL</w:t>
      </w:r>
      <w:r w:rsidRPr="00D045B3">
        <w:rPr>
          <w:color w:val="auto"/>
          <w:sz w:val="22"/>
          <w:szCs w:val="22"/>
        </w:rPr>
        <w:noBreakHyphen/>
        <w:t>ben szenvedő gyermekgyógyászati betegekkel nincsenek kontrollos vizsgálatok. Három publikációban három (3), PDGFR</w:t>
      </w:r>
      <w:r w:rsidRPr="00D045B3">
        <w:rPr>
          <w:color w:val="auto"/>
          <w:sz w:val="22"/>
          <w:szCs w:val="22"/>
        </w:rPr>
        <w:noBreakHyphen/>
        <w:t>rel társult, HES</w:t>
      </w:r>
      <w:r w:rsidRPr="00D045B3">
        <w:rPr>
          <w:color w:val="auto"/>
          <w:sz w:val="22"/>
          <w:szCs w:val="22"/>
        </w:rPr>
        <w:noBreakHyphen/>
        <w:t>ben és CEL</w:t>
      </w:r>
      <w:r w:rsidRPr="00D045B3">
        <w:rPr>
          <w:color w:val="auto"/>
          <w:sz w:val="22"/>
          <w:szCs w:val="22"/>
        </w:rPr>
        <w:noBreakHyphen/>
        <w:t>ben szenvedő betegnél génátrendeződésről számoltak be. A betegek életkora 2 és 16 év közé esett, akik az imatinibet napi 300 mg/m</w:t>
      </w:r>
      <w:r w:rsidRPr="00D045B3">
        <w:rPr>
          <w:color w:val="auto"/>
          <w:sz w:val="22"/>
          <w:szCs w:val="22"/>
          <w:vertAlign w:val="superscript"/>
        </w:rPr>
        <w:t>2</w:t>
      </w:r>
      <w:r w:rsidRPr="00D045B3">
        <w:rPr>
          <w:color w:val="auto"/>
          <w:sz w:val="22"/>
          <w:szCs w:val="22"/>
        </w:rPr>
        <w:t xml:space="preserve"> vagy napi 200</w:t>
      </w:r>
      <w:r w:rsidRPr="00D045B3">
        <w:rPr>
          <w:color w:val="auto"/>
          <w:sz w:val="22"/>
          <w:szCs w:val="22"/>
        </w:rPr>
        <w:noBreakHyphen/>
        <w:t xml:space="preserve">400 mg közötti dózisokban kapták. Minden beteg teljes hematológiai választ, teljes cytogenetikai választ és/vagy teljes molekuláris választ ért el. </w:t>
      </w:r>
    </w:p>
    <w:p w14:paraId="1E9278F2" w14:textId="77777777" w:rsidR="00FE5992" w:rsidRPr="00D045B3" w:rsidRDefault="00FE5992" w:rsidP="00FE5992">
      <w:pPr>
        <w:pStyle w:val="Default"/>
        <w:rPr>
          <w:color w:val="auto"/>
          <w:sz w:val="22"/>
          <w:szCs w:val="22"/>
        </w:rPr>
      </w:pPr>
    </w:p>
    <w:p w14:paraId="1E9278F3" w14:textId="77777777" w:rsidR="00FE5992" w:rsidRPr="00D045B3" w:rsidRDefault="00FE5992" w:rsidP="008A6837">
      <w:pPr>
        <w:pStyle w:val="Default"/>
        <w:keepNext/>
        <w:rPr>
          <w:sz w:val="22"/>
          <w:szCs w:val="22"/>
          <w:u w:val="single"/>
        </w:rPr>
      </w:pPr>
      <w:r w:rsidRPr="00D045B3">
        <w:rPr>
          <w:sz w:val="22"/>
          <w:szCs w:val="22"/>
          <w:u w:val="single"/>
        </w:rPr>
        <w:t xml:space="preserve">Klinikai vizsgálatok DFSP-ben </w:t>
      </w:r>
    </w:p>
    <w:p w14:paraId="1E9278F4" w14:textId="522C2FD5" w:rsidR="00FE5992" w:rsidRPr="00D045B3" w:rsidRDefault="00FE5992" w:rsidP="00CA41FD">
      <w:pPr>
        <w:pStyle w:val="Default"/>
        <w:rPr>
          <w:sz w:val="22"/>
          <w:szCs w:val="22"/>
        </w:rPr>
      </w:pPr>
      <w:r w:rsidRPr="00D045B3">
        <w:rPr>
          <w:sz w:val="22"/>
          <w:szCs w:val="22"/>
        </w:rPr>
        <w:t xml:space="preserve">Egy nyílt, II. </w:t>
      </w:r>
      <w:r w:rsidR="00AA2E59" w:rsidRPr="00D045B3">
        <w:rPr>
          <w:sz w:val="22"/>
          <w:szCs w:val="22"/>
        </w:rPr>
        <w:t xml:space="preserve">fázisú </w:t>
      </w:r>
      <w:r w:rsidRPr="00D045B3">
        <w:rPr>
          <w:sz w:val="22"/>
          <w:szCs w:val="22"/>
        </w:rPr>
        <w:t>multicentrikus klinikai vizsgálatban (B2225 vizsgálat) többek között 12, DFSP</w:t>
      </w:r>
      <w:r w:rsidRPr="00D045B3">
        <w:rPr>
          <w:sz w:val="22"/>
          <w:szCs w:val="22"/>
        </w:rPr>
        <w:noBreakHyphen/>
        <w:t>ben szenvedő beteget kezeltek napi 800 mg imatinibbel. A DFSP</w:t>
      </w:r>
      <w:r w:rsidRPr="00D045B3">
        <w:rPr>
          <w:sz w:val="22"/>
          <w:szCs w:val="22"/>
        </w:rPr>
        <w:noBreakHyphen/>
        <w:t>s betegek életkora 23 és 75 év között volt; a DFSP metasztatikus, az induláskor reszekciós műtétet követően lokálisan recidiváló volt, és a betegeket a vizsgálatba történő bevonáskor további reszekciós műtétre nem tekintették alkalmasnak. A 12 bevont betegből 9</w:t>
      </w:r>
      <w:r w:rsidRPr="00D045B3">
        <w:rPr>
          <w:sz w:val="22"/>
          <w:szCs w:val="22"/>
        </w:rPr>
        <w:noBreakHyphen/>
        <w:t>nél volt tapasztalható terápiás válasz, közülük 1 beteg teljes választ, 8 beteg részleges választ adott. A részleges válasz adók közül 3 beteg a későbbiekben műtéti beavatkozást követően vált betegségmentessé. A B2225 vizsgálatban a kezelés időtartamának medián értéke 6,2 hónap volt (a maximális időtartam 24,3 hónap volt). 5 publikált esettanulmányban további 6, imatinibbel kezelt DFSP</w:t>
      </w:r>
      <w:r w:rsidRPr="00D045B3">
        <w:rPr>
          <w:sz w:val="22"/>
          <w:szCs w:val="22"/>
        </w:rPr>
        <w:noBreakHyphen/>
        <w:t>s betegről (életkor: 18 hónap</w:t>
      </w:r>
      <w:r w:rsidRPr="00D045B3">
        <w:rPr>
          <w:sz w:val="22"/>
          <w:szCs w:val="22"/>
        </w:rPr>
        <w:noBreakHyphen/>
        <w:t>49 év) számoltak be. A szakirodalomban szereplő felnőtt betegeket napi 400 mg (4 eset) vagy 800 mg (1 eset) imatinibbel kezelték. Az 5 reagáló betegből 3 teljes választ, 2 részleges választ adott. A szakirodalomban közölt esetekben a kezelés időtartamának mediánértéke 4 hét és több mint 20 hónap között volt. A t(17:22)[(q22:q13)] transzlokáció vagy ennek génproduktuma kimutatható volt az imatinib</w:t>
      </w:r>
      <w:r w:rsidRPr="00D045B3">
        <w:rPr>
          <w:sz w:val="22"/>
          <w:szCs w:val="22"/>
        </w:rPr>
        <w:noBreakHyphen/>
        <w:t xml:space="preserve">kezelésre reagáló összes betegben. </w:t>
      </w:r>
    </w:p>
    <w:p w14:paraId="1E9278F5" w14:textId="77777777" w:rsidR="00FE5992" w:rsidRPr="00D045B3" w:rsidRDefault="00FE5992" w:rsidP="00FE5992">
      <w:pPr>
        <w:pStyle w:val="Default"/>
        <w:rPr>
          <w:sz w:val="22"/>
          <w:szCs w:val="22"/>
        </w:rPr>
      </w:pPr>
    </w:p>
    <w:p w14:paraId="1E9278F6" w14:textId="77777777" w:rsidR="00FE5992" w:rsidRPr="00D045B3" w:rsidRDefault="00FE5992" w:rsidP="00FE5992">
      <w:pPr>
        <w:pStyle w:val="Default"/>
        <w:rPr>
          <w:sz w:val="22"/>
          <w:szCs w:val="22"/>
        </w:rPr>
      </w:pPr>
      <w:r w:rsidRPr="00D045B3">
        <w:rPr>
          <w:sz w:val="22"/>
          <w:szCs w:val="22"/>
        </w:rPr>
        <w:t>DFSP</w:t>
      </w:r>
      <w:r w:rsidRPr="00D045B3">
        <w:rPr>
          <w:sz w:val="22"/>
          <w:szCs w:val="22"/>
        </w:rPr>
        <w:noBreakHyphen/>
        <w:t>ben szenvedő gyermekgyógyászati betegekkel nincsenek kontrollos vizsgálatok. Három publikációban öt (5), DFSP</w:t>
      </w:r>
      <w:r w:rsidRPr="00D045B3">
        <w:rPr>
          <w:sz w:val="22"/>
          <w:szCs w:val="22"/>
        </w:rPr>
        <w:noBreakHyphen/>
        <w:t>ben és PDGFR</w:t>
      </w:r>
      <w:r w:rsidRPr="00D045B3">
        <w:rPr>
          <w:sz w:val="22"/>
          <w:szCs w:val="22"/>
        </w:rPr>
        <w:noBreakHyphen/>
        <w:t>ben szenvedő betegnél génátrendeződésről számoltak be. A betegek életkora újszülöttkor és 14 év közé esett, és az imatinibet napi 50 mg</w:t>
      </w:r>
      <w:r w:rsidRPr="00D045B3">
        <w:rPr>
          <w:sz w:val="22"/>
          <w:szCs w:val="22"/>
        </w:rPr>
        <w:noBreakHyphen/>
        <w:t>os vagy napi 400</w:t>
      </w:r>
      <w:r w:rsidRPr="00D045B3">
        <w:rPr>
          <w:sz w:val="22"/>
          <w:szCs w:val="22"/>
        </w:rPr>
        <w:noBreakHyphen/>
        <w:t>520 mg/m</w:t>
      </w:r>
      <w:r w:rsidRPr="00D045B3">
        <w:rPr>
          <w:sz w:val="22"/>
          <w:szCs w:val="22"/>
          <w:vertAlign w:val="superscript"/>
        </w:rPr>
        <w:t>2</w:t>
      </w:r>
      <w:r w:rsidRPr="00D045B3">
        <w:rPr>
          <w:sz w:val="14"/>
          <w:szCs w:val="14"/>
        </w:rPr>
        <w:t xml:space="preserve"> </w:t>
      </w:r>
      <w:r w:rsidRPr="00D045B3">
        <w:rPr>
          <w:sz w:val="22"/>
          <w:szCs w:val="22"/>
        </w:rPr>
        <w:t xml:space="preserve">közötti dózisokban kapták. Minden beteg parciális és/vagy teljes remissziót ért el. </w:t>
      </w:r>
    </w:p>
    <w:p w14:paraId="1E9278F7" w14:textId="77777777" w:rsidR="00FE5992" w:rsidRPr="00D045B3" w:rsidRDefault="00FE5992" w:rsidP="008A6837">
      <w:pPr>
        <w:pStyle w:val="KeinLeerraum"/>
        <w:rPr>
          <w:rFonts w:ascii="Times New Roman" w:hAnsi="Times New Roman"/>
          <w:b/>
        </w:rPr>
      </w:pPr>
    </w:p>
    <w:p w14:paraId="1E9278F8" w14:textId="77777777" w:rsidR="00FE5992" w:rsidRPr="00D045B3" w:rsidRDefault="00FE5992" w:rsidP="00FE5992">
      <w:pPr>
        <w:pStyle w:val="KeinLeerraum"/>
        <w:keepNext/>
        <w:rPr>
          <w:rFonts w:ascii="Times New Roman" w:hAnsi="Times New Roman"/>
          <w:b/>
        </w:rPr>
      </w:pPr>
      <w:r w:rsidRPr="00D045B3">
        <w:rPr>
          <w:rFonts w:ascii="Times New Roman" w:hAnsi="Times New Roman"/>
          <w:b/>
        </w:rPr>
        <w:t>5.2</w:t>
      </w:r>
      <w:r w:rsidRPr="00D045B3">
        <w:rPr>
          <w:rFonts w:ascii="Times New Roman" w:hAnsi="Times New Roman"/>
          <w:b/>
        </w:rPr>
        <w:tab/>
        <w:t xml:space="preserve">Farmakokinetikai tulajdonságok </w:t>
      </w:r>
    </w:p>
    <w:p w14:paraId="1E9278F9" w14:textId="77777777" w:rsidR="00FE5992" w:rsidRPr="00D045B3" w:rsidRDefault="00FE5992" w:rsidP="00FE5992">
      <w:pPr>
        <w:pStyle w:val="KeinLeerraum"/>
        <w:keepNext/>
        <w:rPr>
          <w:rFonts w:ascii="Times New Roman" w:hAnsi="Times New Roman"/>
        </w:rPr>
      </w:pPr>
    </w:p>
    <w:p w14:paraId="1E9278FA"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Az imatinib farmakokinetikai tulajdonságai </w:t>
      </w:r>
    </w:p>
    <w:p w14:paraId="1E9278FB" w14:textId="77777777" w:rsidR="00FE5992" w:rsidRPr="00D045B3" w:rsidRDefault="00FE5992" w:rsidP="00CA41FD">
      <w:pPr>
        <w:pStyle w:val="KeinLeerraum"/>
        <w:rPr>
          <w:rFonts w:ascii="Times New Roman" w:hAnsi="Times New Roman"/>
        </w:rPr>
      </w:pPr>
      <w:r w:rsidRPr="00D045B3">
        <w:rPr>
          <w:rFonts w:ascii="Times New Roman" w:hAnsi="Times New Roman"/>
        </w:rPr>
        <w:t xml:space="preserve">Az imatinib farmakokinetikáját 25 mg – 1000 mg közötti dózistartományban vizsgálták. A plazma farmakokinetikai profilját az </w:t>
      </w:r>
      <w:smartTag w:uri="urn:schemas-microsoft-com:office:smarttags" w:element="metricconverter">
        <w:smartTagPr>
          <w:attr w:name="ProductID" w:val="1. a"/>
        </w:smartTagPr>
        <w:r w:rsidRPr="00D045B3">
          <w:rPr>
            <w:rFonts w:ascii="Times New Roman" w:hAnsi="Times New Roman"/>
          </w:rPr>
          <w:t>1. a</w:t>
        </w:r>
      </w:smartTag>
      <w:r w:rsidRPr="00D045B3">
        <w:rPr>
          <w:rFonts w:ascii="Times New Roman" w:hAnsi="Times New Roman"/>
        </w:rPr>
        <w:t xml:space="preserve"> 7. vagy 28. napon vizsgálták, amikor a plazmakoncentráció dinamikus egyensúlyi állapotba került. </w:t>
      </w:r>
    </w:p>
    <w:p w14:paraId="1E9278FC" w14:textId="77777777" w:rsidR="00FE5992" w:rsidRPr="00D045B3" w:rsidRDefault="00FE5992" w:rsidP="00FE5992">
      <w:pPr>
        <w:pStyle w:val="KeinLeerraum"/>
        <w:rPr>
          <w:rFonts w:ascii="Times New Roman" w:hAnsi="Times New Roman"/>
        </w:rPr>
      </w:pPr>
    </w:p>
    <w:p w14:paraId="1E9278FD"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Felszívódás </w:t>
      </w:r>
    </w:p>
    <w:p w14:paraId="1E9278FE" w14:textId="77777777" w:rsidR="00FE5992" w:rsidRPr="00D045B3" w:rsidRDefault="00FE5992" w:rsidP="00CA41FD">
      <w:pPr>
        <w:pStyle w:val="KeinLeerraum"/>
        <w:rPr>
          <w:rFonts w:ascii="Times New Roman" w:hAnsi="Times New Roman"/>
        </w:rPr>
      </w:pPr>
      <w:r w:rsidRPr="00D045B3">
        <w:rPr>
          <w:rFonts w:ascii="Times New Roman" w:hAnsi="Times New Roman"/>
        </w:rPr>
        <w:t>Az imatinib átlagos abszolút biológiai hasznosulása 98%. Orális dózis alkalmazása után a plazma imatinib AUC</w:t>
      </w:r>
      <w:r w:rsidRPr="00D045B3">
        <w:rPr>
          <w:rFonts w:ascii="Times New Roman" w:hAnsi="Times New Roman"/>
        </w:rPr>
        <w:noBreakHyphen/>
        <w:t>szintje nagy egyéni variabilitást mutatott. Erősen zsíros étkezéssel együtt bevéve az imatinib felszívódása minimális mértékben csökkent (a C</w:t>
      </w:r>
      <w:r w:rsidRPr="00D045B3">
        <w:rPr>
          <w:rFonts w:ascii="Times New Roman" w:hAnsi="Times New Roman"/>
          <w:vertAlign w:val="subscript"/>
        </w:rPr>
        <w:t xml:space="preserve">max </w:t>
      </w:r>
      <w:r w:rsidRPr="00D045B3">
        <w:rPr>
          <w:rFonts w:ascii="Times New Roman" w:hAnsi="Times New Roman"/>
        </w:rPr>
        <w:t>11%</w:t>
      </w:r>
      <w:r w:rsidRPr="00D045B3">
        <w:rPr>
          <w:rFonts w:ascii="Times New Roman" w:hAnsi="Times New Roman"/>
        </w:rPr>
        <w:noBreakHyphen/>
        <w:t>kal csökkent, a t</w:t>
      </w:r>
      <w:r w:rsidRPr="00D045B3">
        <w:rPr>
          <w:rFonts w:ascii="Times New Roman" w:hAnsi="Times New Roman"/>
          <w:vertAlign w:val="subscript"/>
        </w:rPr>
        <w:t>max</w:t>
      </w:r>
      <w:r w:rsidRPr="00D045B3">
        <w:rPr>
          <w:rFonts w:ascii="Times New Roman" w:hAnsi="Times New Roman"/>
        </w:rPr>
        <w:t xml:space="preserve"> 1,5 órával nyúlt meg), valamint az AUC is kismértékben csökkent (7,4%) az éhomi értékekhez képest. Az előzetes gastrointestinalis sebészi beavatkozás hatását a gyógyszer felszívódására nem vizsgálták.</w:t>
      </w:r>
    </w:p>
    <w:p w14:paraId="1E9278FF" w14:textId="77777777" w:rsidR="00FE5992" w:rsidRPr="00D045B3" w:rsidRDefault="00FE5992" w:rsidP="00FE5992">
      <w:pPr>
        <w:pStyle w:val="KeinLeerraum"/>
        <w:rPr>
          <w:rFonts w:ascii="Times New Roman" w:hAnsi="Times New Roman"/>
        </w:rPr>
      </w:pPr>
    </w:p>
    <w:p w14:paraId="1E927900"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Eloszlás </w:t>
      </w:r>
    </w:p>
    <w:p w14:paraId="1E927901" w14:textId="77777777" w:rsidR="00FE5992" w:rsidRPr="00D045B3" w:rsidRDefault="00FE5992" w:rsidP="00CA41FD">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kísérletekre alapozva, klinikailag alkalmazott koncentrációkban az imatinib plazmafehérjékhez való kötődése 95%</w:t>
      </w:r>
      <w:r w:rsidRPr="00D045B3">
        <w:rPr>
          <w:rFonts w:ascii="Times New Roman" w:hAnsi="Times New Roman"/>
        </w:rPr>
        <w:noBreakHyphen/>
        <w:t>os, elsősorban albuminhoz és alfa</w:t>
      </w:r>
      <w:r w:rsidRPr="00D045B3">
        <w:rPr>
          <w:rFonts w:ascii="Times New Roman" w:hAnsi="Times New Roman"/>
        </w:rPr>
        <w:noBreakHyphen/>
        <w:t xml:space="preserve">glikoproteinsavhoz kötódik, kisebb mértékben a lipoproteinhez. </w:t>
      </w:r>
    </w:p>
    <w:p w14:paraId="1E927902" w14:textId="77777777" w:rsidR="00FE5992" w:rsidRPr="00D045B3" w:rsidRDefault="00FE5992" w:rsidP="00FE5992">
      <w:pPr>
        <w:pStyle w:val="KeinLeerraum"/>
        <w:rPr>
          <w:rFonts w:ascii="Times New Roman" w:hAnsi="Times New Roman"/>
        </w:rPr>
      </w:pPr>
    </w:p>
    <w:p w14:paraId="1E927903"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Biotranszformáció </w:t>
      </w:r>
    </w:p>
    <w:p w14:paraId="1E927904" w14:textId="77777777" w:rsidR="00FE5992" w:rsidRPr="00D045B3" w:rsidRDefault="00FE5992" w:rsidP="00CA41FD">
      <w:pPr>
        <w:pStyle w:val="KeinLeerraum"/>
        <w:rPr>
          <w:rFonts w:ascii="Times New Roman" w:hAnsi="Times New Roman"/>
        </w:rPr>
      </w:pPr>
      <w:r w:rsidRPr="00D045B3">
        <w:rPr>
          <w:rFonts w:ascii="Times New Roman" w:hAnsi="Times New Roman"/>
        </w:rPr>
        <w:t>A fő keringő metabolit emberben az N</w:t>
      </w:r>
      <w:r w:rsidRPr="00D045B3">
        <w:rPr>
          <w:rFonts w:ascii="Times New Roman" w:hAnsi="Times New Roman"/>
        </w:rPr>
        <w:noBreakHyphen/>
        <w:t xml:space="preserve">demetilált piperazin származék, ami az anyavegyületéhez hasonló </w:t>
      </w:r>
      <w:r w:rsidRPr="00D045B3">
        <w:rPr>
          <w:rFonts w:ascii="Times New Roman" w:hAnsi="Times New Roman"/>
          <w:i/>
          <w:iCs/>
        </w:rPr>
        <w:t xml:space="preserve">in vitro </w:t>
      </w:r>
      <w:r w:rsidRPr="00D045B3">
        <w:rPr>
          <w:rFonts w:ascii="Times New Roman" w:hAnsi="Times New Roman"/>
        </w:rPr>
        <w:t>hatásosságot mutat. Ennek a metabolitnak a plazma AUC</w:t>
      </w:r>
      <w:r w:rsidRPr="00D045B3">
        <w:rPr>
          <w:rFonts w:ascii="Times New Roman" w:hAnsi="Times New Roman"/>
        </w:rPr>
        <w:noBreakHyphen/>
        <w:t>értéke az imatinibénak mindössze 16%-aként detektálható. Az N</w:t>
      </w:r>
      <w:r w:rsidRPr="00D045B3">
        <w:rPr>
          <w:rFonts w:ascii="Times New Roman" w:hAnsi="Times New Roman"/>
        </w:rPr>
        <w:noBreakHyphen/>
        <w:t>demetilált metabolit plazmafehérje</w:t>
      </w:r>
      <w:r w:rsidRPr="00D045B3">
        <w:rPr>
          <w:rFonts w:ascii="Times New Roman" w:hAnsi="Times New Roman"/>
        </w:rPr>
        <w:noBreakHyphen/>
        <w:t xml:space="preserve">kötődése hasonló az anyavegyületéhez. </w:t>
      </w:r>
    </w:p>
    <w:p w14:paraId="1E927905" w14:textId="77777777" w:rsidR="00FE5992" w:rsidRPr="00D045B3" w:rsidRDefault="00FE5992" w:rsidP="00FE5992">
      <w:pPr>
        <w:pStyle w:val="KeinLeerraum"/>
        <w:rPr>
          <w:rFonts w:ascii="Times New Roman" w:hAnsi="Times New Roman"/>
        </w:rPr>
      </w:pPr>
    </w:p>
    <w:p w14:paraId="1E927906" w14:textId="77777777" w:rsidR="00FE5992" w:rsidRPr="00D045B3" w:rsidRDefault="00FE5992" w:rsidP="00FE5992">
      <w:pPr>
        <w:pStyle w:val="KeinLeerraum"/>
        <w:rPr>
          <w:rFonts w:ascii="Times New Roman" w:hAnsi="Times New Roman"/>
        </w:rPr>
      </w:pPr>
      <w:r w:rsidRPr="00D045B3">
        <w:rPr>
          <w:rFonts w:ascii="Times New Roman" w:hAnsi="Times New Roman"/>
        </w:rPr>
        <w:t>Az imatinib és az N</w:t>
      </w:r>
      <w:r w:rsidRPr="00D045B3">
        <w:rPr>
          <w:rFonts w:ascii="Times New Roman" w:hAnsi="Times New Roman"/>
        </w:rPr>
        <w:noBreakHyphen/>
        <w:t>demetil metabolit együttesen képezik a keringő radioaktivitás (AUC</w:t>
      </w:r>
      <w:r w:rsidRPr="00D045B3">
        <w:rPr>
          <w:rFonts w:ascii="Times New Roman" w:hAnsi="Times New Roman"/>
          <w:vertAlign w:val="subscript"/>
        </w:rPr>
        <w:t>0-48h</w:t>
      </w:r>
      <w:r w:rsidRPr="00D045B3">
        <w:rPr>
          <w:rFonts w:ascii="Times New Roman" w:hAnsi="Times New Roman"/>
        </w:rPr>
        <w:t>) körülbelül 65%</w:t>
      </w:r>
      <w:r w:rsidRPr="00D045B3">
        <w:rPr>
          <w:rFonts w:ascii="Times New Roman" w:hAnsi="Times New Roman"/>
        </w:rPr>
        <w:noBreakHyphen/>
        <w:t xml:space="preserve">át. A többi kisszámú metabolit tette ki a további keringő radioaktivitást. </w:t>
      </w:r>
    </w:p>
    <w:p w14:paraId="1E927907" w14:textId="77777777" w:rsidR="00FE5992" w:rsidRPr="00D045B3" w:rsidRDefault="00FE5992" w:rsidP="00FE5992">
      <w:pPr>
        <w:pStyle w:val="KeinLeerraum"/>
        <w:rPr>
          <w:rFonts w:ascii="Times New Roman" w:hAnsi="Times New Roman"/>
        </w:rPr>
      </w:pPr>
    </w:p>
    <w:p w14:paraId="1E927908" w14:textId="77777777" w:rsidR="00FE5992" w:rsidRPr="00D045B3" w:rsidRDefault="00FE5992" w:rsidP="00FE5992">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vizsgálatok szerint a CYP3A4 volt a legfontosabb humán P450 enzim, amely az imatinib biotranszformációját katalizálja. A lehetséges gyógyszerinterakciók közül (acetaminofen, aciklovir, allopurinol, amfotericin, citarabin, eritromicin, flukonazol, hidroxikarbamid, norfloxacin, penicillin V) csak az eritromicin (IC</w:t>
      </w:r>
      <w:r w:rsidRPr="00D045B3">
        <w:rPr>
          <w:rFonts w:ascii="Times New Roman" w:hAnsi="Times New Roman"/>
          <w:vertAlign w:val="subscript"/>
        </w:rPr>
        <w:t xml:space="preserve">50 </w:t>
      </w:r>
      <w:r w:rsidRPr="00D045B3">
        <w:rPr>
          <w:rFonts w:ascii="Times New Roman" w:hAnsi="Times New Roman"/>
        </w:rPr>
        <w:t>50 μM) és a flukonazol (IC</w:t>
      </w:r>
      <w:r w:rsidRPr="00D045B3">
        <w:rPr>
          <w:rFonts w:ascii="Times New Roman" w:hAnsi="Times New Roman"/>
          <w:vertAlign w:val="subscript"/>
        </w:rPr>
        <w:t>50</w:t>
      </w:r>
      <w:r w:rsidRPr="00D045B3">
        <w:rPr>
          <w:rFonts w:ascii="Times New Roman" w:hAnsi="Times New Roman"/>
        </w:rPr>
        <w:t xml:space="preserve"> 118 μM) gyakorolt olyan gátló hatást az imatinib metabolizmusra, ami klinikai jelentőséggel bírhat. </w:t>
      </w:r>
    </w:p>
    <w:p w14:paraId="1E927909" w14:textId="77777777" w:rsidR="00FE5992" w:rsidRPr="00D045B3" w:rsidRDefault="00FE5992" w:rsidP="00FE5992">
      <w:pPr>
        <w:pStyle w:val="KeinLeerraum"/>
        <w:rPr>
          <w:rFonts w:ascii="Times New Roman" w:hAnsi="Times New Roman"/>
          <w:i/>
          <w:iCs/>
        </w:rPr>
      </w:pPr>
    </w:p>
    <w:p w14:paraId="1E92790A" w14:textId="77777777" w:rsidR="00FE5992" w:rsidRPr="00D045B3" w:rsidRDefault="00FE5992" w:rsidP="00FE5992">
      <w:pPr>
        <w:pStyle w:val="KeinLeerraum"/>
        <w:rPr>
          <w:rFonts w:ascii="Times New Roman" w:hAnsi="Times New Roman"/>
        </w:rPr>
      </w:pPr>
      <w:r w:rsidRPr="00D045B3">
        <w:rPr>
          <w:rFonts w:ascii="Times New Roman" w:hAnsi="Times New Roman"/>
          <w:i/>
          <w:iCs/>
        </w:rPr>
        <w:t xml:space="preserve">In vitro </w:t>
      </w:r>
      <w:r w:rsidRPr="00D045B3">
        <w:rPr>
          <w:rFonts w:ascii="Times New Roman" w:hAnsi="Times New Roman"/>
        </w:rPr>
        <w:t>az imatinib a CYP2C9, CYP2D6 és CYP3A4/5 marker szubsztrátjainak kompetitív inhibitora. A K</w:t>
      </w:r>
      <w:r w:rsidRPr="00D045B3">
        <w:rPr>
          <w:rFonts w:ascii="Times New Roman" w:hAnsi="Times New Roman"/>
          <w:vertAlign w:val="subscript"/>
        </w:rPr>
        <w:t>i</w:t>
      </w:r>
      <w:r w:rsidRPr="00D045B3">
        <w:rPr>
          <w:rFonts w:ascii="Times New Roman" w:hAnsi="Times New Roman"/>
        </w:rPr>
        <w:t xml:space="preserve"> humán máj microsomákban a fenti sorrendben 27, 7,5 és 7,9 μmol/l értéket ért el. Betegeknél az imatinib maximális plazmakoncentráció 2–4 μmol/l volt, következésképp az egyidejűleg adott, CYP2D6 és/vagy CYP3A4/5</w:t>
      </w:r>
      <w:r w:rsidRPr="00D045B3">
        <w:rPr>
          <w:rFonts w:ascii="Times New Roman" w:hAnsi="Times New Roman"/>
        </w:rPr>
        <w:noBreakHyphen/>
        <w:t>mediált metabolizmusú gyógyszerek gátlása valószínűsíthető. Az imatinib nem interferál az 5</w:t>
      </w:r>
      <w:r w:rsidRPr="00D045B3">
        <w:rPr>
          <w:rFonts w:ascii="Times New Roman" w:hAnsi="Times New Roman"/>
        </w:rPr>
        <w:noBreakHyphen/>
        <w:t>fluorouracil biotranszformációjával, de a CYP2C8 (K</w:t>
      </w:r>
      <w:r w:rsidRPr="00D045B3">
        <w:rPr>
          <w:rFonts w:ascii="Times New Roman" w:hAnsi="Times New Roman"/>
          <w:vertAlign w:val="subscript"/>
        </w:rPr>
        <w:t>i</w:t>
      </w:r>
      <w:r w:rsidRPr="00D045B3">
        <w:rPr>
          <w:rFonts w:ascii="Times New Roman" w:hAnsi="Times New Roman"/>
        </w:rPr>
        <w:t xml:space="preserve"> = 34,7 μM) kompetitív gátlásának eredményeképpen gátolja a paklitaxel metabolizmusát. Ez a K</w:t>
      </w:r>
      <w:r w:rsidRPr="00D045B3">
        <w:rPr>
          <w:rFonts w:ascii="Times New Roman" w:hAnsi="Times New Roman"/>
          <w:vertAlign w:val="subscript"/>
        </w:rPr>
        <w:t>i</w:t>
      </w:r>
      <w:r w:rsidRPr="00D045B3">
        <w:rPr>
          <w:rFonts w:ascii="Times New Roman" w:hAnsi="Times New Roman"/>
        </w:rPr>
        <w:t xml:space="preserve"> érték lényegesen magasabb, mint a betegeknél várt imatinib plazmaszint, tehát valószínű, hogy nem várható interakció sem az imatinibbel együtt adott 5-fluorouracillal, sem a paklitaxellel. </w:t>
      </w:r>
    </w:p>
    <w:p w14:paraId="1E92790B" w14:textId="77777777" w:rsidR="00FE5992" w:rsidRPr="00D045B3" w:rsidRDefault="00FE5992" w:rsidP="00FE5992">
      <w:pPr>
        <w:pStyle w:val="KeinLeerraum"/>
        <w:rPr>
          <w:rFonts w:ascii="Times New Roman" w:hAnsi="Times New Roman"/>
        </w:rPr>
      </w:pPr>
    </w:p>
    <w:p w14:paraId="1E92790C"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Elimináció </w:t>
      </w:r>
    </w:p>
    <w:p w14:paraId="1E92790D" w14:textId="77777777" w:rsidR="00FE5992" w:rsidRPr="00D045B3" w:rsidRDefault="00FE5992" w:rsidP="00CA41FD">
      <w:pPr>
        <w:pStyle w:val="KeinLeerraum"/>
        <w:rPr>
          <w:rFonts w:ascii="Times New Roman" w:hAnsi="Times New Roman"/>
        </w:rPr>
      </w:pPr>
      <w:r w:rsidRPr="00D045B3">
        <w:rPr>
          <w:rFonts w:ascii="Times New Roman" w:hAnsi="Times New Roman"/>
        </w:rPr>
        <w:t xml:space="preserve">A bevitt vegyület visszamérésével a </w:t>
      </w:r>
      <w:r w:rsidRPr="00D045B3">
        <w:rPr>
          <w:rFonts w:ascii="Times New Roman" w:hAnsi="Times New Roman"/>
          <w:vertAlign w:val="superscript"/>
        </w:rPr>
        <w:t>14</w:t>
      </w:r>
      <w:r w:rsidRPr="00D045B3">
        <w:rPr>
          <w:rFonts w:ascii="Times New Roman" w:hAnsi="Times New Roman"/>
        </w:rPr>
        <w:t>C</w:t>
      </w:r>
      <w:r w:rsidRPr="00D045B3">
        <w:rPr>
          <w:rFonts w:ascii="Times New Roman" w:hAnsi="Times New Roman"/>
        </w:rPr>
        <w:noBreakHyphen/>
        <w:t>vel jelzett imatinib egyszeri orális bevételét követően annak hozzávetőlegesen 81%</w:t>
      </w:r>
      <w:r w:rsidRPr="00D045B3">
        <w:rPr>
          <w:rFonts w:ascii="Times New Roman" w:hAnsi="Times New Roman"/>
        </w:rPr>
        <w:noBreakHyphen/>
        <w:t>a 7 napon belül a széklettel (az adag 68%</w:t>
      </w:r>
      <w:r w:rsidRPr="00D045B3">
        <w:rPr>
          <w:rFonts w:ascii="Times New Roman" w:hAnsi="Times New Roman"/>
        </w:rPr>
        <w:noBreakHyphen/>
        <w:t>a), ill. a vizelettel (az adag 13%</w:t>
      </w:r>
      <w:r w:rsidRPr="00D045B3">
        <w:rPr>
          <w:rFonts w:ascii="Times New Roman" w:hAnsi="Times New Roman"/>
        </w:rPr>
        <w:noBreakHyphen/>
        <w:t>a) ürült. A változatlan imatinib a dózis 25%</w:t>
      </w:r>
      <w:r w:rsidRPr="00D045B3">
        <w:rPr>
          <w:rFonts w:ascii="Times New Roman" w:hAnsi="Times New Roman"/>
        </w:rPr>
        <w:noBreakHyphen/>
        <w:t xml:space="preserve">át (5% a vizeletben, 20% a székletben) tette ki, a többi metabolitként ürült. </w:t>
      </w:r>
    </w:p>
    <w:p w14:paraId="1E92790E" w14:textId="77777777" w:rsidR="00FE5992" w:rsidRPr="00D045B3" w:rsidRDefault="00FE5992" w:rsidP="00FE5992">
      <w:pPr>
        <w:pStyle w:val="KeinLeerraum"/>
        <w:rPr>
          <w:rFonts w:ascii="Times New Roman" w:hAnsi="Times New Roman"/>
        </w:rPr>
      </w:pPr>
    </w:p>
    <w:p w14:paraId="1E92790F"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Farmakokinetika a plazmában</w:t>
      </w:r>
    </w:p>
    <w:p w14:paraId="1E927910" w14:textId="77777777" w:rsidR="00FE5992" w:rsidRPr="00D045B3" w:rsidRDefault="00FE5992" w:rsidP="00CA41FD">
      <w:pPr>
        <w:pStyle w:val="KeinLeerraum"/>
        <w:rPr>
          <w:rFonts w:ascii="Times New Roman" w:hAnsi="Times New Roman"/>
        </w:rPr>
      </w:pPr>
      <w:r w:rsidRPr="00D045B3">
        <w:rPr>
          <w:rFonts w:ascii="Times New Roman" w:hAnsi="Times New Roman"/>
        </w:rPr>
        <w:t>Egészséges önkéntesek orális kezelése során a t</w:t>
      </w:r>
      <w:r w:rsidRPr="00D045B3">
        <w:rPr>
          <w:rFonts w:ascii="Times New Roman" w:hAnsi="Times New Roman"/>
          <w:vertAlign w:val="subscript"/>
        </w:rPr>
        <w:t>1/2</w:t>
      </w:r>
      <w:r w:rsidRPr="00D045B3">
        <w:rPr>
          <w:rFonts w:ascii="Times New Roman" w:hAnsi="Times New Roman"/>
        </w:rPr>
        <w:t xml:space="preserve"> körülbelül 18 óra volt, ami a napi egyszeri adagolást támasztja alá. 25 mg – 1000 mg közötti imatinib dózisok orális adását követően az adag emelésével az AUC is lineárisan, dózisarányosan növekedett. Az ismételt adagolás az imatinib farmakokinetikáját nem változtatta meg, dinamikus egyensúlyi állapotban, napi egyszeri adagolás mellett az akkumuláció 1,5–2,5</w:t>
      </w:r>
      <w:r w:rsidRPr="00D045B3">
        <w:rPr>
          <w:rFonts w:ascii="Times New Roman" w:hAnsi="Times New Roman"/>
        </w:rPr>
        <w:noBreakHyphen/>
        <w:t xml:space="preserve">szeres volt. </w:t>
      </w:r>
    </w:p>
    <w:p w14:paraId="1E927911" w14:textId="77777777" w:rsidR="00FE5992" w:rsidRPr="00D045B3" w:rsidRDefault="00FE5992" w:rsidP="00FE5992">
      <w:pPr>
        <w:pStyle w:val="KeinLeerraum"/>
        <w:rPr>
          <w:rFonts w:ascii="Times New Roman" w:hAnsi="Times New Roman"/>
        </w:rPr>
      </w:pPr>
    </w:p>
    <w:p w14:paraId="1E927912" w14:textId="77777777"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Populációs farmakokinetika </w:t>
      </w:r>
    </w:p>
    <w:p w14:paraId="1E927913" w14:textId="77777777" w:rsidR="00FE5992" w:rsidRPr="00D045B3" w:rsidRDefault="00FE5992" w:rsidP="00CA41FD">
      <w:pPr>
        <w:pStyle w:val="KeinLeerraum"/>
        <w:rPr>
          <w:rFonts w:ascii="Times New Roman" w:hAnsi="Times New Roman"/>
        </w:rPr>
      </w:pPr>
      <w:r w:rsidRPr="00D045B3">
        <w:rPr>
          <w:rFonts w:ascii="Times New Roman" w:hAnsi="Times New Roman"/>
        </w:rPr>
        <w:t>CML</w:t>
      </w:r>
      <w:r w:rsidRPr="00D045B3">
        <w:rPr>
          <w:rFonts w:ascii="Times New Roman" w:hAnsi="Times New Roman"/>
        </w:rPr>
        <w:noBreakHyphen/>
        <w:t>es betegek körében végzett populációs farmakokinetikai vizsgálatok szerint a volumen megoszlást (12%</w:t>
      </w:r>
      <w:r w:rsidRPr="00D045B3">
        <w:rPr>
          <w:rFonts w:ascii="Times New Roman" w:hAnsi="Times New Roman"/>
        </w:rPr>
        <w:noBreakHyphen/>
        <w:t>os növekedés a &gt; 65 évesek körében) az életkor valamelyest befolyásolja. Ezt a különbséget nem tartják klinikailag szignifikánsnak. A testtömeg imatinib clearance</w:t>
      </w:r>
      <w:r w:rsidRPr="00D045B3">
        <w:rPr>
          <w:rFonts w:ascii="Times New Roman" w:hAnsi="Times New Roman"/>
        </w:rPr>
        <w:noBreakHyphen/>
        <w:t>re gyakorolt hatása, pl. egy 50 kg</w:t>
      </w:r>
      <w:r w:rsidRPr="00D045B3">
        <w:rPr>
          <w:rFonts w:ascii="Times New Roman" w:hAnsi="Times New Roman"/>
        </w:rPr>
        <w:noBreakHyphen/>
        <w:t>os egyén esetén azt jelenti, hogy az átlagos clearance várhatóan 8,5 l/óra, míg egy 100 kg</w:t>
      </w:r>
      <w:r w:rsidRPr="00D045B3">
        <w:rPr>
          <w:rFonts w:ascii="Times New Roman" w:hAnsi="Times New Roman"/>
        </w:rPr>
        <w:noBreakHyphen/>
        <w:t>os esetén 11,8 l/óra értékre növekszik. Ezek a változások azonban nem indokolják a dózis testtömeg függvényében való változtatását. A nemek nincsenek hatással az imatinib kinetikájára.</w:t>
      </w:r>
    </w:p>
    <w:p w14:paraId="1E927914" w14:textId="77777777" w:rsidR="00FE5992" w:rsidRPr="00D045B3" w:rsidRDefault="00FE5992" w:rsidP="00FE5992">
      <w:pPr>
        <w:pStyle w:val="KeinLeerraum"/>
        <w:rPr>
          <w:rFonts w:ascii="Times New Roman" w:hAnsi="Times New Roman"/>
        </w:rPr>
      </w:pPr>
    </w:p>
    <w:p w14:paraId="1E927915" w14:textId="3B6F8CC3" w:rsidR="00FE5992" w:rsidRPr="00D045B3" w:rsidRDefault="00FE5992" w:rsidP="00FE5992">
      <w:pPr>
        <w:pStyle w:val="KeinLeerraum"/>
        <w:keepNext/>
        <w:rPr>
          <w:rFonts w:ascii="Times New Roman" w:hAnsi="Times New Roman"/>
          <w:u w:val="single"/>
        </w:rPr>
      </w:pPr>
      <w:r w:rsidRPr="00D045B3">
        <w:rPr>
          <w:rFonts w:ascii="Times New Roman" w:hAnsi="Times New Roman"/>
          <w:u w:val="single"/>
        </w:rPr>
        <w:t xml:space="preserve">Farmakokinetika </w:t>
      </w:r>
      <w:r w:rsidR="007650F7" w:rsidRPr="00D045B3">
        <w:rPr>
          <w:rFonts w:ascii="Times New Roman" w:hAnsi="Times New Roman"/>
          <w:u w:val="single"/>
        </w:rPr>
        <w:t>gyermekeknél és serdülőknél</w:t>
      </w:r>
    </w:p>
    <w:p w14:paraId="1E927916" w14:textId="5725498B" w:rsidR="00FE5992" w:rsidRPr="00D045B3" w:rsidRDefault="00FE5992" w:rsidP="000A18E2">
      <w:pPr>
        <w:pStyle w:val="KeinLeerraum"/>
        <w:rPr>
          <w:rFonts w:ascii="Times New Roman" w:hAnsi="Times New Roman"/>
        </w:rPr>
      </w:pPr>
      <w:r w:rsidRPr="00D045B3">
        <w:rPr>
          <w:rFonts w:ascii="Times New Roman" w:hAnsi="Times New Roman"/>
        </w:rPr>
        <w:t>A felnőtt betegekhez hasonlóan a I</w:t>
      </w:r>
      <w:r w:rsidR="00AA2E59" w:rsidRPr="00D045B3">
        <w:rPr>
          <w:rFonts w:ascii="Times New Roman" w:hAnsi="Times New Roman"/>
        </w:rPr>
        <w:t>. fázisú</w:t>
      </w:r>
      <w:r w:rsidRPr="00D045B3">
        <w:rPr>
          <w:rFonts w:ascii="Times New Roman" w:hAnsi="Times New Roman"/>
        </w:rPr>
        <w:t xml:space="preserve"> és II</w:t>
      </w:r>
      <w:r w:rsidR="00AA2E59" w:rsidRPr="00D045B3">
        <w:rPr>
          <w:rFonts w:ascii="Times New Roman" w:hAnsi="Times New Roman"/>
        </w:rPr>
        <w:t>. fázisú</w:t>
      </w:r>
      <w:r w:rsidRPr="00D045B3">
        <w:rPr>
          <w:rFonts w:ascii="Times New Roman" w:hAnsi="Times New Roman"/>
        </w:rPr>
        <w:t xml:space="preserve"> vizsgálatokban, gyermekeknek </w:t>
      </w:r>
      <w:r w:rsidR="00AA2E59" w:rsidRPr="00D045B3">
        <w:rPr>
          <w:rFonts w:ascii="Times New Roman" w:hAnsi="Times New Roman"/>
        </w:rPr>
        <w:t xml:space="preserve">és serdülőknek </w:t>
      </w:r>
      <w:r w:rsidRPr="00D045B3">
        <w:rPr>
          <w:rFonts w:ascii="Times New Roman" w:hAnsi="Times New Roman"/>
        </w:rPr>
        <w:t>per os adott imatinib gyorsan felszívódott. Gyermekeknél a 260, ill. 340 mg/m</w:t>
      </w:r>
      <w:r w:rsidRPr="00D045B3">
        <w:rPr>
          <w:rFonts w:ascii="Times New Roman" w:hAnsi="Times New Roman"/>
          <w:vertAlign w:val="superscript"/>
        </w:rPr>
        <w:t>2</w:t>
      </w:r>
      <w:r w:rsidRPr="00D045B3">
        <w:rPr>
          <w:rFonts w:ascii="Times New Roman" w:hAnsi="Times New Roman"/>
        </w:rPr>
        <w:t>/nap adagolás ugyanazt az expozíciót eredményezte, mint a felnőttek 400 mg</w:t>
      </w:r>
      <w:r w:rsidRPr="00D045B3">
        <w:rPr>
          <w:rFonts w:ascii="Times New Roman" w:hAnsi="Times New Roman"/>
        </w:rPr>
        <w:noBreakHyphen/>
        <w:t>os, ill. 600 mg</w:t>
      </w:r>
      <w:r w:rsidRPr="00D045B3">
        <w:rPr>
          <w:rFonts w:ascii="Times New Roman" w:hAnsi="Times New Roman"/>
        </w:rPr>
        <w:noBreakHyphen/>
        <w:t>os dózisa. Az AUC</w:t>
      </w:r>
      <w:r w:rsidRPr="00D045B3">
        <w:rPr>
          <w:rFonts w:ascii="Times New Roman" w:hAnsi="Times New Roman"/>
          <w:vertAlign w:val="subscript"/>
        </w:rPr>
        <w:t>(0-24)</w:t>
      </w:r>
      <w:r w:rsidRPr="00D045B3">
        <w:rPr>
          <w:rFonts w:ascii="Times New Roman" w:hAnsi="Times New Roman"/>
        </w:rPr>
        <w:noBreakHyphen/>
        <w:t>értékeket az 1. és a 8. napon összehasonlítva, 340 mg/m</w:t>
      </w:r>
      <w:r w:rsidRPr="00D045B3">
        <w:rPr>
          <w:rFonts w:ascii="Times New Roman" w:hAnsi="Times New Roman"/>
          <w:vertAlign w:val="superscript"/>
        </w:rPr>
        <w:t>2</w:t>
      </w:r>
      <w:r w:rsidRPr="00D045B3">
        <w:rPr>
          <w:rFonts w:ascii="Times New Roman" w:hAnsi="Times New Roman"/>
        </w:rPr>
        <w:t>/nap dózisú ismételt, napi egyszeri adagolás esetén 1,7</w:t>
      </w:r>
      <w:r w:rsidRPr="00D045B3">
        <w:rPr>
          <w:rFonts w:ascii="Times New Roman" w:hAnsi="Times New Roman"/>
        </w:rPr>
        <w:noBreakHyphen/>
        <w:t>szeres akkumulációt találtak.</w:t>
      </w:r>
    </w:p>
    <w:p w14:paraId="1E927917" w14:textId="77777777" w:rsidR="00FE5992" w:rsidRPr="00D045B3" w:rsidRDefault="00FE5992" w:rsidP="00CA41FD">
      <w:pPr>
        <w:pStyle w:val="KeinLeerraum"/>
        <w:rPr>
          <w:rFonts w:ascii="Times New Roman" w:hAnsi="Times New Roman"/>
        </w:rPr>
      </w:pPr>
    </w:p>
    <w:p w14:paraId="1E927918" w14:textId="64548DDF" w:rsidR="00FE5992" w:rsidRPr="00D045B3" w:rsidRDefault="00AA2E59" w:rsidP="00FE5992">
      <w:pPr>
        <w:pStyle w:val="KeinLeerraum"/>
        <w:keepNext/>
        <w:rPr>
          <w:rFonts w:ascii="Times New Roman" w:hAnsi="Times New Roman"/>
          <w:u w:val="single"/>
        </w:rPr>
      </w:pPr>
      <w:r w:rsidRPr="00D045B3">
        <w:rPr>
          <w:rFonts w:ascii="Times New Roman" w:hAnsi="Times New Roman"/>
          <w:u w:val="single"/>
        </w:rPr>
        <w:t>Károsodott s</w:t>
      </w:r>
      <w:r w:rsidR="00FE5992" w:rsidRPr="00D045B3">
        <w:rPr>
          <w:rFonts w:ascii="Times New Roman" w:hAnsi="Times New Roman"/>
          <w:u w:val="single"/>
        </w:rPr>
        <w:t>zervműködés</w:t>
      </w:r>
    </w:p>
    <w:p w14:paraId="1E927919" w14:textId="3E845146" w:rsidR="00FE5992" w:rsidRPr="00D045B3" w:rsidRDefault="00FE5992" w:rsidP="00CA41FD">
      <w:pPr>
        <w:pStyle w:val="KeinLeerraum"/>
        <w:rPr>
          <w:rFonts w:ascii="Times New Roman" w:hAnsi="Times New Roman"/>
        </w:rPr>
      </w:pPr>
      <w:r w:rsidRPr="00D045B3">
        <w:rPr>
          <w:rFonts w:ascii="Times New Roman" w:hAnsi="Times New Roman"/>
        </w:rPr>
        <w:t xml:space="preserve">Az imatinib és metabolitjai nem ürülnek jelentős mértékben a veséken át. Az enyhe vagy közepes </w:t>
      </w:r>
      <w:r w:rsidR="00AA2E59" w:rsidRPr="00D045B3">
        <w:rPr>
          <w:rFonts w:ascii="Times New Roman" w:hAnsi="Times New Roman"/>
        </w:rPr>
        <w:t>mértékű</w:t>
      </w:r>
      <w:r w:rsidRPr="00D045B3">
        <w:rPr>
          <w:rFonts w:ascii="Times New Roman" w:hAnsi="Times New Roman"/>
        </w:rPr>
        <w:t xml:space="preserve"> vesekárosodásban szenvedő betegeknél magasabbnak tűnik a plazma expozíció mértéke, mint az egészséges vesefunkciójú betegek esetében. A növekedés körülbelül 1,5–2</w:t>
      </w:r>
      <w:r w:rsidRPr="00D045B3">
        <w:rPr>
          <w:rFonts w:ascii="Times New Roman" w:hAnsi="Times New Roman"/>
        </w:rPr>
        <w:noBreakHyphen/>
        <w:t>szeres, ami a plazma AGP</w:t>
      </w:r>
      <w:r w:rsidRPr="00D045B3">
        <w:rPr>
          <w:rFonts w:ascii="Times New Roman" w:hAnsi="Times New Roman"/>
        </w:rPr>
        <w:noBreakHyphen/>
        <w:t>szint 1,5</w:t>
      </w:r>
      <w:r w:rsidRPr="00D045B3">
        <w:rPr>
          <w:rFonts w:ascii="Times New Roman" w:hAnsi="Times New Roman"/>
        </w:rPr>
        <w:noBreakHyphen/>
        <w:t>szeres emelkedésének felel meg (az imatinib erősen kötődik az AGP</w:t>
      </w:r>
      <w:r w:rsidRPr="00D045B3">
        <w:rPr>
          <w:rFonts w:ascii="Times New Roman" w:hAnsi="Times New Roman"/>
        </w:rPr>
        <w:noBreakHyphen/>
        <w:t xml:space="preserve">hez). Az imatinib szabad gyógyszer clearance-e valószínűleg hasonló a </w:t>
      </w:r>
      <w:r w:rsidR="00AA2E59" w:rsidRPr="00D045B3">
        <w:rPr>
          <w:rFonts w:ascii="Times New Roman" w:hAnsi="Times New Roman"/>
        </w:rPr>
        <w:t xml:space="preserve">károsodott </w:t>
      </w:r>
      <w:r w:rsidRPr="00D045B3">
        <w:rPr>
          <w:rFonts w:ascii="Times New Roman" w:hAnsi="Times New Roman"/>
        </w:rPr>
        <w:t xml:space="preserve">és az egészséges vesefunkciójú betegek esetében, mivel a renális kiválasztás csak kismértékben játszik szerepet az imatinib eliminációjában (lásd 4.2 és 4.4 pont). </w:t>
      </w:r>
    </w:p>
    <w:p w14:paraId="1E92791A" w14:textId="77777777" w:rsidR="00FE5992" w:rsidRPr="00D045B3" w:rsidRDefault="00FE5992" w:rsidP="00FE5992">
      <w:pPr>
        <w:pStyle w:val="KeinLeerraum"/>
        <w:rPr>
          <w:rFonts w:ascii="Times New Roman" w:hAnsi="Times New Roman"/>
        </w:rPr>
      </w:pPr>
    </w:p>
    <w:p w14:paraId="1E92791B" w14:textId="77777777" w:rsidR="00FE5992" w:rsidRPr="00D045B3" w:rsidRDefault="00FE5992" w:rsidP="00CA41FD">
      <w:pPr>
        <w:pStyle w:val="KeinLeerraum"/>
        <w:rPr>
          <w:rFonts w:ascii="Times New Roman" w:hAnsi="Times New Roman"/>
        </w:rPr>
      </w:pPr>
      <w:r w:rsidRPr="00D045B3">
        <w:rPr>
          <w:rFonts w:ascii="Times New Roman" w:hAnsi="Times New Roman"/>
        </w:rPr>
        <w:t>Bár a farmakokinetikai elemzések eredményei azt mutatták, hogy számottevő az egyének közötti variáció, az átlagos imatinib expozíció a normális májműködésű betegekhez viszonyítva nem fokozódott a különböző mértékben beszűkült májfunkciójú betegek esetében (lásd 4.2, 4.4, és 4.8 pont).</w:t>
      </w:r>
    </w:p>
    <w:p w14:paraId="1E92791C" w14:textId="77777777" w:rsidR="00FE5992" w:rsidRPr="00D045B3" w:rsidRDefault="00FE5992" w:rsidP="00190CF7">
      <w:pPr>
        <w:pStyle w:val="KeinLeerraum"/>
        <w:widowControl w:val="0"/>
        <w:rPr>
          <w:rFonts w:ascii="Times New Roman" w:hAnsi="Times New Roman"/>
        </w:rPr>
      </w:pPr>
    </w:p>
    <w:p w14:paraId="1E92791D" w14:textId="77777777" w:rsidR="00FE5992" w:rsidRPr="00D045B3" w:rsidRDefault="00FE5992" w:rsidP="008A6837">
      <w:pPr>
        <w:pStyle w:val="KeinLeerraum"/>
        <w:keepNext/>
        <w:tabs>
          <w:tab w:val="left" w:pos="567"/>
        </w:tabs>
        <w:rPr>
          <w:rFonts w:ascii="Times New Roman" w:hAnsi="Times New Roman"/>
          <w:b/>
        </w:rPr>
      </w:pPr>
      <w:r w:rsidRPr="00D045B3">
        <w:rPr>
          <w:rFonts w:ascii="Times New Roman" w:hAnsi="Times New Roman"/>
          <w:b/>
        </w:rPr>
        <w:t>5.3</w:t>
      </w:r>
      <w:r w:rsidRPr="00D045B3">
        <w:rPr>
          <w:rFonts w:ascii="Times New Roman" w:hAnsi="Times New Roman"/>
          <w:b/>
        </w:rPr>
        <w:tab/>
        <w:t xml:space="preserve">A preklinikai biztonságossági vizsgálatok eredményei </w:t>
      </w:r>
    </w:p>
    <w:p w14:paraId="1E92791E" w14:textId="77777777" w:rsidR="00FE5992" w:rsidRPr="00D045B3" w:rsidRDefault="00FE5992" w:rsidP="008A6837">
      <w:pPr>
        <w:pStyle w:val="KeinLeerraum"/>
        <w:keepNext/>
        <w:rPr>
          <w:rFonts w:ascii="Times New Roman" w:hAnsi="Times New Roman"/>
        </w:rPr>
      </w:pPr>
    </w:p>
    <w:p w14:paraId="1E92791F" w14:textId="77777777" w:rsidR="00FE5992" w:rsidRPr="00D045B3" w:rsidRDefault="00FE5992" w:rsidP="00CA41FD">
      <w:pPr>
        <w:pStyle w:val="KeinLeerraum"/>
        <w:rPr>
          <w:rFonts w:ascii="Times New Roman" w:hAnsi="Times New Roman"/>
        </w:rPr>
      </w:pPr>
      <w:r w:rsidRPr="00D045B3">
        <w:rPr>
          <w:rFonts w:ascii="Times New Roman" w:hAnsi="Times New Roman"/>
        </w:rPr>
        <w:t xml:space="preserve">Az imatinib preklinikai biztonságossági profilját patkányokban, kutyákban, majmokban és nyulakban vizsgálták. </w:t>
      </w:r>
    </w:p>
    <w:p w14:paraId="1E927920" w14:textId="77777777" w:rsidR="00FE5992" w:rsidRPr="00D045B3" w:rsidRDefault="00FE5992" w:rsidP="00FE5992">
      <w:pPr>
        <w:pStyle w:val="KeinLeerraum"/>
        <w:rPr>
          <w:rFonts w:ascii="Times New Roman" w:hAnsi="Times New Roman"/>
        </w:rPr>
      </w:pPr>
    </w:p>
    <w:p w14:paraId="1E927921" w14:textId="77777777" w:rsidR="00FE5992" w:rsidRPr="00D045B3" w:rsidRDefault="00FE5992" w:rsidP="00FE5992">
      <w:pPr>
        <w:pStyle w:val="KeinLeerraum"/>
        <w:rPr>
          <w:rFonts w:ascii="Times New Roman" w:hAnsi="Times New Roman"/>
        </w:rPr>
      </w:pPr>
      <w:r w:rsidRPr="00D045B3">
        <w:rPr>
          <w:rFonts w:ascii="Times New Roman" w:hAnsi="Times New Roman"/>
        </w:rPr>
        <w:t>Ismételt dózisú toxicitás vizsgálatok enyhe</w:t>
      </w:r>
      <w:r w:rsidRPr="00D045B3">
        <w:rPr>
          <w:rFonts w:ascii="Times New Roman" w:hAnsi="Times New Roman"/>
        </w:rPr>
        <w:noBreakHyphen/>
        <w:t xml:space="preserve">közepesen súlyos fokú hematológiai elváltozást mutattak patkányoknál, kutyáknál és majmoknál, amit csontvelőeltérés kísért a patkányok és kutyák esetében. </w:t>
      </w:r>
    </w:p>
    <w:p w14:paraId="1E927922" w14:textId="77777777" w:rsidR="00FE5992" w:rsidRPr="00D045B3" w:rsidRDefault="00FE5992" w:rsidP="00FE5992">
      <w:pPr>
        <w:pStyle w:val="KeinLeerraum"/>
        <w:rPr>
          <w:rFonts w:ascii="Times New Roman" w:hAnsi="Times New Roman"/>
        </w:rPr>
      </w:pPr>
    </w:p>
    <w:p w14:paraId="1E927923" w14:textId="77777777" w:rsidR="00FE5992" w:rsidRPr="00D045B3" w:rsidRDefault="00FE5992" w:rsidP="00FE5992">
      <w:pPr>
        <w:pStyle w:val="KeinLeerraum"/>
        <w:rPr>
          <w:rFonts w:ascii="Times New Roman" w:hAnsi="Times New Roman"/>
        </w:rPr>
      </w:pPr>
      <w:r w:rsidRPr="00D045B3">
        <w:rPr>
          <w:rFonts w:ascii="Times New Roman" w:hAnsi="Times New Roman"/>
        </w:rPr>
        <w:t>Patkányoknál és kutyáknál a célszerv a máj volt. Mindkét fajnál enyhe</w:t>
      </w:r>
      <w:r w:rsidRPr="00D045B3">
        <w:rPr>
          <w:rFonts w:ascii="Times New Roman" w:hAnsi="Times New Roman"/>
        </w:rPr>
        <w:noBreakHyphen/>
        <w:t>közepesen súlyos transzaminázszint emelkedést és csekély mértékű koleszterin</w:t>
      </w:r>
      <w:r w:rsidRPr="00D045B3">
        <w:rPr>
          <w:rFonts w:ascii="Times New Roman" w:hAnsi="Times New Roman"/>
        </w:rPr>
        <w:noBreakHyphen/>
        <w:t>, triglicerid</w:t>
      </w:r>
      <w:r w:rsidRPr="00D045B3">
        <w:rPr>
          <w:rFonts w:ascii="Times New Roman" w:hAnsi="Times New Roman"/>
        </w:rPr>
        <w:noBreakHyphen/>
        <w:t>, összfehérje</w:t>
      </w:r>
      <w:r w:rsidRPr="00D045B3">
        <w:rPr>
          <w:rFonts w:ascii="Times New Roman" w:hAnsi="Times New Roman"/>
        </w:rPr>
        <w:noBreakHyphen/>
        <w:t xml:space="preserve"> és albuminszint csökkenést figyeltek meg. Patkányok májában hisztopatológiai eltérést nem észleltek. Két hétig kezelt kutyákban súlyos májtoxicitást észleltek, emelkedett májenzimszint értékekkel, hepatocellularis necrosissal, epeút necrosissal és epeút hyperplasiával. </w:t>
      </w:r>
    </w:p>
    <w:p w14:paraId="1E927924" w14:textId="77777777" w:rsidR="00FE5992" w:rsidRPr="00D045B3" w:rsidRDefault="00FE5992" w:rsidP="00FE5992">
      <w:pPr>
        <w:pStyle w:val="KeinLeerraum"/>
        <w:rPr>
          <w:rFonts w:ascii="Times New Roman" w:hAnsi="Times New Roman"/>
        </w:rPr>
      </w:pPr>
    </w:p>
    <w:p w14:paraId="1E927925" w14:textId="77777777" w:rsidR="00FE5992" w:rsidRPr="00D045B3" w:rsidRDefault="00FE5992" w:rsidP="00FE5992">
      <w:pPr>
        <w:pStyle w:val="KeinLeerraum"/>
        <w:rPr>
          <w:rFonts w:ascii="Times New Roman" w:hAnsi="Times New Roman"/>
        </w:rPr>
      </w:pPr>
      <w:r w:rsidRPr="00D045B3">
        <w:rPr>
          <w:rFonts w:ascii="Times New Roman" w:hAnsi="Times New Roman"/>
        </w:rPr>
        <w:t>Két hétig kezelt majmoknál vesetoxicitást észleltek, a vesetubulusok focalis mineralisatiójával és dilatatiójával, valamint tubularis nephrosissal. Ezek közül több majomnál megnövekedett karbamid</w:t>
      </w:r>
      <w:r w:rsidRPr="00D045B3">
        <w:rPr>
          <w:rFonts w:ascii="Times New Roman" w:hAnsi="Times New Roman"/>
        </w:rPr>
        <w:noBreakHyphen/>
        <w:t xml:space="preserve">nitrogén (BUN) és kreatininszint volt észlelhető. Patkányok esetében, egy 13 hetes vizsgálatban, </w:t>
      </w:r>
      <w:r w:rsidRPr="00D045B3">
        <w:rPr>
          <w:rFonts w:ascii="Times New Roman" w:eastAsia="Symbol" w:hAnsi="Times New Roman"/>
          <w:u w:val="single"/>
        </w:rPr>
        <w:t>&gt;</w:t>
      </w:r>
      <w:r w:rsidRPr="00D045B3">
        <w:rPr>
          <w:rFonts w:ascii="Times New Roman" w:hAnsi="Times New Roman"/>
        </w:rPr>
        <w:t>6 mg/ttkg dózisok alkalmazása mellett a vesepapilla és a húgyhólyag transitionalis epitheliumának hyperplasiáját észlelték szérum</w:t>
      </w:r>
      <w:r w:rsidRPr="00D045B3">
        <w:rPr>
          <w:rFonts w:ascii="Times New Roman" w:hAnsi="Times New Roman"/>
        </w:rPr>
        <w:noBreakHyphen/>
        <w:t xml:space="preserve">, ill. vizeleteltérés nélkül. Krónikus imatinib kezeléskor az opportunista fertőzések gyakoribb előfordulását észlelték. </w:t>
      </w:r>
    </w:p>
    <w:p w14:paraId="1E927926" w14:textId="77777777" w:rsidR="00FE5992" w:rsidRPr="00D045B3" w:rsidRDefault="00FE5992" w:rsidP="00FE5992">
      <w:pPr>
        <w:pStyle w:val="KeinLeerraum"/>
        <w:rPr>
          <w:rFonts w:ascii="Times New Roman" w:hAnsi="Times New Roman"/>
        </w:rPr>
      </w:pPr>
    </w:p>
    <w:p w14:paraId="1E927927" w14:textId="77777777" w:rsidR="00FE5992" w:rsidRPr="00D045B3" w:rsidRDefault="00FE5992" w:rsidP="00FE5992">
      <w:pPr>
        <w:pStyle w:val="KeinLeerraum"/>
        <w:rPr>
          <w:rFonts w:ascii="Times New Roman" w:hAnsi="Times New Roman"/>
        </w:rPr>
      </w:pPr>
      <w:r w:rsidRPr="00D045B3">
        <w:rPr>
          <w:rFonts w:ascii="Times New Roman" w:hAnsi="Times New Roman"/>
        </w:rPr>
        <w:t>Egy 39 hetes, majmokkal végzett vizsgálatban, a legalacsonyabb 15 mg/ttkg dózis – körülbelül egyharmada a testfelületre számított maximális, 800 mg</w:t>
      </w:r>
      <w:r w:rsidRPr="00D045B3">
        <w:rPr>
          <w:rFonts w:ascii="Times New Roman" w:hAnsi="Times New Roman"/>
        </w:rPr>
        <w:noBreakHyphen/>
        <w:t xml:space="preserve">os humán dózisnak – alkalmazása mellett nem állapították meg a „nem észlelhető kedvezőtlen hatás szintet” (NOAEL – no observed adverse effect level). Ezeknél az állatoknál a kezelés a normálisan szuppresszált malariás infectio rosszabbodását eredményezte. </w:t>
      </w:r>
    </w:p>
    <w:p w14:paraId="1E927928" w14:textId="77777777" w:rsidR="00FE5992" w:rsidRPr="00D045B3" w:rsidRDefault="00FE5992" w:rsidP="00FE5992">
      <w:pPr>
        <w:pStyle w:val="KeinLeerraum"/>
        <w:rPr>
          <w:rFonts w:ascii="Times New Roman" w:hAnsi="Times New Roman"/>
        </w:rPr>
      </w:pPr>
    </w:p>
    <w:p w14:paraId="1E927929"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Az imatinib nem bizonyult genotoxikusnak </w:t>
      </w:r>
      <w:r w:rsidRPr="00D045B3">
        <w:rPr>
          <w:rFonts w:ascii="Times New Roman" w:hAnsi="Times New Roman"/>
          <w:i/>
          <w:iCs/>
        </w:rPr>
        <w:t xml:space="preserve">in vitro </w:t>
      </w:r>
      <w:r w:rsidRPr="00D045B3">
        <w:rPr>
          <w:rFonts w:ascii="Times New Roman" w:hAnsi="Times New Roman"/>
        </w:rPr>
        <w:t xml:space="preserve">baktériumsejt assay-ben (Ames teszt), </w:t>
      </w:r>
      <w:r w:rsidRPr="00D045B3">
        <w:rPr>
          <w:rFonts w:ascii="Times New Roman" w:hAnsi="Times New Roman"/>
          <w:i/>
          <w:iCs/>
        </w:rPr>
        <w:t xml:space="preserve">in vitro </w:t>
      </w:r>
      <w:r w:rsidRPr="00D045B3">
        <w:rPr>
          <w:rFonts w:ascii="Times New Roman" w:hAnsi="Times New Roman"/>
        </w:rPr>
        <w:t xml:space="preserve">emlőssejt tesztben (egér lymphoma) és </w:t>
      </w:r>
      <w:r w:rsidRPr="00D045B3">
        <w:rPr>
          <w:rFonts w:ascii="Times New Roman" w:hAnsi="Times New Roman"/>
          <w:i/>
          <w:iCs/>
        </w:rPr>
        <w:t xml:space="preserve">in vivo </w:t>
      </w:r>
      <w:r w:rsidRPr="00D045B3">
        <w:rPr>
          <w:rFonts w:ascii="Times New Roman" w:hAnsi="Times New Roman"/>
        </w:rPr>
        <w:t xml:space="preserve">patkány micronucleus tesztben. Pozitív genotoxikus hatást figyeltek meg egy </w:t>
      </w:r>
      <w:r w:rsidRPr="00D045B3">
        <w:rPr>
          <w:rFonts w:ascii="Times New Roman" w:hAnsi="Times New Roman"/>
          <w:i/>
          <w:iCs/>
        </w:rPr>
        <w:t xml:space="preserve">in vitro </w:t>
      </w:r>
      <w:r w:rsidRPr="00D045B3">
        <w:rPr>
          <w:rFonts w:ascii="Times New Roman" w:hAnsi="Times New Roman"/>
        </w:rPr>
        <w:t xml:space="preserve">emlőssejt assay-ben (kínai hörcsög ovarium) clastogenicitást tekintve (chromosoma aberratio) metabolikus aktiváció fennállásakor. Ames tesztben a gyártási folyamat két közbenső vegyülete - ami a végtermékben is jelen van - pozitív mutagén hatásúnak bizonyult. A közbenső vegyületek egyike egér lymphoma tesztben is pozitív hatásúnak bizonyult. </w:t>
      </w:r>
    </w:p>
    <w:p w14:paraId="1E92792A" w14:textId="77777777" w:rsidR="00FE5992" w:rsidRPr="00D045B3" w:rsidRDefault="00FE5992" w:rsidP="00FE5992">
      <w:pPr>
        <w:pStyle w:val="KeinLeerraum"/>
        <w:rPr>
          <w:rFonts w:ascii="Times New Roman" w:hAnsi="Times New Roman"/>
        </w:rPr>
      </w:pPr>
    </w:p>
    <w:p w14:paraId="1E92792B" w14:textId="77777777" w:rsidR="00FE5992" w:rsidRPr="00D045B3" w:rsidRDefault="00FE5992" w:rsidP="00FE5992">
      <w:pPr>
        <w:pStyle w:val="KeinLeerraum"/>
        <w:rPr>
          <w:rFonts w:ascii="Times New Roman" w:hAnsi="Times New Roman"/>
        </w:rPr>
      </w:pPr>
      <w:r w:rsidRPr="00D045B3">
        <w:rPr>
          <w:rFonts w:ascii="Times New Roman" w:hAnsi="Times New Roman"/>
        </w:rPr>
        <w:t>Fertilitási vizsgálatban hím patkányoknál a párosodást megelőző 70 napban adott 60 mg/ttkg dózis alkalmazásakor - ami körülbelül megfelel a testfelületre számított 800 mg/nap maximális klinikai dózisnak - a testicularis és epididymalis tömeg, valamint a mozgó spermiumok arányának csökkenését észlelték. Mindez ≤ 20 mg/ttkg alkalmazott dózisban nem volt megfigyelhető. Kutyáknál ≥ 30 mg/ttkg orális dózis mellett a spermatogenesis kismértékű</w:t>
      </w:r>
      <w:r w:rsidRPr="00D045B3">
        <w:rPr>
          <w:rFonts w:ascii="Times New Roman" w:hAnsi="Times New Roman"/>
        </w:rPr>
        <w:noBreakHyphen/>
        <w:t xml:space="preserve"> mérsékelt terjedő csökkenését figyelték meg. Amikor nőstény patkányokat kezeltek a párosodást megelőző 14 napban és a 6. gestációs napig, az adott kezelés nem volt hatással a párosodásra, és a vemhessé vált patkányok számára. Nőstény patkányoknál 60 mg/ttkg dózis szignifikáns mértékben fokozta a postimplantációs spontán abortus előfordulását, és csökkentette az élő foetusok számát, mely ≤ 20 mg/ttkg esetén nem észlelhető. </w:t>
      </w:r>
    </w:p>
    <w:p w14:paraId="1E92792C" w14:textId="77777777" w:rsidR="00FE5992" w:rsidRPr="00D045B3" w:rsidRDefault="00FE5992" w:rsidP="00FE5992">
      <w:pPr>
        <w:pStyle w:val="KeinLeerraum"/>
        <w:rPr>
          <w:rFonts w:ascii="Times New Roman" w:hAnsi="Times New Roman"/>
        </w:rPr>
      </w:pPr>
    </w:p>
    <w:p w14:paraId="1E92792D" w14:textId="77777777" w:rsidR="00FE5992" w:rsidRPr="00D045B3" w:rsidRDefault="00FE5992" w:rsidP="00FE5992">
      <w:pPr>
        <w:pStyle w:val="KeinLeerraum"/>
        <w:rPr>
          <w:rFonts w:ascii="Times New Roman" w:hAnsi="Times New Roman"/>
        </w:rPr>
      </w:pPr>
      <w:r w:rsidRPr="00D045B3">
        <w:rPr>
          <w:rFonts w:ascii="Times New Roman" w:hAnsi="Times New Roman"/>
        </w:rPr>
        <w:t>Egy, a patkányokkal végzett orális pre</w:t>
      </w:r>
      <w:r w:rsidRPr="00D045B3">
        <w:rPr>
          <w:rFonts w:ascii="Times New Roman" w:hAnsi="Times New Roman"/>
        </w:rPr>
        <w:noBreakHyphen/>
        <w:t>, ill. postnatalis fejlődési vizsgálatban vörös hüvelyi folyás mutatkozott a 14. vagy a 15. gestatiós napon a 45 mg/ttkg/nap adagot kapó csoportban. Ugyanezen adag mellett a halvaszületési arány és az első négy napban bekövetkező magzati halálozási arány megnövekedett. Az F</w:t>
      </w:r>
      <w:r w:rsidRPr="00D045B3">
        <w:rPr>
          <w:rFonts w:ascii="Times New Roman" w:hAnsi="Times New Roman"/>
          <w:vertAlign w:val="subscript"/>
        </w:rPr>
        <w:t>1</w:t>
      </w:r>
      <w:r w:rsidRPr="00D045B3">
        <w:rPr>
          <w:rFonts w:ascii="Times New Roman" w:hAnsi="Times New Roman"/>
        </w:rPr>
        <w:t xml:space="preserve"> utódok esetében – ugyanezen adag mellett – kisebb volt az átlagos testtömeg a születéstől elhullásukig, és a praeputialis elkülönítést szükségessé tevő alomszám némileg csökkent. Bár az F</w:t>
      </w:r>
      <w:r w:rsidRPr="00D045B3">
        <w:rPr>
          <w:rFonts w:ascii="Times New Roman" w:hAnsi="Times New Roman"/>
          <w:vertAlign w:val="subscript"/>
        </w:rPr>
        <w:t>1</w:t>
      </w:r>
      <w:r w:rsidRPr="00D045B3">
        <w:rPr>
          <w:rFonts w:ascii="Times New Roman" w:hAnsi="Times New Roman"/>
        </w:rPr>
        <w:t xml:space="preserve"> utódok fertilitása nem csökkent, a 45 mg/kg nap dózisnál, nagyobb számú volt az intrauterin felszívódás, és kisebb számú az életképes foetusok száma. Az anyaállatra és az F</w:t>
      </w:r>
      <w:r w:rsidRPr="00D045B3">
        <w:rPr>
          <w:rFonts w:ascii="Times New Roman" w:hAnsi="Times New Roman"/>
          <w:vertAlign w:val="subscript"/>
        </w:rPr>
        <w:t>1</w:t>
      </w:r>
      <w:r w:rsidRPr="00D045B3">
        <w:rPr>
          <w:rFonts w:ascii="Times New Roman" w:hAnsi="Times New Roman"/>
        </w:rPr>
        <w:t xml:space="preserve"> generációra a „nem észlelhető hatás szint” (NOEL - no observed effect level) értéke 15 mg/ttkg/nap volt, ami a 800 mg maximális humán adag negyedének felel meg. </w:t>
      </w:r>
    </w:p>
    <w:p w14:paraId="1E92792E" w14:textId="77777777" w:rsidR="00FE5992" w:rsidRPr="00D045B3" w:rsidRDefault="00FE5992" w:rsidP="00FE5992">
      <w:pPr>
        <w:pStyle w:val="KeinLeerraum"/>
        <w:rPr>
          <w:rFonts w:ascii="Times New Roman" w:hAnsi="Times New Roman"/>
        </w:rPr>
      </w:pPr>
    </w:p>
    <w:p w14:paraId="1E92792F"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Patkányoknál az organogenezis ideje alatt alkalmazott ≥ 100 mg/ttkg (ami körülbelül a testfelületre számított 800 mg/nap maximális humán klinikai dózisnak felel meg) imatinib adag teratogénnek bizonyult. A teratogén hatások közé tartozott az exencephalia vagy encephalocele, a frontalis csontok hiánya/hiányos kifejlődése és a partietalis csontok hiánya. Ezek a hatások nem voltak észlelhetők ≤30 mg/ttkg adagokban. </w:t>
      </w:r>
    </w:p>
    <w:p w14:paraId="1E927930" w14:textId="77777777" w:rsidR="00FE5992" w:rsidRPr="00D045B3" w:rsidRDefault="00FE5992" w:rsidP="00FE5992">
      <w:pPr>
        <w:pStyle w:val="KeinLeerraum"/>
        <w:rPr>
          <w:rFonts w:ascii="Times New Roman" w:hAnsi="Times New Roman"/>
        </w:rPr>
      </w:pPr>
    </w:p>
    <w:p w14:paraId="1E927931" w14:textId="77777777" w:rsidR="00FE5992" w:rsidRPr="00D045B3" w:rsidRDefault="00FE5992" w:rsidP="00FE5992">
      <w:pPr>
        <w:pStyle w:val="KeinLeerraum"/>
        <w:rPr>
          <w:rFonts w:ascii="Times New Roman" w:hAnsi="Times New Roman"/>
        </w:rPr>
      </w:pPr>
      <w:r w:rsidRPr="00D045B3">
        <w:rPr>
          <w:rFonts w:ascii="Times New Roman" w:hAnsi="Times New Roman"/>
        </w:rPr>
        <w:t>Fiatal patkányokon végzett fejlődés toxikológiai vizsgálatban (az ellés utáni 10. és 70. napon) a felnőtt patkányokban már ismert célszervekhez képest nem azonosítottak új célszerveket. A juvenilis toxikológiai vizsgálatban a legnagyobb ajánlott 340 mg/m</w:t>
      </w:r>
      <w:r w:rsidRPr="00D045B3">
        <w:rPr>
          <w:rFonts w:ascii="Times New Roman" w:hAnsi="Times New Roman"/>
          <w:vertAlign w:val="superscript"/>
        </w:rPr>
        <w:t>2</w:t>
      </w:r>
      <w:r w:rsidRPr="00D045B3">
        <w:rPr>
          <w:rFonts w:ascii="Times New Roman" w:hAnsi="Times New Roman"/>
        </w:rPr>
        <w:noBreakHyphen/>
        <w:t>es dózis mellett - amely az átlagos gyermekgyógyászati expozíció 0,3</w:t>
      </w:r>
      <w:r w:rsidRPr="00D045B3">
        <w:rPr>
          <w:rFonts w:ascii="Times New Roman" w:hAnsi="Times New Roman"/>
        </w:rPr>
        <w:noBreakHyphen/>
        <w:t>2</w:t>
      </w:r>
      <w:r w:rsidRPr="00D045B3">
        <w:rPr>
          <w:rFonts w:ascii="Times New Roman" w:hAnsi="Times New Roman"/>
        </w:rPr>
        <w:noBreakHyphen/>
        <w:t>szerese - a növekedésre gyakorolt hatásokat, a vagina késői megnyílását és a fityma késői elválását észlelték. Ezen kív</w:t>
      </w:r>
      <w:r w:rsidRPr="00D045B3">
        <w:t>ü</w:t>
      </w:r>
      <w:r w:rsidRPr="00D045B3">
        <w:rPr>
          <w:rFonts w:ascii="Times New Roman" w:hAnsi="Times New Roman"/>
        </w:rPr>
        <w:t>l a legnagyobb ajánlott 340 mg/m</w:t>
      </w:r>
      <w:r w:rsidRPr="00D045B3">
        <w:rPr>
          <w:rFonts w:ascii="Times New Roman" w:hAnsi="Times New Roman"/>
          <w:vertAlign w:val="superscript"/>
        </w:rPr>
        <w:t>2</w:t>
      </w:r>
      <w:r w:rsidRPr="00D045B3">
        <w:rPr>
          <w:rFonts w:ascii="Times New Roman" w:hAnsi="Times New Roman"/>
        </w:rPr>
        <w:noBreakHyphen/>
        <w:t>es dózis mellett - amely az átlagos gyermekgyógyászati expozíció 2</w:t>
      </w:r>
      <w:r w:rsidRPr="00D045B3">
        <w:rPr>
          <w:rFonts w:ascii="Times New Roman" w:hAnsi="Times New Roman"/>
        </w:rPr>
        <w:noBreakHyphen/>
        <w:t>szerese -</w:t>
      </w:r>
      <w:r w:rsidRPr="00D045B3">
        <w:t xml:space="preserve"> </w:t>
      </w:r>
      <w:r w:rsidRPr="00D045B3">
        <w:rPr>
          <w:rFonts w:ascii="Times New Roman" w:hAnsi="Times New Roman"/>
        </w:rPr>
        <w:t>mortalitást is megfigyeltek a fiatal állatoknál (az elválasztás ideje körül).</w:t>
      </w:r>
    </w:p>
    <w:p w14:paraId="1E927932" w14:textId="77777777" w:rsidR="00FE5992" w:rsidRPr="00D045B3" w:rsidRDefault="00FE5992" w:rsidP="00FE5992">
      <w:pPr>
        <w:pStyle w:val="KeinLeerraum"/>
        <w:rPr>
          <w:rFonts w:ascii="Times New Roman" w:hAnsi="Times New Roman"/>
        </w:rPr>
      </w:pPr>
    </w:p>
    <w:p w14:paraId="1E927933" w14:textId="77777777" w:rsidR="00FE5992" w:rsidRPr="00D045B3" w:rsidRDefault="00FE5992" w:rsidP="00FE5992">
      <w:pPr>
        <w:pStyle w:val="KeinLeerraum"/>
        <w:rPr>
          <w:rFonts w:ascii="Times New Roman" w:hAnsi="Times New Roman"/>
        </w:rPr>
      </w:pPr>
      <w:r w:rsidRPr="00D045B3">
        <w:rPr>
          <w:rFonts w:ascii="Times New Roman" w:hAnsi="Times New Roman"/>
        </w:rPr>
        <w:t>Patkányokon végzett 2 éves karcinogenitási vizsgálatban 15, 30 és 60 mg/kg/nap imatinib adása az élettartam statisztikailag szignifikáns csökkenését eredményezte: hímek esetében 60 mg/kg/nap, nőstények esetében ≥ 30 mg/kg/nap adag mellett. Az elpusztult egyedek hisztopatológiai vizsgálata során kimutatták, hogy a halál és az el nem pusztult egyedek feláldozásának oka elsősorban a cardiomyopathia (mindkét nem esetében), a krónikus progresszív nephropathia (nőstények esetében) és a praeputium</w:t>
      </w:r>
      <w:r w:rsidRPr="00D045B3">
        <w:rPr>
          <w:rFonts w:ascii="Times New Roman" w:hAnsi="Times New Roman"/>
        </w:rPr>
        <w:noBreakHyphen/>
        <w:t>mirigy papilloma volt. A daganatos elváltozások a vesét, a húgyhólyagot, a húgycsövet, a praeputium</w:t>
      </w:r>
      <w:r w:rsidRPr="00D045B3">
        <w:rPr>
          <w:rFonts w:ascii="Times New Roman" w:hAnsi="Times New Roman"/>
        </w:rPr>
        <w:noBreakHyphen/>
        <w:t xml:space="preserve"> és clitoris</w:t>
      </w:r>
      <w:r w:rsidRPr="00D045B3">
        <w:rPr>
          <w:rFonts w:ascii="Times New Roman" w:hAnsi="Times New Roman"/>
        </w:rPr>
        <w:noBreakHyphen/>
        <w:t xml:space="preserve">mirigyeket, a vékonybelet, a mellékpajzsmirigyet, a mellékvesét és a nem mirigyes gyomrot érintették. </w:t>
      </w:r>
    </w:p>
    <w:p w14:paraId="1E927934" w14:textId="77777777" w:rsidR="00FE5992" w:rsidRPr="00D045B3" w:rsidRDefault="00FE5992" w:rsidP="00FE5992">
      <w:pPr>
        <w:pStyle w:val="KeinLeerraum"/>
        <w:rPr>
          <w:rFonts w:ascii="Times New Roman" w:hAnsi="Times New Roman"/>
        </w:rPr>
      </w:pPr>
    </w:p>
    <w:p w14:paraId="1E927935" w14:textId="7AEC62B1" w:rsidR="00FE5992" w:rsidRPr="00D045B3" w:rsidRDefault="00FE5992" w:rsidP="00FE5992">
      <w:pPr>
        <w:pStyle w:val="KeinLeerraum"/>
        <w:rPr>
          <w:rFonts w:ascii="Times New Roman" w:hAnsi="Times New Roman"/>
        </w:rPr>
      </w:pPr>
      <w:r w:rsidRPr="00D045B3">
        <w:rPr>
          <w:rFonts w:ascii="Times New Roman" w:hAnsi="Times New Roman"/>
        </w:rPr>
        <w:t>Praeputium</w:t>
      </w:r>
      <w:r w:rsidRPr="00D045B3">
        <w:rPr>
          <w:rFonts w:ascii="Times New Roman" w:hAnsi="Times New Roman"/>
        </w:rPr>
        <w:noBreakHyphen/>
        <w:t xml:space="preserve"> és clitoris</w:t>
      </w:r>
      <w:r w:rsidRPr="00D045B3">
        <w:rPr>
          <w:rFonts w:ascii="Times New Roman" w:hAnsi="Times New Roman"/>
        </w:rPr>
        <w:noBreakHyphen/>
        <w:t>mirigy papillomák/carcinomák kialakulását 30 mg/ttkg/nap dózistól kezdődően észlelték, amely megfelel a 400 mg/nap humán expozíció (AUC</w:t>
      </w:r>
      <w:r w:rsidRPr="00D045B3">
        <w:rPr>
          <w:rFonts w:ascii="Times New Roman" w:hAnsi="Times New Roman"/>
        </w:rPr>
        <w:noBreakHyphen/>
        <w:t>n alapuló) körülbelül 0,5</w:t>
      </w:r>
      <w:r w:rsidRPr="00D045B3">
        <w:rPr>
          <w:rFonts w:ascii="Times New Roman" w:hAnsi="Times New Roman"/>
        </w:rPr>
        <w:noBreakHyphen/>
        <w:t>szörösének, vagy a 800 mg/nap humán expozíció (AUC-n alapuló) körülbelül 0,3</w:t>
      </w:r>
      <w:r w:rsidRPr="00D045B3">
        <w:rPr>
          <w:rFonts w:ascii="Times New Roman" w:hAnsi="Times New Roman"/>
        </w:rPr>
        <w:noBreakHyphen/>
        <w:t>szorosának, illetve gyermekeknél a 340 mg/m</w:t>
      </w:r>
      <w:r w:rsidRPr="00D045B3">
        <w:rPr>
          <w:rFonts w:ascii="Times New Roman" w:hAnsi="Times New Roman"/>
          <w:vertAlign w:val="superscript"/>
        </w:rPr>
        <w:t>2</w:t>
      </w:r>
      <w:r w:rsidRPr="00D045B3">
        <w:rPr>
          <w:rFonts w:ascii="Times New Roman" w:hAnsi="Times New Roman"/>
        </w:rPr>
        <w:t>/nap expozíció (AUC</w:t>
      </w:r>
      <w:r w:rsidRPr="00D045B3">
        <w:rPr>
          <w:rFonts w:ascii="Times New Roman" w:hAnsi="Times New Roman"/>
        </w:rPr>
        <w:noBreakHyphen/>
        <w:t>n alapuló) 0,4–szeresének. A nem észlelhető hatásszint (NOEL) 15 mg/ttkg/nap volt. Vese adenomát/carcinomát, húgyhólyag</w:t>
      </w:r>
      <w:r w:rsidRPr="00D045B3">
        <w:rPr>
          <w:rFonts w:ascii="Times New Roman" w:hAnsi="Times New Roman"/>
        </w:rPr>
        <w:noBreakHyphen/>
        <w:t xml:space="preserve"> és húgycső papillomát, vékonybél adenocarcinomát, mellékpajzsmirigy adenomát, jó</w:t>
      </w:r>
      <w:r w:rsidRPr="00D045B3">
        <w:rPr>
          <w:rFonts w:ascii="Times New Roman" w:hAnsi="Times New Roman"/>
        </w:rPr>
        <w:noBreakHyphen/>
        <w:t xml:space="preserve"> és rosszindulatú medulláris mellékvese adenomát, valamint nem mirigyes gyomor papillomát/carcinomát 60 mg/ttkg/nap dózisnál figyeltek meg, amely megfelel a 400 vagy 800 mg/nap humán expozíció (AUC</w:t>
      </w:r>
      <w:r w:rsidRPr="00D045B3">
        <w:rPr>
          <w:rFonts w:ascii="Times New Roman" w:hAnsi="Times New Roman"/>
        </w:rPr>
        <w:noBreakHyphen/>
        <w:t>n alapuló) körülbelül 1,7</w:t>
      </w:r>
      <w:r w:rsidRPr="00D045B3">
        <w:rPr>
          <w:rFonts w:ascii="Times New Roman" w:hAnsi="Times New Roman"/>
        </w:rPr>
        <w:noBreakHyphen/>
        <w:t xml:space="preserve"> vagy 1</w:t>
      </w:r>
      <w:r w:rsidRPr="00D045B3">
        <w:rPr>
          <w:rFonts w:ascii="Times New Roman" w:hAnsi="Times New Roman"/>
        </w:rPr>
        <w:noBreakHyphen/>
        <w:t>szeresének, illetve gyermekeknél a 340 mg/m</w:t>
      </w:r>
      <w:r w:rsidRPr="00D045B3">
        <w:rPr>
          <w:rFonts w:ascii="Times New Roman" w:hAnsi="Times New Roman"/>
          <w:vertAlign w:val="superscript"/>
        </w:rPr>
        <w:t>2</w:t>
      </w:r>
      <w:r w:rsidRPr="00D045B3">
        <w:rPr>
          <w:rFonts w:ascii="Times New Roman" w:hAnsi="Times New Roman"/>
        </w:rPr>
        <w:t>/nap expozíció (AUC</w:t>
      </w:r>
      <w:r w:rsidRPr="00D045B3">
        <w:rPr>
          <w:rFonts w:ascii="Times New Roman" w:hAnsi="Times New Roman"/>
        </w:rPr>
        <w:noBreakHyphen/>
        <w:t>n alapuló) 1,2</w:t>
      </w:r>
      <w:r w:rsidRPr="00D045B3">
        <w:rPr>
          <w:rFonts w:ascii="Times New Roman" w:hAnsi="Times New Roman"/>
        </w:rPr>
        <w:noBreakHyphen/>
        <w:t xml:space="preserve">szeresének. A nem észlelhető hatásszint (NOEL) 30 mg/ttkg/nap volt. </w:t>
      </w:r>
    </w:p>
    <w:p w14:paraId="1E927936" w14:textId="77777777" w:rsidR="00FE5992" w:rsidRPr="00D045B3" w:rsidRDefault="00FE5992" w:rsidP="00FE5992">
      <w:pPr>
        <w:pStyle w:val="KeinLeerraum"/>
        <w:rPr>
          <w:rFonts w:ascii="Times New Roman" w:hAnsi="Times New Roman"/>
        </w:rPr>
      </w:pPr>
    </w:p>
    <w:p w14:paraId="1E927937" w14:textId="77777777" w:rsidR="00FE5992" w:rsidRPr="00D045B3" w:rsidRDefault="00FE5992" w:rsidP="00FE5992">
      <w:pPr>
        <w:pStyle w:val="KeinLeerraum"/>
        <w:rPr>
          <w:rFonts w:ascii="Times New Roman" w:hAnsi="Times New Roman"/>
        </w:rPr>
      </w:pPr>
      <w:r w:rsidRPr="00D045B3">
        <w:rPr>
          <w:rFonts w:ascii="Times New Roman" w:hAnsi="Times New Roman"/>
        </w:rPr>
        <w:t xml:space="preserve">Még nem tisztázott, hogy a patkány karcinogenitási vizsgálat megállapításainak jelentősége, illetve ezek mechanizmusa vonatkoztatható-e emberre. </w:t>
      </w:r>
    </w:p>
    <w:p w14:paraId="1E927938" w14:textId="77777777" w:rsidR="00FE5992" w:rsidRPr="00D045B3" w:rsidRDefault="00FE5992" w:rsidP="00FE5992">
      <w:pPr>
        <w:pStyle w:val="KeinLeerraum"/>
        <w:rPr>
          <w:rFonts w:ascii="Times New Roman" w:hAnsi="Times New Roman"/>
        </w:rPr>
      </w:pPr>
    </w:p>
    <w:p w14:paraId="1E927939" w14:textId="77777777" w:rsidR="00FE5992" w:rsidRPr="00D045B3" w:rsidRDefault="00FE5992" w:rsidP="00FE5992">
      <w:pPr>
        <w:pStyle w:val="KeinLeerraum"/>
        <w:rPr>
          <w:rFonts w:ascii="Times New Roman" w:hAnsi="Times New Roman"/>
        </w:rPr>
      </w:pPr>
      <w:r w:rsidRPr="00D045B3">
        <w:rPr>
          <w:rFonts w:ascii="Times New Roman" w:hAnsi="Times New Roman"/>
        </w:rPr>
        <w:t>A nem daganatos károsodások – melyeket a korábbi preklinikai vizsgálatok során nem ismertek fel – a cardiovascularis rendszert, a hasnyálmirigyet, az endokrin szerveket és a fogakat érintették. A legfontosabb elváltozások között volt a cardialis hypertrophia és dilatatio, melyek néhány állatban a szívelégtelenség jeleinek kialakulásához vezettek.</w:t>
      </w:r>
    </w:p>
    <w:p w14:paraId="1E92793A" w14:textId="77777777" w:rsidR="00FE5992" w:rsidRPr="00D045B3" w:rsidRDefault="00FE5992" w:rsidP="00FE5992">
      <w:pPr>
        <w:pStyle w:val="KeinLeerraum"/>
        <w:rPr>
          <w:rFonts w:ascii="Times New Roman" w:hAnsi="Times New Roman"/>
        </w:rPr>
      </w:pPr>
    </w:p>
    <w:p w14:paraId="1E92793B" w14:textId="752EAE50" w:rsidR="00FE5992" w:rsidRPr="00D045B3" w:rsidRDefault="00FE5992" w:rsidP="00FE5992">
      <w:pPr>
        <w:pStyle w:val="KeinLeerraum"/>
        <w:rPr>
          <w:rFonts w:ascii="Times New Roman" w:hAnsi="Times New Roman"/>
        </w:rPr>
      </w:pPr>
      <w:r w:rsidRPr="00D045B3">
        <w:rPr>
          <w:rFonts w:ascii="Times New Roman" w:hAnsi="Times New Roman"/>
        </w:rPr>
        <w:t>Az imatinib hatóanyag környezeti kockázatot jelent az üledék</w:t>
      </w:r>
      <w:r w:rsidR="00AA2E59" w:rsidRPr="00D045B3">
        <w:rPr>
          <w:rFonts w:ascii="Times New Roman" w:hAnsi="Times New Roman"/>
        </w:rPr>
        <w:t>lakó organizmusokra</w:t>
      </w:r>
      <w:r w:rsidRPr="00D045B3">
        <w:rPr>
          <w:rFonts w:ascii="Times New Roman" w:hAnsi="Times New Roman"/>
        </w:rPr>
        <w:t>.</w:t>
      </w:r>
    </w:p>
    <w:p w14:paraId="1E92793C" w14:textId="77777777" w:rsidR="006B783B" w:rsidRPr="00D045B3" w:rsidRDefault="006B783B" w:rsidP="006B783B">
      <w:pPr>
        <w:pStyle w:val="KeinLeerraum"/>
        <w:rPr>
          <w:rFonts w:ascii="Times New Roman" w:hAnsi="Times New Roman"/>
        </w:rPr>
      </w:pPr>
    </w:p>
    <w:p w14:paraId="1E92793D" w14:textId="77777777" w:rsidR="006B783B" w:rsidRPr="00D045B3" w:rsidRDefault="006B783B" w:rsidP="006B783B">
      <w:pPr>
        <w:pStyle w:val="KeinLeerraum"/>
        <w:rPr>
          <w:rFonts w:ascii="Times New Roman" w:hAnsi="Times New Roman"/>
        </w:rPr>
      </w:pPr>
    </w:p>
    <w:p w14:paraId="1E92793E"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w:t>
      </w:r>
      <w:r w:rsidRPr="00D045B3">
        <w:rPr>
          <w:rFonts w:ascii="Times New Roman" w:hAnsi="Times New Roman"/>
          <w:b/>
        </w:rPr>
        <w:tab/>
        <w:t xml:space="preserve">GYÓGYSZERÉSZETI JELLEMZŐK </w:t>
      </w:r>
    </w:p>
    <w:p w14:paraId="1E92793F" w14:textId="77777777" w:rsidR="006B783B" w:rsidRPr="00D045B3" w:rsidRDefault="006B783B" w:rsidP="006B783B">
      <w:pPr>
        <w:pStyle w:val="KeinLeerraum"/>
        <w:keepNext/>
        <w:rPr>
          <w:rFonts w:ascii="Times New Roman" w:hAnsi="Times New Roman"/>
        </w:rPr>
      </w:pPr>
    </w:p>
    <w:p w14:paraId="1E927940"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6.1</w:t>
      </w:r>
      <w:r w:rsidRPr="00D045B3">
        <w:rPr>
          <w:rFonts w:ascii="Times New Roman" w:hAnsi="Times New Roman"/>
          <w:b/>
        </w:rPr>
        <w:tab/>
        <w:t xml:space="preserve">Segédanyagok felsorolása </w:t>
      </w:r>
    </w:p>
    <w:p w14:paraId="1E927941" w14:textId="77777777" w:rsidR="006B783B" w:rsidRPr="00D045B3" w:rsidRDefault="006B783B" w:rsidP="006B783B">
      <w:pPr>
        <w:pStyle w:val="KeinLeerraum"/>
        <w:keepNext/>
        <w:rPr>
          <w:rFonts w:ascii="Times New Roman" w:hAnsi="Times New Roman"/>
        </w:rPr>
      </w:pPr>
    </w:p>
    <w:p w14:paraId="1E927942" w14:textId="77777777" w:rsidR="00686EB8" w:rsidRPr="00D045B3" w:rsidRDefault="00686EB8" w:rsidP="00686EB8">
      <w:pPr>
        <w:pStyle w:val="KeinLeerraum"/>
        <w:rPr>
          <w:rFonts w:ascii="Times New Roman" w:hAnsi="Times New Roman"/>
          <w:u w:val="single"/>
        </w:rPr>
      </w:pPr>
      <w:r w:rsidRPr="00D045B3">
        <w:rPr>
          <w:rFonts w:ascii="Times New Roman" w:hAnsi="Times New Roman"/>
          <w:u w:val="single"/>
        </w:rPr>
        <w:t xml:space="preserve">Tablettamag: </w:t>
      </w:r>
    </w:p>
    <w:p w14:paraId="1E927943" w14:textId="77777777" w:rsidR="00686EB8" w:rsidRPr="00D045B3" w:rsidRDefault="00686EB8" w:rsidP="00686EB8">
      <w:pPr>
        <w:pStyle w:val="KeinLeerraum"/>
        <w:rPr>
          <w:rFonts w:ascii="Times New Roman" w:hAnsi="Times New Roman"/>
        </w:rPr>
      </w:pPr>
      <w:r w:rsidRPr="00D045B3">
        <w:rPr>
          <w:rFonts w:ascii="Times New Roman" w:hAnsi="Times New Roman"/>
        </w:rPr>
        <w:t xml:space="preserve">mikrokristályos cellulóz (E460), </w:t>
      </w:r>
    </w:p>
    <w:p w14:paraId="1E927944" w14:textId="77777777" w:rsidR="00C83F67" w:rsidRPr="00D045B3" w:rsidRDefault="00C83F67" w:rsidP="00C83F67">
      <w:pPr>
        <w:pStyle w:val="KeinLeerraum"/>
        <w:rPr>
          <w:rFonts w:ascii="Times New Roman" w:hAnsi="Times New Roman"/>
        </w:rPr>
      </w:pPr>
      <w:r w:rsidRPr="00D045B3">
        <w:rPr>
          <w:rFonts w:ascii="Times New Roman" w:hAnsi="Times New Roman"/>
        </w:rPr>
        <w:t xml:space="preserve">kopovidon, </w:t>
      </w:r>
    </w:p>
    <w:p w14:paraId="1E927945" w14:textId="77777777" w:rsidR="00C83F67" w:rsidRPr="00D045B3" w:rsidRDefault="00C83F67" w:rsidP="00C83F67">
      <w:pPr>
        <w:pStyle w:val="KeinLeerraum"/>
        <w:rPr>
          <w:rFonts w:ascii="Times New Roman" w:hAnsi="Times New Roman"/>
        </w:rPr>
      </w:pPr>
      <w:r w:rsidRPr="00D045B3">
        <w:rPr>
          <w:rFonts w:ascii="Times New Roman" w:hAnsi="Times New Roman"/>
        </w:rPr>
        <w:t>kroszpovidon,</w:t>
      </w:r>
    </w:p>
    <w:p w14:paraId="1E927946" w14:textId="77777777" w:rsidR="00C83F67" w:rsidRPr="00D045B3" w:rsidRDefault="00C83F67" w:rsidP="00C83F67">
      <w:pPr>
        <w:pStyle w:val="KeinLeerraum"/>
        <w:rPr>
          <w:rFonts w:ascii="Times New Roman" w:hAnsi="Times New Roman"/>
        </w:rPr>
      </w:pPr>
      <w:r w:rsidRPr="00D045B3">
        <w:rPr>
          <w:rFonts w:ascii="Times New Roman" w:hAnsi="Times New Roman"/>
        </w:rPr>
        <w:t>nátrium</w:t>
      </w:r>
      <w:r w:rsidRPr="00D045B3">
        <w:rPr>
          <w:rFonts w:ascii="Times New Roman" w:hAnsi="Times New Roman"/>
        </w:rPr>
        <w:noBreakHyphen/>
        <w:t>sztearil</w:t>
      </w:r>
      <w:r w:rsidRPr="00D045B3">
        <w:rPr>
          <w:rFonts w:ascii="Times New Roman" w:hAnsi="Times New Roman"/>
        </w:rPr>
        <w:noBreakHyphen/>
        <w:t>fumarát</w:t>
      </w:r>
    </w:p>
    <w:p w14:paraId="1E927947" w14:textId="77777777" w:rsidR="00C83F67" w:rsidRPr="00D045B3" w:rsidRDefault="00C83F67" w:rsidP="00C83F67">
      <w:pPr>
        <w:pStyle w:val="KeinLeerraum"/>
        <w:rPr>
          <w:rFonts w:ascii="Times New Roman" w:hAnsi="Times New Roman"/>
        </w:rPr>
      </w:pPr>
      <w:r w:rsidRPr="00D045B3">
        <w:rPr>
          <w:rFonts w:ascii="Times New Roman" w:hAnsi="Times New Roman"/>
        </w:rPr>
        <w:t xml:space="preserve">hidrofób, kolloid szilícium dioxid, </w:t>
      </w:r>
    </w:p>
    <w:p w14:paraId="1E927948" w14:textId="77777777" w:rsidR="00C83F67" w:rsidRPr="00D045B3" w:rsidRDefault="00C83F67" w:rsidP="00C83F67">
      <w:pPr>
        <w:pStyle w:val="KeinLeerraum"/>
        <w:rPr>
          <w:rFonts w:ascii="Times New Roman" w:hAnsi="Times New Roman"/>
        </w:rPr>
      </w:pPr>
      <w:r w:rsidRPr="00D045B3">
        <w:rPr>
          <w:rFonts w:ascii="Times New Roman" w:hAnsi="Times New Roman"/>
        </w:rPr>
        <w:t xml:space="preserve">vízmentes, kolloid szilícium dioxid, </w:t>
      </w:r>
    </w:p>
    <w:p w14:paraId="1E927949" w14:textId="77777777" w:rsidR="00686EB8" w:rsidRPr="00D045B3" w:rsidRDefault="00686EB8" w:rsidP="00686EB8">
      <w:pPr>
        <w:pStyle w:val="KeinLeerraum"/>
        <w:rPr>
          <w:rFonts w:ascii="Times New Roman" w:hAnsi="Times New Roman"/>
        </w:rPr>
      </w:pPr>
    </w:p>
    <w:p w14:paraId="1E92794A" w14:textId="77777777" w:rsidR="00686EB8" w:rsidRPr="00D045B3" w:rsidRDefault="00686EB8" w:rsidP="00686EB8">
      <w:pPr>
        <w:pStyle w:val="KeinLeerraum"/>
        <w:rPr>
          <w:rFonts w:ascii="Times New Roman" w:hAnsi="Times New Roman"/>
          <w:u w:val="single"/>
        </w:rPr>
      </w:pPr>
      <w:r w:rsidRPr="00D045B3">
        <w:rPr>
          <w:rFonts w:ascii="Times New Roman" w:hAnsi="Times New Roman"/>
          <w:u w:val="single"/>
        </w:rPr>
        <w:t>Tablettabevonat:</w:t>
      </w:r>
    </w:p>
    <w:p w14:paraId="1E92794B" w14:textId="77777777" w:rsidR="00C83F67" w:rsidRPr="00D045B3" w:rsidRDefault="00C83F67" w:rsidP="00686EB8">
      <w:pPr>
        <w:pStyle w:val="KeinLeerraum"/>
        <w:rPr>
          <w:rFonts w:ascii="Times New Roman" w:hAnsi="Times New Roman"/>
        </w:rPr>
      </w:pPr>
      <w:r w:rsidRPr="00D045B3">
        <w:rPr>
          <w:rFonts w:ascii="Times New Roman" w:hAnsi="Times New Roman"/>
        </w:rPr>
        <w:t>részben hidrolizált polivinil</w:t>
      </w:r>
      <w:r w:rsidRPr="00D045B3">
        <w:rPr>
          <w:rFonts w:ascii="Times New Roman" w:hAnsi="Times New Roman"/>
        </w:rPr>
        <w:noBreakHyphen/>
        <w:t>alkohol,</w:t>
      </w:r>
    </w:p>
    <w:p w14:paraId="1E92794C" w14:textId="77777777" w:rsidR="00C83F67" w:rsidRPr="00D045B3" w:rsidRDefault="00C83F67" w:rsidP="00686EB8">
      <w:pPr>
        <w:pStyle w:val="KeinLeerraum"/>
        <w:rPr>
          <w:rFonts w:ascii="Times New Roman" w:hAnsi="Times New Roman"/>
        </w:rPr>
      </w:pPr>
      <w:r w:rsidRPr="00D045B3">
        <w:rPr>
          <w:rFonts w:ascii="Times New Roman" w:hAnsi="Times New Roman"/>
        </w:rPr>
        <w:t>talkum,</w:t>
      </w:r>
    </w:p>
    <w:p w14:paraId="1E92794D" w14:textId="77777777" w:rsidR="00C83F67" w:rsidRPr="00D045B3" w:rsidRDefault="00C83F67" w:rsidP="00C83F67">
      <w:pPr>
        <w:pStyle w:val="KeinLeerraum"/>
        <w:rPr>
          <w:rFonts w:ascii="Times New Roman" w:hAnsi="Times New Roman"/>
        </w:rPr>
      </w:pPr>
      <w:r w:rsidRPr="00D045B3">
        <w:rPr>
          <w:rFonts w:ascii="Times New Roman" w:hAnsi="Times New Roman"/>
        </w:rPr>
        <w:t>sárga vas</w:t>
      </w:r>
      <w:r w:rsidRPr="00D045B3">
        <w:rPr>
          <w:rFonts w:ascii="Times New Roman" w:hAnsi="Times New Roman"/>
        </w:rPr>
        <w:noBreakHyphen/>
        <w:t xml:space="preserve">oxid (E172). </w:t>
      </w:r>
    </w:p>
    <w:p w14:paraId="1E92794E" w14:textId="77777777" w:rsidR="00C83F67" w:rsidRPr="00D045B3" w:rsidRDefault="00C83F67" w:rsidP="00C83F67">
      <w:pPr>
        <w:pStyle w:val="KeinLeerraum"/>
        <w:rPr>
          <w:rFonts w:ascii="Times New Roman" w:hAnsi="Times New Roman"/>
        </w:rPr>
      </w:pPr>
      <w:r w:rsidRPr="00D045B3">
        <w:rPr>
          <w:rFonts w:ascii="Times New Roman" w:hAnsi="Times New Roman"/>
        </w:rPr>
        <w:t>titán</w:t>
      </w:r>
      <w:r w:rsidRPr="00D045B3">
        <w:rPr>
          <w:rFonts w:ascii="Times New Roman" w:hAnsi="Times New Roman"/>
        </w:rPr>
        <w:noBreakHyphen/>
      </w:r>
      <w:r w:rsidR="00DC685E" w:rsidRPr="00D045B3">
        <w:rPr>
          <w:rFonts w:ascii="Times New Roman" w:hAnsi="Times New Roman"/>
        </w:rPr>
        <w:t>di</w:t>
      </w:r>
      <w:r w:rsidRPr="00D045B3">
        <w:rPr>
          <w:rFonts w:ascii="Times New Roman" w:hAnsi="Times New Roman"/>
        </w:rPr>
        <w:t>oxid (E171),</w:t>
      </w:r>
    </w:p>
    <w:p w14:paraId="1E92794F" w14:textId="77777777" w:rsidR="00686EB8" w:rsidRPr="00D045B3" w:rsidRDefault="00686EB8" w:rsidP="00686EB8">
      <w:pPr>
        <w:pStyle w:val="KeinLeerraum"/>
        <w:rPr>
          <w:rFonts w:ascii="Times New Roman" w:hAnsi="Times New Roman"/>
        </w:rPr>
      </w:pPr>
      <w:r w:rsidRPr="00D045B3">
        <w:rPr>
          <w:rFonts w:ascii="Times New Roman" w:hAnsi="Times New Roman"/>
        </w:rPr>
        <w:t>vörös vas</w:t>
      </w:r>
      <w:r w:rsidRPr="00D045B3">
        <w:rPr>
          <w:rFonts w:ascii="Times New Roman" w:hAnsi="Times New Roman"/>
        </w:rPr>
        <w:noBreakHyphen/>
        <w:t>oxid (E172),</w:t>
      </w:r>
    </w:p>
    <w:p w14:paraId="1E927950" w14:textId="77777777" w:rsidR="006B783B" w:rsidRPr="00D045B3" w:rsidRDefault="00C83F67" w:rsidP="006B783B">
      <w:pPr>
        <w:pStyle w:val="KeinLeerraum"/>
        <w:rPr>
          <w:rFonts w:ascii="Times New Roman" w:hAnsi="Times New Roman"/>
        </w:rPr>
      </w:pPr>
      <w:r w:rsidRPr="00D045B3">
        <w:rPr>
          <w:rFonts w:ascii="Times New Roman" w:hAnsi="Times New Roman"/>
        </w:rPr>
        <w:t>lecitin (szója) (E322)</w:t>
      </w:r>
    </w:p>
    <w:p w14:paraId="1E927951" w14:textId="77777777" w:rsidR="00C83F67" w:rsidRPr="00D045B3" w:rsidRDefault="00C83F67" w:rsidP="006B783B">
      <w:pPr>
        <w:pStyle w:val="KeinLeerraum"/>
        <w:rPr>
          <w:rFonts w:ascii="Times New Roman" w:hAnsi="Times New Roman"/>
        </w:rPr>
      </w:pPr>
      <w:r w:rsidRPr="00D045B3">
        <w:rPr>
          <w:rFonts w:ascii="Times New Roman" w:hAnsi="Times New Roman"/>
        </w:rPr>
        <w:t>xantángumi (E415)</w:t>
      </w:r>
    </w:p>
    <w:p w14:paraId="1E927952" w14:textId="77777777" w:rsidR="00C83F67" w:rsidRPr="00D045B3" w:rsidRDefault="00C83F67" w:rsidP="006B783B">
      <w:pPr>
        <w:pStyle w:val="KeinLeerraum"/>
        <w:rPr>
          <w:rFonts w:ascii="Times New Roman" w:hAnsi="Times New Roman"/>
        </w:rPr>
      </w:pPr>
    </w:p>
    <w:p w14:paraId="1E927953"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6.2</w:t>
      </w:r>
      <w:r w:rsidRPr="00D045B3">
        <w:rPr>
          <w:rFonts w:ascii="Times New Roman" w:hAnsi="Times New Roman"/>
          <w:b/>
        </w:rPr>
        <w:tab/>
        <w:t xml:space="preserve">Inkompatibilitások </w:t>
      </w:r>
    </w:p>
    <w:p w14:paraId="1E927954" w14:textId="77777777" w:rsidR="006B783B" w:rsidRPr="00D045B3" w:rsidRDefault="006B783B" w:rsidP="006B783B">
      <w:pPr>
        <w:pStyle w:val="KeinLeerraum"/>
        <w:keepNext/>
        <w:rPr>
          <w:rFonts w:ascii="Times New Roman" w:hAnsi="Times New Roman"/>
        </w:rPr>
      </w:pPr>
    </w:p>
    <w:p w14:paraId="1E927955" w14:textId="77777777" w:rsidR="006B783B" w:rsidRPr="00D045B3" w:rsidRDefault="006B783B" w:rsidP="006B783B">
      <w:pPr>
        <w:pStyle w:val="KeinLeerraum"/>
        <w:keepNext/>
        <w:rPr>
          <w:rFonts w:ascii="Times New Roman" w:hAnsi="Times New Roman"/>
        </w:rPr>
      </w:pPr>
      <w:r w:rsidRPr="00D045B3">
        <w:rPr>
          <w:rFonts w:ascii="Times New Roman" w:hAnsi="Times New Roman"/>
        </w:rPr>
        <w:t xml:space="preserve">Nem értelmezhető. </w:t>
      </w:r>
    </w:p>
    <w:p w14:paraId="1E927956" w14:textId="77777777" w:rsidR="006B783B" w:rsidRPr="00D045B3" w:rsidRDefault="006B783B" w:rsidP="006B783B">
      <w:pPr>
        <w:pStyle w:val="KeinLeerraum"/>
        <w:rPr>
          <w:rFonts w:ascii="Times New Roman" w:hAnsi="Times New Roman"/>
        </w:rPr>
      </w:pPr>
    </w:p>
    <w:p w14:paraId="1E927957"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6.3</w:t>
      </w:r>
      <w:r w:rsidRPr="00D045B3">
        <w:rPr>
          <w:rFonts w:ascii="Times New Roman" w:hAnsi="Times New Roman"/>
          <w:b/>
        </w:rPr>
        <w:tab/>
        <w:t xml:space="preserve">Felhasználhatósági időtartam </w:t>
      </w:r>
    </w:p>
    <w:p w14:paraId="1E927958" w14:textId="77777777" w:rsidR="006B783B" w:rsidRPr="00D045B3" w:rsidRDefault="006B783B" w:rsidP="006B783B">
      <w:pPr>
        <w:pStyle w:val="KeinLeerraum"/>
        <w:keepNext/>
        <w:rPr>
          <w:rFonts w:ascii="Times New Roman" w:hAnsi="Times New Roman"/>
        </w:rPr>
      </w:pPr>
    </w:p>
    <w:p w14:paraId="1E927959" w14:textId="77777777" w:rsidR="007E4C58" w:rsidRPr="00D045B3" w:rsidRDefault="007E4C58" w:rsidP="006B783B">
      <w:pPr>
        <w:pStyle w:val="KeinLeerraum"/>
        <w:keepNext/>
        <w:rPr>
          <w:rFonts w:ascii="Times New Roman" w:hAnsi="Times New Roman"/>
          <w:u w:val="single"/>
        </w:rPr>
      </w:pPr>
      <w:r w:rsidRPr="00D045B3">
        <w:rPr>
          <w:rFonts w:ascii="Times New Roman" w:hAnsi="Times New Roman"/>
          <w:u w:val="single"/>
        </w:rPr>
        <w:t>Imatinib Actavis 100 mg filmtabletta</w:t>
      </w:r>
    </w:p>
    <w:p w14:paraId="1E92795A" w14:textId="77777777" w:rsidR="00906A01" w:rsidRPr="00D045B3" w:rsidRDefault="00906A01" w:rsidP="00CA41FD">
      <w:pPr>
        <w:pStyle w:val="KeinLeerraum"/>
        <w:rPr>
          <w:rFonts w:ascii="Times New Roman" w:hAnsi="Times New Roman"/>
        </w:rPr>
      </w:pPr>
      <w:r w:rsidRPr="00D045B3">
        <w:rPr>
          <w:rFonts w:ascii="Times New Roman" w:hAnsi="Times New Roman"/>
        </w:rPr>
        <w:t>2 év</w:t>
      </w:r>
    </w:p>
    <w:p w14:paraId="1E92795B" w14:textId="77777777" w:rsidR="006B783B" w:rsidRPr="00D045B3" w:rsidRDefault="006B783B" w:rsidP="006B783B">
      <w:pPr>
        <w:pStyle w:val="KeinLeerraum"/>
        <w:rPr>
          <w:rFonts w:ascii="Times New Roman" w:hAnsi="Times New Roman"/>
        </w:rPr>
      </w:pPr>
    </w:p>
    <w:p w14:paraId="1E92795C" w14:textId="77777777" w:rsidR="007E4C58" w:rsidRPr="00D045B3" w:rsidRDefault="007E4C58" w:rsidP="007E4C58">
      <w:pPr>
        <w:pStyle w:val="KeinLeerraum"/>
        <w:keepNext/>
        <w:rPr>
          <w:rFonts w:ascii="Times New Roman" w:hAnsi="Times New Roman"/>
          <w:u w:val="single"/>
        </w:rPr>
      </w:pPr>
      <w:r w:rsidRPr="00D045B3">
        <w:rPr>
          <w:rFonts w:ascii="Times New Roman" w:hAnsi="Times New Roman"/>
          <w:u w:val="single"/>
        </w:rPr>
        <w:t>Imatinib Actavis 400 mg filmtabletta</w:t>
      </w:r>
    </w:p>
    <w:p w14:paraId="1E92795D" w14:textId="77777777" w:rsidR="007E4C58" w:rsidRPr="00D045B3" w:rsidRDefault="007E4C58" w:rsidP="006B783B">
      <w:pPr>
        <w:pStyle w:val="KeinLeerraum"/>
        <w:rPr>
          <w:rFonts w:ascii="Times New Roman" w:hAnsi="Times New Roman"/>
        </w:rPr>
      </w:pPr>
      <w:r w:rsidRPr="00D045B3">
        <w:rPr>
          <w:rFonts w:ascii="Times New Roman" w:hAnsi="Times New Roman"/>
        </w:rPr>
        <w:t>21 hónap</w:t>
      </w:r>
    </w:p>
    <w:p w14:paraId="1E92795E" w14:textId="77777777" w:rsidR="007E4C58" w:rsidRPr="00D045B3" w:rsidRDefault="007E4C58" w:rsidP="006B783B">
      <w:pPr>
        <w:pStyle w:val="KeinLeerraum"/>
        <w:rPr>
          <w:rFonts w:ascii="Times New Roman" w:hAnsi="Times New Roman"/>
        </w:rPr>
      </w:pPr>
    </w:p>
    <w:p w14:paraId="1E92795F"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6.4</w:t>
      </w:r>
      <w:r w:rsidRPr="00D045B3">
        <w:rPr>
          <w:rFonts w:ascii="Times New Roman" w:hAnsi="Times New Roman"/>
          <w:b/>
        </w:rPr>
        <w:tab/>
        <w:t xml:space="preserve">Különleges tárolási előírások </w:t>
      </w:r>
    </w:p>
    <w:p w14:paraId="1E927960" w14:textId="77777777" w:rsidR="006B783B" w:rsidRPr="00D045B3" w:rsidRDefault="006B783B" w:rsidP="006B783B">
      <w:pPr>
        <w:pStyle w:val="KeinLeerraum"/>
        <w:keepNext/>
        <w:rPr>
          <w:rFonts w:ascii="Times New Roman" w:hAnsi="Times New Roman"/>
        </w:rPr>
      </w:pPr>
    </w:p>
    <w:p w14:paraId="1E927961" w14:textId="77777777" w:rsidR="006B783B" w:rsidRPr="00D045B3" w:rsidRDefault="006B783B" w:rsidP="006B783B">
      <w:pPr>
        <w:pStyle w:val="KeinLeerraum"/>
        <w:keepNext/>
        <w:rPr>
          <w:rFonts w:ascii="Times New Roman" w:hAnsi="Times New Roman"/>
        </w:rPr>
      </w:pPr>
      <w:r w:rsidRPr="00D045B3">
        <w:rPr>
          <w:rFonts w:ascii="Times New Roman" w:hAnsi="Times New Roman"/>
        </w:rPr>
        <w:t>Legfeljebb 30°C</w:t>
      </w:r>
      <w:r w:rsidRPr="00D045B3">
        <w:rPr>
          <w:rFonts w:ascii="Times New Roman" w:hAnsi="Times New Roman"/>
        </w:rPr>
        <w:noBreakHyphen/>
        <w:t>on tárolandó.</w:t>
      </w:r>
    </w:p>
    <w:p w14:paraId="1E927962" w14:textId="77777777" w:rsidR="006B783B" w:rsidRPr="00D045B3" w:rsidRDefault="006B783B" w:rsidP="006B783B">
      <w:pPr>
        <w:pStyle w:val="KeinLeerraum"/>
        <w:rPr>
          <w:rFonts w:ascii="Times New Roman" w:hAnsi="Times New Roman"/>
        </w:rPr>
      </w:pPr>
      <w:r w:rsidRPr="00D045B3">
        <w:rPr>
          <w:rFonts w:ascii="Times New Roman" w:hAnsi="Times New Roman"/>
        </w:rPr>
        <w:t xml:space="preserve">A nedvességtől való védelem érdekében az eredeti csomagolásban tárolandó. </w:t>
      </w:r>
    </w:p>
    <w:p w14:paraId="1E927963" w14:textId="77777777" w:rsidR="006B783B" w:rsidRPr="00D045B3" w:rsidRDefault="006B783B" w:rsidP="006B783B">
      <w:pPr>
        <w:pStyle w:val="KeinLeerraum"/>
        <w:rPr>
          <w:rFonts w:ascii="Times New Roman" w:hAnsi="Times New Roman"/>
        </w:rPr>
      </w:pPr>
    </w:p>
    <w:p w14:paraId="1E927964"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6.5</w:t>
      </w:r>
      <w:r w:rsidRPr="00D045B3">
        <w:rPr>
          <w:rFonts w:ascii="Times New Roman" w:hAnsi="Times New Roman"/>
          <w:b/>
        </w:rPr>
        <w:tab/>
        <w:t xml:space="preserve">Csomagolás típusa és kiszerelése </w:t>
      </w:r>
    </w:p>
    <w:p w14:paraId="1E927965" w14:textId="77777777" w:rsidR="006B783B" w:rsidRPr="00D045B3" w:rsidRDefault="006B783B" w:rsidP="006B783B">
      <w:pPr>
        <w:pStyle w:val="KeinLeerraum"/>
        <w:keepNext/>
        <w:rPr>
          <w:rFonts w:ascii="Times New Roman" w:hAnsi="Times New Roman"/>
        </w:rPr>
      </w:pPr>
    </w:p>
    <w:p w14:paraId="1E927966" w14:textId="77777777" w:rsidR="006B783B" w:rsidRPr="00D045B3" w:rsidRDefault="006B783B" w:rsidP="006B783B">
      <w:pPr>
        <w:pStyle w:val="KeinLeerraum"/>
        <w:keepNext/>
        <w:rPr>
          <w:rFonts w:ascii="Times New Roman" w:hAnsi="Times New Roman"/>
        </w:rPr>
      </w:pPr>
      <w:r w:rsidRPr="00D045B3">
        <w:rPr>
          <w:rFonts w:ascii="Times New Roman" w:hAnsi="Times New Roman"/>
          <w:bCs/>
        </w:rPr>
        <w:t xml:space="preserve">Al/PVC/Aclar </w:t>
      </w:r>
      <w:r w:rsidRPr="00D045B3">
        <w:rPr>
          <w:rFonts w:ascii="Times New Roman" w:hAnsi="Times New Roman"/>
        </w:rPr>
        <w:t>buborékcsomagolás</w:t>
      </w:r>
      <w:r w:rsidR="008F2D3E" w:rsidRPr="00D045B3">
        <w:rPr>
          <w:rFonts w:ascii="Times New Roman" w:hAnsi="Times New Roman"/>
        </w:rPr>
        <w:t>. Buborékcsomagolásonként 10 db tabletta.</w:t>
      </w:r>
    </w:p>
    <w:p w14:paraId="1E927967" w14:textId="77777777" w:rsidR="00AC09C0" w:rsidRPr="00D045B3" w:rsidRDefault="00AC09C0" w:rsidP="006B783B">
      <w:pPr>
        <w:pStyle w:val="KeinLeerraum"/>
        <w:rPr>
          <w:rFonts w:ascii="Times New Roman" w:hAnsi="Times New Roman"/>
        </w:rPr>
      </w:pPr>
    </w:p>
    <w:p w14:paraId="1E927968" w14:textId="77777777" w:rsidR="00AC09C0" w:rsidRPr="00D045B3" w:rsidRDefault="00AC09C0" w:rsidP="00CA41FD">
      <w:pPr>
        <w:pStyle w:val="KeinLeerraum"/>
        <w:keepNext/>
        <w:rPr>
          <w:rFonts w:ascii="Times New Roman" w:hAnsi="Times New Roman"/>
        </w:rPr>
      </w:pPr>
      <w:r w:rsidRPr="00D045B3">
        <w:rPr>
          <w:rFonts w:ascii="Times New Roman" w:hAnsi="Times New Roman"/>
          <w:u w:val="single"/>
        </w:rPr>
        <w:t>Imatinib Actavis 100 mg filmtabletta</w:t>
      </w:r>
      <w:r w:rsidRPr="00D045B3">
        <w:rPr>
          <w:rFonts w:ascii="Times New Roman" w:hAnsi="Times New Roman"/>
        </w:rPr>
        <w:t xml:space="preserve"> </w:t>
      </w:r>
    </w:p>
    <w:p w14:paraId="1E927969" w14:textId="77777777" w:rsidR="006B783B" w:rsidRPr="00D045B3" w:rsidRDefault="00906A01" w:rsidP="006B783B">
      <w:pPr>
        <w:pStyle w:val="KeinLeerraum"/>
        <w:rPr>
          <w:rFonts w:ascii="Times New Roman" w:hAnsi="Times New Roman"/>
          <w:bCs/>
        </w:rPr>
      </w:pPr>
      <w:r w:rsidRPr="00D045B3">
        <w:rPr>
          <w:rFonts w:ascii="Times New Roman" w:hAnsi="Times New Roman"/>
        </w:rPr>
        <w:t xml:space="preserve">10, 20, 30, 60, 90, 120 </w:t>
      </w:r>
      <w:r w:rsidR="006B783B" w:rsidRPr="00D045B3">
        <w:rPr>
          <w:rFonts w:ascii="Times New Roman" w:hAnsi="Times New Roman"/>
          <w:bCs/>
        </w:rPr>
        <w:t xml:space="preserve">vagy </w:t>
      </w:r>
      <w:r w:rsidR="00AC09C0" w:rsidRPr="00D045B3">
        <w:rPr>
          <w:rFonts w:ascii="Times New Roman" w:hAnsi="Times New Roman"/>
          <w:bCs/>
        </w:rPr>
        <w:t xml:space="preserve">180 db </w:t>
      </w:r>
      <w:r w:rsidRPr="00D045B3">
        <w:rPr>
          <w:rFonts w:ascii="Times New Roman" w:hAnsi="Times New Roman"/>
          <w:bCs/>
        </w:rPr>
        <w:t>filmtablettát</w:t>
      </w:r>
      <w:r w:rsidR="006B783B" w:rsidRPr="00D045B3">
        <w:rPr>
          <w:rFonts w:ascii="Times New Roman" w:hAnsi="Times New Roman"/>
          <w:bCs/>
        </w:rPr>
        <w:t xml:space="preserve"> tartalmazó kiszerelés</w:t>
      </w:r>
      <w:r w:rsidRPr="00D045B3">
        <w:rPr>
          <w:rFonts w:ascii="Times New Roman" w:hAnsi="Times New Roman"/>
          <w:bCs/>
        </w:rPr>
        <w:t>.</w:t>
      </w:r>
    </w:p>
    <w:p w14:paraId="1E92796A" w14:textId="77777777" w:rsidR="006B783B" w:rsidRPr="00D045B3" w:rsidRDefault="006B783B" w:rsidP="006B783B">
      <w:pPr>
        <w:rPr>
          <w:rFonts w:eastAsia="Times New Roman"/>
          <w:snapToGrid/>
          <w:szCs w:val="22"/>
          <w:lang w:val="hu-HU" w:eastAsia="en-US"/>
        </w:rPr>
      </w:pPr>
    </w:p>
    <w:p w14:paraId="1E92796B" w14:textId="77777777" w:rsidR="00AC09C0" w:rsidRPr="00D045B3" w:rsidRDefault="00AC09C0" w:rsidP="00AC09C0">
      <w:pPr>
        <w:pStyle w:val="KeinLeerraum"/>
        <w:keepNext/>
        <w:rPr>
          <w:rFonts w:ascii="Times New Roman" w:hAnsi="Times New Roman"/>
        </w:rPr>
      </w:pPr>
      <w:r w:rsidRPr="00D045B3">
        <w:rPr>
          <w:rFonts w:ascii="Times New Roman" w:hAnsi="Times New Roman"/>
          <w:u w:val="single"/>
        </w:rPr>
        <w:t>Imatinib Actavis 400 mg filmtabletta</w:t>
      </w:r>
      <w:r w:rsidRPr="00D045B3">
        <w:rPr>
          <w:rFonts w:ascii="Times New Roman" w:hAnsi="Times New Roman"/>
        </w:rPr>
        <w:t xml:space="preserve"> </w:t>
      </w:r>
    </w:p>
    <w:p w14:paraId="1E92796C" w14:textId="77777777" w:rsidR="00AC09C0" w:rsidRPr="00D045B3" w:rsidRDefault="00AC09C0" w:rsidP="00AC09C0">
      <w:pPr>
        <w:pStyle w:val="KeinLeerraum"/>
        <w:rPr>
          <w:rFonts w:ascii="Times New Roman" w:hAnsi="Times New Roman"/>
          <w:bCs/>
        </w:rPr>
      </w:pPr>
      <w:r w:rsidRPr="00D045B3">
        <w:rPr>
          <w:rFonts w:ascii="Times New Roman" w:hAnsi="Times New Roman"/>
        </w:rPr>
        <w:t>10, 20, 30, 60 vagy 90</w:t>
      </w:r>
      <w:r w:rsidRPr="00D045B3">
        <w:rPr>
          <w:rFonts w:ascii="Times New Roman" w:hAnsi="Times New Roman"/>
          <w:bCs/>
        </w:rPr>
        <w:t> db filmtablettát tartalmazó kiszerelés.</w:t>
      </w:r>
    </w:p>
    <w:p w14:paraId="1E92796D" w14:textId="77777777" w:rsidR="00AC09C0" w:rsidRPr="00D045B3" w:rsidRDefault="00AC09C0" w:rsidP="006B783B">
      <w:pPr>
        <w:rPr>
          <w:rFonts w:eastAsia="Times New Roman"/>
          <w:snapToGrid/>
          <w:szCs w:val="22"/>
          <w:lang w:val="hu-HU" w:eastAsia="en-US"/>
        </w:rPr>
      </w:pPr>
    </w:p>
    <w:p w14:paraId="1E92796E" w14:textId="77777777" w:rsidR="006B783B" w:rsidRPr="00D045B3" w:rsidRDefault="006B783B" w:rsidP="006B783B">
      <w:pPr>
        <w:rPr>
          <w:rFonts w:eastAsia="Times New Roman"/>
          <w:snapToGrid/>
          <w:szCs w:val="22"/>
          <w:lang w:val="hu-HU" w:eastAsia="en-US"/>
        </w:rPr>
      </w:pPr>
      <w:r w:rsidRPr="00D045B3">
        <w:rPr>
          <w:rFonts w:eastAsia="Times New Roman"/>
          <w:snapToGrid/>
          <w:szCs w:val="22"/>
          <w:lang w:val="hu-HU" w:eastAsia="en-US"/>
        </w:rPr>
        <w:t>Nem feltétlenül mindegyik kiszerelés kerül kereskedelmi forgalomba.</w:t>
      </w:r>
    </w:p>
    <w:p w14:paraId="1E92796F" w14:textId="77777777" w:rsidR="006B783B" w:rsidRPr="00D045B3" w:rsidRDefault="006B783B" w:rsidP="006B783B">
      <w:pPr>
        <w:jc w:val="both"/>
        <w:rPr>
          <w:szCs w:val="22"/>
          <w:lang w:val="hu-HU"/>
        </w:rPr>
      </w:pPr>
    </w:p>
    <w:p w14:paraId="1E927970" w14:textId="77777777" w:rsidR="006B783B" w:rsidRPr="00D045B3" w:rsidRDefault="006B783B" w:rsidP="006B783B">
      <w:pPr>
        <w:pStyle w:val="KeinLeerraum"/>
        <w:keepNext/>
        <w:tabs>
          <w:tab w:val="left" w:pos="567"/>
        </w:tabs>
        <w:rPr>
          <w:rFonts w:ascii="Times New Roman" w:hAnsi="Times New Roman"/>
          <w:b/>
        </w:rPr>
      </w:pPr>
      <w:r w:rsidRPr="00D045B3">
        <w:rPr>
          <w:rFonts w:ascii="Times New Roman" w:hAnsi="Times New Roman"/>
          <w:b/>
        </w:rPr>
        <w:t>6.6</w:t>
      </w:r>
      <w:r w:rsidRPr="00D045B3">
        <w:rPr>
          <w:rFonts w:ascii="Times New Roman" w:hAnsi="Times New Roman"/>
          <w:b/>
        </w:rPr>
        <w:tab/>
        <w:t xml:space="preserve">A megsemmisítésre vonatkozó különleges óvintézkedések </w:t>
      </w:r>
    </w:p>
    <w:p w14:paraId="1E927971" w14:textId="77777777" w:rsidR="006B783B" w:rsidRPr="00D045B3" w:rsidRDefault="006B783B" w:rsidP="006B783B">
      <w:pPr>
        <w:pStyle w:val="KeinLeerraum"/>
        <w:keepNext/>
        <w:rPr>
          <w:rFonts w:ascii="Times New Roman" w:hAnsi="Times New Roman"/>
        </w:rPr>
      </w:pPr>
    </w:p>
    <w:p w14:paraId="1E927973" w14:textId="77777777" w:rsidR="00E81715" w:rsidRPr="00D045B3" w:rsidRDefault="00E81715" w:rsidP="00E81715">
      <w:pPr>
        <w:spacing w:line="240" w:lineRule="auto"/>
        <w:rPr>
          <w:noProof/>
          <w:szCs w:val="24"/>
          <w:lang w:val="hu-HU"/>
        </w:rPr>
      </w:pPr>
      <w:r w:rsidRPr="00D045B3">
        <w:rPr>
          <w:noProof/>
          <w:szCs w:val="24"/>
          <w:lang w:val="hu-HU"/>
        </w:rPr>
        <w:t xml:space="preserve">Bármilyen fel nem használt gyógyszer, illetve hulladékanyag megsemmisítését </w:t>
      </w:r>
      <w:r w:rsidRPr="00D045B3">
        <w:rPr>
          <w:lang w:val="hu-HU"/>
        </w:rPr>
        <w:t xml:space="preserve">a gyógyszerekre vonatkozó </w:t>
      </w:r>
      <w:r w:rsidRPr="00D045B3">
        <w:rPr>
          <w:noProof/>
          <w:szCs w:val="24"/>
          <w:lang w:val="hu-HU"/>
        </w:rPr>
        <w:t>előírások szerint kell végrehajtani.</w:t>
      </w:r>
    </w:p>
    <w:p w14:paraId="1E927974" w14:textId="77777777" w:rsidR="006B783B" w:rsidRPr="00D045B3" w:rsidRDefault="006B783B" w:rsidP="006B783B">
      <w:pPr>
        <w:pStyle w:val="KeinLeerraum"/>
        <w:rPr>
          <w:rFonts w:ascii="Times New Roman" w:hAnsi="Times New Roman"/>
        </w:rPr>
      </w:pPr>
    </w:p>
    <w:p w14:paraId="1E927975" w14:textId="77777777" w:rsidR="006B783B" w:rsidRPr="00D045B3" w:rsidRDefault="006B783B" w:rsidP="006B783B">
      <w:pPr>
        <w:pStyle w:val="KeinLeerraum"/>
        <w:rPr>
          <w:rFonts w:ascii="Times New Roman" w:hAnsi="Times New Roman"/>
        </w:rPr>
      </w:pPr>
    </w:p>
    <w:p w14:paraId="1E927976" w14:textId="77777777" w:rsidR="006B783B" w:rsidRPr="00D045B3" w:rsidRDefault="006B783B" w:rsidP="006B783B">
      <w:pPr>
        <w:pStyle w:val="KeinLeerraum"/>
        <w:tabs>
          <w:tab w:val="left" w:pos="567"/>
        </w:tabs>
        <w:rPr>
          <w:rFonts w:ascii="Times New Roman" w:hAnsi="Times New Roman"/>
          <w:b/>
        </w:rPr>
      </w:pPr>
      <w:r w:rsidRPr="00D045B3">
        <w:rPr>
          <w:rFonts w:ascii="Times New Roman" w:hAnsi="Times New Roman"/>
          <w:b/>
        </w:rPr>
        <w:t>7.</w:t>
      </w:r>
      <w:r w:rsidRPr="00D045B3">
        <w:rPr>
          <w:rFonts w:ascii="Times New Roman" w:hAnsi="Times New Roman"/>
          <w:b/>
        </w:rPr>
        <w:tab/>
        <w:t xml:space="preserve">A FORGALOMBA HOZATALI ENGEDÉLY JOGOSULTJA </w:t>
      </w:r>
    </w:p>
    <w:p w14:paraId="1E927977" w14:textId="77777777" w:rsidR="006B783B" w:rsidRPr="00D045B3" w:rsidRDefault="006B783B" w:rsidP="006B783B">
      <w:pPr>
        <w:pStyle w:val="KeinLeerraum"/>
        <w:rPr>
          <w:rFonts w:ascii="Times New Roman" w:hAnsi="Times New Roman"/>
        </w:rPr>
      </w:pPr>
    </w:p>
    <w:p w14:paraId="1E927978" w14:textId="77777777" w:rsidR="006B783B" w:rsidRPr="00D045B3" w:rsidRDefault="006B783B" w:rsidP="006B783B">
      <w:pPr>
        <w:keepNext/>
        <w:autoSpaceDE w:val="0"/>
        <w:autoSpaceDN w:val="0"/>
        <w:adjustRightInd w:val="0"/>
        <w:spacing w:line="240" w:lineRule="auto"/>
        <w:rPr>
          <w:lang w:val="hu-HU"/>
        </w:rPr>
      </w:pPr>
      <w:r w:rsidRPr="00D045B3">
        <w:rPr>
          <w:lang w:val="hu-HU"/>
        </w:rPr>
        <w:t>Actavis Group PTC ehf.</w:t>
      </w:r>
    </w:p>
    <w:p w14:paraId="1E927979" w14:textId="77777777" w:rsidR="006B783B" w:rsidRPr="00D045B3" w:rsidRDefault="006B783B" w:rsidP="006B783B">
      <w:pPr>
        <w:keepNext/>
        <w:autoSpaceDE w:val="0"/>
        <w:autoSpaceDN w:val="0"/>
        <w:adjustRightInd w:val="0"/>
        <w:spacing w:line="240" w:lineRule="auto"/>
        <w:rPr>
          <w:lang w:val="hu-HU"/>
        </w:rPr>
      </w:pPr>
      <w:r w:rsidRPr="00D045B3">
        <w:rPr>
          <w:lang w:val="hu-HU"/>
        </w:rPr>
        <w:t>Reykjavíkurvegur 76-78</w:t>
      </w:r>
    </w:p>
    <w:p w14:paraId="1E92797A" w14:textId="77777777" w:rsidR="006B783B" w:rsidRPr="00D045B3" w:rsidRDefault="006B783B" w:rsidP="006B783B">
      <w:pPr>
        <w:autoSpaceDE w:val="0"/>
        <w:autoSpaceDN w:val="0"/>
        <w:adjustRightInd w:val="0"/>
        <w:spacing w:line="240" w:lineRule="auto"/>
        <w:rPr>
          <w:lang w:val="hu-HU"/>
        </w:rPr>
      </w:pPr>
      <w:r w:rsidRPr="00D045B3">
        <w:rPr>
          <w:lang w:val="hu-HU"/>
        </w:rPr>
        <w:t>IS-220 Hafnarfjörður</w:t>
      </w:r>
    </w:p>
    <w:p w14:paraId="1E92797B" w14:textId="77777777" w:rsidR="006B783B" w:rsidRPr="00D045B3" w:rsidRDefault="006B783B" w:rsidP="006B783B">
      <w:pPr>
        <w:autoSpaceDE w:val="0"/>
        <w:autoSpaceDN w:val="0"/>
        <w:adjustRightInd w:val="0"/>
        <w:spacing w:line="240" w:lineRule="auto"/>
        <w:rPr>
          <w:lang w:val="hu-HU"/>
        </w:rPr>
      </w:pPr>
      <w:r w:rsidRPr="00D045B3">
        <w:rPr>
          <w:lang w:val="hu-HU"/>
        </w:rPr>
        <w:t>Izland</w:t>
      </w:r>
    </w:p>
    <w:p w14:paraId="1E92797C" w14:textId="77777777" w:rsidR="006B783B" w:rsidRPr="00D045B3" w:rsidRDefault="006B783B" w:rsidP="006B783B">
      <w:pPr>
        <w:rPr>
          <w:lang w:val="hu-HU"/>
        </w:rPr>
      </w:pPr>
    </w:p>
    <w:p w14:paraId="1E92797D" w14:textId="77777777" w:rsidR="006B783B" w:rsidRPr="00D045B3" w:rsidRDefault="006B783B" w:rsidP="006B783B">
      <w:pPr>
        <w:pStyle w:val="KeinLeerraum"/>
        <w:rPr>
          <w:rFonts w:ascii="Times New Roman" w:hAnsi="Times New Roman"/>
        </w:rPr>
      </w:pPr>
    </w:p>
    <w:p w14:paraId="1E92797E" w14:textId="77777777" w:rsidR="006B783B" w:rsidRPr="00D045B3" w:rsidRDefault="006B783B" w:rsidP="00C52208">
      <w:pPr>
        <w:pStyle w:val="KeinLeerraum"/>
        <w:keepNext/>
        <w:tabs>
          <w:tab w:val="left" w:pos="567"/>
        </w:tabs>
        <w:rPr>
          <w:rFonts w:ascii="Times New Roman" w:hAnsi="Times New Roman"/>
          <w:b/>
        </w:rPr>
      </w:pPr>
      <w:r w:rsidRPr="00D045B3">
        <w:rPr>
          <w:rFonts w:ascii="Times New Roman" w:hAnsi="Times New Roman"/>
          <w:b/>
        </w:rPr>
        <w:t>8.</w:t>
      </w:r>
      <w:r w:rsidRPr="00D045B3">
        <w:rPr>
          <w:rFonts w:ascii="Times New Roman" w:hAnsi="Times New Roman"/>
          <w:b/>
        </w:rPr>
        <w:tab/>
        <w:t xml:space="preserve">A FORGALOMBA HOZATALI ENGEDÉLY SZÁMA(I) </w:t>
      </w:r>
    </w:p>
    <w:p w14:paraId="1E92797F" w14:textId="77777777" w:rsidR="006B783B" w:rsidRPr="00D045B3" w:rsidRDefault="006B783B" w:rsidP="00C52208">
      <w:pPr>
        <w:pStyle w:val="KeinLeerraum"/>
        <w:keepNext/>
        <w:rPr>
          <w:rFonts w:ascii="Times New Roman" w:hAnsi="Times New Roman"/>
        </w:rPr>
      </w:pPr>
    </w:p>
    <w:p w14:paraId="1E927980" w14:textId="77777777" w:rsidR="00AC09C0" w:rsidRPr="00D045B3" w:rsidRDefault="00AC09C0" w:rsidP="00AC09C0">
      <w:pPr>
        <w:pStyle w:val="KeinLeerraum"/>
        <w:keepNext/>
        <w:rPr>
          <w:rFonts w:ascii="Times New Roman" w:hAnsi="Times New Roman"/>
        </w:rPr>
      </w:pPr>
      <w:r w:rsidRPr="00D045B3">
        <w:rPr>
          <w:rFonts w:ascii="Times New Roman" w:hAnsi="Times New Roman"/>
        </w:rPr>
        <w:t>Imatinib Actavis 100 mg filmtabletta</w:t>
      </w:r>
    </w:p>
    <w:p w14:paraId="1E927981" w14:textId="77777777" w:rsidR="009E3F23" w:rsidRPr="00D045B3" w:rsidRDefault="009E3F23" w:rsidP="00CA41FD">
      <w:pPr>
        <w:autoSpaceDE w:val="0"/>
        <w:autoSpaceDN w:val="0"/>
        <w:adjustRightInd w:val="0"/>
        <w:spacing w:line="240" w:lineRule="auto"/>
        <w:rPr>
          <w:lang w:val="hu-HU"/>
        </w:rPr>
      </w:pPr>
      <w:r w:rsidRPr="00D045B3">
        <w:rPr>
          <w:lang w:val="hu-HU"/>
        </w:rPr>
        <w:t>EU/1/13/825/008</w:t>
      </w:r>
    </w:p>
    <w:p w14:paraId="1E927982" w14:textId="77777777" w:rsidR="009E3F23" w:rsidRPr="00D045B3" w:rsidRDefault="009E3F23" w:rsidP="009E3F23">
      <w:pPr>
        <w:autoSpaceDE w:val="0"/>
        <w:autoSpaceDN w:val="0"/>
        <w:adjustRightInd w:val="0"/>
        <w:spacing w:line="240" w:lineRule="auto"/>
        <w:rPr>
          <w:lang w:val="hu-HU"/>
        </w:rPr>
      </w:pPr>
      <w:r w:rsidRPr="00D045B3">
        <w:rPr>
          <w:lang w:val="hu-HU"/>
        </w:rPr>
        <w:t>EU/1/13/825/009</w:t>
      </w:r>
    </w:p>
    <w:p w14:paraId="1E927983" w14:textId="77777777" w:rsidR="009E3F23" w:rsidRPr="00D045B3" w:rsidRDefault="009E3F23" w:rsidP="009E3F23">
      <w:pPr>
        <w:autoSpaceDE w:val="0"/>
        <w:autoSpaceDN w:val="0"/>
        <w:adjustRightInd w:val="0"/>
        <w:spacing w:line="240" w:lineRule="auto"/>
        <w:rPr>
          <w:lang w:val="hu-HU"/>
        </w:rPr>
      </w:pPr>
      <w:r w:rsidRPr="00D045B3">
        <w:rPr>
          <w:lang w:val="hu-HU"/>
        </w:rPr>
        <w:t>EU/1/13/825/010</w:t>
      </w:r>
    </w:p>
    <w:p w14:paraId="1E927984" w14:textId="77777777" w:rsidR="009E3F23" w:rsidRPr="00D045B3" w:rsidRDefault="009E3F23" w:rsidP="009E3F23">
      <w:pPr>
        <w:autoSpaceDE w:val="0"/>
        <w:autoSpaceDN w:val="0"/>
        <w:adjustRightInd w:val="0"/>
        <w:spacing w:line="240" w:lineRule="auto"/>
        <w:rPr>
          <w:lang w:val="hu-HU"/>
        </w:rPr>
      </w:pPr>
      <w:r w:rsidRPr="00D045B3">
        <w:rPr>
          <w:lang w:val="hu-HU"/>
        </w:rPr>
        <w:t>EU/1/13/825/011</w:t>
      </w:r>
    </w:p>
    <w:p w14:paraId="1E927985" w14:textId="77777777" w:rsidR="009E3F23" w:rsidRPr="00D045B3" w:rsidRDefault="009E3F23" w:rsidP="009E3F23">
      <w:pPr>
        <w:autoSpaceDE w:val="0"/>
        <w:autoSpaceDN w:val="0"/>
        <w:adjustRightInd w:val="0"/>
        <w:spacing w:line="240" w:lineRule="auto"/>
        <w:rPr>
          <w:lang w:val="hu-HU"/>
        </w:rPr>
      </w:pPr>
      <w:r w:rsidRPr="00D045B3">
        <w:rPr>
          <w:lang w:val="hu-HU"/>
        </w:rPr>
        <w:t>EU/1/13/825/012</w:t>
      </w:r>
    </w:p>
    <w:p w14:paraId="1E927986" w14:textId="77777777" w:rsidR="009E3F23" w:rsidRPr="00D045B3" w:rsidRDefault="009E3F23" w:rsidP="009E3F23">
      <w:pPr>
        <w:autoSpaceDE w:val="0"/>
        <w:autoSpaceDN w:val="0"/>
        <w:adjustRightInd w:val="0"/>
        <w:spacing w:line="240" w:lineRule="auto"/>
        <w:rPr>
          <w:lang w:val="hu-HU"/>
        </w:rPr>
      </w:pPr>
      <w:r w:rsidRPr="00D045B3">
        <w:rPr>
          <w:lang w:val="hu-HU"/>
        </w:rPr>
        <w:t>EU/1/13/825/013</w:t>
      </w:r>
    </w:p>
    <w:p w14:paraId="1E927987" w14:textId="77777777" w:rsidR="006B783B" w:rsidRPr="00D045B3" w:rsidRDefault="009E3F23" w:rsidP="009E3F23">
      <w:pPr>
        <w:pStyle w:val="KeinLeerraum"/>
        <w:rPr>
          <w:rFonts w:ascii="Times New Roman" w:hAnsi="Times New Roman"/>
        </w:rPr>
      </w:pPr>
      <w:r w:rsidRPr="00D045B3">
        <w:rPr>
          <w:rFonts w:ascii="Times New Roman" w:hAnsi="Times New Roman"/>
        </w:rPr>
        <w:t>EU/1/13/825/014</w:t>
      </w:r>
    </w:p>
    <w:p w14:paraId="1E927988" w14:textId="77777777" w:rsidR="009E3F23" w:rsidRPr="00D045B3" w:rsidRDefault="009E3F23" w:rsidP="009E3F23">
      <w:pPr>
        <w:pStyle w:val="KeinLeerraum"/>
        <w:rPr>
          <w:rFonts w:ascii="Times New Roman" w:hAnsi="Times New Roman"/>
        </w:rPr>
      </w:pPr>
    </w:p>
    <w:p w14:paraId="1E927989" w14:textId="77777777" w:rsidR="00AC09C0" w:rsidRPr="00D045B3" w:rsidRDefault="00AC09C0" w:rsidP="00AC09C0">
      <w:pPr>
        <w:pStyle w:val="KeinLeerraum"/>
        <w:keepNext/>
        <w:rPr>
          <w:rFonts w:ascii="Times New Roman" w:hAnsi="Times New Roman"/>
        </w:rPr>
      </w:pPr>
      <w:r w:rsidRPr="00D045B3">
        <w:rPr>
          <w:rFonts w:ascii="Times New Roman" w:hAnsi="Times New Roman"/>
        </w:rPr>
        <w:t>Imatinib Actavis 400 mg filmtabletta</w:t>
      </w:r>
    </w:p>
    <w:p w14:paraId="1E92798A" w14:textId="77777777" w:rsidR="00AC09C0" w:rsidRPr="00D045B3" w:rsidRDefault="00AC09C0" w:rsidP="00AC09C0">
      <w:pPr>
        <w:autoSpaceDE w:val="0"/>
        <w:autoSpaceDN w:val="0"/>
        <w:adjustRightInd w:val="0"/>
        <w:spacing w:line="240" w:lineRule="auto"/>
        <w:rPr>
          <w:lang w:val="hu-HU"/>
        </w:rPr>
      </w:pPr>
      <w:r w:rsidRPr="00D045B3">
        <w:rPr>
          <w:lang w:val="hu-HU"/>
        </w:rPr>
        <w:t>EU/1/13/825/015</w:t>
      </w:r>
    </w:p>
    <w:p w14:paraId="1E92798B" w14:textId="77777777" w:rsidR="00AC09C0" w:rsidRPr="00D045B3" w:rsidRDefault="00AC09C0" w:rsidP="00AC09C0">
      <w:pPr>
        <w:autoSpaceDE w:val="0"/>
        <w:autoSpaceDN w:val="0"/>
        <w:adjustRightInd w:val="0"/>
        <w:spacing w:line="240" w:lineRule="auto"/>
        <w:rPr>
          <w:lang w:val="hu-HU"/>
        </w:rPr>
      </w:pPr>
      <w:r w:rsidRPr="00D045B3">
        <w:rPr>
          <w:lang w:val="hu-HU"/>
        </w:rPr>
        <w:t>EU/1/13/825/016</w:t>
      </w:r>
    </w:p>
    <w:p w14:paraId="1E92798C" w14:textId="77777777" w:rsidR="00AC09C0" w:rsidRPr="00D045B3" w:rsidRDefault="00AC09C0" w:rsidP="00AC09C0">
      <w:pPr>
        <w:autoSpaceDE w:val="0"/>
        <w:autoSpaceDN w:val="0"/>
        <w:adjustRightInd w:val="0"/>
        <w:spacing w:line="240" w:lineRule="auto"/>
        <w:rPr>
          <w:lang w:val="hu-HU"/>
        </w:rPr>
      </w:pPr>
      <w:r w:rsidRPr="00D045B3">
        <w:rPr>
          <w:lang w:val="hu-HU"/>
        </w:rPr>
        <w:t>EU/1/13/825/017</w:t>
      </w:r>
    </w:p>
    <w:p w14:paraId="1E92798D" w14:textId="77777777" w:rsidR="00AC09C0" w:rsidRPr="00D045B3" w:rsidRDefault="00AC09C0" w:rsidP="00AC09C0">
      <w:pPr>
        <w:autoSpaceDE w:val="0"/>
        <w:autoSpaceDN w:val="0"/>
        <w:adjustRightInd w:val="0"/>
        <w:spacing w:line="240" w:lineRule="auto"/>
        <w:rPr>
          <w:lang w:val="hu-HU"/>
        </w:rPr>
      </w:pPr>
      <w:r w:rsidRPr="00D045B3">
        <w:rPr>
          <w:lang w:val="hu-HU"/>
        </w:rPr>
        <w:t>EU/1/13/825/018</w:t>
      </w:r>
    </w:p>
    <w:p w14:paraId="1E92798E" w14:textId="77777777" w:rsidR="006B783B" w:rsidRPr="00D045B3" w:rsidRDefault="006B783B" w:rsidP="006B783B">
      <w:pPr>
        <w:pStyle w:val="KeinLeerraum"/>
        <w:rPr>
          <w:rFonts w:ascii="Times New Roman" w:hAnsi="Times New Roman"/>
        </w:rPr>
      </w:pPr>
    </w:p>
    <w:p w14:paraId="1E92798F" w14:textId="77777777" w:rsidR="00AC09C0" w:rsidRPr="00D045B3" w:rsidRDefault="00AC09C0" w:rsidP="006B783B">
      <w:pPr>
        <w:pStyle w:val="KeinLeerraum"/>
        <w:rPr>
          <w:rFonts w:ascii="Times New Roman" w:hAnsi="Times New Roman"/>
        </w:rPr>
      </w:pPr>
    </w:p>
    <w:p w14:paraId="1E927990" w14:textId="77777777" w:rsidR="006B783B" w:rsidRPr="00D045B3" w:rsidRDefault="006B783B" w:rsidP="00190CF7">
      <w:pPr>
        <w:pStyle w:val="KeinLeerraum"/>
        <w:keepNext/>
        <w:tabs>
          <w:tab w:val="left" w:pos="567"/>
        </w:tabs>
        <w:ind w:left="567" w:hanging="567"/>
        <w:rPr>
          <w:rFonts w:ascii="Times New Roman" w:hAnsi="Times New Roman"/>
          <w:b/>
        </w:rPr>
      </w:pPr>
      <w:r w:rsidRPr="00D045B3">
        <w:rPr>
          <w:rFonts w:ascii="Times New Roman" w:hAnsi="Times New Roman"/>
          <w:b/>
        </w:rPr>
        <w:t>9.</w:t>
      </w:r>
      <w:r w:rsidRPr="00D045B3">
        <w:rPr>
          <w:rFonts w:ascii="Times New Roman" w:hAnsi="Times New Roman"/>
          <w:b/>
        </w:rPr>
        <w:tab/>
        <w:t xml:space="preserve">A FORGALOMBA HOZATALI ENGEDÉLY ELSŐ KIADÁSÁNAK/ MEGÚJÍTÁSÁNAK DÁTUMA </w:t>
      </w:r>
    </w:p>
    <w:p w14:paraId="1E927991" w14:textId="77777777" w:rsidR="006B783B" w:rsidRPr="00D045B3" w:rsidRDefault="006B783B" w:rsidP="00C52208">
      <w:pPr>
        <w:pStyle w:val="KeinLeerraum"/>
        <w:keepNext/>
        <w:rPr>
          <w:rFonts w:ascii="Times New Roman" w:hAnsi="Times New Roman"/>
        </w:rPr>
      </w:pPr>
    </w:p>
    <w:p w14:paraId="1E927992" w14:textId="77777777" w:rsidR="00D965A1" w:rsidRPr="00D045B3" w:rsidRDefault="00D965A1" w:rsidP="00D965A1">
      <w:pPr>
        <w:pStyle w:val="KeinLeerraum"/>
        <w:keepNext/>
        <w:rPr>
          <w:rFonts w:ascii="Times New Roman" w:hAnsi="Times New Roman"/>
        </w:rPr>
      </w:pPr>
      <w:r w:rsidRPr="00D045B3">
        <w:rPr>
          <w:rFonts w:ascii="Times New Roman" w:hAnsi="Times New Roman"/>
        </w:rPr>
        <w:t>A forgalomba hozatali engedély első kiadásának dátuma: 2013. április 17.</w:t>
      </w:r>
    </w:p>
    <w:p w14:paraId="1E927994" w14:textId="77777777" w:rsidR="002E2B57" w:rsidRPr="00D045B3" w:rsidRDefault="002E2B57" w:rsidP="006B783B">
      <w:pPr>
        <w:pStyle w:val="KeinLeerraum"/>
        <w:rPr>
          <w:rFonts w:ascii="Times New Roman" w:hAnsi="Times New Roman"/>
        </w:rPr>
      </w:pPr>
    </w:p>
    <w:p w14:paraId="1E927995" w14:textId="77777777" w:rsidR="00D965A1" w:rsidRPr="00D045B3" w:rsidRDefault="00D965A1" w:rsidP="006B783B">
      <w:pPr>
        <w:pStyle w:val="KeinLeerraum"/>
        <w:rPr>
          <w:rFonts w:ascii="Times New Roman" w:hAnsi="Times New Roman"/>
        </w:rPr>
      </w:pPr>
    </w:p>
    <w:p w14:paraId="1E927996" w14:textId="77777777" w:rsidR="006B783B" w:rsidRPr="00D045B3" w:rsidRDefault="006B783B" w:rsidP="00CA41FD">
      <w:pPr>
        <w:keepNext/>
        <w:spacing w:line="240" w:lineRule="auto"/>
        <w:ind w:left="567" w:hanging="567"/>
        <w:rPr>
          <w:b/>
          <w:color w:val="000000"/>
          <w:lang w:val="hu-HU"/>
        </w:rPr>
      </w:pPr>
      <w:r w:rsidRPr="00D045B3">
        <w:rPr>
          <w:b/>
          <w:color w:val="000000"/>
          <w:lang w:val="hu-HU"/>
        </w:rPr>
        <w:t>10.</w:t>
      </w:r>
      <w:r w:rsidRPr="00D045B3">
        <w:rPr>
          <w:b/>
          <w:color w:val="000000"/>
          <w:lang w:val="hu-HU"/>
        </w:rPr>
        <w:tab/>
        <w:t>A SZÖVEG ELLENŐRZÉSÉNEK DÁTUMA</w:t>
      </w:r>
    </w:p>
    <w:p w14:paraId="1E927997" w14:textId="77777777" w:rsidR="006B783B" w:rsidRPr="00D045B3" w:rsidRDefault="006B783B" w:rsidP="00CA41FD">
      <w:pPr>
        <w:keepNext/>
        <w:spacing w:line="240" w:lineRule="auto"/>
        <w:ind w:left="567" w:hanging="567"/>
        <w:rPr>
          <w:color w:val="000000"/>
          <w:lang w:val="hu-HU"/>
        </w:rPr>
      </w:pPr>
    </w:p>
    <w:p w14:paraId="1E927998" w14:textId="77777777" w:rsidR="006B783B" w:rsidRPr="00D045B3" w:rsidRDefault="006B783B" w:rsidP="006B783B">
      <w:pPr>
        <w:spacing w:line="240" w:lineRule="auto"/>
        <w:rPr>
          <w:iCs/>
          <w:color w:val="000000"/>
          <w:lang w:val="hu-HU"/>
        </w:rPr>
      </w:pPr>
      <w:r w:rsidRPr="00D045B3">
        <w:rPr>
          <w:color w:val="000000"/>
          <w:lang w:val="hu-HU"/>
        </w:rPr>
        <w:t xml:space="preserve">A gyógyszerről részletes információ az Európai Gyógyszerügynökség internetes honlapján </w:t>
      </w:r>
      <w:r w:rsidR="00E03D9A" w:rsidRPr="00D045B3">
        <w:rPr>
          <w:lang w:val="hu-HU"/>
        </w:rPr>
        <w:t>(</w:t>
      </w:r>
      <w:hyperlink r:id="rId14" w:history="1">
        <w:r w:rsidR="00E03D9A" w:rsidRPr="00D045B3">
          <w:rPr>
            <w:rStyle w:val="Hyperlink"/>
            <w:lang w:val="hu-HU"/>
          </w:rPr>
          <w:t>http://www.ema.europa.eu</w:t>
        </w:r>
      </w:hyperlink>
      <w:r w:rsidR="00E03D9A" w:rsidRPr="00D045B3">
        <w:rPr>
          <w:lang w:val="hu-HU"/>
        </w:rPr>
        <w:t xml:space="preserve">) </w:t>
      </w:r>
      <w:r w:rsidRPr="00D045B3">
        <w:rPr>
          <w:iCs/>
          <w:color w:val="000000"/>
          <w:lang w:val="hu-HU"/>
        </w:rPr>
        <w:t>található.</w:t>
      </w:r>
    </w:p>
    <w:p w14:paraId="1E927999" w14:textId="77777777" w:rsidR="00171AC0" w:rsidRPr="00D045B3" w:rsidRDefault="00171AC0" w:rsidP="00171AC0">
      <w:pPr>
        <w:pStyle w:val="NoSpacing1"/>
        <w:jc w:val="center"/>
        <w:rPr>
          <w:rFonts w:cs="Times New Roman"/>
          <w:b/>
          <w:lang w:val="hu-HU"/>
        </w:rPr>
      </w:pPr>
      <w:r w:rsidRPr="00D045B3">
        <w:rPr>
          <w:lang w:val="hu-HU"/>
        </w:rPr>
        <w:br w:type="page"/>
      </w:r>
    </w:p>
    <w:p w14:paraId="1E92799A" w14:textId="77777777" w:rsidR="00171AC0" w:rsidRPr="00D045B3" w:rsidRDefault="00171AC0" w:rsidP="00171AC0">
      <w:pPr>
        <w:pStyle w:val="NoSpacing1"/>
        <w:jc w:val="center"/>
        <w:rPr>
          <w:rFonts w:cs="Times New Roman"/>
          <w:b/>
          <w:lang w:val="hu-HU"/>
        </w:rPr>
      </w:pPr>
    </w:p>
    <w:p w14:paraId="1E92799B" w14:textId="77777777" w:rsidR="00171AC0" w:rsidRPr="00D045B3" w:rsidRDefault="00171AC0" w:rsidP="00171AC0">
      <w:pPr>
        <w:pStyle w:val="NoSpacing1"/>
        <w:jc w:val="center"/>
        <w:rPr>
          <w:rFonts w:cs="Times New Roman"/>
          <w:b/>
          <w:lang w:val="hu-HU"/>
        </w:rPr>
      </w:pPr>
    </w:p>
    <w:p w14:paraId="1E92799C" w14:textId="77777777" w:rsidR="00171AC0" w:rsidRPr="00D045B3" w:rsidRDefault="00171AC0" w:rsidP="00171AC0">
      <w:pPr>
        <w:pStyle w:val="NoSpacing1"/>
        <w:jc w:val="center"/>
        <w:rPr>
          <w:rFonts w:cs="Times New Roman"/>
          <w:b/>
          <w:lang w:val="hu-HU"/>
        </w:rPr>
      </w:pPr>
    </w:p>
    <w:p w14:paraId="1E92799D" w14:textId="77777777" w:rsidR="00171AC0" w:rsidRPr="00D045B3" w:rsidRDefault="00171AC0" w:rsidP="00171AC0">
      <w:pPr>
        <w:pStyle w:val="NoSpacing1"/>
        <w:jc w:val="center"/>
        <w:rPr>
          <w:rFonts w:cs="Times New Roman"/>
          <w:b/>
          <w:lang w:val="hu-HU"/>
        </w:rPr>
      </w:pPr>
    </w:p>
    <w:p w14:paraId="1E92799E" w14:textId="77777777" w:rsidR="00171AC0" w:rsidRPr="00D045B3" w:rsidRDefault="00171AC0" w:rsidP="00171AC0">
      <w:pPr>
        <w:pStyle w:val="NoSpacing1"/>
        <w:jc w:val="center"/>
        <w:rPr>
          <w:rFonts w:cs="Times New Roman"/>
          <w:b/>
          <w:lang w:val="hu-HU"/>
        </w:rPr>
      </w:pPr>
    </w:p>
    <w:p w14:paraId="1E92799F" w14:textId="77777777" w:rsidR="00171AC0" w:rsidRPr="00D045B3" w:rsidRDefault="00171AC0" w:rsidP="00171AC0">
      <w:pPr>
        <w:pStyle w:val="NoSpacing1"/>
        <w:jc w:val="center"/>
        <w:rPr>
          <w:rFonts w:cs="Times New Roman"/>
          <w:b/>
          <w:lang w:val="hu-HU"/>
        </w:rPr>
      </w:pPr>
    </w:p>
    <w:p w14:paraId="1E9279A0" w14:textId="77777777" w:rsidR="00171AC0" w:rsidRPr="00D045B3" w:rsidRDefault="00171AC0" w:rsidP="00171AC0">
      <w:pPr>
        <w:pStyle w:val="NoSpacing1"/>
        <w:jc w:val="center"/>
        <w:rPr>
          <w:rFonts w:cs="Times New Roman"/>
          <w:b/>
          <w:lang w:val="hu-HU"/>
        </w:rPr>
      </w:pPr>
    </w:p>
    <w:p w14:paraId="1E9279A1" w14:textId="77777777" w:rsidR="00171AC0" w:rsidRPr="00D045B3" w:rsidRDefault="00171AC0" w:rsidP="00171AC0">
      <w:pPr>
        <w:pStyle w:val="NoSpacing1"/>
        <w:jc w:val="center"/>
        <w:rPr>
          <w:rFonts w:cs="Times New Roman"/>
          <w:b/>
          <w:lang w:val="hu-HU"/>
        </w:rPr>
      </w:pPr>
    </w:p>
    <w:p w14:paraId="1E9279A2" w14:textId="77777777" w:rsidR="00171AC0" w:rsidRPr="00D045B3" w:rsidRDefault="00171AC0" w:rsidP="00171AC0">
      <w:pPr>
        <w:pStyle w:val="NoSpacing1"/>
        <w:jc w:val="center"/>
        <w:rPr>
          <w:rFonts w:cs="Times New Roman"/>
          <w:b/>
          <w:lang w:val="hu-HU"/>
        </w:rPr>
      </w:pPr>
    </w:p>
    <w:p w14:paraId="1E9279A3" w14:textId="77777777" w:rsidR="00171AC0" w:rsidRPr="00D045B3" w:rsidRDefault="00171AC0" w:rsidP="00171AC0">
      <w:pPr>
        <w:pStyle w:val="NoSpacing1"/>
        <w:jc w:val="center"/>
        <w:rPr>
          <w:rFonts w:cs="Times New Roman"/>
          <w:b/>
          <w:lang w:val="hu-HU"/>
        </w:rPr>
      </w:pPr>
    </w:p>
    <w:p w14:paraId="1E9279A4" w14:textId="77777777" w:rsidR="00171AC0" w:rsidRPr="00D045B3" w:rsidRDefault="00171AC0" w:rsidP="00171AC0">
      <w:pPr>
        <w:pStyle w:val="NoSpacing1"/>
        <w:jc w:val="center"/>
        <w:rPr>
          <w:rFonts w:cs="Times New Roman"/>
          <w:b/>
          <w:lang w:val="hu-HU"/>
        </w:rPr>
      </w:pPr>
    </w:p>
    <w:p w14:paraId="1E9279A5" w14:textId="77777777" w:rsidR="00171AC0" w:rsidRPr="00D045B3" w:rsidRDefault="00171AC0" w:rsidP="00171AC0">
      <w:pPr>
        <w:pStyle w:val="NoSpacing1"/>
        <w:jc w:val="center"/>
        <w:rPr>
          <w:rFonts w:cs="Times New Roman"/>
          <w:b/>
          <w:lang w:val="hu-HU"/>
        </w:rPr>
      </w:pPr>
    </w:p>
    <w:p w14:paraId="1E9279A6" w14:textId="77777777" w:rsidR="00171AC0" w:rsidRPr="00D045B3" w:rsidRDefault="00171AC0" w:rsidP="00171AC0">
      <w:pPr>
        <w:pStyle w:val="NoSpacing1"/>
        <w:jc w:val="center"/>
        <w:rPr>
          <w:rFonts w:cs="Times New Roman"/>
          <w:b/>
          <w:lang w:val="hu-HU"/>
        </w:rPr>
      </w:pPr>
    </w:p>
    <w:p w14:paraId="1E9279A7" w14:textId="77777777" w:rsidR="00171AC0" w:rsidRPr="00D045B3" w:rsidRDefault="00171AC0" w:rsidP="00171AC0">
      <w:pPr>
        <w:pStyle w:val="NoSpacing1"/>
        <w:jc w:val="center"/>
        <w:rPr>
          <w:rFonts w:cs="Times New Roman"/>
          <w:b/>
          <w:lang w:val="hu-HU"/>
        </w:rPr>
      </w:pPr>
    </w:p>
    <w:p w14:paraId="1E9279A8" w14:textId="77777777" w:rsidR="00171AC0" w:rsidRPr="00D045B3" w:rsidRDefault="00171AC0" w:rsidP="00171AC0">
      <w:pPr>
        <w:pStyle w:val="NoSpacing1"/>
        <w:jc w:val="center"/>
        <w:rPr>
          <w:rFonts w:cs="Times New Roman"/>
          <w:b/>
          <w:lang w:val="hu-HU"/>
        </w:rPr>
      </w:pPr>
    </w:p>
    <w:p w14:paraId="1E9279A9" w14:textId="77777777" w:rsidR="00171AC0" w:rsidRPr="00D045B3" w:rsidRDefault="00171AC0" w:rsidP="00171AC0">
      <w:pPr>
        <w:pStyle w:val="KeinLeerraum"/>
        <w:jc w:val="center"/>
        <w:rPr>
          <w:rFonts w:ascii="Times New Roman" w:hAnsi="Times New Roman"/>
          <w:b/>
        </w:rPr>
      </w:pPr>
    </w:p>
    <w:p w14:paraId="1E9279AA" w14:textId="77777777" w:rsidR="00171AC0" w:rsidRPr="00D045B3" w:rsidRDefault="00171AC0" w:rsidP="00171AC0">
      <w:pPr>
        <w:pStyle w:val="KeinLeerraum"/>
        <w:jc w:val="center"/>
        <w:rPr>
          <w:rFonts w:ascii="Times New Roman" w:hAnsi="Times New Roman"/>
          <w:b/>
        </w:rPr>
      </w:pPr>
    </w:p>
    <w:p w14:paraId="1E9279AB" w14:textId="77777777" w:rsidR="00171AC0" w:rsidRPr="00D045B3" w:rsidRDefault="00171AC0" w:rsidP="00171AC0">
      <w:pPr>
        <w:pStyle w:val="KeinLeerraum"/>
        <w:jc w:val="center"/>
        <w:rPr>
          <w:rFonts w:ascii="Times New Roman" w:hAnsi="Times New Roman"/>
          <w:b/>
        </w:rPr>
      </w:pPr>
    </w:p>
    <w:p w14:paraId="1E9279AC" w14:textId="77777777" w:rsidR="00171AC0" w:rsidRPr="00D045B3" w:rsidRDefault="00171AC0" w:rsidP="00171AC0">
      <w:pPr>
        <w:pStyle w:val="KeinLeerraum"/>
        <w:jc w:val="center"/>
        <w:rPr>
          <w:rFonts w:ascii="Times New Roman" w:hAnsi="Times New Roman"/>
          <w:b/>
        </w:rPr>
      </w:pPr>
    </w:p>
    <w:p w14:paraId="1E9279AD" w14:textId="77777777" w:rsidR="00171AC0" w:rsidRPr="00D045B3" w:rsidRDefault="00171AC0" w:rsidP="00171AC0">
      <w:pPr>
        <w:pStyle w:val="KeinLeerraum"/>
        <w:jc w:val="center"/>
        <w:rPr>
          <w:rFonts w:ascii="Times New Roman" w:hAnsi="Times New Roman"/>
          <w:b/>
        </w:rPr>
      </w:pPr>
    </w:p>
    <w:p w14:paraId="1E9279AE" w14:textId="77777777" w:rsidR="00171AC0" w:rsidRPr="00D045B3" w:rsidRDefault="00171AC0" w:rsidP="00171AC0">
      <w:pPr>
        <w:pStyle w:val="KeinLeerraum"/>
        <w:jc w:val="center"/>
        <w:rPr>
          <w:rFonts w:ascii="Times New Roman" w:hAnsi="Times New Roman"/>
          <w:b/>
        </w:rPr>
      </w:pPr>
      <w:r w:rsidRPr="00D045B3">
        <w:rPr>
          <w:rFonts w:ascii="Times New Roman" w:hAnsi="Times New Roman"/>
          <w:b/>
        </w:rPr>
        <w:t>II. MELLÉKLET</w:t>
      </w:r>
    </w:p>
    <w:p w14:paraId="1E9279AF" w14:textId="77777777" w:rsidR="00171AC0" w:rsidRPr="00D045B3" w:rsidRDefault="00171AC0" w:rsidP="00171AC0">
      <w:pPr>
        <w:pStyle w:val="KeinLeerraum"/>
        <w:jc w:val="center"/>
        <w:rPr>
          <w:rFonts w:ascii="Times New Roman" w:hAnsi="Times New Roman"/>
          <w:b/>
        </w:rPr>
      </w:pPr>
    </w:p>
    <w:p w14:paraId="1E9279B0" w14:textId="77777777" w:rsidR="00171AC0" w:rsidRPr="00D045B3" w:rsidRDefault="00171AC0" w:rsidP="00171AC0">
      <w:pPr>
        <w:pStyle w:val="KeinLeerraum"/>
        <w:jc w:val="center"/>
        <w:rPr>
          <w:rFonts w:ascii="Times New Roman" w:hAnsi="Times New Roman"/>
          <w:b/>
        </w:rPr>
      </w:pPr>
    </w:p>
    <w:p w14:paraId="1E9279B1" w14:textId="77777777" w:rsidR="00171AC0" w:rsidRPr="00D045B3" w:rsidRDefault="00171AC0" w:rsidP="00E95370">
      <w:pPr>
        <w:pStyle w:val="KeinLeerraum"/>
        <w:numPr>
          <w:ilvl w:val="0"/>
          <w:numId w:val="2"/>
        </w:numPr>
        <w:tabs>
          <w:tab w:val="left" w:pos="0"/>
          <w:tab w:val="left" w:pos="567"/>
        </w:tabs>
        <w:ind w:hanging="720"/>
        <w:rPr>
          <w:rFonts w:ascii="Times New Roman" w:hAnsi="Times New Roman"/>
          <w:b/>
        </w:rPr>
      </w:pPr>
      <w:r w:rsidRPr="00D045B3">
        <w:rPr>
          <w:rFonts w:ascii="Times New Roman" w:hAnsi="Times New Roman"/>
          <w:b/>
        </w:rPr>
        <w:t>A GYÁRTÁSI TÉTELEK VÉGFELSZABADÍTÁSÁÉRT FELELŐS GYÁRTÓK</w:t>
      </w:r>
    </w:p>
    <w:p w14:paraId="1E9279B2" w14:textId="77777777" w:rsidR="00171AC0" w:rsidRPr="00D045B3" w:rsidRDefault="00171AC0" w:rsidP="00171AC0">
      <w:pPr>
        <w:pStyle w:val="KeinLeerraum"/>
        <w:tabs>
          <w:tab w:val="left" w:pos="567"/>
        </w:tabs>
        <w:jc w:val="center"/>
        <w:rPr>
          <w:rFonts w:ascii="Times New Roman" w:hAnsi="Times New Roman"/>
          <w:b/>
        </w:rPr>
      </w:pPr>
    </w:p>
    <w:p w14:paraId="1E9279B3" w14:textId="77777777" w:rsidR="00171AC0" w:rsidRPr="00D045B3" w:rsidRDefault="00171AC0" w:rsidP="00171AC0">
      <w:pPr>
        <w:pStyle w:val="KeinLeerraum"/>
        <w:tabs>
          <w:tab w:val="left" w:pos="0"/>
          <w:tab w:val="left" w:pos="567"/>
        </w:tabs>
        <w:jc w:val="center"/>
        <w:rPr>
          <w:rFonts w:ascii="Times New Roman" w:hAnsi="Times New Roman"/>
          <w:b/>
        </w:rPr>
      </w:pPr>
      <w:r w:rsidRPr="00D045B3">
        <w:rPr>
          <w:rFonts w:ascii="Times New Roman" w:hAnsi="Times New Roman"/>
          <w:b/>
        </w:rPr>
        <w:t>B.</w:t>
      </w:r>
      <w:r w:rsidRPr="00D045B3">
        <w:rPr>
          <w:rFonts w:ascii="Times New Roman" w:hAnsi="Times New Roman"/>
          <w:b/>
        </w:rPr>
        <w:tab/>
        <w:t>FELTÉTELEK VAGY KORLÁTOZÁSOK AZ ELLÁTÁS ÉS HASZNÁLAT KAPCSÁN</w:t>
      </w:r>
    </w:p>
    <w:p w14:paraId="1E9279B4" w14:textId="77777777" w:rsidR="00171AC0" w:rsidRPr="00D045B3" w:rsidRDefault="00171AC0" w:rsidP="00171AC0">
      <w:pPr>
        <w:pStyle w:val="KeinLeerraum"/>
        <w:tabs>
          <w:tab w:val="left" w:pos="567"/>
        </w:tabs>
        <w:jc w:val="center"/>
        <w:rPr>
          <w:rFonts w:ascii="Times New Roman" w:hAnsi="Times New Roman"/>
          <w:b/>
        </w:rPr>
      </w:pPr>
    </w:p>
    <w:p w14:paraId="1E9279B5" w14:textId="77777777" w:rsidR="00171AC0" w:rsidRPr="00D045B3" w:rsidRDefault="00171AC0" w:rsidP="00E95370">
      <w:pPr>
        <w:pStyle w:val="KeinLeerraum"/>
        <w:numPr>
          <w:ilvl w:val="0"/>
          <w:numId w:val="3"/>
        </w:numPr>
        <w:tabs>
          <w:tab w:val="left" w:pos="567"/>
        </w:tabs>
        <w:ind w:left="567" w:hanging="567"/>
        <w:rPr>
          <w:rFonts w:ascii="Times New Roman" w:hAnsi="Times New Roman"/>
          <w:b/>
        </w:rPr>
      </w:pPr>
      <w:r w:rsidRPr="00D045B3">
        <w:rPr>
          <w:rFonts w:ascii="Times New Roman" w:hAnsi="Times New Roman"/>
          <w:b/>
        </w:rPr>
        <w:t>A FORGALOMBA HOZATALI ENGEDÉLY EGYÉB FELTÉTELEI ÉS KÖVETELMÉNYEI</w:t>
      </w:r>
    </w:p>
    <w:p w14:paraId="1E9279B6" w14:textId="77777777" w:rsidR="00171AC0" w:rsidRPr="00D045B3" w:rsidRDefault="00171AC0" w:rsidP="00171AC0">
      <w:pPr>
        <w:pStyle w:val="KeinLeerraum"/>
        <w:tabs>
          <w:tab w:val="left" w:pos="567"/>
        </w:tabs>
        <w:jc w:val="center"/>
        <w:rPr>
          <w:rFonts w:ascii="Times New Roman" w:hAnsi="Times New Roman"/>
          <w:b/>
        </w:rPr>
      </w:pPr>
    </w:p>
    <w:p w14:paraId="1E9279B7" w14:textId="77777777" w:rsidR="00171AC0" w:rsidRPr="00D045B3" w:rsidRDefault="00171AC0" w:rsidP="00E95370">
      <w:pPr>
        <w:pStyle w:val="KeinLeerraum"/>
        <w:numPr>
          <w:ilvl w:val="0"/>
          <w:numId w:val="3"/>
        </w:numPr>
        <w:tabs>
          <w:tab w:val="left" w:pos="567"/>
        </w:tabs>
        <w:ind w:left="567" w:hanging="567"/>
        <w:rPr>
          <w:rFonts w:ascii="Times New Roman" w:hAnsi="Times New Roman"/>
          <w:b/>
        </w:rPr>
      </w:pPr>
      <w:r w:rsidRPr="00D045B3">
        <w:rPr>
          <w:rFonts w:ascii="Times New Roman" w:hAnsi="Times New Roman"/>
          <w:b/>
        </w:rPr>
        <w:t>FELTÉTELEK VAGY KORLÁTOZÁSOK A GYÓGYSZER BIZTONSÁGOS ÉS HATÉKONY ALKALMAZÁSÁRA VONATKOZÓAN</w:t>
      </w:r>
    </w:p>
    <w:p w14:paraId="1E9279B8" w14:textId="77777777" w:rsidR="00171AC0" w:rsidRPr="00D045B3" w:rsidRDefault="00171AC0" w:rsidP="00171AC0">
      <w:pPr>
        <w:pStyle w:val="KeinLeerraum"/>
        <w:rPr>
          <w:rFonts w:ascii="Times New Roman" w:hAnsi="Times New Roman"/>
        </w:rPr>
      </w:pPr>
    </w:p>
    <w:p w14:paraId="1E9279B9" w14:textId="77777777" w:rsidR="00171AC0" w:rsidRPr="00D045B3" w:rsidRDefault="00171AC0" w:rsidP="00171AC0">
      <w:pPr>
        <w:pStyle w:val="KeinLeerraum"/>
        <w:rPr>
          <w:rFonts w:ascii="Times New Roman" w:hAnsi="Times New Roman"/>
        </w:rPr>
      </w:pPr>
    </w:p>
    <w:p w14:paraId="1E9279BA" w14:textId="77777777" w:rsidR="00171AC0" w:rsidRPr="00D045B3" w:rsidRDefault="00171AC0" w:rsidP="00F67173">
      <w:pPr>
        <w:pStyle w:val="TitleB"/>
        <w:ind w:left="567" w:hanging="567"/>
      </w:pPr>
      <w:r w:rsidRPr="00D045B3">
        <w:br w:type="page"/>
        <w:t>A.</w:t>
      </w:r>
      <w:r w:rsidRPr="00D045B3">
        <w:tab/>
        <w:t>A GYÁRTÁSI TÉTELEK VÉGFELSZABADÍTÁSÁÉRT FELELŐS GYÁRTÓ</w:t>
      </w:r>
    </w:p>
    <w:p w14:paraId="1E9279BB" w14:textId="77777777" w:rsidR="00171AC0" w:rsidRPr="00D045B3" w:rsidRDefault="00171AC0" w:rsidP="00171AC0">
      <w:pPr>
        <w:pStyle w:val="KeinLeerraum"/>
        <w:rPr>
          <w:rFonts w:ascii="Times New Roman" w:hAnsi="Times New Roman"/>
          <w:b/>
        </w:rPr>
      </w:pPr>
    </w:p>
    <w:p w14:paraId="1E9279BC" w14:textId="77777777" w:rsidR="00171AC0" w:rsidRPr="00D045B3" w:rsidRDefault="00171AC0" w:rsidP="00171AC0">
      <w:pPr>
        <w:pStyle w:val="KeinLeerraum"/>
        <w:rPr>
          <w:rFonts w:ascii="Times New Roman" w:hAnsi="Times New Roman"/>
          <w:u w:val="single"/>
        </w:rPr>
      </w:pPr>
      <w:r w:rsidRPr="00D045B3">
        <w:rPr>
          <w:rFonts w:ascii="Times New Roman" w:hAnsi="Times New Roman"/>
          <w:u w:val="single"/>
        </w:rPr>
        <w:t>A gyártási tételek végfelszabadításáért felelős gyártó neve és címe</w:t>
      </w:r>
    </w:p>
    <w:p w14:paraId="1E9279BD" w14:textId="77777777" w:rsidR="00171AC0" w:rsidRPr="00D045B3" w:rsidRDefault="00171AC0" w:rsidP="00171AC0">
      <w:pPr>
        <w:pStyle w:val="KeinLeerraum"/>
        <w:rPr>
          <w:rFonts w:ascii="Times New Roman" w:hAnsi="Times New Roman"/>
        </w:rPr>
      </w:pPr>
    </w:p>
    <w:p w14:paraId="1E9279BE" w14:textId="77777777" w:rsidR="00171AC0" w:rsidRPr="00D045B3" w:rsidRDefault="00171AC0" w:rsidP="00171AC0">
      <w:pPr>
        <w:widowControl w:val="0"/>
        <w:autoSpaceDE w:val="0"/>
        <w:autoSpaceDN w:val="0"/>
        <w:adjustRightInd w:val="0"/>
        <w:spacing w:line="240" w:lineRule="auto"/>
        <w:ind w:right="120"/>
        <w:rPr>
          <w:lang w:val="hu-HU"/>
        </w:rPr>
      </w:pPr>
      <w:r w:rsidRPr="00D045B3">
        <w:rPr>
          <w:lang w:val="hu-HU"/>
        </w:rPr>
        <w:t>S.C. Sindan-Pharma S.R.L.</w:t>
      </w:r>
      <w:r w:rsidRPr="00D045B3">
        <w:rPr>
          <w:lang w:val="hu-HU"/>
        </w:rPr>
        <w:br/>
        <w:t>11</w:t>
      </w:r>
      <w:r w:rsidRPr="00D045B3">
        <w:rPr>
          <w:vertAlign w:val="superscript"/>
          <w:lang w:val="hu-HU"/>
        </w:rPr>
        <w:t>th</w:t>
      </w:r>
      <w:r w:rsidRPr="00D045B3">
        <w:rPr>
          <w:lang w:val="hu-HU"/>
        </w:rPr>
        <w:t xml:space="preserve"> Ion Mihalache Ave, The 1</w:t>
      </w:r>
      <w:r w:rsidRPr="00D045B3">
        <w:rPr>
          <w:vertAlign w:val="superscript"/>
          <w:lang w:val="hu-HU"/>
        </w:rPr>
        <w:t>st</w:t>
      </w:r>
      <w:r w:rsidRPr="00D045B3">
        <w:rPr>
          <w:lang w:val="hu-HU"/>
        </w:rPr>
        <w:t xml:space="preserve"> district,</w:t>
      </w:r>
      <w:r w:rsidRPr="00D045B3">
        <w:rPr>
          <w:lang w:val="hu-HU"/>
        </w:rPr>
        <w:br/>
        <w:t>RO-011171 Bucharest</w:t>
      </w:r>
      <w:r w:rsidRPr="00D045B3">
        <w:rPr>
          <w:lang w:val="hu-HU"/>
        </w:rPr>
        <w:br/>
        <w:t>Románia</w:t>
      </w:r>
    </w:p>
    <w:p w14:paraId="1E9279BF" w14:textId="77777777" w:rsidR="00171AC0" w:rsidRPr="00D045B3" w:rsidRDefault="00171AC0" w:rsidP="00171AC0">
      <w:pPr>
        <w:pStyle w:val="KeinLeerraum"/>
        <w:rPr>
          <w:rFonts w:ascii="Times New Roman" w:hAnsi="Times New Roman"/>
        </w:rPr>
      </w:pPr>
    </w:p>
    <w:p w14:paraId="1E9279C0" w14:textId="77777777" w:rsidR="00171AC0" w:rsidRPr="00D045B3" w:rsidRDefault="00171AC0" w:rsidP="00171AC0">
      <w:pPr>
        <w:pStyle w:val="KeinLeerraum"/>
        <w:rPr>
          <w:rFonts w:ascii="Times New Roman" w:hAnsi="Times New Roman"/>
        </w:rPr>
      </w:pPr>
    </w:p>
    <w:p w14:paraId="1E9279C1" w14:textId="77777777" w:rsidR="00171AC0" w:rsidRPr="00D045B3" w:rsidRDefault="00171AC0" w:rsidP="00F67173">
      <w:pPr>
        <w:pStyle w:val="TitleB"/>
        <w:ind w:left="567" w:hanging="567"/>
      </w:pPr>
      <w:r w:rsidRPr="00D045B3">
        <w:t>B.</w:t>
      </w:r>
      <w:r w:rsidRPr="00D045B3">
        <w:tab/>
        <w:t xml:space="preserve">FELTÉTELEK VAGY KORLÁTOZÁSOK AZ ELLÁTÁS ÉS HASZNÁLAT KAPCSÁN </w:t>
      </w:r>
    </w:p>
    <w:p w14:paraId="1E9279C2" w14:textId="77777777" w:rsidR="00171AC0" w:rsidRPr="00D045B3" w:rsidRDefault="00171AC0" w:rsidP="00171AC0">
      <w:pPr>
        <w:pStyle w:val="KeinLeerraum"/>
        <w:rPr>
          <w:rFonts w:ascii="Times New Roman" w:hAnsi="Times New Roman"/>
        </w:rPr>
      </w:pPr>
    </w:p>
    <w:p w14:paraId="1E9279C3" w14:textId="77777777" w:rsidR="00171AC0" w:rsidRPr="00D045B3" w:rsidRDefault="00171AC0" w:rsidP="00171AC0">
      <w:pPr>
        <w:pStyle w:val="KeinLeerraum"/>
        <w:tabs>
          <w:tab w:val="left" w:pos="0"/>
        </w:tabs>
        <w:rPr>
          <w:rFonts w:ascii="Times New Roman" w:hAnsi="Times New Roman"/>
        </w:rPr>
      </w:pPr>
      <w:r w:rsidRPr="00D045B3">
        <w:rPr>
          <w:rFonts w:ascii="Times New Roman" w:hAnsi="Times New Roman"/>
        </w:rPr>
        <w:t>Korlátozott érvényű orvosi rendelvényhez kötött gyógyszer (lásd I. Melléklet: Alkalmazási előírás, 4.2 pont).</w:t>
      </w:r>
    </w:p>
    <w:p w14:paraId="1E9279C4" w14:textId="77777777" w:rsidR="00171AC0" w:rsidRPr="00D045B3" w:rsidRDefault="00171AC0" w:rsidP="00171AC0">
      <w:pPr>
        <w:pStyle w:val="KeinLeerraum"/>
        <w:tabs>
          <w:tab w:val="left" w:pos="0"/>
        </w:tabs>
        <w:rPr>
          <w:rFonts w:ascii="Times New Roman" w:hAnsi="Times New Roman"/>
        </w:rPr>
      </w:pPr>
    </w:p>
    <w:p w14:paraId="1E9279C5" w14:textId="77777777" w:rsidR="00171AC0" w:rsidRPr="00D045B3" w:rsidRDefault="00171AC0" w:rsidP="00171AC0">
      <w:pPr>
        <w:pStyle w:val="KeinLeerraum"/>
        <w:tabs>
          <w:tab w:val="left" w:pos="0"/>
        </w:tabs>
        <w:rPr>
          <w:rFonts w:ascii="Times New Roman" w:hAnsi="Times New Roman"/>
        </w:rPr>
      </w:pPr>
    </w:p>
    <w:p w14:paraId="1E9279C6" w14:textId="77777777" w:rsidR="00171AC0" w:rsidRPr="00D045B3" w:rsidRDefault="00561EE7" w:rsidP="00F67173">
      <w:pPr>
        <w:pStyle w:val="TitleB"/>
        <w:ind w:left="567" w:hanging="567"/>
      </w:pPr>
      <w:r w:rsidRPr="00D045B3">
        <w:t>C.</w:t>
      </w:r>
      <w:r w:rsidRPr="00D045B3">
        <w:tab/>
      </w:r>
      <w:r w:rsidR="00171AC0" w:rsidRPr="00D045B3">
        <w:t>A FORGALOMBA HOZATALI ENGEDÉLY EGYÉB FELTÉTELEI ÉS KÖVETELMÉNYEI</w:t>
      </w:r>
    </w:p>
    <w:p w14:paraId="1E9279C7" w14:textId="77777777" w:rsidR="00171AC0" w:rsidRPr="00D045B3" w:rsidRDefault="00171AC0" w:rsidP="00171AC0">
      <w:pPr>
        <w:pStyle w:val="KeinLeerraum"/>
        <w:tabs>
          <w:tab w:val="left" w:pos="0"/>
        </w:tabs>
        <w:rPr>
          <w:rFonts w:ascii="Times New Roman" w:hAnsi="Times New Roman"/>
        </w:rPr>
      </w:pPr>
    </w:p>
    <w:p w14:paraId="1E9279C8" w14:textId="2D758A9F" w:rsidR="00171AC0" w:rsidRPr="00D045B3" w:rsidRDefault="00171AC0" w:rsidP="00E95370">
      <w:pPr>
        <w:pStyle w:val="KeinLeerraum"/>
        <w:numPr>
          <w:ilvl w:val="0"/>
          <w:numId w:val="4"/>
        </w:numPr>
        <w:tabs>
          <w:tab w:val="left" w:pos="0"/>
        </w:tabs>
        <w:ind w:left="567" w:hanging="567"/>
        <w:rPr>
          <w:rFonts w:ascii="Times New Roman" w:hAnsi="Times New Roman"/>
          <w:b/>
        </w:rPr>
      </w:pPr>
      <w:r w:rsidRPr="00D045B3">
        <w:rPr>
          <w:rFonts w:ascii="Times New Roman" w:hAnsi="Times New Roman"/>
          <w:b/>
        </w:rPr>
        <w:t>Időszakos gyógyszerbiztonsági jelentések</w:t>
      </w:r>
      <w:r w:rsidR="0098458C" w:rsidRPr="00D045B3">
        <w:rPr>
          <w:rFonts w:ascii="Times New Roman" w:hAnsi="Times New Roman"/>
          <w:b/>
        </w:rPr>
        <w:t xml:space="preserve"> (Periodic safety update report, PSUR)</w:t>
      </w:r>
    </w:p>
    <w:p w14:paraId="1E9279C9" w14:textId="77777777" w:rsidR="00171AC0" w:rsidRPr="00D045B3" w:rsidRDefault="00171AC0" w:rsidP="00171AC0">
      <w:pPr>
        <w:pStyle w:val="KeinLeerraum"/>
        <w:rPr>
          <w:rFonts w:ascii="Times New Roman" w:hAnsi="Times New Roman"/>
        </w:rPr>
      </w:pPr>
    </w:p>
    <w:p w14:paraId="1E9279CA" w14:textId="70576628" w:rsidR="00171AC0" w:rsidRPr="00D045B3" w:rsidRDefault="00171AC0" w:rsidP="00171AC0">
      <w:pPr>
        <w:pStyle w:val="KeinLeerraum"/>
        <w:rPr>
          <w:rFonts w:ascii="Times New Roman" w:hAnsi="Times New Roman"/>
        </w:rPr>
      </w:pPr>
      <w:r w:rsidRPr="00D045B3">
        <w:rPr>
          <w:rFonts w:ascii="Times New Roman" w:hAnsi="Times New Roman"/>
        </w:rPr>
        <w:t xml:space="preserve">Az engedélyezés időpontjában erre a gyógyszerre vonatkozóan nem </w:t>
      </w:r>
      <w:r w:rsidR="0098458C" w:rsidRPr="00D045B3">
        <w:rPr>
          <w:rFonts w:ascii="Times New Roman" w:hAnsi="Times New Roman"/>
        </w:rPr>
        <w:t>PSUR-t</w:t>
      </w:r>
      <w:r w:rsidRPr="00D045B3">
        <w:rPr>
          <w:rFonts w:ascii="Times New Roman" w:hAnsi="Times New Roman"/>
        </w:rPr>
        <w:t xml:space="preserve"> benyújtani. A forgalomba hozatali engedély jogosultja </w:t>
      </w:r>
      <w:r w:rsidR="004F2490" w:rsidRPr="00D045B3">
        <w:rPr>
          <w:rFonts w:ascii="Times New Roman" w:hAnsi="Times New Roman"/>
        </w:rPr>
        <w:t xml:space="preserve">(MAH) </w:t>
      </w:r>
      <w:r w:rsidRPr="00D045B3">
        <w:rPr>
          <w:rFonts w:ascii="Times New Roman" w:hAnsi="Times New Roman"/>
        </w:rPr>
        <w:t xml:space="preserve">azonban köteles erre a gyógyszerre vonatkozóan </w:t>
      </w:r>
      <w:r w:rsidR="004F2490" w:rsidRPr="00D045B3">
        <w:rPr>
          <w:rFonts w:ascii="Times New Roman" w:hAnsi="Times New Roman"/>
        </w:rPr>
        <w:t>PSUR-okat</w:t>
      </w:r>
      <w:r w:rsidRPr="00D045B3">
        <w:rPr>
          <w:rFonts w:ascii="Times New Roman" w:hAnsi="Times New Roman"/>
        </w:rPr>
        <w:t xml:space="preserve"> benyújtani, ha a termék szerepel a 2001/83/EK irányelv 107c. cikkének (7) bekezdésében megállapított és az európai internetes gyógyszerportálon nyilvánosságra hozott uniós referencia-időpontok listáján (EURD lista).</w:t>
      </w:r>
    </w:p>
    <w:p w14:paraId="1E9279CB" w14:textId="77777777" w:rsidR="00171AC0" w:rsidRPr="00D045B3" w:rsidRDefault="00171AC0" w:rsidP="00171AC0">
      <w:pPr>
        <w:pStyle w:val="KeinLeerraum"/>
        <w:rPr>
          <w:rFonts w:ascii="Times New Roman" w:hAnsi="Times New Roman"/>
        </w:rPr>
      </w:pPr>
    </w:p>
    <w:p w14:paraId="1E9279CC" w14:textId="77777777" w:rsidR="00171AC0" w:rsidRPr="00D045B3" w:rsidRDefault="00171AC0" w:rsidP="00171AC0">
      <w:pPr>
        <w:pStyle w:val="KeinLeerraum"/>
        <w:rPr>
          <w:rFonts w:ascii="Times New Roman" w:hAnsi="Times New Roman"/>
        </w:rPr>
      </w:pPr>
    </w:p>
    <w:p w14:paraId="1E9279CD" w14:textId="77777777" w:rsidR="00171AC0" w:rsidRPr="00D045B3" w:rsidRDefault="00171AC0" w:rsidP="00F67173">
      <w:pPr>
        <w:pStyle w:val="TitleB"/>
        <w:ind w:left="567" w:hanging="567"/>
      </w:pPr>
      <w:r w:rsidRPr="00D045B3">
        <w:t>D.</w:t>
      </w:r>
      <w:r w:rsidRPr="00D045B3">
        <w:tab/>
        <w:t>FELTÉTELEK VAGY KORLÁTOZÁSOK A GYÓGYSZER BIZTONSÁGOS ÉS HATÉKONY ALKALMAZÁSÁRA VONATKOZÓAN</w:t>
      </w:r>
    </w:p>
    <w:p w14:paraId="1E9279CE" w14:textId="77777777" w:rsidR="00171AC0" w:rsidRPr="00D045B3" w:rsidRDefault="00171AC0" w:rsidP="00171AC0">
      <w:pPr>
        <w:pStyle w:val="KeinLeerraum"/>
        <w:tabs>
          <w:tab w:val="left" w:pos="0"/>
        </w:tabs>
        <w:rPr>
          <w:rFonts w:ascii="Times New Roman" w:hAnsi="Times New Roman"/>
        </w:rPr>
      </w:pPr>
    </w:p>
    <w:p w14:paraId="1E9279CF" w14:textId="77777777" w:rsidR="00171AC0" w:rsidRPr="00D045B3" w:rsidRDefault="00171AC0" w:rsidP="00E95370">
      <w:pPr>
        <w:pStyle w:val="KeinLeerraum"/>
        <w:numPr>
          <w:ilvl w:val="0"/>
          <w:numId w:val="4"/>
        </w:numPr>
        <w:tabs>
          <w:tab w:val="left" w:pos="0"/>
        </w:tabs>
        <w:ind w:left="567" w:hanging="567"/>
        <w:rPr>
          <w:rFonts w:ascii="Times New Roman" w:hAnsi="Times New Roman"/>
          <w:b/>
        </w:rPr>
      </w:pPr>
      <w:r w:rsidRPr="00D045B3">
        <w:rPr>
          <w:rFonts w:ascii="Times New Roman" w:hAnsi="Times New Roman"/>
          <w:b/>
        </w:rPr>
        <w:t xml:space="preserve">Kockázatkezelési terv </w:t>
      </w:r>
    </w:p>
    <w:p w14:paraId="1E9279D0" w14:textId="77777777" w:rsidR="00171AC0" w:rsidRPr="00D045B3" w:rsidRDefault="00171AC0" w:rsidP="00171AC0">
      <w:pPr>
        <w:pStyle w:val="KeinLeerraum"/>
        <w:rPr>
          <w:rFonts w:ascii="Times New Roman" w:hAnsi="Times New Roman"/>
        </w:rPr>
      </w:pPr>
    </w:p>
    <w:p w14:paraId="1E9279D1" w14:textId="77777777" w:rsidR="007650F7" w:rsidRPr="00D045B3" w:rsidRDefault="003C797C" w:rsidP="004264C6">
      <w:pPr>
        <w:pStyle w:val="KeinLeerraum"/>
        <w:rPr>
          <w:rFonts w:ascii="Times New Roman" w:hAnsi="Times New Roman"/>
        </w:rPr>
      </w:pPr>
      <w:r w:rsidRPr="00D045B3">
        <w:rPr>
          <w:rFonts w:ascii="Times New Roman" w:hAnsi="Times New Roman"/>
        </w:rPr>
        <w:t>Nem értelmezhető</w:t>
      </w:r>
      <w:r w:rsidR="00153411" w:rsidRPr="00D045B3">
        <w:rPr>
          <w:rFonts w:ascii="Times New Roman" w:hAnsi="Times New Roman"/>
        </w:rPr>
        <w:t>.</w:t>
      </w:r>
    </w:p>
    <w:p w14:paraId="1E9279D2" w14:textId="77777777" w:rsidR="00153411" w:rsidRPr="00D045B3" w:rsidRDefault="00153411" w:rsidP="00153411">
      <w:pPr>
        <w:pStyle w:val="NoSpacing1"/>
        <w:jc w:val="center"/>
        <w:rPr>
          <w:rFonts w:cs="Times New Roman"/>
          <w:lang w:val="hu-HU"/>
        </w:rPr>
      </w:pPr>
      <w:r w:rsidRPr="00D045B3">
        <w:rPr>
          <w:lang w:val="hu-HU"/>
        </w:rPr>
        <w:br w:type="page"/>
      </w:r>
    </w:p>
    <w:p w14:paraId="1E9279D3" w14:textId="77777777" w:rsidR="00153411" w:rsidRPr="00D045B3" w:rsidRDefault="00153411" w:rsidP="00153411">
      <w:pPr>
        <w:pStyle w:val="NoSpacing1"/>
        <w:jc w:val="center"/>
        <w:rPr>
          <w:rFonts w:cs="Times New Roman"/>
          <w:lang w:val="hu-HU"/>
        </w:rPr>
      </w:pPr>
    </w:p>
    <w:p w14:paraId="1E9279D4" w14:textId="77777777" w:rsidR="00153411" w:rsidRPr="00D045B3" w:rsidRDefault="00153411" w:rsidP="00153411">
      <w:pPr>
        <w:pStyle w:val="NoSpacing1"/>
        <w:jc w:val="center"/>
        <w:rPr>
          <w:rFonts w:cs="Times New Roman"/>
          <w:lang w:val="hu-HU"/>
        </w:rPr>
      </w:pPr>
    </w:p>
    <w:p w14:paraId="1E9279D5" w14:textId="77777777" w:rsidR="00153411" w:rsidRPr="00D045B3" w:rsidRDefault="00153411" w:rsidP="00153411">
      <w:pPr>
        <w:pStyle w:val="NoSpacing1"/>
        <w:jc w:val="center"/>
        <w:rPr>
          <w:rFonts w:cs="Times New Roman"/>
          <w:lang w:val="hu-HU"/>
        </w:rPr>
      </w:pPr>
    </w:p>
    <w:p w14:paraId="1E9279D6" w14:textId="77777777" w:rsidR="00153411" w:rsidRPr="00D045B3" w:rsidRDefault="00153411" w:rsidP="00153411">
      <w:pPr>
        <w:pStyle w:val="NoSpacing1"/>
        <w:jc w:val="center"/>
        <w:rPr>
          <w:rFonts w:cs="Times New Roman"/>
          <w:lang w:val="hu-HU"/>
        </w:rPr>
      </w:pPr>
    </w:p>
    <w:p w14:paraId="1E9279D7" w14:textId="77777777" w:rsidR="00153411" w:rsidRPr="00D045B3" w:rsidRDefault="00153411" w:rsidP="00153411">
      <w:pPr>
        <w:pStyle w:val="NoSpacing1"/>
        <w:jc w:val="center"/>
        <w:rPr>
          <w:rFonts w:cs="Times New Roman"/>
          <w:lang w:val="hu-HU"/>
        </w:rPr>
      </w:pPr>
    </w:p>
    <w:p w14:paraId="1E9279D8" w14:textId="77777777" w:rsidR="00153411" w:rsidRPr="00D045B3" w:rsidRDefault="00153411" w:rsidP="00153411">
      <w:pPr>
        <w:pStyle w:val="NoSpacing1"/>
        <w:jc w:val="center"/>
        <w:rPr>
          <w:rFonts w:cs="Times New Roman"/>
          <w:lang w:val="hu-HU"/>
        </w:rPr>
      </w:pPr>
    </w:p>
    <w:p w14:paraId="1E9279D9" w14:textId="77777777" w:rsidR="00153411" w:rsidRPr="00D045B3" w:rsidRDefault="00153411" w:rsidP="00153411">
      <w:pPr>
        <w:pStyle w:val="NoSpacing1"/>
        <w:jc w:val="center"/>
        <w:rPr>
          <w:rFonts w:cs="Times New Roman"/>
          <w:lang w:val="hu-HU"/>
        </w:rPr>
      </w:pPr>
    </w:p>
    <w:p w14:paraId="1E9279DA" w14:textId="77777777" w:rsidR="00153411" w:rsidRPr="00D045B3" w:rsidRDefault="00153411" w:rsidP="00153411">
      <w:pPr>
        <w:pStyle w:val="NoSpacing1"/>
        <w:jc w:val="center"/>
        <w:rPr>
          <w:rFonts w:cs="Times New Roman"/>
          <w:lang w:val="hu-HU"/>
        </w:rPr>
      </w:pPr>
    </w:p>
    <w:p w14:paraId="1E9279DB" w14:textId="77777777" w:rsidR="00153411" w:rsidRPr="00D045B3" w:rsidRDefault="00153411" w:rsidP="00153411">
      <w:pPr>
        <w:pStyle w:val="NoSpacing1"/>
        <w:jc w:val="center"/>
        <w:rPr>
          <w:rFonts w:cs="Times New Roman"/>
          <w:lang w:val="hu-HU"/>
        </w:rPr>
      </w:pPr>
    </w:p>
    <w:p w14:paraId="1E9279DC" w14:textId="77777777" w:rsidR="00153411" w:rsidRPr="00D045B3" w:rsidRDefault="00153411" w:rsidP="00153411">
      <w:pPr>
        <w:pStyle w:val="NoSpacing1"/>
        <w:jc w:val="center"/>
        <w:rPr>
          <w:rFonts w:cs="Times New Roman"/>
          <w:lang w:val="hu-HU"/>
        </w:rPr>
      </w:pPr>
    </w:p>
    <w:p w14:paraId="1E9279DD" w14:textId="77777777" w:rsidR="00153411" w:rsidRPr="00D045B3" w:rsidRDefault="00153411" w:rsidP="00153411">
      <w:pPr>
        <w:pStyle w:val="NoSpacing1"/>
        <w:jc w:val="center"/>
        <w:rPr>
          <w:rFonts w:cs="Times New Roman"/>
          <w:lang w:val="hu-HU"/>
        </w:rPr>
      </w:pPr>
    </w:p>
    <w:p w14:paraId="1E9279DE" w14:textId="77777777" w:rsidR="00153411" w:rsidRPr="00D045B3" w:rsidRDefault="00153411" w:rsidP="00153411">
      <w:pPr>
        <w:pStyle w:val="NoSpacing1"/>
        <w:jc w:val="center"/>
        <w:rPr>
          <w:rFonts w:cs="Times New Roman"/>
          <w:lang w:val="hu-HU"/>
        </w:rPr>
      </w:pPr>
    </w:p>
    <w:p w14:paraId="1E9279DF" w14:textId="77777777" w:rsidR="00153411" w:rsidRPr="00D045B3" w:rsidRDefault="00153411" w:rsidP="00153411">
      <w:pPr>
        <w:pStyle w:val="NoSpacing1"/>
        <w:jc w:val="center"/>
        <w:rPr>
          <w:rFonts w:cs="Times New Roman"/>
          <w:lang w:val="hu-HU"/>
        </w:rPr>
      </w:pPr>
    </w:p>
    <w:p w14:paraId="1E9279E0" w14:textId="77777777" w:rsidR="00153411" w:rsidRPr="00D045B3" w:rsidRDefault="00153411" w:rsidP="00153411">
      <w:pPr>
        <w:pStyle w:val="NoSpacing1"/>
        <w:jc w:val="center"/>
        <w:rPr>
          <w:rFonts w:cs="Times New Roman"/>
          <w:lang w:val="hu-HU"/>
        </w:rPr>
      </w:pPr>
    </w:p>
    <w:p w14:paraId="1E9279E1" w14:textId="77777777" w:rsidR="00153411" w:rsidRPr="00D045B3" w:rsidRDefault="00153411" w:rsidP="00153411">
      <w:pPr>
        <w:pStyle w:val="NoSpacing1"/>
        <w:jc w:val="center"/>
        <w:rPr>
          <w:rFonts w:cs="Times New Roman"/>
          <w:lang w:val="hu-HU"/>
        </w:rPr>
      </w:pPr>
    </w:p>
    <w:p w14:paraId="1E9279E2" w14:textId="77777777" w:rsidR="00153411" w:rsidRPr="00D045B3" w:rsidRDefault="00153411" w:rsidP="00153411">
      <w:pPr>
        <w:pStyle w:val="NoSpacing1"/>
        <w:jc w:val="center"/>
        <w:rPr>
          <w:rFonts w:cs="Times New Roman"/>
          <w:lang w:val="hu-HU"/>
        </w:rPr>
      </w:pPr>
    </w:p>
    <w:p w14:paraId="1E9279E3" w14:textId="77777777" w:rsidR="00153411" w:rsidRPr="00D045B3" w:rsidRDefault="00153411" w:rsidP="00153411">
      <w:pPr>
        <w:pStyle w:val="NoSpacing1"/>
        <w:jc w:val="center"/>
        <w:rPr>
          <w:rFonts w:cs="Times New Roman"/>
          <w:lang w:val="hu-HU"/>
        </w:rPr>
      </w:pPr>
    </w:p>
    <w:p w14:paraId="1E9279E4" w14:textId="77777777" w:rsidR="00153411" w:rsidRPr="00D045B3" w:rsidRDefault="00153411" w:rsidP="00153411">
      <w:pPr>
        <w:pStyle w:val="NoSpacing1"/>
        <w:jc w:val="center"/>
        <w:rPr>
          <w:rFonts w:cs="Times New Roman"/>
          <w:lang w:val="hu-HU"/>
        </w:rPr>
      </w:pPr>
    </w:p>
    <w:p w14:paraId="1E9279E5" w14:textId="77777777" w:rsidR="00153411" w:rsidRPr="00D045B3" w:rsidRDefault="00153411" w:rsidP="00153411">
      <w:pPr>
        <w:pStyle w:val="NoSpacing1"/>
        <w:jc w:val="center"/>
        <w:rPr>
          <w:rFonts w:cs="Times New Roman"/>
          <w:lang w:val="hu-HU"/>
        </w:rPr>
      </w:pPr>
    </w:p>
    <w:p w14:paraId="1E9279E6" w14:textId="77777777" w:rsidR="00153411" w:rsidRPr="00D045B3" w:rsidRDefault="00153411" w:rsidP="00153411">
      <w:pPr>
        <w:pStyle w:val="NoSpacing1"/>
        <w:jc w:val="center"/>
        <w:rPr>
          <w:rFonts w:cs="Times New Roman"/>
          <w:lang w:val="hu-HU"/>
        </w:rPr>
      </w:pPr>
    </w:p>
    <w:p w14:paraId="1E9279E7" w14:textId="77777777" w:rsidR="00153411" w:rsidRPr="00D045B3" w:rsidRDefault="00153411" w:rsidP="00153411">
      <w:pPr>
        <w:pStyle w:val="NoSpacing1"/>
        <w:jc w:val="center"/>
        <w:rPr>
          <w:rFonts w:cs="Times New Roman"/>
          <w:lang w:val="hu-HU"/>
        </w:rPr>
      </w:pPr>
    </w:p>
    <w:p w14:paraId="1E9279E8" w14:textId="77777777" w:rsidR="00153411" w:rsidRPr="00D045B3" w:rsidRDefault="00153411" w:rsidP="00153411">
      <w:pPr>
        <w:pStyle w:val="NoSpacing1"/>
        <w:jc w:val="center"/>
        <w:rPr>
          <w:rFonts w:cs="Times New Roman"/>
          <w:lang w:val="hu-HU"/>
        </w:rPr>
      </w:pPr>
    </w:p>
    <w:p w14:paraId="1E9279E9" w14:textId="77777777" w:rsidR="00153411" w:rsidRPr="00D045B3" w:rsidRDefault="00153411" w:rsidP="00153411">
      <w:pPr>
        <w:pStyle w:val="NoSpacing1"/>
        <w:jc w:val="center"/>
        <w:rPr>
          <w:rFonts w:cs="Times New Roman"/>
          <w:b/>
          <w:bCs/>
          <w:lang w:val="hu-HU"/>
        </w:rPr>
      </w:pPr>
      <w:r w:rsidRPr="00D045B3">
        <w:rPr>
          <w:rFonts w:cs="Times New Roman"/>
          <w:b/>
          <w:bCs/>
          <w:lang w:val="hu-HU"/>
        </w:rPr>
        <w:t>III. MELLÉKLET</w:t>
      </w:r>
    </w:p>
    <w:p w14:paraId="1E9279EA" w14:textId="77777777" w:rsidR="00153411" w:rsidRPr="00D045B3" w:rsidRDefault="00153411" w:rsidP="00153411">
      <w:pPr>
        <w:pStyle w:val="NoSpacing1"/>
        <w:jc w:val="center"/>
        <w:rPr>
          <w:rFonts w:cs="Times New Roman"/>
          <w:b/>
          <w:bCs/>
          <w:lang w:val="hu-HU"/>
        </w:rPr>
      </w:pPr>
    </w:p>
    <w:p w14:paraId="1E9279EB" w14:textId="77777777" w:rsidR="00153411" w:rsidRPr="00D045B3" w:rsidRDefault="00153411" w:rsidP="00153411">
      <w:pPr>
        <w:pStyle w:val="NoSpacing1"/>
        <w:jc w:val="center"/>
        <w:rPr>
          <w:rFonts w:cs="Times New Roman"/>
          <w:b/>
          <w:bCs/>
          <w:lang w:val="hu-HU"/>
        </w:rPr>
      </w:pPr>
      <w:r w:rsidRPr="00D045B3">
        <w:rPr>
          <w:rFonts w:cs="Times New Roman"/>
          <w:b/>
          <w:bCs/>
          <w:lang w:val="hu-HU"/>
        </w:rPr>
        <w:t>CÍMKESZÖVEG ÉS BETEGTÁJÉKOZTATÓ</w:t>
      </w:r>
    </w:p>
    <w:p w14:paraId="1E9279EC" w14:textId="77777777" w:rsidR="00153411" w:rsidRPr="00D045B3" w:rsidRDefault="00153411" w:rsidP="00153411">
      <w:pPr>
        <w:pStyle w:val="NoSpacing1"/>
        <w:jc w:val="center"/>
        <w:rPr>
          <w:rFonts w:cs="Times New Roman"/>
          <w:b/>
          <w:bCs/>
          <w:lang w:val="hu-HU"/>
        </w:rPr>
      </w:pPr>
      <w:r w:rsidRPr="00D045B3">
        <w:rPr>
          <w:rFonts w:cs="Times New Roman"/>
          <w:b/>
          <w:bCs/>
          <w:lang w:val="hu-HU"/>
        </w:rPr>
        <w:br w:type="page"/>
      </w:r>
    </w:p>
    <w:p w14:paraId="1E9279ED" w14:textId="77777777" w:rsidR="00153411" w:rsidRPr="00D045B3" w:rsidRDefault="00153411" w:rsidP="00153411">
      <w:pPr>
        <w:pStyle w:val="NoSpacing1"/>
        <w:jc w:val="center"/>
        <w:rPr>
          <w:rFonts w:cs="Times New Roman"/>
          <w:b/>
          <w:bCs/>
          <w:lang w:val="hu-HU"/>
        </w:rPr>
      </w:pPr>
    </w:p>
    <w:p w14:paraId="1E9279EE" w14:textId="77777777" w:rsidR="00153411" w:rsidRPr="00D045B3" w:rsidRDefault="00153411" w:rsidP="00153411">
      <w:pPr>
        <w:pStyle w:val="NoSpacing1"/>
        <w:jc w:val="center"/>
        <w:rPr>
          <w:rFonts w:cs="Times New Roman"/>
          <w:b/>
          <w:bCs/>
          <w:lang w:val="hu-HU"/>
        </w:rPr>
      </w:pPr>
    </w:p>
    <w:p w14:paraId="1E9279EF" w14:textId="77777777" w:rsidR="00153411" w:rsidRPr="00D045B3" w:rsidRDefault="00153411" w:rsidP="00153411">
      <w:pPr>
        <w:pStyle w:val="NoSpacing1"/>
        <w:jc w:val="center"/>
        <w:rPr>
          <w:rFonts w:cs="Times New Roman"/>
          <w:b/>
          <w:bCs/>
          <w:lang w:val="hu-HU"/>
        </w:rPr>
      </w:pPr>
    </w:p>
    <w:p w14:paraId="1E9279F0" w14:textId="77777777" w:rsidR="00153411" w:rsidRPr="00D045B3" w:rsidRDefault="00153411" w:rsidP="00153411">
      <w:pPr>
        <w:pStyle w:val="NoSpacing1"/>
        <w:jc w:val="center"/>
        <w:rPr>
          <w:rFonts w:cs="Times New Roman"/>
          <w:b/>
          <w:bCs/>
          <w:lang w:val="hu-HU"/>
        </w:rPr>
      </w:pPr>
    </w:p>
    <w:p w14:paraId="1E9279F1" w14:textId="77777777" w:rsidR="00153411" w:rsidRPr="00D045B3" w:rsidRDefault="00153411" w:rsidP="00153411">
      <w:pPr>
        <w:pStyle w:val="NoSpacing1"/>
        <w:jc w:val="center"/>
        <w:rPr>
          <w:rFonts w:cs="Times New Roman"/>
          <w:b/>
          <w:bCs/>
          <w:lang w:val="hu-HU"/>
        </w:rPr>
      </w:pPr>
    </w:p>
    <w:p w14:paraId="1E9279F2" w14:textId="77777777" w:rsidR="00153411" w:rsidRPr="00D045B3" w:rsidRDefault="00153411" w:rsidP="00153411">
      <w:pPr>
        <w:pStyle w:val="NoSpacing1"/>
        <w:jc w:val="center"/>
        <w:rPr>
          <w:rFonts w:cs="Times New Roman"/>
          <w:b/>
          <w:bCs/>
          <w:lang w:val="hu-HU"/>
        </w:rPr>
      </w:pPr>
    </w:p>
    <w:p w14:paraId="1E9279F3" w14:textId="77777777" w:rsidR="00153411" w:rsidRPr="00D045B3" w:rsidRDefault="00153411" w:rsidP="00153411">
      <w:pPr>
        <w:pStyle w:val="NoSpacing1"/>
        <w:jc w:val="center"/>
        <w:rPr>
          <w:rFonts w:cs="Times New Roman"/>
          <w:b/>
          <w:bCs/>
          <w:lang w:val="hu-HU"/>
        </w:rPr>
      </w:pPr>
    </w:p>
    <w:p w14:paraId="1E9279F4" w14:textId="77777777" w:rsidR="00153411" w:rsidRPr="00D045B3" w:rsidRDefault="00153411" w:rsidP="00153411">
      <w:pPr>
        <w:pStyle w:val="NoSpacing1"/>
        <w:jc w:val="center"/>
        <w:rPr>
          <w:rFonts w:cs="Times New Roman"/>
          <w:b/>
          <w:bCs/>
          <w:lang w:val="hu-HU"/>
        </w:rPr>
      </w:pPr>
    </w:p>
    <w:p w14:paraId="1E9279F5" w14:textId="77777777" w:rsidR="00153411" w:rsidRPr="00D045B3" w:rsidRDefault="00153411" w:rsidP="00153411">
      <w:pPr>
        <w:pStyle w:val="NoSpacing1"/>
        <w:jc w:val="center"/>
        <w:rPr>
          <w:rFonts w:cs="Times New Roman"/>
          <w:b/>
          <w:bCs/>
          <w:lang w:val="hu-HU"/>
        </w:rPr>
      </w:pPr>
    </w:p>
    <w:p w14:paraId="1E9279F6" w14:textId="77777777" w:rsidR="00153411" w:rsidRPr="00D045B3" w:rsidRDefault="00153411" w:rsidP="00153411">
      <w:pPr>
        <w:pStyle w:val="NoSpacing1"/>
        <w:jc w:val="center"/>
        <w:rPr>
          <w:rFonts w:cs="Times New Roman"/>
          <w:b/>
          <w:bCs/>
          <w:lang w:val="hu-HU"/>
        </w:rPr>
      </w:pPr>
    </w:p>
    <w:p w14:paraId="1E9279F7" w14:textId="77777777" w:rsidR="00153411" w:rsidRPr="00D045B3" w:rsidRDefault="00153411" w:rsidP="00153411">
      <w:pPr>
        <w:pStyle w:val="NoSpacing1"/>
        <w:jc w:val="center"/>
        <w:rPr>
          <w:rFonts w:cs="Times New Roman"/>
          <w:b/>
          <w:bCs/>
          <w:lang w:val="hu-HU"/>
        </w:rPr>
      </w:pPr>
    </w:p>
    <w:p w14:paraId="1E9279F8" w14:textId="77777777" w:rsidR="00153411" w:rsidRPr="00D045B3" w:rsidRDefault="00153411" w:rsidP="00153411">
      <w:pPr>
        <w:pStyle w:val="NoSpacing1"/>
        <w:jc w:val="center"/>
        <w:rPr>
          <w:rFonts w:cs="Times New Roman"/>
          <w:b/>
          <w:bCs/>
          <w:lang w:val="hu-HU"/>
        </w:rPr>
      </w:pPr>
    </w:p>
    <w:p w14:paraId="1E9279F9" w14:textId="77777777" w:rsidR="00153411" w:rsidRPr="00D045B3" w:rsidRDefault="00153411" w:rsidP="00153411">
      <w:pPr>
        <w:pStyle w:val="NoSpacing1"/>
        <w:jc w:val="center"/>
        <w:rPr>
          <w:rFonts w:cs="Times New Roman"/>
          <w:b/>
          <w:bCs/>
          <w:lang w:val="hu-HU"/>
        </w:rPr>
      </w:pPr>
    </w:p>
    <w:p w14:paraId="1E9279FA" w14:textId="77777777" w:rsidR="00153411" w:rsidRPr="00D045B3" w:rsidRDefault="00153411" w:rsidP="00153411">
      <w:pPr>
        <w:pStyle w:val="NoSpacing1"/>
        <w:jc w:val="center"/>
        <w:rPr>
          <w:rFonts w:cs="Times New Roman"/>
          <w:b/>
          <w:bCs/>
          <w:lang w:val="hu-HU"/>
        </w:rPr>
      </w:pPr>
    </w:p>
    <w:p w14:paraId="1E9279FB" w14:textId="77777777" w:rsidR="00153411" w:rsidRPr="00D045B3" w:rsidRDefault="00153411" w:rsidP="00153411">
      <w:pPr>
        <w:pStyle w:val="NoSpacing1"/>
        <w:jc w:val="center"/>
        <w:rPr>
          <w:rFonts w:cs="Times New Roman"/>
          <w:b/>
          <w:bCs/>
          <w:lang w:val="hu-HU"/>
        </w:rPr>
      </w:pPr>
    </w:p>
    <w:p w14:paraId="1E9279FC" w14:textId="77777777" w:rsidR="00153411" w:rsidRPr="00D045B3" w:rsidRDefault="00153411" w:rsidP="00153411">
      <w:pPr>
        <w:pStyle w:val="NoSpacing1"/>
        <w:jc w:val="center"/>
        <w:rPr>
          <w:rFonts w:cs="Times New Roman"/>
          <w:b/>
          <w:bCs/>
          <w:lang w:val="hu-HU"/>
        </w:rPr>
      </w:pPr>
    </w:p>
    <w:p w14:paraId="1E9279FD" w14:textId="77777777" w:rsidR="00153411" w:rsidRPr="00D045B3" w:rsidRDefault="00153411" w:rsidP="00153411">
      <w:pPr>
        <w:pStyle w:val="NoSpacing1"/>
        <w:jc w:val="center"/>
        <w:rPr>
          <w:rFonts w:cs="Times New Roman"/>
          <w:b/>
          <w:bCs/>
          <w:lang w:val="hu-HU"/>
        </w:rPr>
      </w:pPr>
    </w:p>
    <w:p w14:paraId="1E9279FE" w14:textId="77777777" w:rsidR="00153411" w:rsidRPr="00D045B3" w:rsidRDefault="00153411" w:rsidP="00153411">
      <w:pPr>
        <w:pStyle w:val="NoSpacing1"/>
        <w:jc w:val="center"/>
        <w:rPr>
          <w:rFonts w:cs="Times New Roman"/>
          <w:b/>
          <w:bCs/>
          <w:lang w:val="hu-HU"/>
        </w:rPr>
      </w:pPr>
    </w:p>
    <w:p w14:paraId="1E9279FF" w14:textId="77777777" w:rsidR="00153411" w:rsidRPr="00D045B3" w:rsidRDefault="00153411" w:rsidP="00153411">
      <w:pPr>
        <w:pStyle w:val="NoSpacing1"/>
        <w:jc w:val="center"/>
        <w:rPr>
          <w:rFonts w:cs="Times New Roman"/>
          <w:b/>
          <w:bCs/>
          <w:lang w:val="hu-HU"/>
        </w:rPr>
      </w:pPr>
    </w:p>
    <w:p w14:paraId="1E927A00" w14:textId="77777777" w:rsidR="00153411" w:rsidRPr="00D045B3" w:rsidRDefault="00153411" w:rsidP="00153411">
      <w:pPr>
        <w:pStyle w:val="NoSpacing1"/>
        <w:jc w:val="center"/>
        <w:rPr>
          <w:rFonts w:cs="Times New Roman"/>
          <w:b/>
          <w:bCs/>
          <w:lang w:val="hu-HU"/>
        </w:rPr>
      </w:pPr>
    </w:p>
    <w:p w14:paraId="1E927A01" w14:textId="77777777" w:rsidR="00153411" w:rsidRPr="00D045B3" w:rsidRDefault="00153411" w:rsidP="00153411">
      <w:pPr>
        <w:pStyle w:val="NoSpacing1"/>
        <w:jc w:val="center"/>
        <w:rPr>
          <w:rFonts w:cs="Times New Roman"/>
          <w:b/>
          <w:bCs/>
          <w:lang w:val="hu-HU"/>
        </w:rPr>
      </w:pPr>
    </w:p>
    <w:p w14:paraId="1E927A02" w14:textId="77777777" w:rsidR="00153411" w:rsidRPr="00D045B3" w:rsidRDefault="00153411" w:rsidP="00153411">
      <w:pPr>
        <w:pStyle w:val="NoSpacing1"/>
        <w:jc w:val="center"/>
        <w:rPr>
          <w:rFonts w:cs="Times New Roman"/>
          <w:b/>
          <w:bCs/>
          <w:lang w:val="hu-HU"/>
        </w:rPr>
      </w:pPr>
    </w:p>
    <w:p w14:paraId="1E927A03" w14:textId="77777777" w:rsidR="00153411" w:rsidRPr="00D045B3" w:rsidRDefault="00153411" w:rsidP="00153411">
      <w:pPr>
        <w:pStyle w:val="NoSpacing1"/>
        <w:jc w:val="center"/>
        <w:rPr>
          <w:rFonts w:cs="Times New Roman"/>
          <w:b/>
          <w:bCs/>
          <w:lang w:val="hu-HU"/>
        </w:rPr>
      </w:pPr>
    </w:p>
    <w:p w14:paraId="1E927A04" w14:textId="77777777" w:rsidR="00153411" w:rsidRPr="00D045B3" w:rsidRDefault="00153411" w:rsidP="00291EEB">
      <w:pPr>
        <w:pStyle w:val="TitleA"/>
      </w:pPr>
      <w:r w:rsidRPr="00D045B3">
        <w:t>CÍMKESZÖVEG</w:t>
      </w:r>
    </w:p>
    <w:p w14:paraId="1E927A05" w14:textId="77777777" w:rsidR="001000D2" w:rsidRPr="00D045B3" w:rsidRDefault="001000D2" w:rsidP="006B783B">
      <w:pPr>
        <w:pStyle w:val="KeinLeerraum"/>
        <w:rPr>
          <w:rFonts w:ascii="Times New Roman" w:hAnsi="Times New Roman"/>
        </w:rPr>
      </w:pPr>
    </w:p>
    <w:p w14:paraId="1E927A06" w14:textId="77777777" w:rsidR="00153411" w:rsidRPr="00D045B3" w:rsidRDefault="00153411" w:rsidP="006B783B">
      <w:pPr>
        <w:pStyle w:val="KeinLeerraum"/>
        <w:rPr>
          <w:rFonts w:ascii="Times New Roman" w:hAnsi="Times New Roman"/>
        </w:rPr>
      </w:pPr>
    </w:p>
    <w:p w14:paraId="1E927A07" w14:textId="77777777" w:rsidR="00153411" w:rsidRPr="00D045B3" w:rsidRDefault="00153411" w:rsidP="00153411">
      <w:pPr>
        <w:spacing w:line="240" w:lineRule="auto"/>
        <w:rPr>
          <w:color w:val="000000"/>
          <w:lang w:val="hu-HU"/>
        </w:rPr>
      </w:pPr>
      <w:r w:rsidRPr="00D045B3">
        <w:rPr>
          <w:lang w:val="hu-HU"/>
        </w:rPr>
        <w:br w:type="page"/>
      </w:r>
    </w:p>
    <w:p w14:paraId="1E927A08" w14:textId="77777777" w:rsidR="00153411" w:rsidRPr="00D045B3" w:rsidRDefault="00153411" w:rsidP="00153411">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KÜLSŐ CSOMAGOLÁSON FELTÜNTETENDŐ ADATOK</w:t>
      </w:r>
    </w:p>
    <w:p w14:paraId="1E927A09" w14:textId="77777777" w:rsidR="00153411" w:rsidRPr="00D045B3" w:rsidRDefault="00153411" w:rsidP="00153411">
      <w:pPr>
        <w:pBdr>
          <w:top w:val="single" w:sz="4" w:space="1" w:color="auto"/>
          <w:left w:val="single" w:sz="4" w:space="4" w:color="auto"/>
          <w:bottom w:val="single" w:sz="4" w:space="1" w:color="auto"/>
          <w:right w:val="single" w:sz="4" w:space="4" w:color="auto"/>
        </w:pBdr>
        <w:spacing w:line="240" w:lineRule="auto"/>
        <w:rPr>
          <w:b/>
          <w:color w:val="000000"/>
          <w:lang w:val="hu-HU"/>
        </w:rPr>
      </w:pPr>
    </w:p>
    <w:p w14:paraId="1E927A0A" w14:textId="77777777" w:rsidR="00153411" w:rsidRPr="00D045B3" w:rsidRDefault="00153411" w:rsidP="00153411">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DOBOZ</w:t>
      </w:r>
    </w:p>
    <w:p w14:paraId="1E927A0B" w14:textId="77777777" w:rsidR="00153411" w:rsidRPr="00D045B3" w:rsidRDefault="00153411" w:rsidP="00153411">
      <w:pPr>
        <w:spacing w:line="240" w:lineRule="auto"/>
        <w:rPr>
          <w:b/>
          <w:color w:val="000000"/>
          <w:lang w:val="hu-HU"/>
        </w:rPr>
      </w:pPr>
    </w:p>
    <w:p w14:paraId="1E927A0C" w14:textId="77777777" w:rsidR="00153411" w:rsidRPr="00D045B3" w:rsidRDefault="00153411" w:rsidP="00153411">
      <w:pPr>
        <w:spacing w:line="240" w:lineRule="auto"/>
        <w:rPr>
          <w:color w:val="000000"/>
          <w:lang w:val="hu-HU"/>
        </w:rPr>
      </w:pPr>
    </w:p>
    <w:p w14:paraId="1E927A0D"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A0E" w14:textId="77777777" w:rsidR="00153411" w:rsidRPr="00D045B3" w:rsidRDefault="00153411" w:rsidP="00153411">
      <w:pPr>
        <w:spacing w:line="240" w:lineRule="auto"/>
        <w:rPr>
          <w:color w:val="000000"/>
          <w:lang w:val="hu-HU"/>
        </w:rPr>
      </w:pPr>
    </w:p>
    <w:p w14:paraId="1E927A0F" w14:textId="77777777" w:rsidR="00153411" w:rsidRPr="00D045B3" w:rsidRDefault="00974741" w:rsidP="00153411">
      <w:pPr>
        <w:spacing w:line="240" w:lineRule="auto"/>
        <w:rPr>
          <w:color w:val="000000"/>
          <w:lang w:val="hu-HU"/>
        </w:rPr>
      </w:pPr>
      <w:r w:rsidRPr="00D045B3">
        <w:rPr>
          <w:lang w:val="hu-HU"/>
        </w:rPr>
        <w:t xml:space="preserve">Imatinib Actavis </w:t>
      </w:r>
      <w:r w:rsidR="00153411" w:rsidRPr="00D045B3">
        <w:rPr>
          <w:color w:val="000000"/>
          <w:lang w:val="hu-HU"/>
        </w:rPr>
        <w:t>50 mg kemény kapszula</w:t>
      </w:r>
    </w:p>
    <w:p w14:paraId="1E927A10" w14:textId="77777777" w:rsidR="00153411" w:rsidRPr="00D045B3" w:rsidRDefault="00FA3B29" w:rsidP="00153411">
      <w:pPr>
        <w:spacing w:line="240" w:lineRule="auto"/>
        <w:rPr>
          <w:color w:val="000000"/>
          <w:lang w:val="hu-HU"/>
        </w:rPr>
      </w:pPr>
      <w:r w:rsidRPr="00D045B3">
        <w:rPr>
          <w:color w:val="000000"/>
          <w:lang w:val="hu-HU"/>
        </w:rPr>
        <w:t>i</w:t>
      </w:r>
      <w:r w:rsidR="00153411" w:rsidRPr="00D045B3">
        <w:rPr>
          <w:color w:val="000000"/>
          <w:lang w:val="hu-HU"/>
        </w:rPr>
        <w:t>matinib</w:t>
      </w:r>
    </w:p>
    <w:p w14:paraId="1E927A11" w14:textId="77777777" w:rsidR="00153411" w:rsidRPr="00D045B3" w:rsidRDefault="00153411" w:rsidP="00153411">
      <w:pPr>
        <w:spacing w:line="240" w:lineRule="auto"/>
        <w:rPr>
          <w:color w:val="000000"/>
          <w:lang w:val="hu-HU"/>
        </w:rPr>
      </w:pPr>
    </w:p>
    <w:p w14:paraId="1E927A12" w14:textId="77777777" w:rsidR="00153411" w:rsidRPr="00D045B3" w:rsidRDefault="00153411" w:rsidP="00153411">
      <w:pPr>
        <w:spacing w:line="240" w:lineRule="auto"/>
        <w:rPr>
          <w:color w:val="000000"/>
          <w:lang w:val="hu-HU"/>
        </w:rPr>
      </w:pPr>
    </w:p>
    <w:p w14:paraId="1E927A13"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HATÓANYAG(OK) MEGNEVEZÉSE</w:t>
      </w:r>
    </w:p>
    <w:p w14:paraId="1E927A14" w14:textId="77777777" w:rsidR="00153411" w:rsidRPr="00D045B3" w:rsidRDefault="00153411" w:rsidP="00153411">
      <w:pPr>
        <w:spacing w:line="240" w:lineRule="auto"/>
        <w:rPr>
          <w:color w:val="000000"/>
          <w:lang w:val="hu-HU"/>
        </w:rPr>
      </w:pPr>
    </w:p>
    <w:p w14:paraId="1E927A15" w14:textId="77777777" w:rsidR="00974741" w:rsidRPr="00D045B3" w:rsidRDefault="00974741" w:rsidP="00974741">
      <w:pPr>
        <w:spacing w:line="240" w:lineRule="auto"/>
        <w:rPr>
          <w:color w:val="000000"/>
          <w:lang w:val="hu-HU"/>
        </w:rPr>
      </w:pPr>
      <w:r w:rsidRPr="00D045B3">
        <w:rPr>
          <w:color w:val="000000"/>
          <w:lang w:val="hu-HU"/>
        </w:rPr>
        <w:t xml:space="preserve">50 mg imatinib (mezilát formájában) </w:t>
      </w:r>
      <w:r w:rsidR="00725458" w:rsidRPr="00D045B3">
        <w:rPr>
          <w:color w:val="000000"/>
          <w:lang w:val="hu-HU"/>
        </w:rPr>
        <w:t xml:space="preserve">kemény </w:t>
      </w:r>
      <w:r w:rsidRPr="00D045B3">
        <w:rPr>
          <w:color w:val="000000"/>
          <w:lang w:val="hu-HU"/>
        </w:rPr>
        <w:t>kapszulánként.</w:t>
      </w:r>
    </w:p>
    <w:p w14:paraId="1E927A16" w14:textId="77777777" w:rsidR="00153411" w:rsidRPr="00D045B3" w:rsidRDefault="00153411" w:rsidP="00153411">
      <w:pPr>
        <w:spacing w:line="240" w:lineRule="auto"/>
        <w:rPr>
          <w:color w:val="000000"/>
          <w:lang w:val="hu-HU"/>
        </w:rPr>
      </w:pPr>
    </w:p>
    <w:p w14:paraId="1E927A17" w14:textId="77777777" w:rsidR="00153411" w:rsidRPr="00D045B3" w:rsidRDefault="00153411" w:rsidP="00153411">
      <w:pPr>
        <w:spacing w:line="240" w:lineRule="auto"/>
        <w:rPr>
          <w:color w:val="000000"/>
          <w:lang w:val="hu-HU"/>
        </w:rPr>
      </w:pPr>
    </w:p>
    <w:p w14:paraId="1E927A18"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SEGÉDANYAGOK FELSOROLÁSA</w:t>
      </w:r>
    </w:p>
    <w:p w14:paraId="1E927A19" w14:textId="77777777" w:rsidR="00153411" w:rsidRPr="00D045B3" w:rsidRDefault="00153411" w:rsidP="00153411">
      <w:pPr>
        <w:spacing w:line="240" w:lineRule="auto"/>
        <w:rPr>
          <w:color w:val="000000"/>
          <w:lang w:val="hu-HU"/>
        </w:rPr>
      </w:pPr>
    </w:p>
    <w:p w14:paraId="1E927A1A" w14:textId="77777777" w:rsidR="00153411" w:rsidRPr="00D045B3" w:rsidRDefault="00153411" w:rsidP="00153411">
      <w:pPr>
        <w:spacing w:line="240" w:lineRule="auto"/>
        <w:rPr>
          <w:color w:val="000000"/>
          <w:lang w:val="hu-HU"/>
        </w:rPr>
      </w:pPr>
    </w:p>
    <w:p w14:paraId="1E927A1B"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GYÓGYSZERFORMA ÉS TARTALOM</w:t>
      </w:r>
    </w:p>
    <w:p w14:paraId="1E927A1C" w14:textId="77777777" w:rsidR="00153411" w:rsidRPr="00D045B3" w:rsidRDefault="00153411" w:rsidP="00153411">
      <w:pPr>
        <w:spacing w:line="240" w:lineRule="auto"/>
        <w:rPr>
          <w:color w:val="000000"/>
          <w:lang w:val="hu-HU"/>
        </w:rPr>
      </w:pPr>
    </w:p>
    <w:p w14:paraId="1E927A1D" w14:textId="77777777" w:rsidR="00153411" w:rsidRPr="00D045B3" w:rsidRDefault="00153411" w:rsidP="00153411">
      <w:pPr>
        <w:spacing w:line="240" w:lineRule="auto"/>
        <w:rPr>
          <w:color w:val="000000"/>
          <w:lang w:val="hu-HU"/>
        </w:rPr>
      </w:pPr>
      <w:r w:rsidRPr="00D045B3">
        <w:rPr>
          <w:color w:val="000000"/>
          <w:lang w:val="hu-HU"/>
        </w:rPr>
        <w:t xml:space="preserve">30 db </w:t>
      </w:r>
      <w:r w:rsidR="00725458" w:rsidRPr="00D045B3">
        <w:rPr>
          <w:color w:val="000000"/>
          <w:lang w:val="hu-HU"/>
        </w:rPr>
        <w:t xml:space="preserve">kemény </w:t>
      </w:r>
      <w:r w:rsidRPr="00D045B3">
        <w:rPr>
          <w:color w:val="000000"/>
          <w:lang w:val="hu-HU"/>
        </w:rPr>
        <w:t>kapszula</w:t>
      </w:r>
    </w:p>
    <w:p w14:paraId="1E927A1E" w14:textId="77777777" w:rsidR="00974741" w:rsidRPr="00D045B3" w:rsidRDefault="00974741" w:rsidP="00974741">
      <w:pPr>
        <w:spacing w:line="240" w:lineRule="auto"/>
        <w:rPr>
          <w:color w:val="000000"/>
          <w:lang w:val="hu-HU"/>
        </w:rPr>
      </w:pPr>
      <w:r w:rsidRPr="00D045B3">
        <w:rPr>
          <w:color w:val="000000"/>
          <w:highlight w:val="lightGray"/>
          <w:lang w:val="hu-HU"/>
        </w:rPr>
        <w:t xml:space="preserve">90 db </w:t>
      </w:r>
      <w:r w:rsidR="00725458" w:rsidRPr="00D045B3">
        <w:rPr>
          <w:color w:val="000000"/>
          <w:highlight w:val="lightGray"/>
          <w:lang w:val="hu-HU"/>
        </w:rPr>
        <w:t xml:space="preserve">kemény </w:t>
      </w:r>
      <w:r w:rsidRPr="00D045B3">
        <w:rPr>
          <w:color w:val="000000"/>
          <w:highlight w:val="lightGray"/>
          <w:lang w:val="hu-HU"/>
        </w:rPr>
        <w:t>kapszula</w:t>
      </w:r>
    </w:p>
    <w:p w14:paraId="1E927A1F" w14:textId="77777777" w:rsidR="00974741" w:rsidRPr="00D045B3" w:rsidRDefault="00974741" w:rsidP="00153411">
      <w:pPr>
        <w:spacing w:line="240" w:lineRule="auto"/>
        <w:rPr>
          <w:color w:val="000000"/>
          <w:lang w:val="hu-HU"/>
        </w:rPr>
      </w:pPr>
    </w:p>
    <w:p w14:paraId="1E927A20" w14:textId="77777777" w:rsidR="00153411" w:rsidRPr="00D045B3" w:rsidRDefault="00153411" w:rsidP="00153411">
      <w:pPr>
        <w:spacing w:line="240" w:lineRule="auto"/>
        <w:rPr>
          <w:color w:val="000000"/>
          <w:lang w:val="hu-HU"/>
        </w:rPr>
      </w:pPr>
    </w:p>
    <w:p w14:paraId="1E927A21"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5.</w:t>
      </w:r>
      <w:r w:rsidRPr="00D045B3">
        <w:rPr>
          <w:b/>
          <w:color w:val="000000"/>
          <w:lang w:val="hu-HU"/>
        </w:rPr>
        <w:tab/>
        <w:t>AZ ALKALMAZÁSSAL KAPCSOLATOS TUDNIVALÓK ÉS AZ ALKALMAZÁS MÓDJA(I)</w:t>
      </w:r>
    </w:p>
    <w:p w14:paraId="1E927A22" w14:textId="77777777" w:rsidR="00153411" w:rsidRPr="00D045B3" w:rsidRDefault="00153411" w:rsidP="00153411">
      <w:pPr>
        <w:spacing w:line="240" w:lineRule="auto"/>
        <w:rPr>
          <w:color w:val="000000"/>
          <w:lang w:val="hu-HU"/>
        </w:rPr>
      </w:pPr>
    </w:p>
    <w:p w14:paraId="1E927A23" w14:textId="77777777" w:rsidR="00974741" w:rsidRPr="00D045B3" w:rsidRDefault="00974741" w:rsidP="00153411">
      <w:pPr>
        <w:rPr>
          <w:color w:val="000000"/>
          <w:lang w:val="hu-HU"/>
        </w:rPr>
      </w:pPr>
      <w:r w:rsidRPr="00D045B3">
        <w:rPr>
          <w:color w:val="000000"/>
          <w:lang w:val="hu-HU"/>
        </w:rPr>
        <w:t>Szájon át történő</w:t>
      </w:r>
      <w:r w:rsidR="00153411" w:rsidRPr="00D045B3">
        <w:rPr>
          <w:color w:val="000000"/>
          <w:lang w:val="hu-HU"/>
        </w:rPr>
        <w:t xml:space="preserve"> alkalmazás</w:t>
      </w:r>
      <w:r w:rsidRPr="00D045B3">
        <w:rPr>
          <w:color w:val="000000"/>
          <w:lang w:val="hu-HU"/>
        </w:rPr>
        <w:t>ra</w:t>
      </w:r>
      <w:r w:rsidR="00153411" w:rsidRPr="00D045B3">
        <w:rPr>
          <w:color w:val="000000"/>
          <w:lang w:val="hu-HU"/>
        </w:rPr>
        <w:t xml:space="preserve">. </w:t>
      </w:r>
    </w:p>
    <w:p w14:paraId="1E927A24" w14:textId="77777777" w:rsidR="00153411" w:rsidRPr="00D045B3" w:rsidRDefault="00153411" w:rsidP="00153411">
      <w:pPr>
        <w:rPr>
          <w:color w:val="000000"/>
          <w:lang w:val="hu-HU"/>
        </w:rPr>
      </w:pPr>
      <w:r w:rsidRPr="00D045B3">
        <w:rPr>
          <w:color w:val="000000"/>
          <w:lang w:val="hu-HU"/>
        </w:rPr>
        <w:t>Használat előtt olvassa el a mellékelt betegtájékoztatót!</w:t>
      </w:r>
    </w:p>
    <w:p w14:paraId="1E927A25" w14:textId="77777777" w:rsidR="00153411" w:rsidRPr="00D045B3" w:rsidRDefault="00153411" w:rsidP="00153411">
      <w:pPr>
        <w:spacing w:line="240" w:lineRule="auto"/>
        <w:rPr>
          <w:color w:val="000000"/>
          <w:lang w:val="hu-HU"/>
        </w:rPr>
      </w:pPr>
    </w:p>
    <w:p w14:paraId="1E927A26" w14:textId="77777777" w:rsidR="00153411" w:rsidRPr="00D045B3" w:rsidRDefault="00153411" w:rsidP="00153411">
      <w:pPr>
        <w:spacing w:line="240" w:lineRule="auto"/>
        <w:rPr>
          <w:color w:val="000000"/>
          <w:lang w:val="hu-HU"/>
        </w:rPr>
      </w:pPr>
    </w:p>
    <w:p w14:paraId="1E927A27"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6.</w:t>
      </w:r>
      <w:r w:rsidRPr="00D045B3">
        <w:rPr>
          <w:b/>
          <w:color w:val="000000"/>
          <w:lang w:val="hu-HU"/>
        </w:rPr>
        <w:tab/>
        <w:t xml:space="preserve">KÜLÖN FIGYELMEZTETÉS, MELY SZERINT A GYÓGYSZERT GYERMEKEKTŐL ELZÁRVA </w:t>
      </w:r>
      <w:smartTag w:uri="urn:schemas-microsoft-com:office:smarttags" w:element="stockticker">
        <w:r w:rsidRPr="00D045B3">
          <w:rPr>
            <w:b/>
            <w:color w:val="000000"/>
            <w:lang w:val="hu-HU"/>
          </w:rPr>
          <w:t>KELL</w:t>
        </w:r>
      </w:smartTag>
      <w:r w:rsidRPr="00D045B3">
        <w:rPr>
          <w:b/>
          <w:color w:val="000000"/>
          <w:lang w:val="hu-HU"/>
        </w:rPr>
        <w:t xml:space="preserve"> TARTANI</w:t>
      </w:r>
    </w:p>
    <w:p w14:paraId="1E927A28" w14:textId="77777777" w:rsidR="00153411" w:rsidRPr="00D045B3" w:rsidRDefault="00153411" w:rsidP="00153411">
      <w:pPr>
        <w:spacing w:line="240" w:lineRule="auto"/>
        <w:rPr>
          <w:color w:val="000000"/>
          <w:lang w:val="hu-HU"/>
        </w:rPr>
      </w:pPr>
    </w:p>
    <w:p w14:paraId="1E927A29" w14:textId="77777777" w:rsidR="00153411" w:rsidRPr="00D045B3" w:rsidRDefault="00153411" w:rsidP="00153411">
      <w:pPr>
        <w:spacing w:line="240" w:lineRule="auto"/>
        <w:rPr>
          <w:color w:val="000000"/>
          <w:lang w:val="hu-HU"/>
        </w:rPr>
      </w:pPr>
      <w:r w:rsidRPr="00D045B3">
        <w:rPr>
          <w:color w:val="000000"/>
          <w:lang w:val="hu-HU"/>
        </w:rPr>
        <w:t>A gyógyszer gyermekektől elzárva tartandó!</w:t>
      </w:r>
    </w:p>
    <w:p w14:paraId="1E927A2A" w14:textId="77777777" w:rsidR="00153411" w:rsidRPr="00D045B3" w:rsidRDefault="00153411" w:rsidP="00153411">
      <w:pPr>
        <w:spacing w:line="240" w:lineRule="auto"/>
        <w:rPr>
          <w:color w:val="000000"/>
          <w:lang w:val="hu-HU"/>
        </w:rPr>
      </w:pPr>
    </w:p>
    <w:p w14:paraId="1E927A2B" w14:textId="77777777" w:rsidR="00153411" w:rsidRPr="00D045B3" w:rsidRDefault="00153411" w:rsidP="00153411">
      <w:pPr>
        <w:spacing w:line="240" w:lineRule="auto"/>
        <w:rPr>
          <w:color w:val="000000"/>
          <w:lang w:val="hu-HU"/>
        </w:rPr>
      </w:pPr>
    </w:p>
    <w:p w14:paraId="1E927A2C"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7.</w:t>
      </w:r>
      <w:r w:rsidRPr="00D045B3">
        <w:rPr>
          <w:b/>
          <w:color w:val="000000"/>
          <w:lang w:val="hu-HU"/>
        </w:rPr>
        <w:tab/>
        <w:t>TOVÁBBI FIGYELMEZTETÉS(EK), AMENNYIBEN SZÜKSÉGES</w:t>
      </w:r>
    </w:p>
    <w:p w14:paraId="1E927A2D" w14:textId="77777777" w:rsidR="00153411" w:rsidRPr="00D045B3" w:rsidRDefault="00153411" w:rsidP="00153411">
      <w:pPr>
        <w:spacing w:line="240" w:lineRule="auto"/>
        <w:rPr>
          <w:color w:val="000000"/>
          <w:lang w:val="hu-HU"/>
        </w:rPr>
      </w:pPr>
    </w:p>
    <w:p w14:paraId="1E927A2E" w14:textId="77777777" w:rsidR="00153411" w:rsidRPr="00D045B3" w:rsidRDefault="00153411" w:rsidP="00153411">
      <w:pPr>
        <w:spacing w:line="240" w:lineRule="auto"/>
        <w:rPr>
          <w:color w:val="000000"/>
          <w:lang w:val="hu-HU"/>
        </w:rPr>
      </w:pPr>
      <w:r w:rsidRPr="00D045B3">
        <w:rPr>
          <w:color w:val="000000"/>
          <w:lang w:val="hu-HU"/>
        </w:rPr>
        <w:t>Adagolása kizárólag az orvos utasításai szerint.</w:t>
      </w:r>
    </w:p>
    <w:p w14:paraId="1E927A2F" w14:textId="77777777" w:rsidR="00153411" w:rsidRPr="00D045B3" w:rsidRDefault="00153411" w:rsidP="00153411">
      <w:pPr>
        <w:spacing w:line="240" w:lineRule="auto"/>
        <w:rPr>
          <w:color w:val="000000"/>
          <w:lang w:val="hu-HU"/>
        </w:rPr>
      </w:pPr>
    </w:p>
    <w:p w14:paraId="1E927A30" w14:textId="77777777" w:rsidR="00153411" w:rsidRPr="00D045B3" w:rsidRDefault="00153411" w:rsidP="00153411">
      <w:pPr>
        <w:spacing w:line="240" w:lineRule="auto"/>
        <w:rPr>
          <w:color w:val="000000"/>
          <w:lang w:val="hu-HU"/>
        </w:rPr>
      </w:pPr>
    </w:p>
    <w:p w14:paraId="1E927A31"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8.</w:t>
      </w:r>
      <w:r w:rsidRPr="00D045B3">
        <w:rPr>
          <w:b/>
          <w:color w:val="000000"/>
          <w:lang w:val="hu-HU"/>
        </w:rPr>
        <w:tab/>
        <w:t>LEJÁRATI IDŐ</w:t>
      </w:r>
    </w:p>
    <w:p w14:paraId="1E927A32" w14:textId="77777777" w:rsidR="00153411" w:rsidRPr="00D045B3" w:rsidRDefault="00153411" w:rsidP="00153411">
      <w:pPr>
        <w:spacing w:line="240" w:lineRule="auto"/>
        <w:rPr>
          <w:color w:val="000000"/>
          <w:lang w:val="hu-HU"/>
        </w:rPr>
      </w:pPr>
    </w:p>
    <w:p w14:paraId="1E927A33" w14:textId="39AF280A" w:rsidR="00153411" w:rsidRPr="00D045B3" w:rsidRDefault="0066580E" w:rsidP="00153411">
      <w:pPr>
        <w:spacing w:line="240" w:lineRule="auto"/>
        <w:rPr>
          <w:color w:val="000000"/>
          <w:lang w:val="hu-HU"/>
        </w:rPr>
      </w:pPr>
      <w:r w:rsidRPr="00D045B3">
        <w:rPr>
          <w:color w:val="000000"/>
          <w:lang w:val="hu-HU"/>
        </w:rPr>
        <w:t>EXP</w:t>
      </w:r>
    </w:p>
    <w:p w14:paraId="1E927A34" w14:textId="77777777" w:rsidR="00153411" w:rsidRPr="00D045B3" w:rsidRDefault="00153411" w:rsidP="00153411">
      <w:pPr>
        <w:spacing w:line="240" w:lineRule="auto"/>
        <w:rPr>
          <w:color w:val="000000"/>
          <w:lang w:val="hu-HU"/>
        </w:rPr>
      </w:pPr>
    </w:p>
    <w:p w14:paraId="1E927A35" w14:textId="77777777" w:rsidR="00153411" w:rsidRPr="00D045B3" w:rsidRDefault="00153411" w:rsidP="00153411">
      <w:pPr>
        <w:spacing w:line="240" w:lineRule="auto"/>
        <w:rPr>
          <w:color w:val="000000"/>
          <w:lang w:val="hu-HU"/>
        </w:rPr>
      </w:pPr>
    </w:p>
    <w:p w14:paraId="1E927A36"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9.</w:t>
      </w:r>
      <w:r w:rsidRPr="00D045B3">
        <w:rPr>
          <w:b/>
          <w:color w:val="000000"/>
          <w:lang w:val="hu-HU"/>
        </w:rPr>
        <w:tab/>
        <w:t>KÜLÖNLEGES TÁROLÁSI ELŐÍRÁSOK</w:t>
      </w:r>
    </w:p>
    <w:p w14:paraId="1E927A37" w14:textId="77777777" w:rsidR="00153411" w:rsidRPr="00D045B3" w:rsidRDefault="00153411" w:rsidP="00153411">
      <w:pPr>
        <w:spacing w:line="240" w:lineRule="auto"/>
        <w:rPr>
          <w:color w:val="000000"/>
          <w:lang w:val="hu-HU"/>
        </w:rPr>
      </w:pPr>
    </w:p>
    <w:p w14:paraId="1E927A38" w14:textId="77777777" w:rsidR="00974741" w:rsidRPr="00D045B3" w:rsidRDefault="00153411" w:rsidP="00153411">
      <w:pPr>
        <w:spacing w:line="240" w:lineRule="auto"/>
        <w:rPr>
          <w:color w:val="000000"/>
          <w:lang w:val="hu-HU"/>
        </w:rPr>
      </w:pPr>
      <w:r w:rsidRPr="00D045B3">
        <w:rPr>
          <w:color w:val="000000"/>
          <w:lang w:val="hu-HU"/>
        </w:rPr>
        <w:t xml:space="preserve">Legfeljebb </w:t>
      </w:r>
      <w:r w:rsidR="004A5808" w:rsidRPr="00D045B3">
        <w:rPr>
          <w:color w:val="000000"/>
          <w:lang w:val="hu-HU"/>
        </w:rPr>
        <w:t>25</w:t>
      </w:r>
      <w:r w:rsidRPr="00D045B3">
        <w:rPr>
          <w:color w:val="000000"/>
          <w:lang w:val="hu-HU"/>
        </w:rPr>
        <w:sym w:font="Symbol" w:char="F0B0"/>
      </w:r>
      <w:r w:rsidRPr="00D045B3">
        <w:rPr>
          <w:color w:val="000000"/>
          <w:lang w:val="hu-HU"/>
        </w:rPr>
        <w:t>C</w:t>
      </w:r>
      <w:r w:rsidRPr="00D045B3">
        <w:rPr>
          <w:color w:val="000000"/>
          <w:lang w:val="hu-HU"/>
        </w:rPr>
        <w:noBreakHyphen/>
        <w:t xml:space="preserve">on tárolandó. </w:t>
      </w:r>
    </w:p>
    <w:p w14:paraId="1E927A39" w14:textId="77777777" w:rsidR="00153411" w:rsidRPr="00D045B3" w:rsidRDefault="00153411" w:rsidP="00153411">
      <w:pPr>
        <w:spacing w:line="240" w:lineRule="auto"/>
        <w:rPr>
          <w:color w:val="000000"/>
          <w:lang w:val="hu-HU"/>
        </w:rPr>
      </w:pPr>
      <w:r w:rsidRPr="00D045B3">
        <w:rPr>
          <w:color w:val="000000"/>
          <w:lang w:val="hu-HU"/>
        </w:rPr>
        <w:t>A nedvességtől való védelem érdekében az eredeti csomagolásban tárolandó.</w:t>
      </w:r>
    </w:p>
    <w:p w14:paraId="1E927A3A" w14:textId="77777777" w:rsidR="00153411" w:rsidRPr="00D045B3" w:rsidRDefault="00153411" w:rsidP="00153411">
      <w:pPr>
        <w:spacing w:line="240" w:lineRule="auto"/>
        <w:rPr>
          <w:color w:val="000000"/>
          <w:lang w:val="hu-HU"/>
        </w:rPr>
      </w:pPr>
    </w:p>
    <w:p w14:paraId="1E927A3B" w14:textId="77777777" w:rsidR="00153411" w:rsidRPr="00D045B3" w:rsidRDefault="00153411" w:rsidP="00153411">
      <w:pPr>
        <w:spacing w:line="240" w:lineRule="auto"/>
        <w:rPr>
          <w:color w:val="000000"/>
          <w:lang w:val="hu-HU"/>
        </w:rPr>
      </w:pPr>
    </w:p>
    <w:p w14:paraId="1E927A3C"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10.</w:t>
      </w:r>
      <w:r w:rsidRPr="00D045B3">
        <w:rPr>
          <w:b/>
          <w:color w:val="000000"/>
          <w:lang w:val="hu-HU"/>
        </w:rPr>
        <w:tab/>
        <w:t xml:space="preserve">KÜLÖNLEGES ÓVINTÉZKEDÉSEK A FEL </w:t>
      </w:r>
      <w:smartTag w:uri="urn:schemas-microsoft-com:office:smarttags" w:element="stockticker">
        <w:r w:rsidRPr="00D045B3">
          <w:rPr>
            <w:b/>
            <w:color w:val="000000"/>
            <w:lang w:val="hu-HU"/>
          </w:rPr>
          <w:t>NEM</w:t>
        </w:r>
      </w:smartTag>
      <w:r w:rsidRPr="00D045B3">
        <w:rPr>
          <w:b/>
          <w:color w:val="000000"/>
          <w:lang w:val="hu-HU"/>
        </w:rPr>
        <w:t xml:space="preserve"> HASZNÁLT GYÓGYSZEREK VAGY AZ ILYEN TERMÉKEKBŐL KELETKEZETT HULLADÉKANYAGOK ÁRTALMATLANNÁ TÉTELÉRE, HA ILYENEKRE SZÜKSÉG VAN</w:t>
      </w:r>
    </w:p>
    <w:p w14:paraId="1E927A3D" w14:textId="77777777" w:rsidR="00153411" w:rsidRPr="00D045B3" w:rsidRDefault="00153411" w:rsidP="00153411">
      <w:pPr>
        <w:spacing w:line="240" w:lineRule="auto"/>
        <w:rPr>
          <w:color w:val="000000"/>
          <w:lang w:val="hu-HU"/>
        </w:rPr>
      </w:pPr>
    </w:p>
    <w:p w14:paraId="1E927A3E" w14:textId="77777777" w:rsidR="00974741" w:rsidRPr="00D045B3" w:rsidRDefault="00974741" w:rsidP="00153411">
      <w:pPr>
        <w:spacing w:line="240" w:lineRule="auto"/>
        <w:rPr>
          <w:color w:val="000000"/>
          <w:lang w:val="hu-HU"/>
        </w:rPr>
      </w:pPr>
    </w:p>
    <w:p w14:paraId="1E927A3F"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11.</w:t>
      </w:r>
      <w:r w:rsidRPr="00D045B3">
        <w:rPr>
          <w:b/>
          <w:color w:val="000000"/>
          <w:lang w:val="hu-HU"/>
        </w:rPr>
        <w:tab/>
        <w:t>A FORGALOMBA HOZATALI ENGEDÉLY JOGOSULTJÁNAK NEVE ÉS CÍME</w:t>
      </w:r>
    </w:p>
    <w:p w14:paraId="1E927A40" w14:textId="77777777" w:rsidR="00153411" w:rsidRPr="00D045B3" w:rsidRDefault="00153411" w:rsidP="00153411">
      <w:pPr>
        <w:spacing w:line="240" w:lineRule="auto"/>
        <w:rPr>
          <w:color w:val="000000"/>
          <w:lang w:val="hu-HU"/>
        </w:rPr>
      </w:pPr>
    </w:p>
    <w:p w14:paraId="1E927A41" w14:textId="77777777" w:rsidR="00974741" w:rsidRPr="00D045B3" w:rsidRDefault="00974741" w:rsidP="00974741">
      <w:pPr>
        <w:autoSpaceDE w:val="0"/>
        <w:autoSpaceDN w:val="0"/>
        <w:adjustRightInd w:val="0"/>
        <w:spacing w:line="240" w:lineRule="auto"/>
        <w:rPr>
          <w:lang w:val="hu-HU"/>
        </w:rPr>
      </w:pPr>
      <w:r w:rsidRPr="00D045B3">
        <w:rPr>
          <w:lang w:val="hu-HU"/>
        </w:rPr>
        <w:t>Actavis Group PTC ehf.</w:t>
      </w:r>
    </w:p>
    <w:p w14:paraId="1E927A42" w14:textId="77777777" w:rsidR="00974741" w:rsidRPr="00D045B3" w:rsidRDefault="001C19C5" w:rsidP="00974741">
      <w:pPr>
        <w:autoSpaceDE w:val="0"/>
        <w:autoSpaceDN w:val="0"/>
        <w:adjustRightInd w:val="0"/>
        <w:spacing w:line="240" w:lineRule="auto"/>
        <w:rPr>
          <w:lang w:val="hu-HU"/>
        </w:rPr>
      </w:pPr>
      <w:r w:rsidRPr="00D045B3">
        <w:rPr>
          <w:lang w:val="hu-HU"/>
        </w:rPr>
        <w:t xml:space="preserve">220 </w:t>
      </w:r>
      <w:r w:rsidR="00974741" w:rsidRPr="00D045B3">
        <w:rPr>
          <w:lang w:val="hu-HU"/>
        </w:rPr>
        <w:t>Hafnarfjörður</w:t>
      </w:r>
    </w:p>
    <w:p w14:paraId="1E927A43" w14:textId="77777777" w:rsidR="00974741" w:rsidRPr="00D045B3" w:rsidRDefault="00974741" w:rsidP="00974741">
      <w:pPr>
        <w:autoSpaceDE w:val="0"/>
        <w:autoSpaceDN w:val="0"/>
        <w:adjustRightInd w:val="0"/>
        <w:spacing w:line="240" w:lineRule="auto"/>
        <w:rPr>
          <w:lang w:val="hu-HU"/>
        </w:rPr>
      </w:pPr>
      <w:r w:rsidRPr="00D045B3">
        <w:rPr>
          <w:lang w:val="hu-HU"/>
        </w:rPr>
        <w:t>Izland</w:t>
      </w:r>
    </w:p>
    <w:p w14:paraId="1E927A44" w14:textId="77777777" w:rsidR="00153411" w:rsidRPr="00D045B3" w:rsidRDefault="00153411" w:rsidP="00153411">
      <w:pPr>
        <w:spacing w:line="240" w:lineRule="auto"/>
        <w:rPr>
          <w:color w:val="000000"/>
          <w:lang w:val="hu-HU"/>
        </w:rPr>
      </w:pPr>
    </w:p>
    <w:p w14:paraId="1E927A45" w14:textId="77777777" w:rsidR="00153411" w:rsidRPr="00D045B3" w:rsidRDefault="00153411" w:rsidP="00153411">
      <w:pPr>
        <w:spacing w:line="240" w:lineRule="auto"/>
        <w:rPr>
          <w:color w:val="000000"/>
          <w:lang w:val="hu-HU"/>
        </w:rPr>
      </w:pPr>
    </w:p>
    <w:p w14:paraId="1E927A46"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12.</w:t>
      </w:r>
      <w:r w:rsidRPr="00D045B3">
        <w:rPr>
          <w:b/>
          <w:color w:val="000000"/>
          <w:lang w:val="hu-HU"/>
        </w:rPr>
        <w:tab/>
        <w:t>A FORGALOMBA HOZATALI ENGEDÉLY SZÁMA(I)</w:t>
      </w:r>
    </w:p>
    <w:p w14:paraId="1E927A47" w14:textId="77777777" w:rsidR="00153411" w:rsidRPr="00D045B3" w:rsidRDefault="00153411" w:rsidP="00153411">
      <w:pPr>
        <w:spacing w:line="240" w:lineRule="auto"/>
        <w:rPr>
          <w:color w:val="000000"/>
          <w:lang w:val="hu-HU"/>
        </w:rPr>
      </w:pPr>
    </w:p>
    <w:p w14:paraId="1E927A48"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rPr>
        <w:t xml:space="preserve">EU/1/13/825/001 </w:t>
      </w:r>
      <w:r w:rsidRPr="00D045B3">
        <w:rPr>
          <w:rFonts w:ascii="Times New Roman" w:hAnsi="Times New Roman"/>
          <w:highlight w:val="lightGray"/>
        </w:rPr>
        <w:t xml:space="preserve">30  </w:t>
      </w:r>
      <w:r w:rsidR="00333F69" w:rsidRPr="00D045B3">
        <w:rPr>
          <w:rFonts w:ascii="Times New Roman" w:hAnsi="Times New Roman"/>
          <w:color w:val="000000"/>
          <w:highlight w:val="lightGray"/>
        </w:rPr>
        <w:t>kapszula</w:t>
      </w:r>
    </w:p>
    <w:p w14:paraId="1E927A49" w14:textId="77777777" w:rsidR="00153411" w:rsidRPr="00D045B3" w:rsidRDefault="009E3F23" w:rsidP="009E3F23">
      <w:pPr>
        <w:spacing w:line="240" w:lineRule="auto"/>
        <w:rPr>
          <w:lang w:val="hu-HU"/>
        </w:rPr>
      </w:pPr>
      <w:r w:rsidRPr="00D045B3">
        <w:rPr>
          <w:highlight w:val="lightGray"/>
          <w:lang w:val="hu-HU"/>
        </w:rPr>
        <w:t xml:space="preserve">EU/1/13/825/002 90  </w:t>
      </w:r>
      <w:r w:rsidR="00333F69" w:rsidRPr="00D045B3">
        <w:rPr>
          <w:color w:val="000000"/>
          <w:highlight w:val="lightGray"/>
          <w:lang w:val="hu-HU"/>
        </w:rPr>
        <w:t>kapszula</w:t>
      </w:r>
    </w:p>
    <w:p w14:paraId="1E927A4A" w14:textId="77777777" w:rsidR="009E3F23" w:rsidRPr="00D045B3" w:rsidRDefault="009E3F23" w:rsidP="009E3F23">
      <w:pPr>
        <w:spacing w:line="240" w:lineRule="auto"/>
        <w:rPr>
          <w:color w:val="000000"/>
          <w:lang w:val="hu-HU"/>
        </w:rPr>
      </w:pPr>
    </w:p>
    <w:p w14:paraId="1E927A4B" w14:textId="77777777" w:rsidR="00153411" w:rsidRPr="00D045B3" w:rsidRDefault="00153411" w:rsidP="00153411">
      <w:pPr>
        <w:spacing w:line="240" w:lineRule="auto"/>
        <w:rPr>
          <w:color w:val="000000"/>
          <w:lang w:val="hu-HU"/>
        </w:rPr>
      </w:pPr>
    </w:p>
    <w:p w14:paraId="1E927A4C"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13.</w:t>
      </w:r>
      <w:r w:rsidRPr="00D045B3">
        <w:rPr>
          <w:b/>
          <w:color w:val="000000"/>
          <w:lang w:val="hu-HU"/>
        </w:rPr>
        <w:tab/>
        <w:t>A GYÁRTÁSI TÉTEL SZÁMA</w:t>
      </w:r>
    </w:p>
    <w:p w14:paraId="1E927A4D" w14:textId="77777777" w:rsidR="00153411" w:rsidRPr="00D045B3" w:rsidRDefault="00153411" w:rsidP="00153411">
      <w:pPr>
        <w:spacing w:line="240" w:lineRule="auto"/>
        <w:rPr>
          <w:color w:val="000000"/>
          <w:lang w:val="hu-HU"/>
        </w:rPr>
      </w:pPr>
    </w:p>
    <w:p w14:paraId="1E927A4E" w14:textId="03631317" w:rsidR="00153411" w:rsidRPr="00D045B3" w:rsidRDefault="00AE22C7" w:rsidP="00153411">
      <w:pPr>
        <w:spacing w:line="240" w:lineRule="auto"/>
        <w:rPr>
          <w:color w:val="000000"/>
          <w:lang w:val="hu-HU"/>
        </w:rPr>
      </w:pPr>
      <w:r w:rsidRPr="00D045B3">
        <w:rPr>
          <w:color w:val="000000"/>
          <w:lang w:val="hu-HU"/>
        </w:rPr>
        <w:t>Lot</w:t>
      </w:r>
    </w:p>
    <w:p w14:paraId="1E927A4F" w14:textId="77777777" w:rsidR="00153411" w:rsidRPr="00D045B3" w:rsidRDefault="00153411" w:rsidP="00153411">
      <w:pPr>
        <w:spacing w:line="240" w:lineRule="auto"/>
        <w:rPr>
          <w:color w:val="000000"/>
          <w:lang w:val="hu-HU"/>
        </w:rPr>
      </w:pPr>
    </w:p>
    <w:p w14:paraId="1E927A50" w14:textId="77777777" w:rsidR="00153411" w:rsidRPr="00D045B3" w:rsidRDefault="00153411" w:rsidP="00153411">
      <w:pPr>
        <w:spacing w:line="240" w:lineRule="auto"/>
        <w:rPr>
          <w:color w:val="000000"/>
          <w:lang w:val="hu-HU"/>
        </w:rPr>
      </w:pPr>
    </w:p>
    <w:p w14:paraId="1E927A51"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14.</w:t>
      </w:r>
      <w:r w:rsidRPr="00D045B3">
        <w:rPr>
          <w:b/>
          <w:color w:val="000000"/>
          <w:lang w:val="hu-HU"/>
        </w:rPr>
        <w:tab/>
        <w:t>A GYÓGYSZER RENDELHETŐSÉG</w:t>
      </w:r>
      <w:r w:rsidR="00611231" w:rsidRPr="00D045B3">
        <w:rPr>
          <w:b/>
          <w:color w:val="000000"/>
          <w:lang w:val="hu-HU"/>
        </w:rPr>
        <w:t>E</w:t>
      </w:r>
    </w:p>
    <w:p w14:paraId="1E927A52" w14:textId="77777777" w:rsidR="00153411" w:rsidRPr="00D045B3" w:rsidRDefault="00153411" w:rsidP="00153411">
      <w:pPr>
        <w:spacing w:line="240" w:lineRule="auto"/>
        <w:rPr>
          <w:color w:val="000000"/>
          <w:lang w:val="hu-HU"/>
        </w:rPr>
      </w:pPr>
    </w:p>
    <w:p w14:paraId="1E927A53" w14:textId="77777777" w:rsidR="00153411" w:rsidRPr="00D045B3" w:rsidRDefault="00153411" w:rsidP="00153411">
      <w:pPr>
        <w:spacing w:line="240" w:lineRule="auto"/>
        <w:rPr>
          <w:color w:val="000000"/>
          <w:lang w:val="hu-HU"/>
        </w:rPr>
      </w:pPr>
      <w:r w:rsidRPr="00D045B3">
        <w:rPr>
          <w:color w:val="000000"/>
          <w:lang w:val="hu-HU"/>
        </w:rPr>
        <w:t>Orvosi rendelvényhez kötött gyógyszer.</w:t>
      </w:r>
    </w:p>
    <w:p w14:paraId="1E927A54" w14:textId="77777777" w:rsidR="00153411" w:rsidRPr="00D045B3" w:rsidRDefault="00153411" w:rsidP="00153411">
      <w:pPr>
        <w:spacing w:line="240" w:lineRule="auto"/>
        <w:rPr>
          <w:color w:val="000000"/>
          <w:lang w:val="hu-HU"/>
        </w:rPr>
      </w:pPr>
    </w:p>
    <w:p w14:paraId="1E927A55" w14:textId="77777777" w:rsidR="00153411" w:rsidRPr="00D045B3" w:rsidRDefault="00153411" w:rsidP="00153411">
      <w:pPr>
        <w:spacing w:line="240" w:lineRule="auto"/>
        <w:rPr>
          <w:color w:val="000000"/>
          <w:lang w:val="hu-HU"/>
        </w:rPr>
      </w:pPr>
    </w:p>
    <w:p w14:paraId="1E927A56"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15.</w:t>
      </w:r>
      <w:r w:rsidRPr="00D045B3">
        <w:rPr>
          <w:b/>
          <w:color w:val="000000"/>
          <w:lang w:val="hu-HU"/>
        </w:rPr>
        <w:tab/>
        <w:t>AZ ALKALMAZÁSRA VONATKOZÓ UTASÍTÁSOK</w:t>
      </w:r>
    </w:p>
    <w:p w14:paraId="1E927A57" w14:textId="77777777" w:rsidR="00153411" w:rsidRPr="00D045B3" w:rsidRDefault="00153411" w:rsidP="00153411">
      <w:pPr>
        <w:spacing w:line="240" w:lineRule="auto"/>
        <w:rPr>
          <w:color w:val="000000"/>
          <w:lang w:val="hu-HU"/>
        </w:rPr>
      </w:pPr>
    </w:p>
    <w:p w14:paraId="1E927A58" w14:textId="77777777" w:rsidR="00153411" w:rsidRPr="00D045B3" w:rsidRDefault="00153411" w:rsidP="00153411">
      <w:pPr>
        <w:spacing w:line="240" w:lineRule="auto"/>
        <w:rPr>
          <w:color w:val="000000"/>
          <w:szCs w:val="22"/>
          <w:lang w:val="hu-HU"/>
        </w:rPr>
      </w:pPr>
    </w:p>
    <w:p w14:paraId="1E927A59"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D045B3">
        <w:rPr>
          <w:b/>
          <w:color w:val="000000"/>
          <w:szCs w:val="22"/>
          <w:lang w:val="hu-HU"/>
        </w:rPr>
        <w:t>16.</w:t>
      </w:r>
      <w:r w:rsidRPr="00D045B3">
        <w:rPr>
          <w:b/>
          <w:color w:val="000000"/>
          <w:szCs w:val="22"/>
          <w:lang w:val="hu-HU"/>
        </w:rPr>
        <w:tab/>
        <w:t>BRAILLE ÍRÁSSAL FELTÜNTETETT INFORMÁCIÓK</w:t>
      </w:r>
    </w:p>
    <w:p w14:paraId="1E927A5A" w14:textId="77777777" w:rsidR="00153411" w:rsidRPr="00D045B3" w:rsidRDefault="00153411" w:rsidP="00153411">
      <w:pPr>
        <w:spacing w:line="240" w:lineRule="auto"/>
        <w:rPr>
          <w:color w:val="000000"/>
          <w:szCs w:val="22"/>
          <w:lang w:val="hu-HU"/>
        </w:rPr>
      </w:pPr>
    </w:p>
    <w:p w14:paraId="1E927A5B" w14:textId="77777777" w:rsidR="00974741" w:rsidRPr="00D045B3" w:rsidRDefault="00974741" w:rsidP="00974741">
      <w:pPr>
        <w:spacing w:line="240" w:lineRule="auto"/>
        <w:rPr>
          <w:color w:val="000000"/>
          <w:lang w:val="hu-HU"/>
        </w:rPr>
      </w:pPr>
      <w:r w:rsidRPr="00D045B3">
        <w:rPr>
          <w:lang w:val="hu-HU"/>
        </w:rPr>
        <w:t xml:space="preserve">Imatinib Actavis </w:t>
      </w:r>
      <w:r w:rsidRPr="00D045B3">
        <w:rPr>
          <w:color w:val="000000"/>
          <w:lang w:val="hu-HU"/>
        </w:rPr>
        <w:t>50 mg</w:t>
      </w:r>
    </w:p>
    <w:p w14:paraId="1E927A5C" w14:textId="77777777" w:rsidR="00153411" w:rsidRPr="00D045B3" w:rsidRDefault="00153411" w:rsidP="00153411">
      <w:pPr>
        <w:spacing w:line="240" w:lineRule="auto"/>
        <w:rPr>
          <w:color w:val="000000"/>
          <w:szCs w:val="22"/>
          <w:lang w:val="hu-HU"/>
        </w:rPr>
      </w:pPr>
    </w:p>
    <w:p w14:paraId="1E927A5D" w14:textId="77777777" w:rsidR="002E6DBA" w:rsidRPr="00D045B3" w:rsidRDefault="002E6DBA" w:rsidP="002E6DBA">
      <w:pPr>
        <w:rPr>
          <w:noProof/>
          <w:shd w:val="clear" w:color="auto" w:fill="CCCCCC"/>
          <w:lang w:val="hu-HU"/>
        </w:rPr>
      </w:pPr>
    </w:p>
    <w:p w14:paraId="1E927A5E" w14:textId="77777777" w:rsidR="002E6DBA" w:rsidRPr="00D045B3" w:rsidRDefault="002E6DBA" w:rsidP="00E95370">
      <w:pPr>
        <w:keepNext/>
        <w:numPr>
          <w:ilvl w:val="1"/>
          <w:numId w:val="31"/>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 2D VONALKÓD</w:t>
      </w:r>
    </w:p>
    <w:p w14:paraId="1E927A5F" w14:textId="77777777" w:rsidR="002E6DBA" w:rsidRPr="00D045B3" w:rsidRDefault="002E6DBA" w:rsidP="002E6DBA">
      <w:pPr>
        <w:rPr>
          <w:noProof/>
          <w:lang w:val="hu-HU"/>
        </w:rPr>
      </w:pPr>
    </w:p>
    <w:p w14:paraId="1E927A60" w14:textId="77777777" w:rsidR="008F6E65" w:rsidRPr="00D045B3" w:rsidRDefault="00BB710A" w:rsidP="008F6E65">
      <w:pPr>
        <w:widowControl w:val="0"/>
        <w:shd w:val="clear" w:color="auto" w:fill="FFFFFF"/>
        <w:spacing w:line="240" w:lineRule="auto"/>
        <w:rPr>
          <w:szCs w:val="22"/>
          <w:shd w:val="pct15" w:color="auto" w:fill="auto"/>
          <w:lang w:val="hu-HU" w:eastAsia="en-US"/>
        </w:rPr>
      </w:pPr>
      <w:r w:rsidRPr="00D045B3">
        <w:rPr>
          <w:szCs w:val="22"/>
          <w:shd w:val="pct15" w:color="auto" w:fill="auto"/>
          <w:lang w:val="hu-HU" w:eastAsia="en-US"/>
        </w:rPr>
        <w:t>&lt;</w:t>
      </w:r>
      <w:r w:rsidR="008F6E65" w:rsidRPr="00D045B3">
        <w:rPr>
          <w:szCs w:val="22"/>
          <w:shd w:val="pct15" w:color="auto" w:fill="auto"/>
          <w:lang w:val="hu-HU" w:eastAsia="en-US"/>
        </w:rPr>
        <w:t>Egyedi azonosítójú 2D vonalkóddal ellátva.</w:t>
      </w:r>
      <w:r w:rsidRPr="00D045B3">
        <w:rPr>
          <w:szCs w:val="22"/>
          <w:shd w:val="pct15" w:color="auto" w:fill="auto"/>
          <w:lang w:val="hu-HU" w:eastAsia="en-US"/>
        </w:rPr>
        <w:t>&gt;</w:t>
      </w:r>
    </w:p>
    <w:p w14:paraId="1E927A61" w14:textId="77777777" w:rsidR="008F6E65" w:rsidRPr="00D045B3" w:rsidRDefault="008F6E65" w:rsidP="008F6E65">
      <w:pPr>
        <w:widowControl w:val="0"/>
        <w:spacing w:line="240" w:lineRule="auto"/>
        <w:rPr>
          <w:noProof/>
          <w:szCs w:val="22"/>
          <w:lang w:val="hu-HU" w:eastAsia="en-US"/>
        </w:rPr>
      </w:pPr>
    </w:p>
    <w:p w14:paraId="1E927A62" w14:textId="77777777" w:rsidR="002E6DBA" w:rsidRPr="00D045B3" w:rsidRDefault="002E6DBA" w:rsidP="002E6DBA">
      <w:pPr>
        <w:rPr>
          <w:noProof/>
          <w:lang w:val="hu-HU"/>
        </w:rPr>
      </w:pPr>
    </w:p>
    <w:p w14:paraId="1E927A63" w14:textId="77777777" w:rsidR="002E6DBA" w:rsidRPr="00D045B3" w:rsidRDefault="002E6DBA" w:rsidP="00E95370">
      <w:pPr>
        <w:keepNext/>
        <w:numPr>
          <w:ilvl w:val="1"/>
          <w:numId w:val="31"/>
        </w:numPr>
        <w:pBdr>
          <w:top w:val="single" w:sz="4" w:space="1" w:color="auto"/>
          <w:left w:val="single" w:sz="4" w:space="4" w:color="auto"/>
          <w:bottom w:val="single" w:sz="4" w:space="1" w:color="auto"/>
          <w:right w:val="single" w:sz="4" w:space="4" w:color="auto"/>
        </w:pBdr>
        <w:spacing w:line="240" w:lineRule="auto"/>
        <w:ind w:left="567"/>
        <w:outlineLvl w:val="0"/>
        <w:rPr>
          <w:i/>
          <w:noProof/>
          <w:lang w:val="hu-HU"/>
        </w:rPr>
      </w:pPr>
      <w:r w:rsidRPr="00D045B3">
        <w:rPr>
          <w:b/>
          <w:noProof/>
          <w:lang w:val="hu-HU"/>
        </w:rPr>
        <w:t>EGYEDI AZONOSÍTÓ OLVASHATÓ FORMÁTUMA</w:t>
      </w:r>
    </w:p>
    <w:p w14:paraId="1E927A64" w14:textId="77777777" w:rsidR="002E6DBA" w:rsidRPr="00D045B3" w:rsidRDefault="002E6DBA" w:rsidP="002E6DBA">
      <w:pPr>
        <w:rPr>
          <w:noProof/>
          <w:lang w:val="hu-HU"/>
        </w:rPr>
      </w:pPr>
    </w:p>
    <w:p w14:paraId="1E927A65" w14:textId="63F70D68" w:rsidR="008F6E65" w:rsidRPr="00D045B3" w:rsidRDefault="008F6E65" w:rsidP="008F6E65">
      <w:pPr>
        <w:widowControl w:val="0"/>
        <w:shd w:val="clear" w:color="auto" w:fill="FFFFFF"/>
        <w:rPr>
          <w:szCs w:val="22"/>
          <w:lang w:val="hu-HU" w:eastAsia="en-US"/>
        </w:rPr>
      </w:pPr>
      <w:r w:rsidRPr="00D045B3">
        <w:rPr>
          <w:szCs w:val="22"/>
          <w:lang w:val="hu-HU" w:eastAsia="en-US"/>
        </w:rPr>
        <w:t>PC</w:t>
      </w:r>
      <w:r w:rsidR="00BB710A" w:rsidRPr="00D045B3">
        <w:rPr>
          <w:szCs w:val="22"/>
          <w:lang w:val="hu-HU" w:eastAsia="en-US"/>
        </w:rPr>
        <w:t xml:space="preserve"> </w:t>
      </w:r>
      <w:r w:rsidR="00BB710A" w:rsidRPr="00D045B3">
        <w:rPr>
          <w:lang w:val="hu-HU"/>
        </w:rPr>
        <w:t>{szám}</w:t>
      </w:r>
    </w:p>
    <w:p w14:paraId="1E927A66" w14:textId="17CA38CF" w:rsidR="008F6E65" w:rsidRPr="00D045B3" w:rsidRDefault="008F6E65" w:rsidP="008F6E65">
      <w:pPr>
        <w:widowControl w:val="0"/>
        <w:shd w:val="clear" w:color="auto" w:fill="FFFFFF"/>
        <w:rPr>
          <w:szCs w:val="22"/>
          <w:lang w:val="hu-HU" w:eastAsia="en-US"/>
        </w:rPr>
      </w:pPr>
      <w:r w:rsidRPr="00D045B3">
        <w:rPr>
          <w:szCs w:val="22"/>
          <w:lang w:val="hu-HU" w:eastAsia="en-US"/>
        </w:rPr>
        <w:t>SN</w:t>
      </w:r>
      <w:r w:rsidR="00BB710A" w:rsidRPr="00D045B3">
        <w:rPr>
          <w:szCs w:val="22"/>
          <w:lang w:val="hu-HU" w:eastAsia="en-US"/>
        </w:rPr>
        <w:t xml:space="preserve"> </w:t>
      </w:r>
      <w:r w:rsidR="00BB710A" w:rsidRPr="00D045B3">
        <w:rPr>
          <w:lang w:val="hu-HU"/>
        </w:rPr>
        <w:t>{szám}</w:t>
      </w:r>
    </w:p>
    <w:p w14:paraId="1E927A67" w14:textId="43F21180" w:rsidR="008F6E65" w:rsidRPr="00D045B3" w:rsidRDefault="008F6E65" w:rsidP="008F6E65">
      <w:pPr>
        <w:shd w:val="clear" w:color="auto" w:fill="FFFFFF"/>
        <w:spacing w:line="240" w:lineRule="auto"/>
        <w:rPr>
          <w:color w:val="000000"/>
          <w:szCs w:val="22"/>
          <w:lang w:val="hu-HU"/>
        </w:rPr>
      </w:pPr>
      <w:r w:rsidRPr="00D045B3">
        <w:rPr>
          <w:szCs w:val="22"/>
          <w:lang w:val="hu-HU" w:eastAsia="en-US"/>
        </w:rPr>
        <w:t>NN</w:t>
      </w:r>
      <w:r w:rsidR="00BB710A" w:rsidRPr="00D045B3">
        <w:rPr>
          <w:szCs w:val="22"/>
          <w:lang w:val="hu-HU" w:eastAsia="en-US"/>
        </w:rPr>
        <w:t xml:space="preserve"> </w:t>
      </w:r>
      <w:r w:rsidR="00BB710A" w:rsidRPr="00D045B3">
        <w:rPr>
          <w:lang w:val="hu-HU"/>
        </w:rPr>
        <w:t>{szám}</w:t>
      </w:r>
    </w:p>
    <w:p w14:paraId="1E927A68" w14:textId="77777777" w:rsidR="00153411" w:rsidRPr="00D045B3" w:rsidRDefault="00153411" w:rsidP="00153411">
      <w:pPr>
        <w:spacing w:line="240" w:lineRule="auto"/>
        <w:rPr>
          <w:color w:val="000000"/>
          <w:szCs w:val="22"/>
          <w:lang w:val="hu-HU"/>
        </w:rPr>
      </w:pPr>
    </w:p>
    <w:p w14:paraId="1E927A69" w14:textId="77777777" w:rsidR="00153411" w:rsidRPr="00D045B3" w:rsidRDefault="00153411" w:rsidP="00153411">
      <w:pPr>
        <w:spacing w:line="240" w:lineRule="auto"/>
        <w:rPr>
          <w:b/>
          <w:color w:val="000000"/>
          <w:u w:val="single"/>
          <w:lang w:val="hu-HU"/>
        </w:rPr>
      </w:pPr>
      <w:r w:rsidRPr="00D045B3">
        <w:rPr>
          <w:lang w:val="hu-HU"/>
        </w:rPr>
        <w:br w:type="page"/>
      </w:r>
    </w:p>
    <w:p w14:paraId="1E927A6A" w14:textId="77777777" w:rsidR="00044A96" w:rsidRPr="00D045B3" w:rsidRDefault="00044A96" w:rsidP="00044A96">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KÜLSŐ CSOMAGOLÁSON FELTÜNTETENDŐ ADATOK</w:t>
      </w:r>
    </w:p>
    <w:p w14:paraId="1E927A6B" w14:textId="77777777" w:rsidR="00044A96" w:rsidRPr="00D045B3" w:rsidRDefault="00044A96" w:rsidP="00044A96">
      <w:pPr>
        <w:pBdr>
          <w:top w:val="single" w:sz="4" w:space="1" w:color="auto"/>
          <w:left w:val="single" w:sz="4" w:space="4" w:color="auto"/>
          <w:bottom w:val="single" w:sz="4" w:space="1" w:color="auto"/>
          <w:right w:val="single" w:sz="4" w:space="4" w:color="auto"/>
        </w:pBdr>
        <w:spacing w:line="240" w:lineRule="auto"/>
        <w:rPr>
          <w:b/>
          <w:color w:val="000000"/>
          <w:lang w:val="hu-HU"/>
        </w:rPr>
      </w:pPr>
    </w:p>
    <w:p w14:paraId="1E927A6C" w14:textId="77777777" w:rsidR="00044A96" w:rsidRPr="00D045B3" w:rsidRDefault="00044A96" w:rsidP="00044A96">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DOBOZ</w:t>
      </w:r>
    </w:p>
    <w:p w14:paraId="1E927A6D" w14:textId="77777777" w:rsidR="00A052B8" w:rsidRPr="00D045B3" w:rsidRDefault="00A052B8" w:rsidP="00A052B8">
      <w:pPr>
        <w:spacing w:line="240" w:lineRule="auto"/>
        <w:rPr>
          <w:color w:val="000000"/>
          <w:lang w:val="hu-HU"/>
        </w:rPr>
      </w:pPr>
    </w:p>
    <w:p w14:paraId="1E927A6E"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A6F" w14:textId="77777777" w:rsidR="00A052B8" w:rsidRPr="00D045B3" w:rsidRDefault="00A052B8" w:rsidP="00A052B8">
      <w:pPr>
        <w:spacing w:line="240" w:lineRule="auto"/>
        <w:rPr>
          <w:color w:val="000000"/>
          <w:lang w:val="hu-HU"/>
        </w:rPr>
      </w:pPr>
    </w:p>
    <w:p w14:paraId="1E927A70" w14:textId="77777777" w:rsidR="00A052B8" w:rsidRPr="00D045B3" w:rsidRDefault="00A052B8" w:rsidP="00A052B8">
      <w:pPr>
        <w:spacing w:line="240" w:lineRule="auto"/>
        <w:rPr>
          <w:color w:val="000000"/>
          <w:lang w:val="hu-HU"/>
        </w:rPr>
      </w:pPr>
      <w:r w:rsidRPr="00D045B3">
        <w:rPr>
          <w:lang w:val="hu-HU"/>
        </w:rPr>
        <w:t xml:space="preserve">Imatinib Actavis </w:t>
      </w:r>
      <w:r w:rsidRPr="00D045B3">
        <w:rPr>
          <w:color w:val="000000"/>
          <w:lang w:val="hu-HU"/>
        </w:rPr>
        <w:t>100 mg kemény kapszula</w:t>
      </w:r>
    </w:p>
    <w:p w14:paraId="1E927A71" w14:textId="77777777" w:rsidR="00A052B8" w:rsidRPr="00D045B3" w:rsidRDefault="00FA3B29" w:rsidP="00A052B8">
      <w:pPr>
        <w:spacing w:line="240" w:lineRule="auto"/>
        <w:rPr>
          <w:color w:val="000000"/>
          <w:lang w:val="hu-HU"/>
        </w:rPr>
      </w:pPr>
      <w:r w:rsidRPr="00D045B3">
        <w:rPr>
          <w:color w:val="000000"/>
          <w:lang w:val="hu-HU"/>
        </w:rPr>
        <w:t>i</w:t>
      </w:r>
      <w:r w:rsidR="00A052B8" w:rsidRPr="00D045B3">
        <w:rPr>
          <w:color w:val="000000"/>
          <w:lang w:val="hu-HU"/>
        </w:rPr>
        <w:t>matinib</w:t>
      </w:r>
    </w:p>
    <w:p w14:paraId="1E927A72" w14:textId="77777777" w:rsidR="00A052B8" w:rsidRPr="00D045B3" w:rsidRDefault="00A052B8" w:rsidP="00A052B8">
      <w:pPr>
        <w:spacing w:line="240" w:lineRule="auto"/>
        <w:rPr>
          <w:color w:val="000000"/>
          <w:lang w:val="hu-HU"/>
        </w:rPr>
      </w:pPr>
    </w:p>
    <w:p w14:paraId="1E927A73" w14:textId="77777777" w:rsidR="00A052B8" w:rsidRPr="00D045B3" w:rsidRDefault="00A052B8" w:rsidP="00A052B8">
      <w:pPr>
        <w:spacing w:line="240" w:lineRule="auto"/>
        <w:rPr>
          <w:color w:val="000000"/>
          <w:lang w:val="hu-HU"/>
        </w:rPr>
      </w:pPr>
    </w:p>
    <w:p w14:paraId="1E927A74"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HATÓANYAG(OK) MEGNEVEZÉSE</w:t>
      </w:r>
    </w:p>
    <w:p w14:paraId="1E927A75" w14:textId="77777777" w:rsidR="00A052B8" w:rsidRPr="00D045B3" w:rsidRDefault="00A052B8" w:rsidP="00A052B8">
      <w:pPr>
        <w:spacing w:line="240" w:lineRule="auto"/>
        <w:rPr>
          <w:color w:val="000000"/>
          <w:lang w:val="hu-HU"/>
        </w:rPr>
      </w:pPr>
    </w:p>
    <w:p w14:paraId="1E927A76" w14:textId="77777777" w:rsidR="00A052B8" w:rsidRPr="00D045B3" w:rsidRDefault="00A052B8" w:rsidP="00A052B8">
      <w:pPr>
        <w:spacing w:line="240" w:lineRule="auto"/>
        <w:rPr>
          <w:color w:val="000000"/>
          <w:lang w:val="hu-HU"/>
        </w:rPr>
      </w:pPr>
      <w:r w:rsidRPr="00D045B3">
        <w:rPr>
          <w:color w:val="000000"/>
          <w:lang w:val="hu-HU"/>
        </w:rPr>
        <w:t xml:space="preserve">100 mg imatinib (mezilát formájában) </w:t>
      </w:r>
      <w:r w:rsidR="00725458" w:rsidRPr="00D045B3">
        <w:rPr>
          <w:color w:val="000000"/>
          <w:lang w:val="hu-HU"/>
        </w:rPr>
        <w:t xml:space="preserve">kemény </w:t>
      </w:r>
      <w:r w:rsidRPr="00D045B3">
        <w:rPr>
          <w:color w:val="000000"/>
          <w:lang w:val="hu-HU"/>
        </w:rPr>
        <w:t>kapszulánként.</w:t>
      </w:r>
    </w:p>
    <w:p w14:paraId="1E927A77" w14:textId="77777777" w:rsidR="00A052B8" w:rsidRPr="00D045B3" w:rsidRDefault="00A052B8" w:rsidP="00A052B8">
      <w:pPr>
        <w:spacing w:line="240" w:lineRule="auto"/>
        <w:rPr>
          <w:color w:val="000000"/>
          <w:lang w:val="hu-HU"/>
        </w:rPr>
      </w:pPr>
    </w:p>
    <w:p w14:paraId="1E927A78" w14:textId="77777777" w:rsidR="00A052B8" w:rsidRPr="00D045B3" w:rsidRDefault="00A052B8" w:rsidP="00A052B8">
      <w:pPr>
        <w:spacing w:line="240" w:lineRule="auto"/>
        <w:rPr>
          <w:color w:val="000000"/>
          <w:lang w:val="hu-HU"/>
        </w:rPr>
      </w:pPr>
    </w:p>
    <w:p w14:paraId="1E927A79"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SEGÉDANYAGOK FELSOROLÁSA</w:t>
      </w:r>
    </w:p>
    <w:p w14:paraId="1E927A7A" w14:textId="77777777" w:rsidR="00A052B8" w:rsidRPr="00D045B3" w:rsidRDefault="00A052B8" w:rsidP="00A052B8">
      <w:pPr>
        <w:spacing w:line="240" w:lineRule="auto"/>
        <w:rPr>
          <w:color w:val="000000"/>
          <w:lang w:val="hu-HU"/>
        </w:rPr>
      </w:pPr>
    </w:p>
    <w:p w14:paraId="1E927A7B" w14:textId="77777777" w:rsidR="00A052B8" w:rsidRPr="00D045B3" w:rsidRDefault="00A052B8" w:rsidP="00A052B8">
      <w:pPr>
        <w:spacing w:line="240" w:lineRule="auto"/>
        <w:rPr>
          <w:color w:val="000000"/>
          <w:lang w:val="hu-HU"/>
        </w:rPr>
      </w:pPr>
    </w:p>
    <w:p w14:paraId="1E927A7C"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GYÓGYSZERFORMA ÉS TARTALOM</w:t>
      </w:r>
    </w:p>
    <w:p w14:paraId="1E927A7D" w14:textId="77777777" w:rsidR="00A052B8" w:rsidRPr="00D045B3" w:rsidRDefault="00A052B8" w:rsidP="00A052B8">
      <w:pPr>
        <w:spacing w:line="240" w:lineRule="auto"/>
        <w:rPr>
          <w:color w:val="000000"/>
          <w:lang w:val="hu-HU"/>
        </w:rPr>
      </w:pPr>
    </w:p>
    <w:p w14:paraId="1E927A7E" w14:textId="77777777" w:rsidR="00A052B8" w:rsidRPr="00D045B3" w:rsidRDefault="00A052B8" w:rsidP="00A052B8">
      <w:pPr>
        <w:spacing w:line="240" w:lineRule="auto"/>
        <w:rPr>
          <w:color w:val="000000"/>
          <w:lang w:val="hu-HU"/>
        </w:rPr>
      </w:pPr>
      <w:r w:rsidRPr="00D045B3">
        <w:rPr>
          <w:color w:val="000000"/>
          <w:lang w:val="hu-HU"/>
        </w:rPr>
        <w:t xml:space="preserve">24 db </w:t>
      </w:r>
      <w:r w:rsidR="00725458" w:rsidRPr="00D045B3">
        <w:rPr>
          <w:color w:val="000000"/>
          <w:lang w:val="hu-HU"/>
        </w:rPr>
        <w:t xml:space="preserve">kemény </w:t>
      </w:r>
      <w:r w:rsidRPr="00D045B3">
        <w:rPr>
          <w:color w:val="000000"/>
          <w:lang w:val="hu-HU"/>
        </w:rPr>
        <w:t>kapszula</w:t>
      </w:r>
    </w:p>
    <w:p w14:paraId="1E927A7F" w14:textId="77777777" w:rsidR="00426B1E" w:rsidRPr="00D045B3" w:rsidRDefault="00A052B8" w:rsidP="00A052B8">
      <w:pPr>
        <w:spacing w:line="240" w:lineRule="auto"/>
        <w:rPr>
          <w:color w:val="000000"/>
          <w:highlight w:val="lightGray"/>
          <w:lang w:val="hu-HU"/>
        </w:rPr>
      </w:pPr>
      <w:r w:rsidRPr="00D045B3">
        <w:rPr>
          <w:color w:val="000000"/>
          <w:highlight w:val="lightGray"/>
          <w:lang w:val="hu-HU"/>
        </w:rPr>
        <w:t xml:space="preserve">48 db </w:t>
      </w:r>
      <w:r w:rsidR="00725458" w:rsidRPr="00D045B3">
        <w:rPr>
          <w:color w:val="000000"/>
          <w:highlight w:val="lightGray"/>
          <w:lang w:val="hu-HU"/>
        </w:rPr>
        <w:t xml:space="preserve">kemény </w:t>
      </w:r>
      <w:r w:rsidRPr="00D045B3">
        <w:rPr>
          <w:color w:val="000000"/>
          <w:highlight w:val="lightGray"/>
          <w:lang w:val="hu-HU"/>
        </w:rPr>
        <w:t>kapszula</w:t>
      </w:r>
    </w:p>
    <w:p w14:paraId="1E927A80" w14:textId="77777777" w:rsidR="00E70B52" w:rsidRPr="00D045B3" w:rsidRDefault="00E70B52" w:rsidP="00A052B8">
      <w:pPr>
        <w:spacing w:line="240" w:lineRule="auto"/>
        <w:rPr>
          <w:color w:val="000000"/>
          <w:highlight w:val="lightGray"/>
          <w:lang w:val="hu-HU"/>
        </w:rPr>
      </w:pPr>
      <w:r w:rsidRPr="00D045B3">
        <w:rPr>
          <w:color w:val="000000"/>
          <w:highlight w:val="lightGray"/>
          <w:lang w:val="hu-HU"/>
        </w:rPr>
        <w:t xml:space="preserve">60 db </w:t>
      </w:r>
      <w:r w:rsidR="00725458" w:rsidRPr="00D045B3">
        <w:rPr>
          <w:color w:val="000000"/>
          <w:highlight w:val="lightGray"/>
          <w:lang w:val="hu-HU"/>
        </w:rPr>
        <w:t xml:space="preserve">kemény </w:t>
      </w:r>
      <w:r w:rsidRPr="00D045B3">
        <w:rPr>
          <w:color w:val="000000"/>
          <w:highlight w:val="lightGray"/>
          <w:lang w:val="hu-HU"/>
        </w:rPr>
        <w:t>kapszula</w:t>
      </w:r>
    </w:p>
    <w:p w14:paraId="1E927A81" w14:textId="77777777" w:rsidR="00A052B8" w:rsidRPr="00D045B3" w:rsidRDefault="00A052B8" w:rsidP="00A052B8">
      <w:pPr>
        <w:spacing w:line="240" w:lineRule="auto"/>
        <w:rPr>
          <w:color w:val="000000"/>
          <w:lang w:val="hu-HU"/>
        </w:rPr>
      </w:pPr>
      <w:r w:rsidRPr="00D045B3">
        <w:rPr>
          <w:color w:val="000000"/>
          <w:highlight w:val="lightGray"/>
          <w:lang w:val="hu-HU"/>
        </w:rPr>
        <w:t xml:space="preserve">96 db </w:t>
      </w:r>
      <w:r w:rsidR="00725458" w:rsidRPr="00D045B3">
        <w:rPr>
          <w:color w:val="000000"/>
          <w:highlight w:val="lightGray"/>
          <w:lang w:val="hu-HU"/>
        </w:rPr>
        <w:t xml:space="preserve">kemény </w:t>
      </w:r>
      <w:r w:rsidRPr="00D045B3">
        <w:rPr>
          <w:color w:val="000000"/>
          <w:highlight w:val="lightGray"/>
          <w:lang w:val="hu-HU"/>
        </w:rPr>
        <w:t>kapszula</w:t>
      </w:r>
    </w:p>
    <w:p w14:paraId="1E927A82" w14:textId="77777777" w:rsidR="00A052B8" w:rsidRPr="00D045B3" w:rsidRDefault="00A052B8" w:rsidP="00A052B8">
      <w:pPr>
        <w:spacing w:line="240" w:lineRule="auto"/>
        <w:rPr>
          <w:color w:val="000000"/>
          <w:lang w:val="hu-HU"/>
        </w:rPr>
      </w:pPr>
      <w:r w:rsidRPr="00D045B3">
        <w:rPr>
          <w:color w:val="000000"/>
          <w:highlight w:val="lightGray"/>
          <w:lang w:val="hu-HU"/>
        </w:rPr>
        <w:t xml:space="preserve">120 db </w:t>
      </w:r>
      <w:r w:rsidR="00725458" w:rsidRPr="00D045B3">
        <w:rPr>
          <w:color w:val="000000"/>
          <w:highlight w:val="lightGray"/>
          <w:lang w:val="hu-HU"/>
        </w:rPr>
        <w:t xml:space="preserve">kemény </w:t>
      </w:r>
      <w:r w:rsidRPr="00D045B3">
        <w:rPr>
          <w:color w:val="000000"/>
          <w:highlight w:val="lightGray"/>
          <w:lang w:val="hu-HU"/>
        </w:rPr>
        <w:t>kapszula</w:t>
      </w:r>
    </w:p>
    <w:p w14:paraId="1E927A83" w14:textId="77777777" w:rsidR="00A052B8" w:rsidRPr="00D045B3" w:rsidRDefault="00A052B8" w:rsidP="00A052B8">
      <w:pPr>
        <w:spacing w:line="240" w:lineRule="auto"/>
        <w:rPr>
          <w:color w:val="000000"/>
          <w:lang w:val="hu-HU"/>
        </w:rPr>
      </w:pPr>
      <w:r w:rsidRPr="00D045B3">
        <w:rPr>
          <w:color w:val="000000"/>
          <w:highlight w:val="lightGray"/>
          <w:lang w:val="hu-HU"/>
        </w:rPr>
        <w:t xml:space="preserve">180 db </w:t>
      </w:r>
      <w:r w:rsidR="00725458" w:rsidRPr="00D045B3">
        <w:rPr>
          <w:color w:val="000000"/>
          <w:highlight w:val="lightGray"/>
          <w:lang w:val="hu-HU"/>
        </w:rPr>
        <w:t xml:space="preserve">kemény </w:t>
      </w:r>
      <w:r w:rsidRPr="00D045B3">
        <w:rPr>
          <w:color w:val="000000"/>
          <w:highlight w:val="lightGray"/>
          <w:lang w:val="hu-HU"/>
        </w:rPr>
        <w:t>kapszula</w:t>
      </w:r>
    </w:p>
    <w:p w14:paraId="1E927A84" w14:textId="77777777" w:rsidR="00A052B8" w:rsidRPr="00D045B3" w:rsidRDefault="00A052B8" w:rsidP="00A052B8">
      <w:pPr>
        <w:spacing w:line="240" w:lineRule="auto"/>
        <w:rPr>
          <w:color w:val="000000"/>
          <w:lang w:val="hu-HU"/>
        </w:rPr>
      </w:pPr>
    </w:p>
    <w:p w14:paraId="1E927A85" w14:textId="77777777" w:rsidR="00A052B8" w:rsidRPr="00D045B3" w:rsidRDefault="00A052B8" w:rsidP="00A052B8">
      <w:pPr>
        <w:spacing w:line="240" w:lineRule="auto"/>
        <w:rPr>
          <w:color w:val="000000"/>
          <w:lang w:val="hu-HU"/>
        </w:rPr>
      </w:pPr>
    </w:p>
    <w:p w14:paraId="1E927A86"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5.</w:t>
      </w:r>
      <w:r w:rsidRPr="00D045B3">
        <w:rPr>
          <w:b/>
          <w:color w:val="000000"/>
          <w:lang w:val="hu-HU"/>
        </w:rPr>
        <w:tab/>
        <w:t>AZ ALKALMAZÁSSAL KAPCSOLATOS TUDNIVALÓK ÉS AZ ALKALMAZÁS MÓDJA(I)</w:t>
      </w:r>
    </w:p>
    <w:p w14:paraId="1E927A87" w14:textId="77777777" w:rsidR="00A052B8" w:rsidRPr="00D045B3" w:rsidRDefault="00A052B8" w:rsidP="00A052B8">
      <w:pPr>
        <w:spacing w:line="240" w:lineRule="auto"/>
        <w:rPr>
          <w:color w:val="000000"/>
          <w:lang w:val="hu-HU"/>
        </w:rPr>
      </w:pPr>
    </w:p>
    <w:p w14:paraId="1E927A88" w14:textId="77777777" w:rsidR="00A052B8" w:rsidRPr="00D045B3" w:rsidRDefault="00A052B8" w:rsidP="00A052B8">
      <w:pPr>
        <w:rPr>
          <w:color w:val="000000"/>
          <w:lang w:val="hu-HU"/>
        </w:rPr>
      </w:pPr>
      <w:r w:rsidRPr="00D045B3">
        <w:rPr>
          <w:color w:val="000000"/>
          <w:lang w:val="hu-HU"/>
        </w:rPr>
        <w:t xml:space="preserve">Szájon át történő alkalmazásra. </w:t>
      </w:r>
    </w:p>
    <w:p w14:paraId="1E927A89" w14:textId="77777777" w:rsidR="00A052B8" w:rsidRPr="00D045B3" w:rsidRDefault="00A052B8" w:rsidP="00A052B8">
      <w:pPr>
        <w:rPr>
          <w:color w:val="000000"/>
          <w:lang w:val="hu-HU"/>
        </w:rPr>
      </w:pPr>
      <w:r w:rsidRPr="00D045B3">
        <w:rPr>
          <w:color w:val="000000"/>
          <w:lang w:val="hu-HU"/>
        </w:rPr>
        <w:t>Használat előtt olvassa el a mellékelt betegtájékoztatót!</w:t>
      </w:r>
    </w:p>
    <w:p w14:paraId="1E927A8A" w14:textId="77777777" w:rsidR="00A052B8" w:rsidRPr="00D045B3" w:rsidRDefault="00A052B8" w:rsidP="00A052B8">
      <w:pPr>
        <w:spacing w:line="240" w:lineRule="auto"/>
        <w:rPr>
          <w:color w:val="000000"/>
          <w:lang w:val="hu-HU"/>
        </w:rPr>
      </w:pPr>
    </w:p>
    <w:p w14:paraId="1E927A8B" w14:textId="77777777" w:rsidR="00A052B8" w:rsidRPr="00D045B3" w:rsidRDefault="00A052B8" w:rsidP="00A052B8">
      <w:pPr>
        <w:spacing w:line="240" w:lineRule="auto"/>
        <w:rPr>
          <w:color w:val="000000"/>
          <w:lang w:val="hu-HU"/>
        </w:rPr>
      </w:pPr>
    </w:p>
    <w:p w14:paraId="1E927A8C"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6.</w:t>
      </w:r>
      <w:r w:rsidRPr="00D045B3">
        <w:rPr>
          <w:b/>
          <w:color w:val="000000"/>
          <w:lang w:val="hu-HU"/>
        </w:rPr>
        <w:tab/>
        <w:t xml:space="preserve">KÜLÖN FIGYELMEZTETÉS, MELY SZERINT A GYÓGYSZERT GYERMEKEKTŐL ELZÁRVA </w:t>
      </w:r>
      <w:smartTag w:uri="urn:schemas-microsoft-com:office:smarttags" w:element="stockticker">
        <w:r w:rsidRPr="00D045B3">
          <w:rPr>
            <w:b/>
            <w:color w:val="000000"/>
            <w:lang w:val="hu-HU"/>
          </w:rPr>
          <w:t>KELL</w:t>
        </w:r>
      </w:smartTag>
      <w:r w:rsidRPr="00D045B3">
        <w:rPr>
          <w:b/>
          <w:color w:val="000000"/>
          <w:lang w:val="hu-HU"/>
        </w:rPr>
        <w:t xml:space="preserve"> TARTANI</w:t>
      </w:r>
    </w:p>
    <w:p w14:paraId="1E927A8D" w14:textId="77777777" w:rsidR="00A052B8" w:rsidRPr="00D045B3" w:rsidRDefault="00A052B8" w:rsidP="00A052B8">
      <w:pPr>
        <w:spacing w:line="240" w:lineRule="auto"/>
        <w:rPr>
          <w:color w:val="000000"/>
          <w:lang w:val="hu-HU"/>
        </w:rPr>
      </w:pPr>
    </w:p>
    <w:p w14:paraId="1E927A8E" w14:textId="77777777" w:rsidR="00A052B8" w:rsidRPr="00D045B3" w:rsidRDefault="00A052B8" w:rsidP="00A052B8">
      <w:pPr>
        <w:spacing w:line="240" w:lineRule="auto"/>
        <w:rPr>
          <w:color w:val="000000"/>
          <w:lang w:val="hu-HU"/>
        </w:rPr>
      </w:pPr>
      <w:r w:rsidRPr="00D045B3">
        <w:rPr>
          <w:color w:val="000000"/>
          <w:lang w:val="hu-HU"/>
        </w:rPr>
        <w:t>A gyógyszer gyermekektől elzárva tartandó!</w:t>
      </w:r>
    </w:p>
    <w:p w14:paraId="1E927A8F" w14:textId="77777777" w:rsidR="00A052B8" w:rsidRPr="00D045B3" w:rsidRDefault="00A052B8" w:rsidP="00A052B8">
      <w:pPr>
        <w:spacing w:line="240" w:lineRule="auto"/>
        <w:rPr>
          <w:color w:val="000000"/>
          <w:lang w:val="hu-HU"/>
        </w:rPr>
      </w:pPr>
    </w:p>
    <w:p w14:paraId="1E927A90" w14:textId="77777777" w:rsidR="00A052B8" w:rsidRPr="00D045B3" w:rsidRDefault="00A052B8" w:rsidP="00A052B8">
      <w:pPr>
        <w:spacing w:line="240" w:lineRule="auto"/>
        <w:rPr>
          <w:color w:val="000000"/>
          <w:lang w:val="hu-HU"/>
        </w:rPr>
      </w:pPr>
    </w:p>
    <w:p w14:paraId="1E927A91"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7.</w:t>
      </w:r>
      <w:r w:rsidRPr="00D045B3">
        <w:rPr>
          <w:b/>
          <w:color w:val="000000"/>
          <w:lang w:val="hu-HU"/>
        </w:rPr>
        <w:tab/>
        <w:t>TOVÁBBI FIGYELMEZTETÉS(EK), AMENNYIBEN SZÜKSÉGES</w:t>
      </w:r>
    </w:p>
    <w:p w14:paraId="1E927A92" w14:textId="77777777" w:rsidR="00A052B8" w:rsidRPr="00D045B3" w:rsidRDefault="00A052B8" w:rsidP="00A052B8">
      <w:pPr>
        <w:spacing w:line="240" w:lineRule="auto"/>
        <w:rPr>
          <w:color w:val="000000"/>
          <w:lang w:val="hu-HU"/>
        </w:rPr>
      </w:pPr>
    </w:p>
    <w:p w14:paraId="1E927A93" w14:textId="77777777" w:rsidR="00A052B8" w:rsidRPr="00D045B3" w:rsidRDefault="00A052B8" w:rsidP="00A052B8">
      <w:pPr>
        <w:spacing w:line="240" w:lineRule="auto"/>
        <w:rPr>
          <w:color w:val="000000"/>
          <w:lang w:val="hu-HU"/>
        </w:rPr>
      </w:pPr>
      <w:r w:rsidRPr="00D045B3">
        <w:rPr>
          <w:color w:val="000000"/>
          <w:lang w:val="hu-HU"/>
        </w:rPr>
        <w:t>Adagolása kizárólag az orvos utasításai szerint.</w:t>
      </w:r>
    </w:p>
    <w:p w14:paraId="1E927A94" w14:textId="77777777" w:rsidR="00A052B8" w:rsidRPr="00D045B3" w:rsidRDefault="00A052B8" w:rsidP="00A052B8">
      <w:pPr>
        <w:spacing w:line="240" w:lineRule="auto"/>
        <w:rPr>
          <w:color w:val="000000"/>
          <w:lang w:val="hu-HU"/>
        </w:rPr>
      </w:pPr>
    </w:p>
    <w:p w14:paraId="1E927A95" w14:textId="77777777" w:rsidR="00A052B8" w:rsidRPr="00D045B3" w:rsidRDefault="00A052B8" w:rsidP="00A052B8">
      <w:pPr>
        <w:spacing w:line="240" w:lineRule="auto"/>
        <w:rPr>
          <w:color w:val="000000"/>
          <w:lang w:val="hu-HU"/>
        </w:rPr>
      </w:pPr>
    </w:p>
    <w:p w14:paraId="1E927A96"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8.</w:t>
      </w:r>
      <w:r w:rsidRPr="00D045B3">
        <w:rPr>
          <w:b/>
          <w:color w:val="000000"/>
          <w:lang w:val="hu-HU"/>
        </w:rPr>
        <w:tab/>
        <w:t>LEJÁRATI IDŐ</w:t>
      </w:r>
    </w:p>
    <w:p w14:paraId="1E927A97" w14:textId="77777777" w:rsidR="00A052B8" w:rsidRPr="00D045B3" w:rsidRDefault="00A052B8" w:rsidP="00A052B8">
      <w:pPr>
        <w:spacing w:line="240" w:lineRule="auto"/>
        <w:rPr>
          <w:color w:val="000000"/>
          <w:lang w:val="hu-HU"/>
        </w:rPr>
      </w:pPr>
    </w:p>
    <w:p w14:paraId="1E927A98" w14:textId="5084371C" w:rsidR="00A052B8" w:rsidRPr="00D045B3" w:rsidRDefault="00AE22C7" w:rsidP="00A052B8">
      <w:pPr>
        <w:spacing w:line="240" w:lineRule="auto"/>
        <w:rPr>
          <w:color w:val="000000"/>
          <w:lang w:val="hu-HU"/>
        </w:rPr>
      </w:pPr>
      <w:r w:rsidRPr="00D045B3">
        <w:rPr>
          <w:color w:val="000000"/>
          <w:lang w:val="hu-HU"/>
        </w:rPr>
        <w:t>EXP</w:t>
      </w:r>
    </w:p>
    <w:p w14:paraId="1E927A99" w14:textId="77777777" w:rsidR="00A052B8" w:rsidRPr="00D045B3" w:rsidRDefault="00A052B8" w:rsidP="00A052B8">
      <w:pPr>
        <w:spacing w:line="240" w:lineRule="auto"/>
        <w:rPr>
          <w:color w:val="000000"/>
          <w:lang w:val="hu-HU"/>
        </w:rPr>
      </w:pPr>
    </w:p>
    <w:p w14:paraId="1E927A9A" w14:textId="77777777" w:rsidR="00A052B8" w:rsidRPr="00D045B3" w:rsidRDefault="00A052B8" w:rsidP="00A052B8">
      <w:pPr>
        <w:spacing w:line="240" w:lineRule="auto"/>
        <w:rPr>
          <w:color w:val="000000"/>
          <w:lang w:val="hu-HU"/>
        </w:rPr>
      </w:pPr>
    </w:p>
    <w:p w14:paraId="1E927A9B" w14:textId="77777777" w:rsidR="00A052B8" w:rsidRPr="00D045B3" w:rsidRDefault="00A052B8" w:rsidP="00F535FA">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9.</w:t>
      </w:r>
      <w:r w:rsidRPr="00D045B3">
        <w:rPr>
          <w:b/>
          <w:color w:val="000000"/>
          <w:lang w:val="hu-HU"/>
        </w:rPr>
        <w:tab/>
        <w:t>KÜLÖNLEGES TÁROLÁSI ELŐÍRÁSOK</w:t>
      </w:r>
    </w:p>
    <w:p w14:paraId="1E927A9C" w14:textId="77777777" w:rsidR="00A052B8" w:rsidRPr="00D045B3" w:rsidRDefault="00A052B8" w:rsidP="00F535FA">
      <w:pPr>
        <w:keepNext/>
        <w:spacing w:line="240" w:lineRule="auto"/>
        <w:rPr>
          <w:color w:val="000000"/>
          <w:lang w:val="hu-HU"/>
        </w:rPr>
      </w:pPr>
    </w:p>
    <w:p w14:paraId="1E927A9D" w14:textId="77777777" w:rsidR="00A052B8" w:rsidRPr="00D045B3" w:rsidRDefault="00A052B8" w:rsidP="00F535FA">
      <w:pPr>
        <w:keepNext/>
        <w:spacing w:line="240" w:lineRule="auto"/>
        <w:rPr>
          <w:color w:val="000000"/>
          <w:lang w:val="hu-HU"/>
        </w:rPr>
      </w:pPr>
      <w:r w:rsidRPr="00D045B3">
        <w:rPr>
          <w:color w:val="000000"/>
          <w:lang w:val="hu-HU"/>
        </w:rPr>
        <w:t xml:space="preserve">Legfeljebb </w:t>
      </w:r>
      <w:r w:rsidR="004A5808" w:rsidRPr="00D045B3">
        <w:rPr>
          <w:color w:val="000000"/>
          <w:lang w:val="hu-HU"/>
        </w:rPr>
        <w:t>25</w:t>
      </w:r>
      <w:r w:rsidRPr="00D045B3">
        <w:rPr>
          <w:color w:val="000000"/>
          <w:lang w:val="hu-HU"/>
        </w:rPr>
        <w:sym w:font="Symbol" w:char="F0B0"/>
      </w:r>
      <w:r w:rsidRPr="00D045B3">
        <w:rPr>
          <w:color w:val="000000"/>
          <w:lang w:val="hu-HU"/>
        </w:rPr>
        <w:t>C</w:t>
      </w:r>
      <w:r w:rsidRPr="00D045B3">
        <w:rPr>
          <w:color w:val="000000"/>
          <w:lang w:val="hu-HU"/>
        </w:rPr>
        <w:noBreakHyphen/>
        <w:t xml:space="preserve">on tárolandó. </w:t>
      </w:r>
    </w:p>
    <w:p w14:paraId="1E927A9E" w14:textId="77777777" w:rsidR="00A052B8" w:rsidRPr="00D045B3" w:rsidRDefault="00A052B8" w:rsidP="00F535FA">
      <w:pPr>
        <w:keepNext/>
        <w:spacing w:line="240" w:lineRule="auto"/>
        <w:rPr>
          <w:color w:val="000000"/>
          <w:lang w:val="hu-HU"/>
        </w:rPr>
      </w:pPr>
      <w:r w:rsidRPr="00D045B3">
        <w:rPr>
          <w:color w:val="000000"/>
          <w:lang w:val="hu-HU"/>
        </w:rPr>
        <w:t>A nedvességtől való védelem érdekében az eredeti csomagolásban tárolandó.</w:t>
      </w:r>
    </w:p>
    <w:p w14:paraId="1E927A9F" w14:textId="77777777" w:rsidR="00A052B8" w:rsidRPr="00D045B3" w:rsidRDefault="00A052B8" w:rsidP="00A052B8">
      <w:pPr>
        <w:spacing w:line="240" w:lineRule="auto"/>
        <w:rPr>
          <w:color w:val="000000"/>
          <w:lang w:val="hu-HU"/>
        </w:rPr>
      </w:pPr>
    </w:p>
    <w:p w14:paraId="1E927AA0" w14:textId="77777777" w:rsidR="00A052B8" w:rsidRPr="00D045B3" w:rsidRDefault="00A052B8" w:rsidP="00A052B8">
      <w:pPr>
        <w:spacing w:line="240" w:lineRule="auto"/>
        <w:rPr>
          <w:color w:val="000000"/>
          <w:lang w:val="hu-HU"/>
        </w:rPr>
      </w:pPr>
    </w:p>
    <w:p w14:paraId="1E927AA1"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10.</w:t>
      </w:r>
      <w:r w:rsidRPr="00D045B3">
        <w:rPr>
          <w:b/>
          <w:color w:val="000000"/>
          <w:lang w:val="hu-HU"/>
        </w:rPr>
        <w:tab/>
        <w:t xml:space="preserve">KÜLÖNLEGES ÓVINTÉZKEDÉSEK A FEL </w:t>
      </w:r>
      <w:smartTag w:uri="urn:schemas-microsoft-com:office:smarttags" w:element="stockticker">
        <w:r w:rsidRPr="00D045B3">
          <w:rPr>
            <w:b/>
            <w:color w:val="000000"/>
            <w:lang w:val="hu-HU"/>
          </w:rPr>
          <w:t>NEM</w:t>
        </w:r>
      </w:smartTag>
      <w:r w:rsidRPr="00D045B3">
        <w:rPr>
          <w:b/>
          <w:color w:val="000000"/>
          <w:lang w:val="hu-HU"/>
        </w:rPr>
        <w:t xml:space="preserve"> HASZNÁLT GYÓGYSZEREK VAGY AZ ILYEN TERMÉKEKBŐL KELETKEZETT HULLADÉKANYAGOK ÁRTALMATLANNÁ TÉTELÉRE, HA ILYENEKRE SZÜKSÉG VAN</w:t>
      </w:r>
    </w:p>
    <w:p w14:paraId="1E927AA2" w14:textId="77777777" w:rsidR="00A052B8" w:rsidRPr="00D045B3" w:rsidRDefault="00A052B8" w:rsidP="00A052B8">
      <w:pPr>
        <w:spacing w:line="240" w:lineRule="auto"/>
        <w:rPr>
          <w:color w:val="000000"/>
          <w:lang w:val="hu-HU"/>
        </w:rPr>
      </w:pPr>
    </w:p>
    <w:p w14:paraId="1E927AA3" w14:textId="77777777" w:rsidR="00A052B8" w:rsidRPr="00D045B3" w:rsidRDefault="00A052B8" w:rsidP="00A052B8">
      <w:pPr>
        <w:spacing w:line="240" w:lineRule="auto"/>
        <w:rPr>
          <w:color w:val="000000"/>
          <w:lang w:val="hu-HU"/>
        </w:rPr>
      </w:pPr>
    </w:p>
    <w:p w14:paraId="1E927AA4"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11.</w:t>
      </w:r>
      <w:r w:rsidRPr="00D045B3">
        <w:rPr>
          <w:b/>
          <w:color w:val="000000"/>
          <w:lang w:val="hu-HU"/>
        </w:rPr>
        <w:tab/>
        <w:t>A FORGALOMBA HOZATALI ENGEDÉLY JOGOSULTJÁNAK NEVE ÉS CÍME</w:t>
      </w:r>
    </w:p>
    <w:p w14:paraId="1E927AA5" w14:textId="77777777" w:rsidR="00A052B8" w:rsidRPr="00D045B3" w:rsidRDefault="00A052B8" w:rsidP="00A052B8">
      <w:pPr>
        <w:spacing w:line="240" w:lineRule="auto"/>
        <w:rPr>
          <w:color w:val="000000"/>
          <w:lang w:val="hu-HU"/>
        </w:rPr>
      </w:pPr>
    </w:p>
    <w:p w14:paraId="1E927AA6" w14:textId="77777777" w:rsidR="00A052B8" w:rsidRPr="00D045B3" w:rsidRDefault="00A052B8" w:rsidP="00A052B8">
      <w:pPr>
        <w:autoSpaceDE w:val="0"/>
        <w:autoSpaceDN w:val="0"/>
        <w:adjustRightInd w:val="0"/>
        <w:spacing w:line="240" w:lineRule="auto"/>
        <w:rPr>
          <w:lang w:val="hu-HU"/>
        </w:rPr>
      </w:pPr>
      <w:r w:rsidRPr="00D045B3">
        <w:rPr>
          <w:lang w:val="hu-HU"/>
        </w:rPr>
        <w:t>Actavis Group PTC ehf.</w:t>
      </w:r>
    </w:p>
    <w:p w14:paraId="1E927AA7" w14:textId="77777777" w:rsidR="00A052B8" w:rsidRPr="00D045B3" w:rsidRDefault="001C19C5" w:rsidP="00A052B8">
      <w:pPr>
        <w:autoSpaceDE w:val="0"/>
        <w:autoSpaceDN w:val="0"/>
        <w:adjustRightInd w:val="0"/>
        <w:spacing w:line="240" w:lineRule="auto"/>
        <w:rPr>
          <w:lang w:val="hu-HU"/>
        </w:rPr>
      </w:pPr>
      <w:r w:rsidRPr="00D045B3">
        <w:rPr>
          <w:lang w:val="hu-HU"/>
        </w:rPr>
        <w:t xml:space="preserve">220 </w:t>
      </w:r>
      <w:r w:rsidR="00A052B8" w:rsidRPr="00D045B3">
        <w:rPr>
          <w:lang w:val="hu-HU"/>
        </w:rPr>
        <w:t>Hafnarfjörður</w:t>
      </w:r>
    </w:p>
    <w:p w14:paraId="1E927AA8" w14:textId="77777777" w:rsidR="00A052B8" w:rsidRPr="00D045B3" w:rsidRDefault="00A052B8" w:rsidP="00A052B8">
      <w:pPr>
        <w:autoSpaceDE w:val="0"/>
        <w:autoSpaceDN w:val="0"/>
        <w:adjustRightInd w:val="0"/>
        <w:spacing w:line="240" w:lineRule="auto"/>
        <w:rPr>
          <w:lang w:val="hu-HU"/>
        </w:rPr>
      </w:pPr>
      <w:r w:rsidRPr="00D045B3">
        <w:rPr>
          <w:lang w:val="hu-HU"/>
        </w:rPr>
        <w:t>Izland</w:t>
      </w:r>
    </w:p>
    <w:p w14:paraId="1E927AA9" w14:textId="77777777" w:rsidR="00A052B8" w:rsidRPr="00D045B3" w:rsidRDefault="00A052B8" w:rsidP="00A052B8">
      <w:pPr>
        <w:spacing w:line="240" w:lineRule="auto"/>
        <w:rPr>
          <w:color w:val="000000"/>
          <w:lang w:val="hu-HU"/>
        </w:rPr>
      </w:pPr>
    </w:p>
    <w:p w14:paraId="1E927AAA" w14:textId="77777777" w:rsidR="00A052B8" w:rsidRPr="00D045B3" w:rsidRDefault="00A052B8" w:rsidP="00A052B8">
      <w:pPr>
        <w:spacing w:line="240" w:lineRule="auto"/>
        <w:rPr>
          <w:color w:val="000000"/>
          <w:lang w:val="hu-HU"/>
        </w:rPr>
      </w:pPr>
    </w:p>
    <w:p w14:paraId="1E927AAB"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12.</w:t>
      </w:r>
      <w:r w:rsidRPr="00D045B3">
        <w:rPr>
          <w:b/>
          <w:color w:val="000000"/>
          <w:lang w:val="hu-HU"/>
        </w:rPr>
        <w:tab/>
        <w:t>A FORGALOMBA HOZATALI ENGEDÉLY SZÁMA(I)</w:t>
      </w:r>
    </w:p>
    <w:p w14:paraId="1E927AAC" w14:textId="77777777" w:rsidR="00A052B8" w:rsidRPr="00D045B3" w:rsidRDefault="00A052B8" w:rsidP="00A052B8">
      <w:pPr>
        <w:spacing w:line="240" w:lineRule="auto"/>
        <w:rPr>
          <w:color w:val="000000"/>
          <w:lang w:val="hu-HU"/>
        </w:rPr>
      </w:pPr>
    </w:p>
    <w:p w14:paraId="1E927AAD" w14:textId="77777777" w:rsidR="009E3F23" w:rsidRPr="00D045B3" w:rsidRDefault="009E3F23" w:rsidP="009E3F23">
      <w:pPr>
        <w:pStyle w:val="KeinLeerraum"/>
        <w:rPr>
          <w:rFonts w:ascii="Times New Roman" w:hAnsi="Times New Roman"/>
        </w:rPr>
      </w:pPr>
      <w:r w:rsidRPr="00D045B3">
        <w:rPr>
          <w:rFonts w:ascii="Times New Roman" w:hAnsi="Times New Roman"/>
        </w:rPr>
        <w:t xml:space="preserve">EU/1/13/825/003 </w:t>
      </w:r>
      <w:r w:rsidRPr="00D045B3">
        <w:rPr>
          <w:rFonts w:ascii="Times New Roman" w:hAnsi="Times New Roman"/>
          <w:highlight w:val="lightGray"/>
        </w:rPr>
        <w:t>24 </w:t>
      </w:r>
      <w:r w:rsidR="00333F69" w:rsidRPr="00D045B3">
        <w:rPr>
          <w:rFonts w:ascii="Times New Roman" w:hAnsi="Times New Roman"/>
          <w:color w:val="000000"/>
          <w:highlight w:val="lightGray"/>
        </w:rPr>
        <w:t>kapszula</w:t>
      </w:r>
    </w:p>
    <w:p w14:paraId="1E927AAE" w14:textId="77777777" w:rsidR="00E70B52" w:rsidRPr="00D045B3" w:rsidRDefault="009E3F23" w:rsidP="00333F69">
      <w:pPr>
        <w:autoSpaceDE w:val="0"/>
        <w:autoSpaceDN w:val="0"/>
        <w:adjustRightInd w:val="0"/>
        <w:spacing w:line="240" w:lineRule="auto"/>
        <w:rPr>
          <w:color w:val="000000"/>
          <w:highlight w:val="lightGray"/>
          <w:lang w:val="hu-HU"/>
        </w:rPr>
      </w:pPr>
      <w:r w:rsidRPr="00D045B3">
        <w:rPr>
          <w:highlight w:val="lightGray"/>
          <w:lang w:val="hu-HU"/>
        </w:rPr>
        <w:t>EU/1/13/825/004 48 </w:t>
      </w:r>
      <w:r w:rsidR="00333F69" w:rsidRPr="00D045B3">
        <w:rPr>
          <w:color w:val="000000"/>
          <w:highlight w:val="lightGray"/>
          <w:lang w:val="hu-HU"/>
        </w:rPr>
        <w:t>kapszula</w:t>
      </w:r>
    </w:p>
    <w:p w14:paraId="1E927AAF" w14:textId="77777777" w:rsidR="00333F69" w:rsidRPr="00D045B3" w:rsidRDefault="00E70B52" w:rsidP="00333F69">
      <w:pPr>
        <w:autoSpaceDE w:val="0"/>
        <w:autoSpaceDN w:val="0"/>
        <w:adjustRightInd w:val="0"/>
        <w:spacing w:line="240" w:lineRule="auto"/>
        <w:rPr>
          <w:highlight w:val="lightGray"/>
          <w:lang w:val="hu-HU"/>
        </w:rPr>
      </w:pPr>
      <w:r w:rsidRPr="00D045B3">
        <w:rPr>
          <w:highlight w:val="lightGray"/>
          <w:lang w:val="hu-HU"/>
        </w:rPr>
        <w:t>EU/1/13/825/019 60 kapszula</w:t>
      </w:r>
      <w:r w:rsidR="00333F69" w:rsidRPr="00D045B3">
        <w:rPr>
          <w:highlight w:val="lightGray"/>
          <w:lang w:val="hu-HU"/>
        </w:rPr>
        <w:t xml:space="preserve"> </w:t>
      </w:r>
    </w:p>
    <w:p w14:paraId="1E927AB0" w14:textId="77777777" w:rsidR="009E3F23" w:rsidRPr="00D045B3" w:rsidRDefault="009E3F23" w:rsidP="00333F69">
      <w:pPr>
        <w:autoSpaceDE w:val="0"/>
        <w:autoSpaceDN w:val="0"/>
        <w:adjustRightInd w:val="0"/>
        <w:spacing w:line="240" w:lineRule="auto"/>
        <w:rPr>
          <w:highlight w:val="lightGray"/>
          <w:lang w:val="hu-HU"/>
        </w:rPr>
      </w:pPr>
      <w:r w:rsidRPr="00D045B3">
        <w:rPr>
          <w:highlight w:val="lightGray"/>
          <w:lang w:val="hu-HU"/>
        </w:rPr>
        <w:t>EU/1/13/825/005 96 </w:t>
      </w:r>
      <w:r w:rsidR="00333F69" w:rsidRPr="00D045B3">
        <w:rPr>
          <w:color w:val="000000"/>
          <w:highlight w:val="lightGray"/>
          <w:lang w:val="hu-HU"/>
        </w:rPr>
        <w:t>kapszula</w:t>
      </w:r>
    </w:p>
    <w:p w14:paraId="1E927AB1"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EU/1/13/825/006 120 </w:t>
      </w:r>
      <w:r w:rsidR="00333F69" w:rsidRPr="00D045B3">
        <w:rPr>
          <w:rFonts w:ascii="Times New Roman" w:hAnsi="Times New Roman"/>
          <w:color w:val="000000"/>
          <w:highlight w:val="lightGray"/>
        </w:rPr>
        <w:t>kapszula</w:t>
      </w:r>
    </w:p>
    <w:p w14:paraId="1E927AB2" w14:textId="77777777" w:rsidR="00A052B8" w:rsidRPr="00D045B3" w:rsidRDefault="009E3F23" w:rsidP="009E3F23">
      <w:pPr>
        <w:spacing w:line="240" w:lineRule="auto"/>
        <w:rPr>
          <w:lang w:val="hu-HU"/>
        </w:rPr>
      </w:pPr>
      <w:r w:rsidRPr="00D045B3">
        <w:rPr>
          <w:highlight w:val="lightGray"/>
          <w:lang w:val="hu-HU"/>
        </w:rPr>
        <w:t>EU/1/13/825/007 180 </w:t>
      </w:r>
      <w:r w:rsidR="00333F69" w:rsidRPr="00D045B3">
        <w:rPr>
          <w:color w:val="000000"/>
          <w:highlight w:val="lightGray"/>
          <w:lang w:val="hu-HU"/>
        </w:rPr>
        <w:t>kapszula</w:t>
      </w:r>
    </w:p>
    <w:p w14:paraId="1E927AB3" w14:textId="77777777" w:rsidR="009E3F23" w:rsidRPr="00D045B3" w:rsidRDefault="009E3F23" w:rsidP="009E3F23">
      <w:pPr>
        <w:spacing w:line="240" w:lineRule="auto"/>
        <w:rPr>
          <w:color w:val="000000"/>
          <w:lang w:val="hu-HU"/>
        </w:rPr>
      </w:pPr>
    </w:p>
    <w:p w14:paraId="1E927AB4" w14:textId="77777777" w:rsidR="00A052B8" w:rsidRPr="00D045B3" w:rsidRDefault="00A052B8" w:rsidP="00A052B8">
      <w:pPr>
        <w:spacing w:line="240" w:lineRule="auto"/>
        <w:rPr>
          <w:color w:val="000000"/>
          <w:lang w:val="hu-HU"/>
        </w:rPr>
      </w:pPr>
    </w:p>
    <w:p w14:paraId="1E927AB5"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13.</w:t>
      </w:r>
      <w:r w:rsidRPr="00D045B3">
        <w:rPr>
          <w:b/>
          <w:color w:val="000000"/>
          <w:lang w:val="hu-HU"/>
        </w:rPr>
        <w:tab/>
        <w:t>A GYÁRTÁSI TÉTEL SZÁMA</w:t>
      </w:r>
    </w:p>
    <w:p w14:paraId="1E927AB6" w14:textId="77777777" w:rsidR="00A052B8" w:rsidRPr="00D045B3" w:rsidRDefault="00A052B8" w:rsidP="00A052B8">
      <w:pPr>
        <w:spacing w:line="240" w:lineRule="auto"/>
        <w:rPr>
          <w:color w:val="000000"/>
          <w:lang w:val="hu-HU"/>
        </w:rPr>
      </w:pPr>
    </w:p>
    <w:p w14:paraId="1E927AB7" w14:textId="579B96CD" w:rsidR="00A052B8" w:rsidRPr="00D045B3" w:rsidRDefault="00AE22C7" w:rsidP="00A052B8">
      <w:pPr>
        <w:spacing w:line="240" w:lineRule="auto"/>
        <w:rPr>
          <w:color w:val="000000"/>
          <w:lang w:val="hu-HU"/>
        </w:rPr>
      </w:pPr>
      <w:r w:rsidRPr="00D045B3">
        <w:rPr>
          <w:color w:val="000000"/>
          <w:lang w:val="hu-HU"/>
        </w:rPr>
        <w:t>Lot</w:t>
      </w:r>
    </w:p>
    <w:p w14:paraId="1E927AB8" w14:textId="77777777" w:rsidR="00A052B8" w:rsidRPr="00D045B3" w:rsidRDefault="00A052B8" w:rsidP="00A052B8">
      <w:pPr>
        <w:spacing w:line="240" w:lineRule="auto"/>
        <w:rPr>
          <w:color w:val="000000"/>
          <w:lang w:val="hu-HU"/>
        </w:rPr>
      </w:pPr>
    </w:p>
    <w:p w14:paraId="1E927AB9" w14:textId="77777777" w:rsidR="00A052B8" w:rsidRPr="00D045B3" w:rsidRDefault="00A052B8" w:rsidP="00A052B8">
      <w:pPr>
        <w:spacing w:line="240" w:lineRule="auto"/>
        <w:rPr>
          <w:color w:val="000000"/>
          <w:lang w:val="hu-HU"/>
        </w:rPr>
      </w:pPr>
    </w:p>
    <w:p w14:paraId="1E927ABA"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14.</w:t>
      </w:r>
      <w:r w:rsidRPr="00D045B3">
        <w:rPr>
          <w:b/>
          <w:color w:val="000000"/>
          <w:lang w:val="hu-HU"/>
        </w:rPr>
        <w:tab/>
        <w:t>A GYÓGYSZER RENDELHETŐSÉGE</w:t>
      </w:r>
    </w:p>
    <w:p w14:paraId="1E927ABB" w14:textId="77777777" w:rsidR="00A052B8" w:rsidRPr="00D045B3" w:rsidRDefault="00A052B8" w:rsidP="00A052B8">
      <w:pPr>
        <w:spacing w:line="240" w:lineRule="auto"/>
        <w:rPr>
          <w:color w:val="000000"/>
          <w:lang w:val="hu-HU"/>
        </w:rPr>
      </w:pPr>
    </w:p>
    <w:p w14:paraId="1E927ABC" w14:textId="77777777" w:rsidR="00A052B8" w:rsidRPr="00D045B3" w:rsidRDefault="00A052B8" w:rsidP="00A052B8">
      <w:pPr>
        <w:spacing w:line="240" w:lineRule="auto"/>
        <w:rPr>
          <w:color w:val="000000"/>
          <w:lang w:val="hu-HU"/>
        </w:rPr>
      </w:pPr>
      <w:r w:rsidRPr="00D045B3">
        <w:rPr>
          <w:color w:val="000000"/>
          <w:lang w:val="hu-HU"/>
        </w:rPr>
        <w:t>Orvosi rendelvényhez kötött gyógyszer.</w:t>
      </w:r>
    </w:p>
    <w:p w14:paraId="1E927ABD" w14:textId="77777777" w:rsidR="00A052B8" w:rsidRPr="00D045B3" w:rsidRDefault="00A052B8" w:rsidP="00A052B8">
      <w:pPr>
        <w:spacing w:line="240" w:lineRule="auto"/>
        <w:rPr>
          <w:color w:val="000000"/>
          <w:lang w:val="hu-HU"/>
        </w:rPr>
      </w:pPr>
    </w:p>
    <w:p w14:paraId="1E927ABE" w14:textId="77777777" w:rsidR="00A052B8" w:rsidRPr="00D045B3" w:rsidRDefault="00A052B8" w:rsidP="00A052B8">
      <w:pPr>
        <w:spacing w:line="240" w:lineRule="auto"/>
        <w:rPr>
          <w:color w:val="000000"/>
          <w:lang w:val="hu-HU"/>
        </w:rPr>
      </w:pPr>
    </w:p>
    <w:p w14:paraId="1E927ABF"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15.</w:t>
      </w:r>
      <w:r w:rsidRPr="00D045B3">
        <w:rPr>
          <w:b/>
          <w:color w:val="000000"/>
          <w:lang w:val="hu-HU"/>
        </w:rPr>
        <w:tab/>
        <w:t>AZ ALKALMAZÁSRA VONATKOZÓ UTASÍTÁSOK</w:t>
      </w:r>
    </w:p>
    <w:p w14:paraId="1E927AC0" w14:textId="77777777" w:rsidR="00A052B8" w:rsidRPr="00D045B3" w:rsidRDefault="00A052B8" w:rsidP="00A052B8">
      <w:pPr>
        <w:spacing w:line="240" w:lineRule="auto"/>
        <w:rPr>
          <w:color w:val="000000"/>
          <w:lang w:val="hu-HU"/>
        </w:rPr>
      </w:pPr>
    </w:p>
    <w:p w14:paraId="1E927AC1" w14:textId="77777777" w:rsidR="00A052B8" w:rsidRPr="00D045B3" w:rsidRDefault="00A052B8" w:rsidP="00A052B8">
      <w:pPr>
        <w:spacing w:line="240" w:lineRule="auto"/>
        <w:rPr>
          <w:color w:val="000000"/>
          <w:szCs w:val="22"/>
          <w:lang w:val="hu-HU"/>
        </w:rPr>
      </w:pPr>
    </w:p>
    <w:p w14:paraId="1E927AC2"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D045B3">
        <w:rPr>
          <w:b/>
          <w:color w:val="000000"/>
          <w:szCs w:val="22"/>
          <w:lang w:val="hu-HU"/>
        </w:rPr>
        <w:t>16.</w:t>
      </w:r>
      <w:r w:rsidRPr="00D045B3">
        <w:rPr>
          <w:b/>
          <w:color w:val="000000"/>
          <w:szCs w:val="22"/>
          <w:lang w:val="hu-HU"/>
        </w:rPr>
        <w:tab/>
        <w:t>BRAILLE ÍRÁSSAL FELTÜNTETETT INFORMÁCIÓK</w:t>
      </w:r>
    </w:p>
    <w:p w14:paraId="1E927AC3" w14:textId="77777777" w:rsidR="00A052B8" w:rsidRPr="00D045B3" w:rsidRDefault="00A052B8" w:rsidP="00A052B8">
      <w:pPr>
        <w:spacing w:line="240" w:lineRule="auto"/>
        <w:rPr>
          <w:color w:val="000000"/>
          <w:szCs w:val="22"/>
          <w:lang w:val="hu-HU"/>
        </w:rPr>
      </w:pPr>
    </w:p>
    <w:p w14:paraId="1E927AC4" w14:textId="77777777" w:rsidR="00A052B8" w:rsidRPr="00D045B3" w:rsidRDefault="00A052B8" w:rsidP="00A052B8">
      <w:pPr>
        <w:spacing w:line="240" w:lineRule="auto"/>
        <w:rPr>
          <w:color w:val="000000"/>
          <w:lang w:val="hu-HU"/>
        </w:rPr>
      </w:pPr>
      <w:r w:rsidRPr="00D045B3">
        <w:rPr>
          <w:lang w:val="hu-HU"/>
        </w:rPr>
        <w:t xml:space="preserve">Imatinib Actavis </w:t>
      </w:r>
      <w:r w:rsidRPr="00D045B3">
        <w:rPr>
          <w:color w:val="000000"/>
          <w:lang w:val="hu-HU"/>
        </w:rPr>
        <w:t>100 mg</w:t>
      </w:r>
    </w:p>
    <w:p w14:paraId="1E927AC5" w14:textId="77777777" w:rsidR="00A052B8" w:rsidRPr="00D045B3" w:rsidRDefault="00A052B8" w:rsidP="00A052B8">
      <w:pPr>
        <w:spacing w:line="240" w:lineRule="auto"/>
        <w:rPr>
          <w:color w:val="000000"/>
          <w:szCs w:val="22"/>
          <w:lang w:val="hu-HU"/>
        </w:rPr>
      </w:pPr>
    </w:p>
    <w:p w14:paraId="1E927AC6" w14:textId="77777777" w:rsidR="002E6DBA" w:rsidRPr="00D045B3" w:rsidRDefault="002E6DBA" w:rsidP="002E6DBA">
      <w:pPr>
        <w:rPr>
          <w:noProof/>
          <w:shd w:val="clear" w:color="auto" w:fill="CCCCCC"/>
          <w:lang w:val="hu-HU"/>
        </w:rPr>
      </w:pPr>
    </w:p>
    <w:p w14:paraId="1E927AC7" w14:textId="77777777" w:rsidR="002E6DBA" w:rsidRPr="00D045B3" w:rsidRDefault="002E6DBA" w:rsidP="00E95370">
      <w:pPr>
        <w:keepNext/>
        <w:numPr>
          <w:ilvl w:val="0"/>
          <w:numId w:val="32"/>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 2D VONALKÓD</w:t>
      </w:r>
    </w:p>
    <w:p w14:paraId="1E927AC8" w14:textId="77777777" w:rsidR="002E6DBA" w:rsidRPr="00D045B3" w:rsidRDefault="002E6DBA" w:rsidP="002E6DBA">
      <w:pPr>
        <w:rPr>
          <w:noProof/>
          <w:lang w:val="hu-HU"/>
        </w:rPr>
      </w:pPr>
    </w:p>
    <w:p w14:paraId="1E927AC9" w14:textId="77777777" w:rsidR="008F6E65" w:rsidRPr="00D045B3" w:rsidRDefault="00BB710A" w:rsidP="008F6E65">
      <w:pPr>
        <w:widowControl w:val="0"/>
        <w:shd w:val="clear" w:color="auto" w:fill="FFFFFF"/>
        <w:spacing w:line="240" w:lineRule="auto"/>
        <w:rPr>
          <w:szCs w:val="22"/>
          <w:shd w:val="pct15" w:color="auto" w:fill="auto"/>
          <w:lang w:val="hu-HU" w:eastAsia="en-US"/>
        </w:rPr>
      </w:pPr>
      <w:r w:rsidRPr="00D045B3">
        <w:rPr>
          <w:szCs w:val="22"/>
          <w:shd w:val="pct15" w:color="auto" w:fill="auto"/>
          <w:lang w:val="hu-HU" w:eastAsia="en-US"/>
        </w:rPr>
        <w:t>&lt;</w:t>
      </w:r>
      <w:r w:rsidR="008F6E65" w:rsidRPr="00D045B3">
        <w:rPr>
          <w:szCs w:val="22"/>
          <w:shd w:val="pct15" w:color="auto" w:fill="auto"/>
          <w:lang w:val="hu-HU" w:eastAsia="en-US"/>
        </w:rPr>
        <w:t>Egyedi azonosítójú 2D vonalkóddal ellátva.</w:t>
      </w:r>
      <w:r w:rsidRPr="00D045B3">
        <w:rPr>
          <w:szCs w:val="22"/>
          <w:shd w:val="pct15" w:color="auto" w:fill="auto"/>
          <w:lang w:val="hu-HU" w:eastAsia="en-US"/>
        </w:rPr>
        <w:t>&gt;</w:t>
      </w:r>
    </w:p>
    <w:p w14:paraId="1E927ACA" w14:textId="77777777" w:rsidR="008F6E65" w:rsidRPr="00D045B3" w:rsidRDefault="008F6E65" w:rsidP="008F6E65">
      <w:pPr>
        <w:widowControl w:val="0"/>
        <w:spacing w:line="240" w:lineRule="auto"/>
        <w:rPr>
          <w:noProof/>
          <w:szCs w:val="22"/>
          <w:lang w:val="hu-HU" w:eastAsia="en-US"/>
        </w:rPr>
      </w:pPr>
    </w:p>
    <w:p w14:paraId="1E927ACB" w14:textId="77777777" w:rsidR="002E6DBA" w:rsidRPr="00D045B3" w:rsidRDefault="002E6DBA" w:rsidP="002E6DBA">
      <w:pPr>
        <w:rPr>
          <w:noProof/>
          <w:lang w:val="hu-HU"/>
        </w:rPr>
      </w:pPr>
    </w:p>
    <w:p w14:paraId="1E927ACC" w14:textId="77777777" w:rsidR="002E6DBA" w:rsidRPr="00D045B3" w:rsidRDefault="002E6DBA" w:rsidP="00F535FA">
      <w:pPr>
        <w:keepNext/>
        <w:numPr>
          <w:ilvl w:val="0"/>
          <w:numId w:val="32"/>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OLVASHATÓ FORMÁTUMA</w:t>
      </w:r>
    </w:p>
    <w:p w14:paraId="1E927ACD" w14:textId="77777777" w:rsidR="00A052B8" w:rsidRPr="00D045B3" w:rsidRDefault="00A052B8" w:rsidP="00F535FA">
      <w:pPr>
        <w:keepNext/>
        <w:spacing w:line="240" w:lineRule="auto"/>
        <w:rPr>
          <w:color w:val="000000"/>
          <w:szCs w:val="22"/>
          <w:lang w:val="hu-HU"/>
        </w:rPr>
      </w:pPr>
    </w:p>
    <w:p w14:paraId="1E927ACE" w14:textId="38962D19" w:rsidR="008F6E65" w:rsidRPr="00D045B3" w:rsidRDefault="008F6E65" w:rsidP="00F535FA">
      <w:pPr>
        <w:keepNext/>
        <w:shd w:val="clear" w:color="auto" w:fill="FFFFFF"/>
        <w:rPr>
          <w:szCs w:val="22"/>
          <w:lang w:val="hu-HU" w:eastAsia="en-US"/>
        </w:rPr>
      </w:pPr>
      <w:r w:rsidRPr="00D045B3">
        <w:rPr>
          <w:szCs w:val="22"/>
          <w:lang w:val="hu-HU" w:eastAsia="en-US"/>
        </w:rPr>
        <w:t>PC</w:t>
      </w:r>
      <w:r w:rsidR="00BB710A" w:rsidRPr="00D045B3">
        <w:rPr>
          <w:szCs w:val="22"/>
          <w:lang w:val="hu-HU" w:eastAsia="en-US"/>
        </w:rPr>
        <w:t xml:space="preserve"> </w:t>
      </w:r>
      <w:r w:rsidR="00BB710A" w:rsidRPr="00D045B3">
        <w:rPr>
          <w:lang w:val="hu-HU"/>
        </w:rPr>
        <w:t>{szám}</w:t>
      </w:r>
    </w:p>
    <w:p w14:paraId="1E927ACF" w14:textId="744CEA80" w:rsidR="008F6E65" w:rsidRPr="00D045B3" w:rsidRDefault="008F6E65" w:rsidP="00F535FA">
      <w:pPr>
        <w:keepNext/>
        <w:shd w:val="clear" w:color="auto" w:fill="FFFFFF"/>
        <w:rPr>
          <w:szCs w:val="22"/>
          <w:lang w:val="hu-HU" w:eastAsia="en-US"/>
        </w:rPr>
      </w:pPr>
      <w:r w:rsidRPr="00D045B3">
        <w:rPr>
          <w:szCs w:val="22"/>
          <w:lang w:val="hu-HU" w:eastAsia="en-US"/>
        </w:rPr>
        <w:t>SN</w:t>
      </w:r>
      <w:r w:rsidR="00BB710A" w:rsidRPr="00D045B3">
        <w:rPr>
          <w:szCs w:val="22"/>
          <w:lang w:val="hu-HU" w:eastAsia="en-US"/>
        </w:rPr>
        <w:t xml:space="preserve"> </w:t>
      </w:r>
      <w:r w:rsidR="00BB710A" w:rsidRPr="00D045B3">
        <w:rPr>
          <w:lang w:val="hu-HU"/>
        </w:rPr>
        <w:t>{szám}</w:t>
      </w:r>
    </w:p>
    <w:p w14:paraId="1E927AD0" w14:textId="45CD2936" w:rsidR="008F6E65" w:rsidRPr="00D045B3" w:rsidRDefault="008F6E65" w:rsidP="00F535FA">
      <w:pPr>
        <w:keepNext/>
        <w:shd w:val="clear" w:color="auto" w:fill="FFFFFF"/>
        <w:spacing w:line="240" w:lineRule="auto"/>
        <w:rPr>
          <w:color w:val="000000"/>
          <w:szCs w:val="22"/>
          <w:lang w:val="hu-HU"/>
        </w:rPr>
      </w:pPr>
      <w:r w:rsidRPr="00D045B3">
        <w:rPr>
          <w:szCs w:val="22"/>
          <w:lang w:val="hu-HU" w:eastAsia="en-US"/>
        </w:rPr>
        <w:t>NN</w:t>
      </w:r>
      <w:r w:rsidR="00BB710A" w:rsidRPr="00D045B3">
        <w:rPr>
          <w:szCs w:val="22"/>
          <w:lang w:val="hu-HU" w:eastAsia="en-US"/>
        </w:rPr>
        <w:t xml:space="preserve"> </w:t>
      </w:r>
      <w:r w:rsidR="00BB710A" w:rsidRPr="00D045B3">
        <w:rPr>
          <w:lang w:val="hu-HU"/>
        </w:rPr>
        <w:t>{szám}</w:t>
      </w:r>
    </w:p>
    <w:p w14:paraId="1E927AD1" w14:textId="77777777" w:rsidR="00A052B8" w:rsidRPr="00D045B3" w:rsidRDefault="00A052B8" w:rsidP="00A052B8">
      <w:pPr>
        <w:spacing w:line="240" w:lineRule="auto"/>
        <w:rPr>
          <w:b/>
          <w:color w:val="000000"/>
          <w:u w:val="single"/>
          <w:lang w:val="hu-HU"/>
        </w:rPr>
      </w:pPr>
      <w:r w:rsidRPr="00D045B3">
        <w:rPr>
          <w:lang w:val="hu-HU"/>
        </w:rPr>
        <w:br w:type="page"/>
      </w:r>
    </w:p>
    <w:p w14:paraId="1E927AD2" w14:textId="77777777" w:rsidR="00044A96" w:rsidRPr="00D045B3" w:rsidRDefault="00044A96" w:rsidP="00044A96">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KÜLSŐ CSOMAGOLÁSON FELTÜNTETENDŐ ADATOK</w:t>
      </w:r>
    </w:p>
    <w:p w14:paraId="1E927AD3" w14:textId="77777777" w:rsidR="00044A96" w:rsidRPr="00D045B3" w:rsidRDefault="00044A96" w:rsidP="00044A96">
      <w:pPr>
        <w:pBdr>
          <w:top w:val="single" w:sz="4" w:space="1" w:color="auto"/>
          <w:left w:val="single" w:sz="4" w:space="4" w:color="auto"/>
          <w:bottom w:val="single" w:sz="4" w:space="1" w:color="auto"/>
          <w:right w:val="single" w:sz="4" w:space="4" w:color="auto"/>
        </w:pBdr>
        <w:spacing w:line="240" w:lineRule="auto"/>
        <w:rPr>
          <w:b/>
          <w:color w:val="000000"/>
          <w:lang w:val="hu-HU"/>
        </w:rPr>
      </w:pPr>
    </w:p>
    <w:p w14:paraId="1E927AD4" w14:textId="77777777" w:rsidR="00044A96" w:rsidRPr="00D045B3" w:rsidRDefault="00044A96" w:rsidP="00044A96">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DOBOZ</w:t>
      </w:r>
    </w:p>
    <w:p w14:paraId="1E927AD5" w14:textId="77777777" w:rsidR="0052506B" w:rsidRPr="00D045B3" w:rsidRDefault="0052506B" w:rsidP="0052506B">
      <w:pPr>
        <w:spacing w:line="240" w:lineRule="auto"/>
        <w:rPr>
          <w:color w:val="000000"/>
          <w:lang w:val="hu-HU"/>
        </w:rPr>
      </w:pPr>
    </w:p>
    <w:p w14:paraId="1E927AD6"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AD7" w14:textId="77777777" w:rsidR="0052506B" w:rsidRPr="00D045B3" w:rsidRDefault="0052506B" w:rsidP="0052506B">
      <w:pPr>
        <w:spacing w:line="240" w:lineRule="auto"/>
        <w:rPr>
          <w:color w:val="000000"/>
          <w:lang w:val="hu-HU"/>
        </w:rPr>
      </w:pPr>
    </w:p>
    <w:p w14:paraId="1E927AD8" w14:textId="77777777" w:rsidR="0052506B" w:rsidRPr="00D045B3" w:rsidRDefault="0052506B" w:rsidP="0052506B">
      <w:pPr>
        <w:spacing w:line="240" w:lineRule="auto"/>
        <w:rPr>
          <w:color w:val="000000"/>
          <w:lang w:val="hu-HU"/>
        </w:rPr>
      </w:pPr>
      <w:r w:rsidRPr="00D045B3">
        <w:rPr>
          <w:lang w:val="hu-HU"/>
        </w:rPr>
        <w:t xml:space="preserve">Imatinib Actavis </w:t>
      </w:r>
      <w:r w:rsidRPr="00D045B3">
        <w:rPr>
          <w:color w:val="000000"/>
          <w:lang w:val="hu-HU"/>
        </w:rPr>
        <w:t>400 mg kemény kapszula</w:t>
      </w:r>
    </w:p>
    <w:p w14:paraId="1E927AD9" w14:textId="77777777" w:rsidR="0052506B" w:rsidRPr="00D045B3" w:rsidRDefault="0052506B" w:rsidP="0052506B">
      <w:pPr>
        <w:spacing w:line="240" w:lineRule="auto"/>
        <w:rPr>
          <w:color w:val="000000"/>
          <w:lang w:val="hu-HU"/>
        </w:rPr>
      </w:pPr>
      <w:r w:rsidRPr="00D045B3">
        <w:rPr>
          <w:color w:val="000000"/>
          <w:lang w:val="hu-HU"/>
        </w:rPr>
        <w:t>imatinib</w:t>
      </w:r>
    </w:p>
    <w:p w14:paraId="1E927ADA" w14:textId="77777777" w:rsidR="0052506B" w:rsidRPr="00D045B3" w:rsidRDefault="0052506B" w:rsidP="0052506B">
      <w:pPr>
        <w:spacing w:line="240" w:lineRule="auto"/>
        <w:rPr>
          <w:color w:val="000000"/>
          <w:lang w:val="hu-HU"/>
        </w:rPr>
      </w:pPr>
    </w:p>
    <w:p w14:paraId="1E927ADB" w14:textId="77777777" w:rsidR="0052506B" w:rsidRPr="00D045B3" w:rsidRDefault="0052506B" w:rsidP="0052506B">
      <w:pPr>
        <w:spacing w:line="240" w:lineRule="auto"/>
        <w:rPr>
          <w:color w:val="000000"/>
          <w:lang w:val="hu-HU"/>
        </w:rPr>
      </w:pPr>
    </w:p>
    <w:p w14:paraId="1E927ADC"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HATÓANYAG(OK) MEGNEVEZÉSE</w:t>
      </w:r>
    </w:p>
    <w:p w14:paraId="1E927ADD" w14:textId="77777777" w:rsidR="0052506B" w:rsidRPr="00D045B3" w:rsidRDefault="0052506B" w:rsidP="0052506B">
      <w:pPr>
        <w:spacing w:line="240" w:lineRule="auto"/>
        <w:rPr>
          <w:color w:val="000000"/>
          <w:lang w:val="hu-HU"/>
        </w:rPr>
      </w:pPr>
    </w:p>
    <w:p w14:paraId="1E927ADE" w14:textId="77777777" w:rsidR="0052506B" w:rsidRPr="00D045B3" w:rsidRDefault="0052506B" w:rsidP="0052506B">
      <w:pPr>
        <w:spacing w:line="240" w:lineRule="auto"/>
        <w:rPr>
          <w:color w:val="000000"/>
          <w:lang w:val="hu-HU"/>
        </w:rPr>
      </w:pPr>
      <w:r w:rsidRPr="00D045B3">
        <w:rPr>
          <w:color w:val="000000"/>
          <w:lang w:val="hu-HU"/>
        </w:rPr>
        <w:t>400 mg imatinib (mezilát formájában) kemény kapszulánként.</w:t>
      </w:r>
    </w:p>
    <w:p w14:paraId="1E927ADF" w14:textId="77777777" w:rsidR="0052506B" w:rsidRPr="00D045B3" w:rsidRDefault="0052506B" w:rsidP="0052506B">
      <w:pPr>
        <w:spacing w:line="240" w:lineRule="auto"/>
        <w:rPr>
          <w:color w:val="000000"/>
          <w:lang w:val="hu-HU"/>
        </w:rPr>
      </w:pPr>
    </w:p>
    <w:p w14:paraId="1E927AE0" w14:textId="77777777" w:rsidR="0052506B" w:rsidRPr="00D045B3" w:rsidRDefault="0052506B" w:rsidP="0052506B">
      <w:pPr>
        <w:spacing w:line="240" w:lineRule="auto"/>
        <w:rPr>
          <w:color w:val="000000"/>
          <w:lang w:val="hu-HU"/>
        </w:rPr>
      </w:pPr>
    </w:p>
    <w:p w14:paraId="1E927AE1"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SEGÉDANYAGOK FELSOROLÁSA</w:t>
      </w:r>
    </w:p>
    <w:p w14:paraId="1E927AE2" w14:textId="77777777" w:rsidR="0052506B" w:rsidRPr="00D045B3" w:rsidRDefault="0052506B" w:rsidP="0052506B">
      <w:pPr>
        <w:spacing w:line="240" w:lineRule="auto"/>
        <w:rPr>
          <w:color w:val="000000"/>
          <w:lang w:val="hu-HU"/>
        </w:rPr>
      </w:pPr>
    </w:p>
    <w:p w14:paraId="1E927AE3" w14:textId="77777777" w:rsidR="0052506B" w:rsidRPr="00D045B3" w:rsidRDefault="0052506B" w:rsidP="0052506B">
      <w:pPr>
        <w:spacing w:line="240" w:lineRule="auto"/>
        <w:rPr>
          <w:color w:val="000000"/>
          <w:lang w:val="hu-HU"/>
        </w:rPr>
      </w:pPr>
    </w:p>
    <w:p w14:paraId="1E927AE4"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GYÓGYSZERFORMA ÉS TARTALOM</w:t>
      </w:r>
    </w:p>
    <w:p w14:paraId="1E927AE5" w14:textId="77777777" w:rsidR="0052506B" w:rsidRPr="00D045B3" w:rsidRDefault="0052506B" w:rsidP="0052506B">
      <w:pPr>
        <w:spacing w:line="240" w:lineRule="auto"/>
        <w:rPr>
          <w:color w:val="000000"/>
          <w:lang w:val="hu-HU"/>
        </w:rPr>
      </w:pPr>
    </w:p>
    <w:p w14:paraId="1E927AE6" w14:textId="77777777" w:rsidR="0052506B" w:rsidRPr="00D045B3" w:rsidRDefault="0052506B" w:rsidP="0052506B">
      <w:pPr>
        <w:spacing w:line="240" w:lineRule="auto"/>
        <w:rPr>
          <w:color w:val="000000"/>
          <w:lang w:val="hu-HU"/>
        </w:rPr>
      </w:pPr>
      <w:r w:rsidRPr="00D045B3">
        <w:rPr>
          <w:color w:val="000000"/>
          <w:lang w:val="hu-HU"/>
        </w:rPr>
        <w:t>10 db kemény kapszula</w:t>
      </w:r>
    </w:p>
    <w:p w14:paraId="1E927AE7" w14:textId="77777777" w:rsidR="0052506B" w:rsidRPr="00D045B3" w:rsidRDefault="0052506B" w:rsidP="0052506B">
      <w:pPr>
        <w:spacing w:line="240" w:lineRule="auto"/>
        <w:rPr>
          <w:color w:val="000000"/>
          <w:highlight w:val="lightGray"/>
          <w:lang w:val="hu-HU"/>
        </w:rPr>
      </w:pPr>
      <w:r w:rsidRPr="00D045B3">
        <w:rPr>
          <w:color w:val="000000"/>
          <w:highlight w:val="lightGray"/>
          <w:lang w:val="hu-HU"/>
        </w:rPr>
        <w:t>30 db kemény kapszula</w:t>
      </w:r>
    </w:p>
    <w:p w14:paraId="1E927AE8" w14:textId="77777777" w:rsidR="0052506B" w:rsidRPr="00D045B3" w:rsidRDefault="0052506B" w:rsidP="0052506B">
      <w:pPr>
        <w:spacing w:line="240" w:lineRule="auto"/>
        <w:rPr>
          <w:color w:val="000000"/>
          <w:highlight w:val="lightGray"/>
          <w:lang w:val="hu-HU"/>
        </w:rPr>
      </w:pPr>
      <w:r w:rsidRPr="00D045B3">
        <w:rPr>
          <w:color w:val="000000"/>
          <w:highlight w:val="lightGray"/>
          <w:lang w:val="hu-HU"/>
        </w:rPr>
        <w:t>60 db kemény kapszula</w:t>
      </w:r>
    </w:p>
    <w:p w14:paraId="1E927AE9" w14:textId="77777777" w:rsidR="0052506B" w:rsidRPr="00D045B3" w:rsidRDefault="0052506B" w:rsidP="0052506B">
      <w:pPr>
        <w:spacing w:line="240" w:lineRule="auto"/>
        <w:rPr>
          <w:color w:val="000000"/>
          <w:lang w:val="hu-HU"/>
        </w:rPr>
      </w:pPr>
      <w:r w:rsidRPr="00D045B3">
        <w:rPr>
          <w:color w:val="000000"/>
          <w:highlight w:val="lightGray"/>
          <w:lang w:val="hu-HU"/>
        </w:rPr>
        <w:t>90 db kemény kapszula</w:t>
      </w:r>
    </w:p>
    <w:p w14:paraId="1E927AEA" w14:textId="77777777" w:rsidR="0052506B" w:rsidRPr="00D045B3" w:rsidRDefault="0052506B" w:rsidP="0052506B">
      <w:pPr>
        <w:spacing w:line="240" w:lineRule="auto"/>
        <w:rPr>
          <w:color w:val="000000"/>
          <w:lang w:val="hu-HU"/>
        </w:rPr>
      </w:pPr>
    </w:p>
    <w:p w14:paraId="1E927AEB" w14:textId="77777777" w:rsidR="0052506B" w:rsidRPr="00D045B3" w:rsidRDefault="0052506B" w:rsidP="0052506B">
      <w:pPr>
        <w:spacing w:line="240" w:lineRule="auto"/>
        <w:rPr>
          <w:color w:val="000000"/>
          <w:lang w:val="hu-HU"/>
        </w:rPr>
      </w:pPr>
    </w:p>
    <w:p w14:paraId="1E927AEC"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5.</w:t>
      </w:r>
      <w:r w:rsidRPr="00D045B3">
        <w:rPr>
          <w:b/>
          <w:color w:val="000000"/>
          <w:lang w:val="hu-HU"/>
        </w:rPr>
        <w:tab/>
        <w:t>AZ ALKALMAZÁSSAL KAPCSOLATOS TUDNIVALÓK ÉS AZ ALKALMAZÁS MÓDJA(I)</w:t>
      </w:r>
    </w:p>
    <w:p w14:paraId="1E927AED" w14:textId="77777777" w:rsidR="0052506B" w:rsidRPr="00D045B3" w:rsidRDefault="0052506B" w:rsidP="0052506B">
      <w:pPr>
        <w:spacing w:line="240" w:lineRule="auto"/>
        <w:rPr>
          <w:color w:val="000000"/>
          <w:lang w:val="hu-HU"/>
        </w:rPr>
      </w:pPr>
    </w:p>
    <w:p w14:paraId="1E927AEE" w14:textId="77777777" w:rsidR="0052506B" w:rsidRPr="00D045B3" w:rsidRDefault="0052506B" w:rsidP="0052506B">
      <w:pPr>
        <w:rPr>
          <w:color w:val="000000"/>
          <w:lang w:val="hu-HU"/>
        </w:rPr>
      </w:pPr>
      <w:r w:rsidRPr="00D045B3">
        <w:rPr>
          <w:color w:val="000000"/>
          <w:lang w:val="hu-HU"/>
        </w:rPr>
        <w:t xml:space="preserve">Szájon át történő alkalmazásra. </w:t>
      </w:r>
    </w:p>
    <w:p w14:paraId="1E927AEF" w14:textId="77777777" w:rsidR="0052506B" w:rsidRPr="00D045B3" w:rsidRDefault="0052506B" w:rsidP="0052506B">
      <w:pPr>
        <w:rPr>
          <w:color w:val="000000"/>
          <w:lang w:val="hu-HU"/>
        </w:rPr>
      </w:pPr>
      <w:r w:rsidRPr="00D045B3">
        <w:rPr>
          <w:color w:val="000000"/>
          <w:lang w:val="hu-HU"/>
        </w:rPr>
        <w:t>Használat előtt olvassa el a mellékelt betegtájékoztatót!</w:t>
      </w:r>
    </w:p>
    <w:p w14:paraId="1E927AF0" w14:textId="77777777" w:rsidR="0052506B" w:rsidRPr="00D045B3" w:rsidRDefault="0052506B" w:rsidP="0052506B">
      <w:pPr>
        <w:spacing w:line="240" w:lineRule="auto"/>
        <w:rPr>
          <w:color w:val="000000"/>
          <w:lang w:val="hu-HU"/>
        </w:rPr>
      </w:pPr>
    </w:p>
    <w:p w14:paraId="1E927AF1" w14:textId="77777777" w:rsidR="0052506B" w:rsidRPr="00D045B3" w:rsidRDefault="0052506B" w:rsidP="0052506B">
      <w:pPr>
        <w:spacing w:line="240" w:lineRule="auto"/>
        <w:rPr>
          <w:color w:val="000000"/>
          <w:lang w:val="hu-HU"/>
        </w:rPr>
      </w:pPr>
    </w:p>
    <w:p w14:paraId="1E927AF2"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6.</w:t>
      </w:r>
      <w:r w:rsidRPr="00D045B3">
        <w:rPr>
          <w:b/>
          <w:color w:val="000000"/>
          <w:lang w:val="hu-HU"/>
        </w:rPr>
        <w:tab/>
        <w:t xml:space="preserve">KÜLÖN FIGYELMEZTETÉS, MELY SZERINT A GYÓGYSZERT GYERMEKEKTŐL ELZÁRVA </w:t>
      </w:r>
      <w:smartTag w:uri="urn:schemas-microsoft-com:office:smarttags" w:element="stockticker">
        <w:r w:rsidRPr="00D045B3">
          <w:rPr>
            <w:b/>
            <w:color w:val="000000"/>
            <w:lang w:val="hu-HU"/>
          </w:rPr>
          <w:t>KELL</w:t>
        </w:r>
      </w:smartTag>
      <w:r w:rsidRPr="00D045B3">
        <w:rPr>
          <w:b/>
          <w:color w:val="000000"/>
          <w:lang w:val="hu-HU"/>
        </w:rPr>
        <w:t xml:space="preserve"> TARTANI</w:t>
      </w:r>
    </w:p>
    <w:p w14:paraId="1E927AF3" w14:textId="77777777" w:rsidR="0052506B" w:rsidRPr="00D045B3" w:rsidRDefault="0052506B" w:rsidP="0052506B">
      <w:pPr>
        <w:spacing w:line="240" w:lineRule="auto"/>
        <w:rPr>
          <w:color w:val="000000"/>
          <w:lang w:val="hu-HU"/>
        </w:rPr>
      </w:pPr>
    </w:p>
    <w:p w14:paraId="1E927AF4" w14:textId="77777777" w:rsidR="0052506B" w:rsidRPr="00D045B3" w:rsidRDefault="0052506B" w:rsidP="0052506B">
      <w:pPr>
        <w:spacing w:line="240" w:lineRule="auto"/>
        <w:rPr>
          <w:color w:val="000000"/>
          <w:lang w:val="hu-HU"/>
        </w:rPr>
      </w:pPr>
      <w:r w:rsidRPr="00D045B3">
        <w:rPr>
          <w:color w:val="000000"/>
          <w:lang w:val="hu-HU"/>
        </w:rPr>
        <w:t>A gyógyszer gyermekektől elzárva tartandó!</w:t>
      </w:r>
    </w:p>
    <w:p w14:paraId="1E927AF5" w14:textId="77777777" w:rsidR="0052506B" w:rsidRPr="00D045B3" w:rsidRDefault="0052506B" w:rsidP="0052506B">
      <w:pPr>
        <w:spacing w:line="240" w:lineRule="auto"/>
        <w:rPr>
          <w:color w:val="000000"/>
          <w:lang w:val="hu-HU"/>
        </w:rPr>
      </w:pPr>
    </w:p>
    <w:p w14:paraId="1E927AF6" w14:textId="77777777" w:rsidR="0052506B" w:rsidRPr="00D045B3" w:rsidRDefault="0052506B" w:rsidP="0052506B">
      <w:pPr>
        <w:spacing w:line="240" w:lineRule="auto"/>
        <w:rPr>
          <w:color w:val="000000"/>
          <w:lang w:val="hu-HU"/>
        </w:rPr>
      </w:pPr>
    </w:p>
    <w:p w14:paraId="1E927AF7"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7.</w:t>
      </w:r>
      <w:r w:rsidRPr="00D045B3">
        <w:rPr>
          <w:b/>
          <w:color w:val="000000"/>
          <w:lang w:val="hu-HU"/>
        </w:rPr>
        <w:tab/>
        <w:t>TOVÁBBI FIGYELMEZTETÉS(EK), AMENNYIBEN SZÜKSÉGES</w:t>
      </w:r>
    </w:p>
    <w:p w14:paraId="1E927AF8" w14:textId="77777777" w:rsidR="0052506B" w:rsidRPr="00D045B3" w:rsidRDefault="0052506B" w:rsidP="0052506B">
      <w:pPr>
        <w:spacing w:line="240" w:lineRule="auto"/>
        <w:rPr>
          <w:color w:val="000000"/>
          <w:lang w:val="hu-HU"/>
        </w:rPr>
      </w:pPr>
    </w:p>
    <w:p w14:paraId="1E927AF9" w14:textId="77777777" w:rsidR="0052506B" w:rsidRPr="00D045B3" w:rsidRDefault="0052506B" w:rsidP="0052506B">
      <w:pPr>
        <w:spacing w:line="240" w:lineRule="auto"/>
        <w:rPr>
          <w:color w:val="000000"/>
          <w:lang w:val="hu-HU"/>
        </w:rPr>
      </w:pPr>
      <w:r w:rsidRPr="00D045B3">
        <w:rPr>
          <w:color w:val="000000"/>
          <w:lang w:val="hu-HU"/>
        </w:rPr>
        <w:t>Adagolása kizárólag az orvos utasításai szerint.</w:t>
      </w:r>
    </w:p>
    <w:p w14:paraId="1E927AFA" w14:textId="77777777" w:rsidR="0052506B" w:rsidRPr="00D045B3" w:rsidRDefault="0052506B" w:rsidP="0052506B">
      <w:pPr>
        <w:spacing w:line="240" w:lineRule="auto"/>
        <w:rPr>
          <w:color w:val="000000"/>
          <w:lang w:val="hu-HU"/>
        </w:rPr>
      </w:pPr>
    </w:p>
    <w:p w14:paraId="1E927AFB" w14:textId="77777777" w:rsidR="0052506B" w:rsidRPr="00D045B3" w:rsidRDefault="0052506B" w:rsidP="0052506B">
      <w:pPr>
        <w:spacing w:line="240" w:lineRule="auto"/>
        <w:rPr>
          <w:color w:val="000000"/>
          <w:lang w:val="hu-HU"/>
        </w:rPr>
      </w:pPr>
    </w:p>
    <w:p w14:paraId="1E927AFC"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8.</w:t>
      </w:r>
      <w:r w:rsidRPr="00D045B3">
        <w:rPr>
          <w:b/>
          <w:color w:val="000000"/>
          <w:lang w:val="hu-HU"/>
        </w:rPr>
        <w:tab/>
        <w:t>LEJÁRATI IDŐ</w:t>
      </w:r>
    </w:p>
    <w:p w14:paraId="1E927AFD" w14:textId="77777777" w:rsidR="0052506B" w:rsidRPr="00D045B3" w:rsidRDefault="0052506B" w:rsidP="0052506B">
      <w:pPr>
        <w:spacing w:line="240" w:lineRule="auto"/>
        <w:rPr>
          <w:color w:val="000000"/>
          <w:lang w:val="hu-HU"/>
        </w:rPr>
      </w:pPr>
    </w:p>
    <w:p w14:paraId="1E927AFE" w14:textId="03FB0DAB" w:rsidR="0052506B" w:rsidRPr="00D045B3" w:rsidRDefault="00AE22C7" w:rsidP="0052506B">
      <w:pPr>
        <w:spacing w:line="240" w:lineRule="auto"/>
        <w:rPr>
          <w:color w:val="000000"/>
          <w:lang w:val="hu-HU"/>
        </w:rPr>
      </w:pPr>
      <w:r w:rsidRPr="00D045B3">
        <w:rPr>
          <w:color w:val="000000"/>
          <w:lang w:val="hu-HU"/>
        </w:rPr>
        <w:t>EXP</w:t>
      </w:r>
    </w:p>
    <w:p w14:paraId="1E927AFF" w14:textId="77777777" w:rsidR="0052506B" w:rsidRPr="00D045B3" w:rsidRDefault="0052506B" w:rsidP="0052506B">
      <w:pPr>
        <w:spacing w:line="240" w:lineRule="auto"/>
        <w:rPr>
          <w:color w:val="000000"/>
          <w:lang w:val="hu-HU"/>
        </w:rPr>
      </w:pPr>
    </w:p>
    <w:p w14:paraId="1E927B00" w14:textId="77777777" w:rsidR="0052506B" w:rsidRPr="00D045B3" w:rsidRDefault="0052506B" w:rsidP="0052506B">
      <w:pPr>
        <w:spacing w:line="240" w:lineRule="auto"/>
        <w:rPr>
          <w:color w:val="000000"/>
          <w:lang w:val="hu-HU"/>
        </w:rPr>
      </w:pPr>
    </w:p>
    <w:p w14:paraId="1E927B01"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9.</w:t>
      </w:r>
      <w:r w:rsidRPr="00D045B3">
        <w:rPr>
          <w:b/>
          <w:color w:val="000000"/>
          <w:lang w:val="hu-HU"/>
        </w:rPr>
        <w:tab/>
        <w:t>KÜLÖNLEGES TÁROLÁSI ELŐÍRÁSOK</w:t>
      </w:r>
    </w:p>
    <w:p w14:paraId="1E927B02" w14:textId="77777777" w:rsidR="0052506B" w:rsidRPr="00D045B3" w:rsidRDefault="0052506B" w:rsidP="0052506B">
      <w:pPr>
        <w:spacing w:line="240" w:lineRule="auto"/>
        <w:rPr>
          <w:color w:val="000000"/>
          <w:lang w:val="hu-HU"/>
        </w:rPr>
      </w:pPr>
    </w:p>
    <w:p w14:paraId="1E927B03" w14:textId="77777777" w:rsidR="0052506B" w:rsidRPr="00D045B3" w:rsidRDefault="0052506B" w:rsidP="0052506B">
      <w:pPr>
        <w:spacing w:line="240" w:lineRule="auto"/>
        <w:rPr>
          <w:color w:val="000000"/>
          <w:lang w:val="hu-HU"/>
        </w:rPr>
      </w:pPr>
      <w:r w:rsidRPr="00D045B3">
        <w:rPr>
          <w:color w:val="000000"/>
          <w:lang w:val="hu-HU"/>
        </w:rPr>
        <w:t>Legfeljebb 25</w:t>
      </w:r>
      <w:r w:rsidRPr="00D045B3">
        <w:rPr>
          <w:color w:val="000000"/>
          <w:lang w:val="hu-HU"/>
        </w:rPr>
        <w:sym w:font="Symbol" w:char="F0B0"/>
      </w:r>
      <w:r w:rsidRPr="00D045B3">
        <w:rPr>
          <w:color w:val="000000"/>
          <w:lang w:val="hu-HU"/>
        </w:rPr>
        <w:t>C</w:t>
      </w:r>
      <w:r w:rsidRPr="00D045B3">
        <w:rPr>
          <w:color w:val="000000"/>
          <w:lang w:val="hu-HU"/>
        </w:rPr>
        <w:noBreakHyphen/>
        <w:t xml:space="preserve">on tárolandó. </w:t>
      </w:r>
    </w:p>
    <w:p w14:paraId="1E927B04" w14:textId="77777777" w:rsidR="0052506B" w:rsidRPr="00D045B3" w:rsidRDefault="0052506B" w:rsidP="0052506B">
      <w:pPr>
        <w:spacing w:line="240" w:lineRule="auto"/>
        <w:rPr>
          <w:color w:val="000000"/>
          <w:lang w:val="hu-HU"/>
        </w:rPr>
      </w:pPr>
      <w:r w:rsidRPr="00D045B3">
        <w:rPr>
          <w:color w:val="000000"/>
          <w:lang w:val="hu-HU"/>
        </w:rPr>
        <w:t>A nedvességtől való védelem érdekében az eredeti csomagolásban tárolandó.</w:t>
      </w:r>
    </w:p>
    <w:p w14:paraId="1E927B05" w14:textId="77777777" w:rsidR="0052506B" w:rsidRPr="00D045B3" w:rsidRDefault="0052506B" w:rsidP="0052506B">
      <w:pPr>
        <w:spacing w:line="240" w:lineRule="auto"/>
        <w:rPr>
          <w:color w:val="000000"/>
          <w:lang w:val="hu-HU"/>
        </w:rPr>
      </w:pPr>
    </w:p>
    <w:p w14:paraId="1E927B06" w14:textId="77777777" w:rsidR="0052506B" w:rsidRPr="00D045B3" w:rsidRDefault="0052506B" w:rsidP="0052506B">
      <w:pPr>
        <w:spacing w:line="240" w:lineRule="auto"/>
        <w:rPr>
          <w:color w:val="000000"/>
          <w:lang w:val="hu-HU"/>
        </w:rPr>
      </w:pPr>
    </w:p>
    <w:p w14:paraId="1E927B07"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10.</w:t>
      </w:r>
      <w:r w:rsidRPr="00D045B3">
        <w:rPr>
          <w:b/>
          <w:color w:val="000000"/>
          <w:lang w:val="hu-HU"/>
        </w:rPr>
        <w:tab/>
        <w:t xml:space="preserve">KÜLÖNLEGES ÓVINTÉZKEDÉSEK A FEL </w:t>
      </w:r>
      <w:smartTag w:uri="urn:schemas-microsoft-com:office:smarttags" w:element="stockticker">
        <w:r w:rsidRPr="00D045B3">
          <w:rPr>
            <w:b/>
            <w:color w:val="000000"/>
            <w:lang w:val="hu-HU"/>
          </w:rPr>
          <w:t>NEM</w:t>
        </w:r>
      </w:smartTag>
      <w:r w:rsidRPr="00D045B3">
        <w:rPr>
          <w:b/>
          <w:color w:val="000000"/>
          <w:lang w:val="hu-HU"/>
        </w:rPr>
        <w:t xml:space="preserve"> HASZNÁLT GYÓGYSZEREK VAGY AZ ILYEN TERMÉKEKBŐL KELETKEZETT HULLADÉKANYAGOK ÁRTALMATLANNÁ TÉTELÉRE, HA ILYENEKRE SZÜKSÉG VAN</w:t>
      </w:r>
    </w:p>
    <w:p w14:paraId="1E927B08" w14:textId="77777777" w:rsidR="0052506B" w:rsidRPr="00D045B3" w:rsidRDefault="0052506B" w:rsidP="0052506B">
      <w:pPr>
        <w:spacing w:line="240" w:lineRule="auto"/>
        <w:rPr>
          <w:color w:val="000000"/>
          <w:lang w:val="hu-HU"/>
        </w:rPr>
      </w:pPr>
    </w:p>
    <w:p w14:paraId="1E927B09" w14:textId="77777777" w:rsidR="0052506B" w:rsidRPr="00D045B3" w:rsidRDefault="0052506B" w:rsidP="0052506B">
      <w:pPr>
        <w:spacing w:line="240" w:lineRule="auto"/>
        <w:rPr>
          <w:color w:val="000000"/>
          <w:lang w:val="hu-HU"/>
        </w:rPr>
      </w:pPr>
    </w:p>
    <w:p w14:paraId="1E927B0A"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11.</w:t>
      </w:r>
      <w:r w:rsidRPr="00D045B3">
        <w:rPr>
          <w:b/>
          <w:color w:val="000000"/>
          <w:lang w:val="hu-HU"/>
        </w:rPr>
        <w:tab/>
        <w:t>A FORGALOMBA HOZATALI ENGEDÉLY JOGOSULTJÁNAK NEVE ÉS CÍME</w:t>
      </w:r>
    </w:p>
    <w:p w14:paraId="1E927B0B" w14:textId="77777777" w:rsidR="0052506B" w:rsidRPr="00D045B3" w:rsidRDefault="0052506B" w:rsidP="0052506B">
      <w:pPr>
        <w:spacing w:line="240" w:lineRule="auto"/>
        <w:rPr>
          <w:color w:val="000000"/>
          <w:lang w:val="hu-HU"/>
        </w:rPr>
      </w:pPr>
    </w:p>
    <w:p w14:paraId="1E927B0C" w14:textId="77777777" w:rsidR="0052506B" w:rsidRPr="00D045B3" w:rsidRDefault="0052506B" w:rsidP="0052506B">
      <w:pPr>
        <w:autoSpaceDE w:val="0"/>
        <w:autoSpaceDN w:val="0"/>
        <w:adjustRightInd w:val="0"/>
        <w:spacing w:line="240" w:lineRule="auto"/>
        <w:rPr>
          <w:lang w:val="hu-HU"/>
        </w:rPr>
      </w:pPr>
      <w:r w:rsidRPr="00D045B3">
        <w:rPr>
          <w:lang w:val="hu-HU"/>
        </w:rPr>
        <w:t>Actavis Group PTC ehf.</w:t>
      </w:r>
    </w:p>
    <w:p w14:paraId="1E927B0D" w14:textId="77777777" w:rsidR="0052506B" w:rsidRPr="00D045B3" w:rsidRDefault="0052506B" w:rsidP="0052506B">
      <w:pPr>
        <w:autoSpaceDE w:val="0"/>
        <w:autoSpaceDN w:val="0"/>
        <w:adjustRightInd w:val="0"/>
        <w:spacing w:line="240" w:lineRule="auto"/>
        <w:rPr>
          <w:lang w:val="hu-HU"/>
        </w:rPr>
      </w:pPr>
      <w:r w:rsidRPr="00D045B3">
        <w:rPr>
          <w:lang w:val="hu-HU"/>
        </w:rPr>
        <w:t>220 Hafnarfjörður</w:t>
      </w:r>
    </w:p>
    <w:p w14:paraId="1E927B0E" w14:textId="77777777" w:rsidR="0052506B" w:rsidRPr="00D045B3" w:rsidRDefault="0052506B" w:rsidP="0052506B">
      <w:pPr>
        <w:autoSpaceDE w:val="0"/>
        <w:autoSpaceDN w:val="0"/>
        <w:adjustRightInd w:val="0"/>
        <w:spacing w:line="240" w:lineRule="auto"/>
        <w:rPr>
          <w:lang w:val="hu-HU"/>
        </w:rPr>
      </w:pPr>
      <w:r w:rsidRPr="00D045B3">
        <w:rPr>
          <w:lang w:val="hu-HU"/>
        </w:rPr>
        <w:t>Izland</w:t>
      </w:r>
    </w:p>
    <w:p w14:paraId="1E927B0F" w14:textId="77777777" w:rsidR="0052506B" w:rsidRPr="00D045B3" w:rsidRDefault="0052506B" w:rsidP="0052506B">
      <w:pPr>
        <w:spacing w:line="240" w:lineRule="auto"/>
        <w:rPr>
          <w:color w:val="000000"/>
          <w:lang w:val="hu-HU"/>
        </w:rPr>
      </w:pPr>
    </w:p>
    <w:p w14:paraId="1E927B10" w14:textId="77777777" w:rsidR="0052506B" w:rsidRPr="00D045B3" w:rsidRDefault="0052506B" w:rsidP="0052506B">
      <w:pPr>
        <w:spacing w:line="240" w:lineRule="auto"/>
        <w:rPr>
          <w:color w:val="000000"/>
          <w:lang w:val="hu-HU"/>
        </w:rPr>
      </w:pPr>
    </w:p>
    <w:p w14:paraId="1E927B11"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12.</w:t>
      </w:r>
      <w:r w:rsidRPr="00D045B3">
        <w:rPr>
          <w:b/>
          <w:color w:val="000000"/>
          <w:lang w:val="hu-HU"/>
        </w:rPr>
        <w:tab/>
        <w:t>A FORGALOMBA HOZATALI ENGEDÉLY SZÁMA(I)</w:t>
      </w:r>
    </w:p>
    <w:p w14:paraId="1E927B12" w14:textId="77777777" w:rsidR="0052506B" w:rsidRPr="00D045B3" w:rsidRDefault="0052506B" w:rsidP="0052506B">
      <w:pPr>
        <w:spacing w:line="240" w:lineRule="auto"/>
        <w:rPr>
          <w:color w:val="000000"/>
          <w:lang w:val="hu-HU"/>
        </w:rPr>
      </w:pPr>
    </w:p>
    <w:p w14:paraId="1E927B13" w14:textId="77777777" w:rsidR="0052506B" w:rsidRPr="00D045B3" w:rsidRDefault="0052506B" w:rsidP="0052506B">
      <w:pPr>
        <w:pStyle w:val="KeinLeerraum"/>
        <w:rPr>
          <w:rFonts w:ascii="Times New Roman" w:hAnsi="Times New Roman"/>
        </w:rPr>
      </w:pPr>
      <w:r w:rsidRPr="00D045B3">
        <w:rPr>
          <w:rFonts w:ascii="Times New Roman" w:hAnsi="Times New Roman"/>
        </w:rPr>
        <w:t xml:space="preserve">EU/1/13/825/020 </w:t>
      </w:r>
      <w:r w:rsidRPr="00D045B3">
        <w:rPr>
          <w:rFonts w:ascii="Times New Roman" w:hAnsi="Times New Roman"/>
          <w:highlight w:val="lightGray"/>
        </w:rPr>
        <w:t>10 </w:t>
      </w:r>
      <w:r w:rsidRPr="00D045B3">
        <w:rPr>
          <w:rFonts w:ascii="Times New Roman" w:hAnsi="Times New Roman"/>
          <w:color w:val="000000"/>
          <w:highlight w:val="lightGray"/>
        </w:rPr>
        <w:t>kapszula</w:t>
      </w:r>
    </w:p>
    <w:p w14:paraId="1E927B14" w14:textId="77777777" w:rsidR="0052506B" w:rsidRPr="00D045B3" w:rsidRDefault="0052506B" w:rsidP="0052506B">
      <w:pPr>
        <w:autoSpaceDE w:val="0"/>
        <w:autoSpaceDN w:val="0"/>
        <w:adjustRightInd w:val="0"/>
        <w:spacing w:line="240" w:lineRule="auto"/>
        <w:rPr>
          <w:color w:val="000000"/>
          <w:highlight w:val="lightGray"/>
          <w:lang w:val="hu-HU"/>
        </w:rPr>
      </w:pPr>
      <w:r w:rsidRPr="00D045B3">
        <w:rPr>
          <w:highlight w:val="lightGray"/>
          <w:lang w:val="hu-HU"/>
        </w:rPr>
        <w:t>EU/1/13/825/021 30 </w:t>
      </w:r>
      <w:r w:rsidRPr="00D045B3">
        <w:rPr>
          <w:color w:val="000000"/>
          <w:highlight w:val="lightGray"/>
          <w:lang w:val="hu-HU"/>
        </w:rPr>
        <w:t>kapszula</w:t>
      </w:r>
    </w:p>
    <w:p w14:paraId="1E927B15" w14:textId="77777777" w:rsidR="0052506B" w:rsidRPr="00D045B3" w:rsidRDefault="0052506B" w:rsidP="0052506B">
      <w:pPr>
        <w:autoSpaceDE w:val="0"/>
        <w:autoSpaceDN w:val="0"/>
        <w:adjustRightInd w:val="0"/>
        <w:spacing w:line="240" w:lineRule="auto"/>
        <w:rPr>
          <w:highlight w:val="lightGray"/>
          <w:lang w:val="hu-HU"/>
        </w:rPr>
      </w:pPr>
      <w:r w:rsidRPr="00D045B3">
        <w:rPr>
          <w:highlight w:val="lightGray"/>
          <w:lang w:val="hu-HU"/>
        </w:rPr>
        <w:t xml:space="preserve">EU/1/13/825/022 60 kapszula </w:t>
      </w:r>
    </w:p>
    <w:p w14:paraId="1E927B16" w14:textId="77777777" w:rsidR="0052506B" w:rsidRPr="00D045B3" w:rsidRDefault="0052506B" w:rsidP="0052506B">
      <w:pPr>
        <w:autoSpaceDE w:val="0"/>
        <w:autoSpaceDN w:val="0"/>
        <w:adjustRightInd w:val="0"/>
        <w:spacing w:line="240" w:lineRule="auto"/>
        <w:rPr>
          <w:highlight w:val="lightGray"/>
          <w:lang w:val="hu-HU"/>
        </w:rPr>
      </w:pPr>
      <w:r w:rsidRPr="00D045B3">
        <w:rPr>
          <w:highlight w:val="lightGray"/>
          <w:lang w:val="hu-HU"/>
        </w:rPr>
        <w:t>EU/1/13/825/023 90 </w:t>
      </w:r>
      <w:r w:rsidRPr="00D045B3">
        <w:rPr>
          <w:color w:val="000000"/>
          <w:highlight w:val="lightGray"/>
          <w:lang w:val="hu-HU"/>
        </w:rPr>
        <w:t>kapszula</w:t>
      </w:r>
    </w:p>
    <w:p w14:paraId="1E927B17" w14:textId="77777777" w:rsidR="0052506B" w:rsidRPr="00D045B3" w:rsidRDefault="0052506B" w:rsidP="0052506B">
      <w:pPr>
        <w:spacing w:line="240" w:lineRule="auto"/>
        <w:rPr>
          <w:color w:val="000000"/>
          <w:lang w:val="hu-HU"/>
        </w:rPr>
      </w:pPr>
    </w:p>
    <w:p w14:paraId="1E927B18" w14:textId="77777777" w:rsidR="0052506B" w:rsidRPr="00D045B3" w:rsidRDefault="0052506B" w:rsidP="0052506B">
      <w:pPr>
        <w:spacing w:line="240" w:lineRule="auto"/>
        <w:rPr>
          <w:color w:val="000000"/>
          <w:lang w:val="hu-HU"/>
        </w:rPr>
      </w:pPr>
    </w:p>
    <w:p w14:paraId="1E927B19"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13.</w:t>
      </w:r>
      <w:r w:rsidRPr="00D045B3">
        <w:rPr>
          <w:b/>
          <w:color w:val="000000"/>
          <w:lang w:val="hu-HU"/>
        </w:rPr>
        <w:tab/>
        <w:t>A GYÁRTÁSI TÉTEL SZÁMA</w:t>
      </w:r>
    </w:p>
    <w:p w14:paraId="1E927B1A" w14:textId="77777777" w:rsidR="0052506B" w:rsidRPr="00D045B3" w:rsidRDefault="0052506B" w:rsidP="0052506B">
      <w:pPr>
        <w:spacing w:line="240" w:lineRule="auto"/>
        <w:rPr>
          <w:color w:val="000000"/>
          <w:lang w:val="hu-HU"/>
        </w:rPr>
      </w:pPr>
    </w:p>
    <w:p w14:paraId="1E927B1B" w14:textId="52FE67ED" w:rsidR="0052506B" w:rsidRPr="00D045B3" w:rsidRDefault="00AE22C7" w:rsidP="0052506B">
      <w:pPr>
        <w:spacing w:line="240" w:lineRule="auto"/>
        <w:rPr>
          <w:color w:val="000000"/>
          <w:lang w:val="hu-HU"/>
        </w:rPr>
      </w:pPr>
      <w:r w:rsidRPr="00D045B3">
        <w:rPr>
          <w:color w:val="000000"/>
          <w:lang w:val="hu-HU"/>
        </w:rPr>
        <w:t>Lot</w:t>
      </w:r>
    </w:p>
    <w:p w14:paraId="1E927B1C" w14:textId="77777777" w:rsidR="0052506B" w:rsidRPr="00D045B3" w:rsidRDefault="0052506B" w:rsidP="0052506B">
      <w:pPr>
        <w:spacing w:line="240" w:lineRule="auto"/>
        <w:rPr>
          <w:color w:val="000000"/>
          <w:lang w:val="hu-HU"/>
        </w:rPr>
      </w:pPr>
    </w:p>
    <w:p w14:paraId="1E927B1D" w14:textId="77777777" w:rsidR="0052506B" w:rsidRPr="00D045B3" w:rsidRDefault="0052506B" w:rsidP="0052506B">
      <w:pPr>
        <w:spacing w:line="240" w:lineRule="auto"/>
        <w:rPr>
          <w:color w:val="000000"/>
          <w:lang w:val="hu-HU"/>
        </w:rPr>
      </w:pPr>
    </w:p>
    <w:p w14:paraId="1E927B1E"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14.</w:t>
      </w:r>
      <w:r w:rsidRPr="00D045B3">
        <w:rPr>
          <w:b/>
          <w:color w:val="000000"/>
          <w:lang w:val="hu-HU"/>
        </w:rPr>
        <w:tab/>
        <w:t>A GYÓGYSZER RENDELHETŐSÉGE</w:t>
      </w:r>
    </w:p>
    <w:p w14:paraId="1E927B1F" w14:textId="77777777" w:rsidR="0052506B" w:rsidRPr="00D045B3" w:rsidRDefault="0052506B" w:rsidP="0052506B">
      <w:pPr>
        <w:spacing w:line="240" w:lineRule="auto"/>
        <w:rPr>
          <w:color w:val="000000"/>
          <w:lang w:val="hu-HU"/>
        </w:rPr>
      </w:pPr>
    </w:p>
    <w:p w14:paraId="1E927B20" w14:textId="77777777" w:rsidR="0052506B" w:rsidRPr="00D045B3" w:rsidRDefault="0052506B" w:rsidP="0052506B">
      <w:pPr>
        <w:spacing w:line="240" w:lineRule="auto"/>
        <w:rPr>
          <w:color w:val="000000"/>
          <w:lang w:val="hu-HU"/>
        </w:rPr>
      </w:pPr>
      <w:r w:rsidRPr="00D045B3">
        <w:rPr>
          <w:color w:val="000000"/>
          <w:lang w:val="hu-HU"/>
        </w:rPr>
        <w:t>Orvosi rendelvényhez kötött gyógyszer.</w:t>
      </w:r>
    </w:p>
    <w:p w14:paraId="1E927B21" w14:textId="77777777" w:rsidR="0052506B" w:rsidRPr="00D045B3" w:rsidRDefault="0052506B" w:rsidP="0052506B">
      <w:pPr>
        <w:spacing w:line="240" w:lineRule="auto"/>
        <w:rPr>
          <w:color w:val="000000"/>
          <w:lang w:val="hu-HU"/>
        </w:rPr>
      </w:pPr>
    </w:p>
    <w:p w14:paraId="1E927B22" w14:textId="77777777" w:rsidR="0052506B" w:rsidRPr="00D045B3" w:rsidRDefault="0052506B" w:rsidP="0052506B">
      <w:pPr>
        <w:spacing w:line="240" w:lineRule="auto"/>
        <w:rPr>
          <w:color w:val="000000"/>
          <w:lang w:val="hu-HU"/>
        </w:rPr>
      </w:pPr>
    </w:p>
    <w:p w14:paraId="1E927B23"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15.</w:t>
      </w:r>
      <w:r w:rsidRPr="00D045B3">
        <w:rPr>
          <w:b/>
          <w:color w:val="000000"/>
          <w:lang w:val="hu-HU"/>
        </w:rPr>
        <w:tab/>
        <w:t>AZ ALKALMAZÁSRA VONATKOZÓ UTASÍTÁSOK</w:t>
      </w:r>
    </w:p>
    <w:p w14:paraId="1E927B24" w14:textId="77777777" w:rsidR="0052506B" w:rsidRPr="00D045B3" w:rsidRDefault="0052506B" w:rsidP="0052506B">
      <w:pPr>
        <w:spacing w:line="240" w:lineRule="auto"/>
        <w:rPr>
          <w:color w:val="000000"/>
          <w:lang w:val="hu-HU"/>
        </w:rPr>
      </w:pPr>
    </w:p>
    <w:p w14:paraId="1E927B25" w14:textId="77777777" w:rsidR="0052506B" w:rsidRPr="00D045B3" w:rsidRDefault="0052506B" w:rsidP="0052506B">
      <w:pPr>
        <w:spacing w:line="240" w:lineRule="auto"/>
        <w:rPr>
          <w:color w:val="000000"/>
          <w:szCs w:val="22"/>
          <w:lang w:val="hu-HU"/>
        </w:rPr>
      </w:pPr>
    </w:p>
    <w:p w14:paraId="1E927B26"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D045B3">
        <w:rPr>
          <w:b/>
          <w:color w:val="000000"/>
          <w:szCs w:val="22"/>
          <w:lang w:val="hu-HU"/>
        </w:rPr>
        <w:t>16.</w:t>
      </w:r>
      <w:r w:rsidRPr="00D045B3">
        <w:rPr>
          <w:b/>
          <w:color w:val="000000"/>
          <w:szCs w:val="22"/>
          <w:lang w:val="hu-HU"/>
        </w:rPr>
        <w:tab/>
        <w:t>BRAILLE ÍRÁSSAL FELTÜNTETETT INFORMÁCIÓK</w:t>
      </w:r>
    </w:p>
    <w:p w14:paraId="1E927B27" w14:textId="77777777" w:rsidR="0052506B" w:rsidRPr="00D045B3" w:rsidRDefault="0052506B" w:rsidP="0052506B">
      <w:pPr>
        <w:spacing w:line="240" w:lineRule="auto"/>
        <w:rPr>
          <w:color w:val="000000"/>
          <w:szCs w:val="22"/>
          <w:lang w:val="hu-HU"/>
        </w:rPr>
      </w:pPr>
    </w:p>
    <w:p w14:paraId="1E927B28" w14:textId="77777777" w:rsidR="0052506B" w:rsidRPr="00D045B3" w:rsidRDefault="0052506B" w:rsidP="0052506B">
      <w:pPr>
        <w:spacing w:line="240" w:lineRule="auto"/>
        <w:rPr>
          <w:color w:val="000000"/>
          <w:lang w:val="hu-HU"/>
        </w:rPr>
      </w:pPr>
      <w:r w:rsidRPr="00D045B3">
        <w:rPr>
          <w:lang w:val="hu-HU"/>
        </w:rPr>
        <w:t xml:space="preserve">Imatinib Actavis </w:t>
      </w:r>
      <w:r w:rsidR="00BB710A" w:rsidRPr="00D045B3">
        <w:rPr>
          <w:lang w:val="hu-HU"/>
        </w:rPr>
        <w:t>4</w:t>
      </w:r>
      <w:r w:rsidRPr="00D045B3">
        <w:rPr>
          <w:color w:val="000000"/>
          <w:lang w:val="hu-HU"/>
        </w:rPr>
        <w:t>00 mg</w:t>
      </w:r>
    </w:p>
    <w:p w14:paraId="1E927B29" w14:textId="77777777" w:rsidR="0052506B" w:rsidRPr="00D045B3" w:rsidRDefault="0052506B" w:rsidP="0052506B">
      <w:pPr>
        <w:spacing w:line="240" w:lineRule="auto"/>
        <w:rPr>
          <w:color w:val="000000"/>
          <w:szCs w:val="22"/>
          <w:lang w:val="hu-HU"/>
        </w:rPr>
      </w:pPr>
    </w:p>
    <w:p w14:paraId="1E927B2A" w14:textId="77777777" w:rsidR="0052506B" w:rsidRPr="00D045B3" w:rsidRDefault="0052506B" w:rsidP="0052506B">
      <w:pPr>
        <w:rPr>
          <w:noProof/>
          <w:shd w:val="clear" w:color="auto" w:fill="CCCCCC"/>
          <w:lang w:val="hu-HU"/>
        </w:rPr>
      </w:pPr>
    </w:p>
    <w:p w14:paraId="1E927B2B" w14:textId="77777777" w:rsidR="0052506B" w:rsidRPr="00D045B3" w:rsidRDefault="00F535FA" w:rsidP="00F535FA">
      <w:pPr>
        <w:keepNext/>
        <w:pBdr>
          <w:top w:val="single" w:sz="4" w:space="1" w:color="auto"/>
          <w:left w:val="single" w:sz="4" w:space="4" w:color="auto"/>
          <w:bottom w:val="single" w:sz="4" w:space="1" w:color="auto"/>
          <w:right w:val="single" w:sz="4" w:space="4" w:color="auto"/>
        </w:pBdr>
        <w:spacing w:line="240" w:lineRule="auto"/>
        <w:outlineLvl w:val="0"/>
        <w:rPr>
          <w:i/>
          <w:noProof/>
          <w:lang w:val="hu-HU"/>
        </w:rPr>
      </w:pPr>
      <w:r w:rsidRPr="00D045B3">
        <w:rPr>
          <w:b/>
          <w:noProof/>
          <w:lang w:val="hu-HU"/>
        </w:rPr>
        <w:t>17.</w:t>
      </w:r>
      <w:r w:rsidRPr="00D045B3">
        <w:rPr>
          <w:b/>
          <w:noProof/>
          <w:lang w:val="hu-HU"/>
        </w:rPr>
        <w:tab/>
      </w:r>
      <w:r w:rsidR="0052506B" w:rsidRPr="00D045B3">
        <w:rPr>
          <w:b/>
          <w:noProof/>
          <w:lang w:val="hu-HU"/>
        </w:rPr>
        <w:t>EGYEDI AZONOSÍTÓ – 2D VONALKÓD</w:t>
      </w:r>
    </w:p>
    <w:p w14:paraId="1E927B2C" w14:textId="77777777" w:rsidR="0052506B" w:rsidRPr="00D045B3" w:rsidRDefault="0052506B" w:rsidP="0052506B">
      <w:pPr>
        <w:rPr>
          <w:noProof/>
          <w:lang w:val="hu-HU"/>
        </w:rPr>
      </w:pPr>
    </w:p>
    <w:p w14:paraId="1E927B2D" w14:textId="77777777" w:rsidR="0052506B" w:rsidRPr="00D045B3" w:rsidRDefault="00BB710A" w:rsidP="0052506B">
      <w:pPr>
        <w:widowControl w:val="0"/>
        <w:shd w:val="clear" w:color="auto" w:fill="FFFFFF"/>
        <w:spacing w:line="240" w:lineRule="auto"/>
        <w:rPr>
          <w:szCs w:val="22"/>
          <w:shd w:val="pct15" w:color="auto" w:fill="auto"/>
          <w:lang w:val="hu-HU" w:eastAsia="en-US"/>
        </w:rPr>
      </w:pPr>
      <w:r w:rsidRPr="00D045B3">
        <w:rPr>
          <w:szCs w:val="22"/>
          <w:shd w:val="pct15" w:color="auto" w:fill="auto"/>
          <w:lang w:val="hu-HU" w:eastAsia="en-US"/>
        </w:rPr>
        <w:t>&lt;</w:t>
      </w:r>
      <w:r w:rsidR="0052506B" w:rsidRPr="00D045B3">
        <w:rPr>
          <w:szCs w:val="22"/>
          <w:shd w:val="pct15" w:color="auto" w:fill="auto"/>
          <w:lang w:val="hu-HU" w:eastAsia="en-US"/>
        </w:rPr>
        <w:t>Egyedi azonosítójú 2D vonalkóddal ellátva.</w:t>
      </w:r>
      <w:r w:rsidRPr="00D045B3">
        <w:rPr>
          <w:szCs w:val="22"/>
          <w:shd w:val="pct15" w:color="auto" w:fill="auto"/>
          <w:lang w:val="hu-HU" w:eastAsia="en-US"/>
        </w:rPr>
        <w:t>&gt;</w:t>
      </w:r>
    </w:p>
    <w:p w14:paraId="1E927B2E" w14:textId="77777777" w:rsidR="0052506B" w:rsidRPr="00D045B3" w:rsidRDefault="0052506B" w:rsidP="0052506B">
      <w:pPr>
        <w:widowControl w:val="0"/>
        <w:spacing w:line="240" w:lineRule="auto"/>
        <w:rPr>
          <w:noProof/>
          <w:szCs w:val="22"/>
          <w:lang w:val="hu-HU" w:eastAsia="en-US"/>
        </w:rPr>
      </w:pPr>
    </w:p>
    <w:p w14:paraId="1E927B2F" w14:textId="77777777" w:rsidR="0052506B" w:rsidRPr="00D045B3" w:rsidRDefault="0052506B" w:rsidP="0052506B">
      <w:pPr>
        <w:rPr>
          <w:noProof/>
          <w:lang w:val="hu-HU"/>
        </w:rPr>
      </w:pPr>
    </w:p>
    <w:p w14:paraId="1E927B30" w14:textId="77777777" w:rsidR="0052506B" w:rsidRPr="00D045B3" w:rsidRDefault="00F535FA" w:rsidP="00F535FA">
      <w:pPr>
        <w:keepNext/>
        <w:pBdr>
          <w:top w:val="single" w:sz="4" w:space="1" w:color="auto"/>
          <w:left w:val="single" w:sz="4" w:space="4" w:color="auto"/>
          <w:bottom w:val="single" w:sz="4" w:space="1" w:color="auto"/>
          <w:right w:val="single" w:sz="4" w:space="4" w:color="auto"/>
        </w:pBdr>
        <w:spacing w:line="240" w:lineRule="auto"/>
        <w:outlineLvl w:val="0"/>
        <w:rPr>
          <w:i/>
          <w:noProof/>
          <w:lang w:val="hu-HU"/>
        </w:rPr>
      </w:pPr>
      <w:r w:rsidRPr="00D045B3">
        <w:rPr>
          <w:b/>
          <w:noProof/>
          <w:lang w:val="hu-HU"/>
        </w:rPr>
        <w:t>18</w:t>
      </w:r>
      <w:r w:rsidRPr="00D045B3">
        <w:rPr>
          <w:b/>
          <w:noProof/>
          <w:lang w:val="hu-HU"/>
        </w:rPr>
        <w:tab/>
      </w:r>
      <w:r w:rsidR="0052506B" w:rsidRPr="00D045B3">
        <w:rPr>
          <w:b/>
          <w:noProof/>
          <w:lang w:val="hu-HU"/>
        </w:rPr>
        <w:t>EGYEDI AZONOSÍTÓ OLVASHATÓ FORMÁTUMA</w:t>
      </w:r>
    </w:p>
    <w:p w14:paraId="1E927B31" w14:textId="77777777" w:rsidR="0052506B" w:rsidRPr="00D045B3" w:rsidRDefault="0052506B" w:rsidP="0052506B">
      <w:pPr>
        <w:spacing w:line="240" w:lineRule="auto"/>
        <w:rPr>
          <w:color w:val="000000"/>
          <w:szCs w:val="22"/>
          <w:lang w:val="hu-HU"/>
        </w:rPr>
      </w:pPr>
    </w:p>
    <w:p w14:paraId="1E927B32" w14:textId="6AB2C811" w:rsidR="0052506B" w:rsidRPr="00D045B3" w:rsidRDefault="0052506B" w:rsidP="0052506B">
      <w:pPr>
        <w:widowControl w:val="0"/>
        <w:shd w:val="clear" w:color="auto" w:fill="FFFFFF"/>
        <w:rPr>
          <w:szCs w:val="22"/>
          <w:lang w:val="hu-HU" w:eastAsia="en-US"/>
        </w:rPr>
      </w:pPr>
      <w:r w:rsidRPr="00D045B3">
        <w:rPr>
          <w:szCs w:val="22"/>
          <w:lang w:val="hu-HU" w:eastAsia="en-US"/>
        </w:rPr>
        <w:t>PC</w:t>
      </w:r>
      <w:r w:rsidR="00BB710A" w:rsidRPr="00D045B3">
        <w:rPr>
          <w:szCs w:val="22"/>
          <w:lang w:val="hu-HU" w:eastAsia="en-US"/>
        </w:rPr>
        <w:t xml:space="preserve"> </w:t>
      </w:r>
      <w:r w:rsidR="00BB710A" w:rsidRPr="00D045B3">
        <w:rPr>
          <w:lang w:val="hu-HU"/>
        </w:rPr>
        <w:t>{szám}</w:t>
      </w:r>
    </w:p>
    <w:p w14:paraId="1E927B33" w14:textId="67B23101" w:rsidR="0052506B" w:rsidRPr="00D045B3" w:rsidRDefault="0052506B" w:rsidP="0052506B">
      <w:pPr>
        <w:widowControl w:val="0"/>
        <w:shd w:val="clear" w:color="auto" w:fill="FFFFFF"/>
        <w:rPr>
          <w:szCs w:val="22"/>
          <w:lang w:val="hu-HU" w:eastAsia="en-US"/>
        </w:rPr>
      </w:pPr>
      <w:r w:rsidRPr="00D045B3">
        <w:rPr>
          <w:szCs w:val="22"/>
          <w:lang w:val="hu-HU" w:eastAsia="en-US"/>
        </w:rPr>
        <w:t>SN</w:t>
      </w:r>
      <w:r w:rsidR="00BB710A" w:rsidRPr="00D045B3">
        <w:rPr>
          <w:szCs w:val="22"/>
          <w:lang w:val="hu-HU" w:eastAsia="en-US"/>
        </w:rPr>
        <w:t xml:space="preserve"> </w:t>
      </w:r>
      <w:r w:rsidR="00BB710A" w:rsidRPr="00D045B3">
        <w:rPr>
          <w:lang w:val="hu-HU"/>
        </w:rPr>
        <w:t>{szám}</w:t>
      </w:r>
    </w:p>
    <w:p w14:paraId="1E927B34" w14:textId="3A0EE4BB" w:rsidR="0052506B" w:rsidRPr="00D045B3" w:rsidRDefault="0052506B" w:rsidP="0052506B">
      <w:pPr>
        <w:shd w:val="clear" w:color="auto" w:fill="FFFFFF"/>
        <w:spacing w:line="240" w:lineRule="auto"/>
        <w:rPr>
          <w:color w:val="000000"/>
          <w:szCs w:val="22"/>
          <w:lang w:val="hu-HU"/>
        </w:rPr>
      </w:pPr>
      <w:r w:rsidRPr="00D045B3">
        <w:rPr>
          <w:szCs w:val="22"/>
          <w:lang w:val="hu-HU" w:eastAsia="en-US"/>
        </w:rPr>
        <w:t>NN</w:t>
      </w:r>
      <w:r w:rsidR="00BB710A" w:rsidRPr="00D045B3">
        <w:rPr>
          <w:szCs w:val="22"/>
          <w:lang w:val="hu-HU" w:eastAsia="en-US"/>
        </w:rPr>
        <w:t xml:space="preserve"> </w:t>
      </w:r>
      <w:r w:rsidR="00BB710A" w:rsidRPr="00D045B3">
        <w:rPr>
          <w:lang w:val="hu-HU"/>
        </w:rPr>
        <w:t>{szám}</w:t>
      </w:r>
    </w:p>
    <w:p w14:paraId="1E927B35" w14:textId="77777777" w:rsidR="0052506B" w:rsidRPr="00D045B3" w:rsidRDefault="0052506B" w:rsidP="0052506B">
      <w:pPr>
        <w:spacing w:line="240" w:lineRule="auto"/>
        <w:rPr>
          <w:b/>
          <w:color w:val="000000"/>
          <w:u w:val="single"/>
          <w:lang w:val="hu-HU"/>
        </w:rPr>
      </w:pPr>
      <w:r w:rsidRPr="00D045B3">
        <w:rPr>
          <w:lang w:val="hu-HU"/>
        </w:rPr>
        <w:br w:type="page"/>
      </w:r>
    </w:p>
    <w:p w14:paraId="1E927B36" w14:textId="77777777" w:rsidR="008F6E65" w:rsidRPr="00D045B3" w:rsidRDefault="008F6E65" w:rsidP="008F6E65">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BUBORÉK</w:t>
      </w:r>
      <w:r w:rsidRPr="00D045B3">
        <w:rPr>
          <w:b/>
          <w:noProof/>
          <w:szCs w:val="22"/>
          <w:lang w:val="hu-HU" w:eastAsia="en-US"/>
        </w:rPr>
        <w:t>CSOMAGOLÁSON</w:t>
      </w:r>
      <w:r w:rsidRPr="00D045B3">
        <w:rPr>
          <w:b/>
          <w:color w:val="000000"/>
          <w:lang w:val="hu-HU"/>
        </w:rPr>
        <w:t xml:space="preserve"> VAGY A </w:t>
      </w:r>
      <w:r w:rsidRPr="00D045B3">
        <w:rPr>
          <w:b/>
          <w:noProof/>
          <w:szCs w:val="22"/>
          <w:lang w:val="hu-HU" w:eastAsia="en-US"/>
        </w:rPr>
        <w:t xml:space="preserve">FÓLIACSÍKON </w:t>
      </w:r>
      <w:r w:rsidRPr="00D045B3">
        <w:rPr>
          <w:b/>
          <w:noProof/>
          <w:color w:val="000000"/>
          <w:lang w:val="hu-HU"/>
        </w:rPr>
        <w:t>MINIMÁLISAN</w:t>
      </w:r>
      <w:r w:rsidRPr="00D045B3">
        <w:rPr>
          <w:b/>
          <w:color w:val="000000"/>
          <w:lang w:val="hu-HU"/>
        </w:rPr>
        <w:t xml:space="preserve"> FELTÜNTETENDŐ ADATOK</w:t>
      </w:r>
    </w:p>
    <w:p w14:paraId="1E927B37" w14:textId="77777777" w:rsidR="008F6E65" w:rsidRPr="00D045B3" w:rsidRDefault="008F6E65" w:rsidP="008F6E65">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B38" w14:textId="77777777" w:rsidR="008F6E65" w:rsidRPr="00D045B3" w:rsidRDefault="008F6E65" w:rsidP="008F6E65">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BUBORÉK</w:t>
      </w:r>
      <w:r w:rsidRPr="00D045B3">
        <w:rPr>
          <w:b/>
          <w:noProof/>
          <w:szCs w:val="22"/>
          <w:lang w:val="hu-HU" w:eastAsia="en-US"/>
        </w:rPr>
        <w:t>CSOMAGOLÁS</w:t>
      </w:r>
    </w:p>
    <w:p w14:paraId="1E927B39" w14:textId="77777777" w:rsidR="008F6E65" w:rsidRPr="00D045B3" w:rsidRDefault="008F6E65" w:rsidP="008F6E65">
      <w:pPr>
        <w:spacing w:line="240" w:lineRule="auto"/>
        <w:rPr>
          <w:color w:val="000000"/>
          <w:lang w:val="hu-HU"/>
        </w:rPr>
      </w:pPr>
    </w:p>
    <w:p w14:paraId="1E927B3A" w14:textId="77777777" w:rsidR="008F6E65" w:rsidRPr="00D045B3" w:rsidRDefault="008F6E65" w:rsidP="008F6E65">
      <w:pPr>
        <w:spacing w:line="240" w:lineRule="auto"/>
        <w:rPr>
          <w:color w:val="000000"/>
          <w:lang w:val="hu-HU"/>
        </w:rPr>
      </w:pPr>
    </w:p>
    <w:p w14:paraId="1E927B3B" w14:textId="77777777" w:rsidR="008F6E65" w:rsidRPr="00D045B3" w:rsidRDefault="008F6E65" w:rsidP="008F6E65">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B3C" w14:textId="77777777" w:rsidR="008F6E65" w:rsidRPr="00D045B3" w:rsidRDefault="008F6E65" w:rsidP="008F6E65">
      <w:pPr>
        <w:spacing w:line="240" w:lineRule="auto"/>
        <w:ind w:left="567" w:hanging="567"/>
        <w:rPr>
          <w:color w:val="000000"/>
          <w:lang w:val="hu-HU"/>
        </w:rPr>
      </w:pPr>
    </w:p>
    <w:p w14:paraId="1E927B3D" w14:textId="77777777" w:rsidR="008F6E65" w:rsidRPr="00D045B3" w:rsidRDefault="008F6E65" w:rsidP="008F6E65">
      <w:pPr>
        <w:spacing w:line="240" w:lineRule="auto"/>
        <w:rPr>
          <w:color w:val="000000"/>
          <w:lang w:val="hu-HU"/>
        </w:rPr>
      </w:pPr>
      <w:r w:rsidRPr="00D045B3">
        <w:rPr>
          <w:lang w:val="hu-HU"/>
        </w:rPr>
        <w:t xml:space="preserve">Imatinib Actavis </w:t>
      </w:r>
      <w:r w:rsidRPr="00D045B3">
        <w:rPr>
          <w:color w:val="000000"/>
          <w:lang w:val="hu-HU"/>
        </w:rPr>
        <w:t>50 mg kemény kapszula</w:t>
      </w:r>
    </w:p>
    <w:p w14:paraId="1E927B3E" w14:textId="77777777" w:rsidR="008F6E65" w:rsidRPr="00D045B3" w:rsidRDefault="008F6E65" w:rsidP="008F6E65">
      <w:pPr>
        <w:spacing w:line="240" w:lineRule="auto"/>
        <w:rPr>
          <w:color w:val="000000"/>
          <w:lang w:val="hu-HU"/>
        </w:rPr>
      </w:pPr>
      <w:r w:rsidRPr="00D045B3">
        <w:rPr>
          <w:color w:val="000000"/>
          <w:lang w:val="hu-HU"/>
        </w:rPr>
        <w:t>imatinib</w:t>
      </w:r>
    </w:p>
    <w:p w14:paraId="1E927B3F" w14:textId="77777777" w:rsidR="008F6E65" w:rsidRPr="00D045B3" w:rsidRDefault="008F6E65" w:rsidP="008F6E65">
      <w:pPr>
        <w:spacing w:line="240" w:lineRule="auto"/>
        <w:rPr>
          <w:color w:val="000000"/>
          <w:lang w:val="hu-HU"/>
        </w:rPr>
      </w:pPr>
    </w:p>
    <w:p w14:paraId="1E927B40" w14:textId="77777777" w:rsidR="008F6E65" w:rsidRPr="00D045B3" w:rsidRDefault="008F6E65" w:rsidP="008F6E65">
      <w:pPr>
        <w:spacing w:line="240" w:lineRule="auto"/>
        <w:rPr>
          <w:color w:val="000000"/>
          <w:lang w:val="hu-HU"/>
        </w:rPr>
      </w:pPr>
    </w:p>
    <w:p w14:paraId="1E927B41" w14:textId="77777777" w:rsidR="008F6E65" w:rsidRPr="00D045B3" w:rsidRDefault="008F6E65" w:rsidP="008F6E65">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A FORGALOMBA HOZATALI ENGEDÉLY JOGOSULTJÁNAK NEVE</w:t>
      </w:r>
    </w:p>
    <w:p w14:paraId="1E927B42" w14:textId="77777777" w:rsidR="008F6E65" w:rsidRPr="00D045B3" w:rsidRDefault="008F6E65" w:rsidP="008F6E65">
      <w:pPr>
        <w:spacing w:line="240" w:lineRule="auto"/>
        <w:rPr>
          <w:color w:val="000000"/>
          <w:lang w:val="hu-HU"/>
        </w:rPr>
      </w:pPr>
    </w:p>
    <w:p w14:paraId="1E927B43" w14:textId="77777777" w:rsidR="008F6E65" w:rsidRPr="00D045B3" w:rsidRDefault="008F6E65" w:rsidP="008F6E65">
      <w:pPr>
        <w:autoSpaceDE w:val="0"/>
        <w:autoSpaceDN w:val="0"/>
        <w:adjustRightInd w:val="0"/>
        <w:spacing w:line="240" w:lineRule="auto"/>
        <w:rPr>
          <w:lang w:val="hu-HU"/>
        </w:rPr>
      </w:pPr>
      <w:r w:rsidRPr="00D045B3">
        <w:rPr>
          <w:lang w:val="hu-HU"/>
        </w:rPr>
        <w:t>[Actavis logó]</w:t>
      </w:r>
    </w:p>
    <w:p w14:paraId="1E927B44" w14:textId="77777777" w:rsidR="008F6E65" w:rsidRPr="00D045B3" w:rsidRDefault="008F6E65" w:rsidP="008F6E65">
      <w:pPr>
        <w:spacing w:line="240" w:lineRule="auto"/>
        <w:rPr>
          <w:color w:val="000000"/>
          <w:lang w:val="hu-HU"/>
        </w:rPr>
      </w:pPr>
    </w:p>
    <w:p w14:paraId="1E927B45" w14:textId="77777777" w:rsidR="008F6E65" w:rsidRPr="00D045B3" w:rsidRDefault="008F6E65" w:rsidP="008F6E65">
      <w:pPr>
        <w:spacing w:line="240" w:lineRule="auto"/>
        <w:rPr>
          <w:color w:val="000000"/>
          <w:lang w:val="hu-HU"/>
        </w:rPr>
      </w:pPr>
    </w:p>
    <w:p w14:paraId="1E927B46" w14:textId="77777777" w:rsidR="008F6E65" w:rsidRPr="00D045B3" w:rsidRDefault="008F6E65" w:rsidP="008F6E65">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LEJÁRATI IDŐ</w:t>
      </w:r>
    </w:p>
    <w:p w14:paraId="1E927B47" w14:textId="77777777" w:rsidR="008F6E65" w:rsidRPr="00D045B3" w:rsidRDefault="008F6E65" w:rsidP="008F6E65">
      <w:pPr>
        <w:spacing w:line="240" w:lineRule="auto"/>
        <w:rPr>
          <w:color w:val="000000"/>
          <w:lang w:val="hu-HU"/>
        </w:rPr>
      </w:pPr>
    </w:p>
    <w:p w14:paraId="1E927B48" w14:textId="01514EB9" w:rsidR="008F6E65" w:rsidRPr="00D045B3" w:rsidRDefault="00AE22C7" w:rsidP="008F6E65">
      <w:pPr>
        <w:pStyle w:val="Endnotentext"/>
        <w:spacing w:line="240" w:lineRule="auto"/>
        <w:rPr>
          <w:color w:val="000000"/>
          <w:lang w:val="hu-HU"/>
        </w:rPr>
      </w:pPr>
      <w:r w:rsidRPr="00D045B3">
        <w:rPr>
          <w:color w:val="000000"/>
          <w:lang w:val="hu-HU"/>
        </w:rPr>
        <w:t>EXP</w:t>
      </w:r>
    </w:p>
    <w:p w14:paraId="1E927B49" w14:textId="77777777" w:rsidR="008F6E65" w:rsidRPr="00D045B3" w:rsidRDefault="008F6E65" w:rsidP="008F6E65">
      <w:pPr>
        <w:spacing w:line="240" w:lineRule="auto"/>
        <w:rPr>
          <w:color w:val="000000"/>
          <w:lang w:val="hu-HU"/>
        </w:rPr>
      </w:pPr>
    </w:p>
    <w:p w14:paraId="1E927B4A" w14:textId="77777777" w:rsidR="008F6E65" w:rsidRPr="00D045B3" w:rsidRDefault="008F6E65" w:rsidP="008F6E65">
      <w:pPr>
        <w:spacing w:line="240" w:lineRule="auto"/>
        <w:rPr>
          <w:color w:val="000000"/>
          <w:lang w:val="hu-HU"/>
        </w:rPr>
      </w:pPr>
    </w:p>
    <w:p w14:paraId="1E927B4B" w14:textId="77777777" w:rsidR="008F6E65" w:rsidRPr="00D045B3" w:rsidRDefault="008F6E65" w:rsidP="008F6E65">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A GYÁRTÁSI TÉTEL SZÁMA</w:t>
      </w:r>
    </w:p>
    <w:p w14:paraId="1E927B4C" w14:textId="77777777" w:rsidR="008F6E65" w:rsidRPr="00D045B3" w:rsidRDefault="008F6E65" w:rsidP="008F6E65">
      <w:pPr>
        <w:spacing w:line="240" w:lineRule="auto"/>
        <w:rPr>
          <w:color w:val="000000"/>
          <w:lang w:val="hu-HU"/>
        </w:rPr>
      </w:pPr>
    </w:p>
    <w:p w14:paraId="1E927B4D" w14:textId="38285DD2" w:rsidR="008F6E65" w:rsidRPr="00D045B3" w:rsidRDefault="00AE22C7" w:rsidP="008F6E65">
      <w:pPr>
        <w:spacing w:line="240" w:lineRule="auto"/>
        <w:rPr>
          <w:color w:val="000000"/>
          <w:lang w:val="hu-HU"/>
        </w:rPr>
      </w:pPr>
      <w:r w:rsidRPr="00D045B3">
        <w:rPr>
          <w:color w:val="000000"/>
          <w:lang w:val="hu-HU"/>
        </w:rPr>
        <w:t>Lot</w:t>
      </w:r>
    </w:p>
    <w:p w14:paraId="1E927B4E" w14:textId="77777777" w:rsidR="008F6E65" w:rsidRPr="00D045B3" w:rsidRDefault="008F6E65" w:rsidP="008F6E65">
      <w:pPr>
        <w:widowControl w:val="0"/>
        <w:spacing w:line="240" w:lineRule="auto"/>
        <w:rPr>
          <w:color w:val="000000"/>
          <w:szCs w:val="22"/>
          <w:lang w:val="hu-HU"/>
        </w:rPr>
      </w:pPr>
    </w:p>
    <w:p w14:paraId="1E927B4F" w14:textId="77777777" w:rsidR="008F6E65" w:rsidRPr="00D045B3" w:rsidRDefault="008F6E65" w:rsidP="008F6E65">
      <w:pPr>
        <w:widowControl w:val="0"/>
        <w:spacing w:line="240" w:lineRule="auto"/>
        <w:rPr>
          <w:color w:val="000000"/>
          <w:szCs w:val="22"/>
          <w:lang w:val="hu-HU"/>
        </w:rPr>
      </w:pPr>
    </w:p>
    <w:p w14:paraId="1E927B50" w14:textId="77777777" w:rsidR="008F6E65" w:rsidRPr="00D045B3" w:rsidRDefault="008F6E65" w:rsidP="008F6E65">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D045B3">
        <w:rPr>
          <w:b/>
          <w:noProof/>
          <w:color w:val="000000"/>
          <w:lang w:val="hu-HU"/>
        </w:rPr>
        <w:t>5.</w:t>
      </w:r>
      <w:r w:rsidRPr="00D045B3">
        <w:rPr>
          <w:b/>
          <w:noProof/>
          <w:color w:val="000000"/>
          <w:lang w:val="hu-HU"/>
        </w:rPr>
        <w:tab/>
        <w:t>EGYÉB INFORMÁCIÓK</w:t>
      </w:r>
    </w:p>
    <w:p w14:paraId="1E927B51" w14:textId="77777777" w:rsidR="008F6E65" w:rsidRPr="00D045B3" w:rsidRDefault="008F6E65" w:rsidP="008F6E65">
      <w:pPr>
        <w:spacing w:line="240" w:lineRule="auto"/>
        <w:rPr>
          <w:color w:val="000000"/>
          <w:lang w:val="hu-HU"/>
        </w:rPr>
      </w:pPr>
      <w:r w:rsidRPr="00D045B3">
        <w:rPr>
          <w:color w:val="000000"/>
          <w:lang w:val="hu-HU"/>
        </w:rPr>
        <w:br w:type="page"/>
      </w:r>
    </w:p>
    <w:p w14:paraId="1E927B52" w14:textId="77777777" w:rsidR="00A052B8" w:rsidRPr="00D045B3" w:rsidRDefault="00A052B8" w:rsidP="00A052B8">
      <w:pPr>
        <w:spacing w:line="240" w:lineRule="auto"/>
        <w:rPr>
          <w:color w:val="000000"/>
          <w:u w:val="single"/>
          <w:lang w:val="hu-HU"/>
        </w:rPr>
      </w:pPr>
    </w:p>
    <w:p w14:paraId="1E927B53"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BUBORÉK</w:t>
      </w:r>
      <w:r w:rsidRPr="00D045B3">
        <w:rPr>
          <w:b/>
          <w:noProof/>
          <w:szCs w:val="22"/>
          <w:lang w:val="hu-HU" w:eastAsia="en-US"/>
        </w:rPr>
        <w:t>CSOMAGOLÁSON</w:t>
      </w:r>
      <w:r w:rsidRPr="00D045B3">
        <w:rPr>
          <w:b/>
          <w:color w:val="000000"/>
          <w:lang w:val="hu-HU"/>
        </w:rPr>
        <w:t xml:space="preserve"> VAGY A </w:t>
      </w:r>
      <w:r w:rsidRPr="00D045B3">
        <w:rPr>
          <w:b/>
          <w:noProof/>
          <w:szCs w:val="22"/>
          <w:lang w:val="hu-HU" w:eastAsia="en-US"/>
        </w:rPr>
        <w:t xml:space="preserve">FÓLIACSÍKON </w:t>
      </w:r>
      <w:r w:rsidRPr="00D045B3">
        <w:rPr>
          <w:b/>
          <w:noProof/>
          <w:color w:val="000000"/>
          <w:lang w:val="hu-HU"/>
        </w:rPr>
        <w:t>MINIMÁLISAN</w:t>
      </w:r>
      <w:r w:rsidRPr="00D045B3">
        <w:rPr>
          <w:b/>
          <w:color w:val="000000"/>
          <w:lang w:val="hu-HU"/>
        </w:rPr>
        <w:t xml:space="preserve"> FELTÜNTETENDŐ ADATOK</w:t>
      </w:r>
    </w:p>
    <w:p w14:paraId="1E927B54"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B55"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BUBORÉK</w:t>
      </w:r>
      <w:r w:rsidRPr="00D045B3">
        <w:rPr>
          <w:b/>
          <w:noProof/>
          <w:szCs w:val="22"/>
          <w:lang w:val="hu-HU" w:eastAsia="en-US"/>
        </w:rPr>
        <w:t>CSOMAGOLÁS</w:t>
      </w:r>
    </w:p>
    <w:p w14:paraId="1E927B56" w14:textId="77777777" w:rsidR="00A052B8" w:rsidRPr="00D045B3" w:rsidRDefault="00A052B8" w:rsidP="00A052B8">
      <w:pPr>
        <w:spacing w:line="240" w:lineRule="auto"/>
        <w:rPr>
          <w:color w:val="000000"/>
          <w:lang w:val="hu-HU"/>
        </w:rPr>
      </w:pPr>
    </w:p>
    <w:p w14:paraId="1E927B57" w14:textId="77777777" w:rsidR="00A052B8" w:rsidRPr="00D045B3" w:rsidRDefault="00A052B8" w:rsidP="00A052B8">
      <w:pPr>
        <w:spacing w:line="240" w:lineRule="auto"/>
        <w:rPr>
          <w:color w:val="000000"/>
          <w:lang w:val="hu-HU"/>
        </w:rPr>
      </w:pPr>
    </w:p>
    <w:p w14:paraId="1E927B58"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B59" w14:textId="77777777" w:rsidR="00A052B8" w:rsidRPr="00D045B3" w:rsidRDefault="00A052B8" w:rsidP="00A052B8">
      <w:pPr>
        <w:spacing w:line="240" w:lineRule="auto"/>
        <w:ind w:left="567" w:hanging="567"/>
        <w:rPr>
          <w:color w:val="000000"/>
          <w:lang w:val="hu-HU"/>
        </w:rPr>
      </w:pPr>
    </w:p>
    <w:p w14:paraId="1E927B5A" w14:textId="77777777" w:rsidR="00A052B8" w:rsidRPr="00D045B3" w:rsidRDefault="00A052B8" w:rsidP="00A052B8">
      <w:pPr>
        <w:spacing w:line="240" w:lineRule="auto"/>
        <w:rPr>
          <w:color w:val="000000"/>
          <w:lang w:val="hu-HU"/>
        </w:rPr>
      </w:pPr>
      <w:r w:rsidRPr="00D045B3">
        <w:rPr>
          <w:lang w:val="hu-HU"/>
        </w:rPr>
        <w:t xml:space="preserve">Imatinib Actavis </w:t>
      </w:r>
      <w:r w:rsidRPr="00D045B3">
        <w:rPr>
          <w:color w:val="000000"/>
          <w:lang w:val="hu-HU"/>
        </w:rPr>
        <w:t>100 mg kemény kapszula</w:t>
      </w:r>
    </w:p>
    <w:p w14:paraId="1E927B5B" w14:textId="77777777" w:rsidR="00A052B8" w:rsidRPr="00D045B3" w:rsidRDefault="00FA3B29" w:rsidP="00A052B8">
      <w:pPr>
        <w:spacing w:line="240" w:lineRule="auto"/>
        <w:rPr>
          <w:color w:val="000000"/>
          <w:lang w:val="hu-HU"/>
        </w:rPr>
      </w:pPr>
      <w:r w:rsidRPr="00D045B3">
        <w:rPr>
          <w:color w:val="000000"/>
          <w:lang w:val="hu-HU"/>
        </w:rPr>
        <w:t>i</w:t>
      </w:r>
      <w:r w:rsidR="00A052B8" w:rsidRPr="00D045B3">
        <w:rPr>
          <w:color w:val="000000"/>
          <w:lang w:val="hu-HU"/>
        </w:rPr>
        <w:t>matinib</w:t>
      </w:r>
    </w:p>
    <w:p w14:paraId="1E927B5C" w14:textId="77777777" w:rsidR="00A052B8" w:rsidRPr="00D045B3" w:rsidRDefault="00A052B8" w:rsidP="00A052B8">
      <w:pPr>
        <w:spacing w:line="240" w:lineRule="auto"/>
        <w:rPr>
          <w:color w:val="000000"/>
          <w:lang w:val="hu-HU"/>
        </w:rPr>
      </w:pPr>
    </w:p>
    <w:p w14:paraId="1E927B5D" w14:textId="77777777" w:rsidR="00A052B8" w:rsidRPr="00D045B3" w:rsidRDefault="00A052B8" w:rsidP="00A052B8">
      <w:pPr>
        <w:spacing w:line="240" w:lineRule="auto"/>
        <w:rPr>
          <w:color w:val="000000"/>
          <w:lang w:val="hu-HU"/>
        </w:rPr>
      </w:pPr>
    </w:p>
    <w:p w14:paraId="1E927B5E"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A FORGALOMBA HOZATALI ENGEDÉLY JOGOSULTJÁNAK NEVE</w:t>
      </w:r>
    </w:p>
    <w:p w14:paraId="1E927B5F" w14:textId="77777777" w:rsidR="00A052B8" w:rsidRPr="00D045B3" w:rsidRDefault="00A052B8" w:rsidP="00A052B8">
      <w:pPr>
        <w:spacing w:line="240" w:lineRule="auto"/>
        <w:rPr>
          <w:color w:val="000000"/>
          <w:lang w:val="hu-HU"/>
        </w:rPr>
      </w:pPr>
    </w:p>
    <w:p w14:paraId="1E927B60" w14:textId="77777777" w:rsidR="00A052B8" w:rsidRPr="00D045B3" w:rsidRDefault="00A052B8" w:rsidP="00A052B8">
      <w:pPr>
        <w:autoSpaceDE w:val="0"/>
        <w:autoSpaceDN w:val="0"/>
        <w:adjustRightInd w:val="0"/>
        <w:spacing w:line="240" w:lineRule="auto"/>
        <w:rPr>
          <w:lang w:val="hu-HU"/>
        </w:rPr>
      </w:pPr>
      <w:r w:rsidRPr="00D045B3">
        <w:rPr>
          <w:lang w:val="hu-HU"/>
        </w:rPr>
        <w:t>[Actavis logó]</w:t>
      </w:r>
    </w:p>
    <w:p w14:paraId="1E927B61" w14:textId="77777777" w:rsidR="00A052B8" w:rsidRPr="00D045B3" w:rsidRDefault="00A052B8" w:rsidP="00A052B8">
      <w:pPr>
        <w:spacing w:line="240" w:lineRule="auto"/>
        <w:rPr>
          <w:color w:val="000000"/>
          <w:lang w:val="hu-HU"/>
        </w:rPr>
      </w:pPr>
    </w:p>
    <w:p w14:paraId="1E927B62" w14:textId="77777777" w:rsidR="00A052B8" w:rsidRPr="00D045B3" w:rsidRDefault="00A052B8" w:rsidP="00A052B8">
      <w:pPr>
        <w:spacing w:line="240" w:lineRule="auto"/>
        <w:rPr>
          <w:color w:val="000000"/>
          <w:lang w:val="hu-HU"/>
        </w:rPr>
      </w:pPr>
    </w:p>
    <w:p w14:paraId="1E927B63"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LEJÁRATI IDŐ</w:t>
      </w:r>
    </w:p>
    <w:p w14:paraId="1E927B64" w14:textId="77777777" w:rsidR="00A052B8" w:rsidRPr="00D045B3" w:rsidRDefault="00A052B8" w:rsidP="00A052B8">
      <w:pPr>
        <w:spacing w:line="240" w:lineRule="auto"/>
        <w:rPr>
          <w:color w:val="000000"/>
          <w:lang w:val="hu-HU"/>
        </w:rPr>
      </w:pPr>
    </w:p>
    <w:p w14:paraId="1E927B65" w14:textId="53F576AD" w:rsidR="00A052B8" w:rsidRPr="00D045B3" w:rsidRDefault="00AE22C7" w:rsidP="00A052B8">
      <w:pPr>
        <w:pStyle w:val="Endnotentext"/>
        <w:spacing w:line="240" w:lineRule="auto"/>
        <w:rPr>
          <w:color w:val="000000"/>
          <w:lang w:val="hu-HU"/>
        </w:rPr>
      </w:pPr>
      <w:r w:rsidRPr="00D045B3">
        <w:rPr>
          <w:color w:val="000000"/>
          <w:lang w:val="hu-HU"/>
        </w:rPr>
        <w:t>EXP</w:t>
      </w:r>
    </w:p>
    <w:p w14:paraId="1E927B66" w14:textId="77777777" w:rsidR="00A052B8" w:rsidRPr="00D045B3" w:rsidRDefault="00A052B8" w:rsidP="00A052B8">
      <w:pPr>
        <w:spacing w:line="240" w:lineRule="auto"/>
        <w:rPr>
          <w:color w:val="000000"/>
          <w:lang w:val="hu-HU"/>
        </w:rPr>
      </w:pPr>
    </w:p>
    <w:p w14:paraId="1E927B67" w14:textId="77777777" w:rsidR="00A052B8" w:rsidRPr="00D045B3" w:rsidRDefault="00A052B8" w:rsidP="00A052B8">
      <w:pPr>
        <w:spacing w:line="240" w:lineRule="auto"/>
        <w:rPr>
          <w:color w:val="000000"/>
          <w:lang w:val="hu-HU"/>
        </w:rPr>
      </w:pPr>
    </w:p>
    <w:p w14:paraId="1E927B68"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A GYÁRTÁSI TÉTEL SZÁMA</w:t>
      </w:r>
    </w:p>
    <w:p w14:paraId="1E927B69" w14:textId="77777777" w:rsidR="00A052B8" w:rsidRPr="00D045B3" w:rsidRDefault="00A052B8" w:rsidP="00A052B8">
      <w:pPr>
        <w:spacing w:line="240" w:lineRule="auto"/>
        <w:rPr>
          <w:color w:val="000000"/>
          <w:lang w:val="hu-HU"/>
        </w:rPr>
      </w:pPr>
    </w:p>
    <w:p w14:paraId="1E927B6A" w14:textId="6B5B58DC" w:rsidR="00A052B8" w:rsidRPr="00D045B3" w:rsidRDefault="00AE22C7" w:rsidP="00A052B8">
      <w:pPr>
        <w:spacing w:line="240" w:lineRule="auto"/>
        <w:rPr>
          <w:color w:val="000000"/>
          <w:lang w:val="hu-HU"/>
        </w:rPr>
      </w:pPr>
      <w:r w:rsidRPr="00D045B3">
        <w:rPr>
          <w:color w:val="000000"/>
          <w:lang w:val="hu-HU"/>
        </w:rPr>
        <w:t>Lot</w:t>
      </w:r>
    </w:p>
    <w:p w14:paraId="1E927B6B" w14:textId="77777777" w:rsidR="00A052B8" w:rsidRPr="00D045B3" w:rsidRDefault="00A052B8" w:rsidP="00A052B8">
      <w:pPr>
        <w:widowControl w:val="0"/>
        <w:spacing w:line="240" w:lineRule="auto"/>
        <w:rPr>
          <w:color w:val="000000"/>
          <w:szCs w:val="22"/>
          <w:lang w:val="hu-HU"/>
        </w:rPr>
      </w:pPr>
    </w:p>
    <w:p w14:paraId="1E927B6C" w14:textId="77777777" w:rsidR="00A052B8" w:rsidRPr="00D045B3" w:rsidRDefault="00A052B8" w:rsidP="00A052B8">
      <w:pPr>
        <w:widowControl w:val="0"/>
        <w:spacing w:line="240" w:lineRule="auto"/>
        <w:rPr>
          <w:color w:val="000000"/>
          <w:szCs w:val="22"/>
          <w:lang w:val="hu-HU"/>
        </w:rPr>
      </w:pPr>
    </w:p>
    <w:p w14:paraId="1E927B6D"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D045B3">
        <w:rPr>
          <w:b/>
          <w:noProof/>
          <w:color w:val="000000"/>
          <w:lang w:val="hu-HU"/>
        </w:rPr>
        <w:t>5.</w:t>
      </w:r>
      <w:r w:rsidRPr="00D045B3">
        <w:rPr>
          <w:b/>
          <w:noProof/>
          <w:color w:val="000000"/>
          <w:lang w:val="hu-HU"/>
        </w:rPr>
        <w:tab/>
        <w:t>EGYÉB INFORMÁCIÓK</w:t>
      </w:r>
    </w:p>
    <w:p w14:paraId="1E927B6E" w14:textId="77777777" w:rsidR="00A052B8" w:rsidRPr="00D045B3" w:rsidRDefault="00A052B8" w:rsidP="00A052B8">
      <w:pPr>
        <w:spacing w:line="240" w:lineRule="auto"/>
        <w:rPr>
          <w:color w:val="000000"/>
          <w:lang w:val="hu-HU"/>
        </w:rPr>
      </w:pPr>
    </w:p>
    <w:p w14:paraId="1E927B6F" w14:textId="77777777" w:rsidR="00153411" w:rsidRPr="00D045B3" w:rsidRDefault="00153411" w:rsidP="00153411">
      <w:pPr>
        <w:spacing w:line="240" w:lineRule="auto"/>
        <w:rPr>
          <w:color w:val="000000"/>
          <w:lang w:val="hu-HU"/>
        </w:rPr>
      </w:pPr>
    </w:p>
    <w:p w14:paraId="1E927B70" w14:textId="77777777" w:rsidR="00407B2F" w:rsidRPr="00D045B3" w:rsidRDefault="00153411" w:rsidP="00407B2F">
      <w:pPr>
        <w:spacing w:line="240" w:lineRule="auto"/>
        <w:rPr>
          <w:color w:val="000000"/>
          <w:u w:val="single"/>
          <w:lang w:val="hu-HU"/>
        </w:rPr>
      </w:pPr>
      <w:r w:rsidRPr="00D045B3">
        <w:rPr>
          <w:color w:val="000000"/>
          <w:lang w:val="hu-HU"/>
        </w:rPr>
        <w:br w:type="page"/>
      </w:r>
    </w:p>
    <w:p w14:paraId="1E927B71" w14:textId="77777777" w:rsidR="00407B2F" w:rsidRPr="00D045B3" w:rsidRDefault="00407B2F" w:rsidP="00407B2F">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BUBORÉK</w:t>
      </w:r>
      <w:r w:rsidRPr="00D045B3">
        <w:rPr>
          <w:b/>
          <w:noProof/>
          <w:szCs w:val="22"/>
          <w:lang w:val="hu-HU" w:eastAsia="en-US"/>
        </w:rPr>
        <w:t>CSOMAGOLÁSON</w:t>
      </w:r>
      <w:r w:rsidRPr="00D045B3">
        <w:rPr>
          <w:b/>
          <w:color w:val="000000"/>
          <w:lang w:val="hu-HU"/>
        </w:rPr>
        <w:t xml:space="preserve"> VAGY A </w:t>
      </w:r>
      <w:r w:rsidRPr="00D045B3">
        <w:rPr>
          <w:b/>
          <w:noProof/>
          <w:szCs w:val="22"/>
          <w:lang w:val="hu-HU" w:eastAsia="en-US"/>
        </w:rPr>
        <w:t xml:space="preserve">FÓLIACSÍKON </w:t>
      </w:r>
      <w:r w:rsidRPr="00D045B3">
        <w:rPr>
          <w:b/>
          <w:noProof/>
          <w:color w:val="000000"/>
          <w:lang w:val="hu-HU"/>
        </w:rPr>
        <w:t>MINIMÁLISAN</w:t>
      </w:r>
      <w:r w:rsidRPr="00D045B3">
        <w:rPr>
          <w:b/>
          <w:color w:val="000000"/>
          <w:lang w:val="hu-HU"/>
        </w:rPr>
        <w:t xml:space="preserve"> FELTÜNTETENDŐ ADATOK</w:t>
      </w:r>
    </w:p>
    <w:p w14:paraId="1E927B72" w14:textId="77777777" w:rsidR="00407B2F" w:rsidRPr="00D045B3" w:rsidRDefault="00407B2F" w:rsidP="00407B2F">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B73" w14:textId="77777777" w:rsidR="00407B2F" w:rsidRPr="00D045B3" w:rsidRDefault="00407B2F" w:rsidP="00407B2F">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BUBORÉK</w:t>
      </w:r>
      <w:r w:rsidRPr="00D045B3">
        <w:rPr>
          <w:b/>
          <w:noProof/>
          <w:szCs w:val="22"/>
          <w:lang w:val="hu-HU" w:eastAsia="en-US"/>
        </w:rPr>
        <w:t>CSOMAGOLÁS</w:t>
      </w:r>
    </w:p>
    <w:p w14:paraId="1E927B74" w14:textId="77777777" w:rsidR="00407B2F" w:rsidRPr="00D045B3" w:rsidRDefault="00407B2F" w:rsidP="00407B2F">
      <w:pPr>
        <w:spacing w:line="240" w:lineRule="auto"/>
        <w:rPr>
          <w:color w:val="000000"/>
          <w:lang w:val="hu-HU"/>
        </w:rPr>
      </w:pPr>
    </w:p>
    <w:p w14:paraId="1E927B75" w14:textId="77777777" w:rsidR="00407B2F" w:rsidRPr="00D045B3" w:rsidRDefault="00407B2F" w:rsidP="00407B2F">
      <w:pPr>
        <w:spacing w:line="240" w:lineRule="auto"/>
        <w:rPr>
          <w:color w:val="000000"/>
          <w:lang w:val="hu-HU"/>
        </w:rPr>
      </w:pPr>
    </w:p>
    <w:p w14:paraId="1E927B76" w14:textId="77777777" w:rsidR="00407B2F" w:rsidRPr="00D045B3" w:rsidRDefault="00407B2F" w:rsidP="00407B2F">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B77" w14:textId="77777777" w:rsidR="00407B2F" w:rsidRPr="00D045B3" w:rsidRDefault="00407B2F" w:rsidP="00407B2F">
      <w:pPr>
        <w:spacing w:line="240" w:lineRule="auto"/>
        <w:ind w:left="567" w:hanging="567"/>
        <w:rPr>
          <w:color w:val="000000"/>
          <w:lang w:val="hu-HU"/>
        </w:rPr>
      </w:pPr>
    </w:p>
    <w:p w14:paraId="1E927B78" w14:textId="77777777" w:rsidR="00407B2F" w:rsidRPr="00D045B3" w:rsidRDefault="00407B2F" w:rsidP="00407B2F">
      <w:pPr>
        <w:spacing w:line="240" w:lineRule="auto"/>
        <w:rPr>
          <w:color w:val="000000"/>
          <w:lang w:val="hu-HU"/>
        </w:rPr>
      </w:pPr>
      <w:r w:rsidRPr="00D045B3">
        <w:rPr>
          <w:lang w:val="hu-HU"/>
        </w:rPr>
        <w:t xml:space="preserve">Imatinib Actavis </w:t>
      </w:r>
      <w:r w:rsidRPr="00D045B3">
        <w:rPr>
          <w:color w:val="000000"/>
          <w:lang w:val="hu-HU"/>
        </w:rPr>
        <w:t>400 mg kemény kapszula</w:t>
      </w:r>
    </w:p>
    <w:p w14:paraId="1E927B79" w14:textId="77777777" w:rsidR="00407B2F" w:rsidRPr="00D045B3" w:rsidRDefault="00FA3B29" w:rsidP="00407B2F">
      <w:pPr>
        <w:spacing w:line="240" w:lineRule="auto"/>
        <w:rPr>
          <w:color w:val="000000"/>
          <w:lang w:val="hu-HU"/>
        </w:rPr>
      </w:pPr>
      <w:r w:rsidRPr="00D045B3">
        <w:rPr>
          <w:color w:val="000000"/>
          <w:lang w:val="hu-HU"/>
        </w:rPr>
        <w:t>i</w:t>
      </w:r>
      <w:r w:rsidR="00407B2F" w:rsidRPr="00D045B3">
        <w:rPr>
          <w:color w:val="000000"/>
          <w:lang w:val="hu-HU"/>
        </w:rPr>
        <w:t>matinib</w:t>
      </w:r>
    </w:p>
    <w:p w14:paraId="1E927B7A" w14:textId="77777777" w:rsidR="00407B2F" w:rsidRPr="00D045B3" w:rsidRDefault="00407B2F" w:rsidP="00407B2F">
      <w:pPr>
        <w:spacing w:line="240" w:lineRule="auto"/>
        <w:rPr>
          <w:color w:val="000000"/>
          <w:lang w:val="hu-HU"/>
        </w:rPr>
      </w:pPr>
    </w:p>
    <w:p w14:paraId="1E927B7B" w14:textId="77777777" w:rsidR="00407B2F" w:rsidRPr="00D045B3" w:rsidRDefault="00407B2F" w:rsidP="00407B2F">
      <w:pPr>
        <w:spacing w:line="240" w:lineRule="auto"/>
        <w:rPr>
          <w:color w:val="000000"/>
          <w:lang w:val="hu-HU"/>
        </w:rPr>
      </w:pPr>
    </w:p>
    <w:p w14:paraId="1E927B7C" w14:textId="77777777" w:rsidR="00407B2F" w:rsidRPr="00D045B3" w:rsidRDefault="00407B2F" w:rsidP="00407B2F">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A FORGALOMBA HOZATALI ENGEDÉLY JOGOSULTJÁNAK NEVE</w:t>
      </w:r>
    </w:p>
    <w:p w14:paraId="1E927B7D" w14:textId="77777777" w:rsidR="00407B2F" w:rsidRPr="00D045B3" w:rsidRDefault="00407B2F" w:rsidP="00407B2F">
      <w:pPr>
        <w:spacing w:line="240" w:lineRule="auto"/>
        <w:rPr>
          <w:color w:val="000000"/>
          <w:lang w:val="hu-HU"/>
        </w:rPr>
      </w:pPr>
    </w:p>
    <w:p w14:paraId="1E927B7E" w14:textId="77777777" w:rsidR="00407B2F" w:rsidRPr="00D045B3" w:rsidRDefault="00407B2F" w:rsidP="00407B2F">
      <w:pPr>
        <w:autoSpaceDE w:val="0"/>
        <w:autoSpaceDN w:val="0"/>
        <w:adjustRightInd w:val="0"/>
        <w:spacing w:line="240" w:lineRule="auto"/>
        <w:rPr>
          <w:lang w:val="hu-HU"/>
        </w:rPr>
      </w:pPr>
      <w:r w:rsidRPr="00D045B3">
        <w:rPr>
          <w:lang w:val="hu-HU"/>
        </w:rPr>
        <w:t>[Actavis logó]</w:t>
      </w:r>
    </w:p>
    <w:p w14:paraId="1E927B7F" w14:textId="77777777" w:rsidR="00407B2F" w:rsidRPr="00D045B3" w:rsidRDefault="00407B2F" w:rsidP="00407B2F">
      <w:pPr>
        <w:spacing w:line="240" w:lineRule="auto"/>
        <w:rPr>
          <w:color w:val="000000"/>
          <w:lang w:val="hu-HU"/>
        </w:rPr>
      </w:pPr>
    </w:p>
    <w:p w14:paraId="1E927B80" w14:textId="77777777" w:rsidR="00407B2F" w:rsidRPr="00D045B3" w:rsidRDefault="00407B2F" w:rsidP="00407B2F">
      <w:pPr>
        <w:spacing w:line="240" w:lineRule="auto"/>
        <w:rPr>
          <w:color w:val="000000"/>
          <w:lang w:val="hu-HU"/>
        </w:rPr>
      </w:pPr>
    </w:p>
    <w:p w14:paraId="1E927B81" w14:textId="77777777" w:rsidR="00407B2F" w:rsidRPr="00D045B3" w:rsidRDefault="00407B2F" w:rsidP="00407B2F">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LEJÁRATI IDŐ</w:t>
      </w:r>
    </w:p>
    <w:p w14:paraId="1E927B82" w14:textId="77777777" w:rsidR="00407B2F" w:rsidRPr="00D045B3" w:rsidRDefault="00407B2F" w:rsidP="00407B2F">
      <w:pPr>
        <w:spacing w:line="240" w:lineRule="auto"/>
        <w:rPr>
          <w:color w:val="000000"/>
          <w:lang w:val="hu-HU"/>
        </w:rPr>
      </w:pPr>
    </w:p>
    <w:p w14:paraId="1E927B83" w14:textId="2F3C5945" w:rsidR="00407B2F" w:rsidRPr="00D045B3" w:rsidRDefault="00AE22C7" w:rsidP="00407B2F">
      <w:pPr>
        <w:pStyle w:val="Endnotentext"/>
        <w:spacing w:line="240" w:lineRule="auto"/>
        <w:rPr>
          <w:color w:val="000000"/>
          <w:lang w:val="hu-HU"/>
        </w:rPr>
      </w:pPr>
      <w:r w:rsidRPr="00D045B3">
        <w:rPr>
          <w:color w:val="000000"/>
          <w:lang w:val="hu-HU"/>
        </w:rPr>
        <w:t>EXP</w:t>
      </w:r>
    </w:p>
    <w:p w14:paraId="1E927B84" w14:textId="77777777" w:rsidR="00407B2F" w:rsidRPr="00D045B3" w:rsidRDefault="00407B2F" w:rsidP="00407B2F">
      <w:pPr>
        <w:spacing w:line="240" w:lineRule="auto"/>
        <w:rPr>
          <w:color w:val="000000"/>
          <w:lang w:val="hu-HU"/>
        </w:rPr>
      </w:pPr>
    </w:p>
    <w:p w14:paraId="1E927B85" w14:textId="77777777" w:rsidR="00407B2F" w:rsidRPr="00D045B3" w:rsidRDefault="00407B2F" w:rsidP="00407B2F">
      <w:pPr>
        <w:spacing w:line="240" w:lineRule="auto"/>
        <w:rPr>
          <w:color w:val="000000"/>
          <w:lang w:val="hu-HU"/>
        </w:rPr>
      </w:pPr>
    </w:p>
    <w:p w14:paraId="1E927B86" w14:textId="77777777" w:rsidR="00407B2F" w:rsidRPr="00D045B3" w:rsidRDefault="00407B2F" w:rsidP="00407B2F">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A GYÁRTÁSI TÉTEL SZÁMA</w:t>
      </w:r>
    </w:p>
    <w:p w14:paraId="1E927B87" w14:textId="77777777" w:rsidR="00407B2F" w:rsidRPr="00D045B3" w:rsidRDefault="00407B2F" w:rsidP="00407B2F">
      <w:pPr>
        <w:spacing w:line="240" w:lineRule="auto"/>
        <w:rPr>
          <w:color w:val="000000"/>
          <w:lang w:val="hu-HU"/>
        </w:rPr>
      </w:pPr>
    </w:p>
    <w:p w14:paraId="1E927B88" w14:textId="6F208375" w:rsidR="00407B2F" w:rsidRPr="00D045B3" w:rsidRDefault="00AE22C7" w:rsidP="00407B2F">
      <w:pPr>
        <w:spacing w:line="240" w:lineRule="auto"/>
        <w:rPr>
          <w:color w:val="000000"/>
          <w:lang w:val="hu-HU"/>
        </w:rPr>
      </w:pPr>
      <w:r w:rsidRPr="00D045B3">
        <w:rPr>
          <w:color w:val="000000"/>
          <w:lang w:val="hu-HU"/>
        </w:rPr>
        <w:t>Lot</w:t>
      </w:r>
    </w:p>
    <w:p w14:paraId="1E927B89" w14:textId="77777777" w:rsidR="00407B2F" w:rsidRPr="00D045B3" w:rsidRDefault="00407B2F" w:rsidP="00407B2F">
      <w:pPr>
        <w:widowControl w:val="0"/>
        <w:spacing w:line="240" w:lineRule="auto"/>
        <w:rPr>
          <w:color w:val="000000"/>
          <w:szCs w:val="22"/>
          <w:lang w:val="hu-HU"/>
        </w:rPr>
      </w:pPr>
    </w:p>
    <w:p w14:paraId="1E927B8A" w14:textId="77777777" w:rsidR="00407B2F" w:rsidRPr="00D045B3" w:rsidRDefault="00407B2F" w:rsidP="00407B2F">
      <w:pPr>
        <w:widowControl w:val="0"/>
        <w:spacing w:line="240" w:lineRule="auto"/>
        <w:rPr>
          <w:color w:val="000000"/>
          <w:szCs w:val="22"/>
          <w:lang w:val="hu-HU"/>
        </w:rPr>
      </w:pPr>
    </w:p>
    <w:p w14:paraId="1E927B8B" w14:textId="77777777" w:rsidR="00407B2F" w:rsidRPr="00D045B3" w:rsidRDefault="00407B2F" w:rsidP="00407B2F">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D045B3">
        <w:rPr>
          <w:b/>
          <w:noProof/>
          <w:color w:val="000000"/>
          <w:lang w:val="hu-HU"/>
        </w:rPr>
        <w:t>5.</w:t>
      </w:r>
      <w:r w:rsidRPr="00D045B3">
        <w:rPr>
          <w:b/>
          <w:noProof/>
          <w:color w:val="000000"/>
          <w:lang w:val="hu-HU"/>
        </w:rPr>
        <w:tab/>
        <w:t>EGYÉB INFORMÁCIÓK</w:t>
      </w:r>
    </w:p>
    <w:p w14:paraId="1E927B8C" w14:textId="77777777" w:rsidR="00153411" w:rsidRPr="00D045B3" w:rsidRDefault="00407B2F" w:rsidP="00407B2F">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color w:val="000000"/>
          <w:lang w:val="hu-HU"/>
        </w:rPr>
        <w:br w:type="page"/>
      </w:r>
      <w:r w:rsidR="00153411" w:rsidRPr="00D045B3">
        <w:rPr>
          <w:b/>
          <w:color w:val="000000"/>
          <w:lang w:val="hu-HU"/>
        </w:rPr>
        <w:t>A KÜLSŐ CSOMAGOLÁSON FELTÜNTETENDŐ ADATOK</w:t>
      </w:r>
    </w:p>
    <w:p w14:paraId="1E927B8D" w14:textId="77777777" w:rsidR="00153411" w:rsidRPr="00D045B3" w:rsidRDefault="00153411" w:rsidP="00153411">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B8E" w14:textId="77777777" w:rsidR="00153411" w:rsidRPr="00D045B3" w:rsidRDefault="00153411" w:rsidP="00153411">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DOBOZ</w:t>
      </w:r>
    </w:p>
    <w:p w14:paraId="1E927B8F" w14:textId="77777777" w:rsidR="00153411" w:rsidRPr="00D045B3" w:rsidRDefault="00153411" w:rsidP="00153411">
      <w:pPr>
        <w:spacing w:line="240" w:lineRule="auto"/>
        <w:rPr>
          <w:color w:val="000000"/>
          <w:lang w:val="hu-HU"/>
        </w:rPr>
      </w:pPr>
    </w:p>
    <w:p w14:paraId="1E927B90" w14:textId="77777777" w:rsidR="00153411" w:rsidRPr="00D045B3" w:rsidRDefault="00153411" w:rsidP="00153411">
      <w:pPr>
        <w:spacing w:line="240" w:lineRule="auto"/>
        <w:rPr>
          <w:color w:val="000000"/>
          <w:lang w:val="hu-HU"/>
        </w:rPr>
      </w:pPr>
    </w:p>
    <w:p w14:paraId="1E927B91" w14:textId="77777777" w:rsidR="00153411" w:rsidRPr="00D045B3" w:rsidRDefault="00153411" w:rsidP="007A091A">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B92" w14:textId="77777777" w:rsidR="00153411" w:rsidRPr="00D045B3" w:rsidRDefault="00153411" w:rsidP="00153411">
      <w:pPr>
        <w:spacing w:line="240" w:lineRule="auto"/>
        <w:rPr>
          <w:color w:val="000000"/>
          <w:lang w:val="hu-HU"/>
        </w:rPr>
      </w:pPr>
    </w:p>
    <w:p w14:paraId="1E927B93" w14:textId="77777777" w:rsidR="00974741" w:rsidRPr="00D045B3" w:rsidRDefault="00974741" w:rsidP="00974741">
      <w:pPr>
        <w:autoSpaceDE w:val="0"/>
        <w:autoSpaceDN w:val="0"/>
        <w:adjustRightInd w:val="0"/>
        <w:spacing w:line="240" w:lineRule="auto"/>
        <w:rPr>
          <w:lang w:val="hu-HU"/>
        </w:rPr>
      </w:pPr>
      <w:r w:rsidRPr="00D045B3">
        <w:rPr>
          <w:lang w:val="hu-HU"/>
        </w:rPr>
        <w:t>Imatinib Actavis 100 mg filmtabletta</w:t>
      </w:r>
    </w:p>
    <w:p w14:paraId="1E927B94" w14:textId="77777777" w:rsidR="00153411" w:rsidRPr="00D045B3" w:rsidRDefault="00FA3B29" w:rsidP="00974741">
      <w:pPr>
        <w:spacing w:line="240" w:lineRule="auto"/>
        <w:rPr>
          <w:color w:val="000000"/>
          <w:lang w:val="hu-HU"/>
        </w:rPr>
      </w:pPr>
      <w:r w:rsidRPr="00D045B3">
        <w:rPr>
          <w:lang w:val="hu-HU"/>
        </w:rPr>
        <w:t>i</w:t>
      </w:r>
      <w:r w:rsidR="00974741" w:rsidRPr="00D045B3">
        <w:rPr>
          <w:lang w:val="hu-HU"/>
        </w:rPr>
        <w:t>matinib</w:t>
      </w:r>
      <w:r w:rsidR="00974741" w:rsidRPr="00D045B3">
        <w:rPr>
          <w:color w:val="000000"/>
          <w:lang w:val="hu-HU"/>
        </w:rPr>
        <w:t xml:space="preserve"> </w:t>
      </w:r>
    </w:p>
    <w:p w14:paraId="1E927B95" w14:textId="77777777" w:rsidR="00153411" w:rsidRPr="00D045B3" w:rsidRDefault="00153411" w:rsidP="00153411">
      <w:pPr>
        <w:spacing w:line="240" w:lineRule="auto"/>
        <w:rPr>
          <w:color w:val="000000"/>
          <w:lang w:val="hu-HU"/>
        </w:rPr>
      </w:pPr>
    </w:p>
    <w:p w14:paraId="1E927B96" w14:textId="77777777" w:rsidR="00153411" w:rsidRPr="00D045B3" w:rsidRDefault="00153411" w:rsidP="00153411">
      <w:pPr>
        <w:spacing w:line="240" w:lineRule="auto"/>
        <w:rPr>
          <w:color w:val="000000"/>
          <w:lang w:val="hu-HU"/>
        </w:rPr>
      </w:pPr>
    </w:p>
    <w:p w14:paraId="1E927B97"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HATÓANYAG(OK) MEGNEVEZÉSE</w:t>
      </w:r>
    </w:p>
    <w:p w14:paraId="1E927B98" w14:textId="77777777" w:rsidR="00153411" w:rsidRPr="00D045B3" w:rsidRDefault="00153411" w:rsidP="00153411">
      <w:pPr>
        <w:spacing w:line="240" w:lineRule="auto"/>
        <w:rPr>
          <w:color w:val="000000"/>
          <w:lang w:val="hu-HU"/>
        </w:rPr>
      </w:pPr>
    </w:p>
    <w:p w14:paraId="1E927B99" w14:textId="77777777" w:rsidR="00153411" w:rsidRPr="00D045B3" w:rsidRDefault="00153411" w:rsidP="00153411">
      <w:pPr>
        <w:spacing w:line="240" w:lineRule="auto"/>
        <w:rPr>
          <w:color w:val="000000"/>
          <w:lang w:val="hu-HU"/>
        </w:rPr>
      </w:pPr>
      <w:r w:rsidRPr="00D045B3">
        <w:rPr>
          <w:color w:val="000000"/>
          <w:lang w:val="hu-HU"/>
        </w:rPr>
        <w:t xml:space="preserve">100 mg imatinib (mezilát formájában) </w:t>
      </w:r>
      <w:r w:rsidR="00974741" w:rsidRPr="00D045B3">
        <w:rPr>
          <w:color w:val="000000"/>
          <w:lang w:val="hu-HU"/>
        </w:rPr>
        <w:t>filmtablettánként</w:t>
      </w:r>
      <w:r w:rsidRPr="00D045B3">
        <w:rPr>
          <w:color w:val="000000"/>
          <w:lang w:val="hu-HU"/>
        </w:rPr>
        <w:t>.</w:t>
      </w:r>
    </w:p>
    <w:p w14:paraId="1E927B9A" w14:textId="77777777" w:rsidR="00153411" w:rsidRPr="00D045B3" w:rsidRDefault="00153411" w:rsidP="00153411">
      <w:pPr>
        <w:spacing w:line="240" w:lineRule="auto"/>
        <w:rPr>
          <w:color w:val="000000"/>
          <w:lang w:val="hu-HU"/>
        </w:rPr>
      </w:pPr>
    </w:p>
    <w:p w14:paraId="1E927B9B" w14:textId="77777777" w:rsidR="00153411" w:rsidRPr="00D045B3" w:rsidRDefault="00153411" w:rsidP="00153411">
      <w:pPr>
        <w:spacing w:line="240" w:lineRule="auto"/>
        <w:rPr>
          <w:color w:val="000000"/>
          <w:lang w:val="hu-HU"/>
        </w:rPr>
      </w:pPr>
    </w:p>
    <w:p w14:paraId="1E927B9C"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SEGÉDANYAGOK FELSOROLÁSA</w:t>
      </w:r>
    </w:p>
    <w:p w14:paraId="1E927B9D" w14:textId="77777777" w:rsidR="00153411" w:rsidRPr="00D045B3" w:rsidRDefault="00153411" w:rsidP="00153411">
      <w:pPr>
        <w:spacing w:line="240" w:lineRule="auto"/>
        <w:rPr>
          <w:color w:val="000000"/>
          <w:lang w:val="hu-HU"/>
        </w:rPr>
      </w:pPr>
    </w:p>
    <w:p w14:paraId="1E927B9E" w14:textId="77777777" w:rsidR="00153411" w:rsidRPr="00D045B3" w:rsidRDefault="00974741" w:rsidP="00153411">
      <w:pPr>
        <w:spacing w:line="240" w:lineRule="auto"/>
        <w:rPr>
          <w:color w:val="000000"/>
          <w:lang w:val="hu-HU"/>
        </w:rPr>
      </w:pPr>
      <w:r w:rsidRPr="00D045B3">
        <w:rPr>
          <w:color w:val="000000"/>
          <w:lang w:val="hu-HU"/>
        </w:rPr>
        <w:t>Lecitint (szója) (E322) taralmaz.</w:t>
      </w:r>
    </w:p>
    <w:p w14:paraId="1E927B9F" w14:textId="77777777" w:rsidR="00974741" w:rsidRPr="00D045B3" w:rsidRDefault="00974741" w:rsidP="00153411">
      <w:pPr>
        <w:spacing w:line="240" w:lineRule="auto"/>
        <w:rPr>
          <w:color w:val="000000"/>
          <w:lang w:val="hu-HU"/>
        </w:rPr>
      </w:pPr>
      <w:r w:rsidRPr="00D045B3">
        <w:rPr>
          <w:color w:val="000000"/>
          <w:lang w:val="hu-HU"/>
        </w:rPr>
        <w:t>További információkért olvassa el a betegtájékoztatót.</w:t>
      </w:r>
    </w:p>
    <w:p w14:paraId="1E927BA0" w14:textId="77777777" w:rsidR="00974741" w:rsidRPr="00D045B3" w:rsidRDefault="00974741" w:rsidP="00153411">
      <w:pPr>
        <w:spacing w:line="240" w:lineRule="auto"/>
        <w:rPr>
          <w:color w:val="000000"/>
          <w:lang w:val="hu-HU"/>
        </w:rPr>
      </w:pPr>
    </w:p>
    <w:p w14:paraId="1E927BA1" w14:textId="77777777" w:rsidR="00974741" w:rsidRPr="00D045B3" w:rsidRDefault="00974741" w:rsidP="00153411">
      <w:pPr>
        <w:spacing w:line="240" w:lineRule="auto"/>
        <w:rPr>
          <w:color w:val="000000"/>
          <w:lang w:val="hu-HU"/>
        </w:rPr>
      </w:pPr>
    </w:p>
    <w:p w14:paraId="1E927BA2"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GYÓGYSZERFORMA ÉS TARTALOM</w:t>
      </w:r>
    </w:p>
    <w:p w14:paraId="1E927BA3" w14:textId="77777777" w:rsidR="00153411" w:rsidRPr="00D045B3" w:rsidRDefault="00153411" w:rsidP="00153411">
      <w:pPr>
        <w:spacing w:line="240" w:lineRule="auto"/>
        <w:rPr>
          <w:color w:val="000000"/>
          <w:lang w:val="hu-HU"/>
        </w:rPr>
      </w:pPr>
    </w:p>
    <w:p w14:paraId="1E927BA4" w14:textId="77777777" w:rsidR="00974741" w:rsidRPr="00D045B3" w:rsidRDefault="00974741" w:rsidP="00974741">
      <w:pPr>
        <w:pStyle w:val="KeinLeerraum"/>
        <w:rPr>
          <w:rFonts w:ascii="Times New Roman" w:hAnsi="Times New Roman"/>
        </w:rPr>
      </w:pPr>
      <w:r w:rsidRPr="00D045B3">
        <w:rPr>
          <w:rFonts w:ascii="Times New Roman" w:hAnsi="Times New Roman"/>
        </w:rPr>
        <w:t xml:space="preserve">10 db </w:t>
      </w:r>
      <w:r w:rsidR="00101D7D" w:rsidRPr="00D045B3">
        <w:rPr>
          <w:rFonts w:ascii="Times New Roman" w:hAnsi="Times New Roman"/>
        </w:rPr>
        <w:t>film</w:t>
      </w:r>
      <w:r w:rsidRPr="00D045B3">
        <w:rPr>
          <w:rFonts w:ascii="Times New Roman" w:hAnsi="Times New Roman"/>
        </w:rPr>
        <w:t>tabletta</w:t>
      </w:r>
    </w:p>
    <w:p w14:paraId="1E927BA5" w14:textId="77777777" w:rsidR="00974741" w:rsidRPr="00D045B3" w:rsidRDefault="00974741" w:rsidP="00974741">
      <w:pPr>
        <w:pStyle w:val="KeinLeerraum"/>
        <w:rPr>
          <w:rFonts w:ascii="Times New Roman" w:hAnsi="Times New Roman"/>
          <w:highlight w:val="lightGray"/>
        </w:rPr>
      </w:pPr>
      <w:r w:rsidRPr="00D045B3">
        <w:rPr>
          <w:rFonts w:ascii="Times New Roman" w:hAnsi="Times New Roman"/>
          <w:highlight w:val="lightGray"/>
        </w:rPr>
        <w:t xml:space="preserve">20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BA6" w14:textId="77777777" w:rsidR="00974741" w:rsidRPr="00D045B3" w:rsidRDefault="00974741" w:rsidP="00974741">
      <w:pPr>
        <w:pStyle w:val="KeinLeerraum"/>
        <w:rPr>
          <w:rFonts w:ascii="Times New Roman" w:hAnsi="Times New Roman"/>
          <w:highlight w:val="lightGray"/>
        </w:rPr>
      </w:pPr>
      <w:r w:rsidRPr="00D045B3">
        <w:rPr>
          <w:rFonts w:ascii="Times New Roman" w:hAnsi="Times New Roman"/>
          <w:highlight w:val="lightGray"/>
        </w:rPr>
        <w:t xml:space="preserve">30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BA7" w14:textId="77777777" w:rsidR="00974741" w:rsidRPr="00D045B3" w:rsidRDefault="00974741" w:rsidP="00974741">
      <w:pPr>
        <w:pStyle w:val="KeinLeerraum"/>
        <w:rPr>
          <w:rFonts w:ascii="Times New Roman" w:hAnsi="Times New Roman"/>
          <w:highlight w:val="lightGray"/>
        </w:rPr>
      </w:pPr>
      <w:r w:rsidRPr="00D045B3">
        <w:rPr>
          <w:rFonts w:ascii="Times New Roman" w:hAnsi="Times New Roman"/>
          <w:highlight w:val="lightGray"/>
        </w:rPr>
        <w:t xml:space="preserve">60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BA8" w14:textId="77777777" w:rsidR="00974741" w:rsidRPr="00D045B3" w:rsidRDefault="00974741" w:rsidP="00974741">
      <w:pPr>
        <w:pStyle w:val="KeinLeerraum"/>
        <w:rPr>
          <w:rFonts w:ascii="Times New Roman" w:hAnsi="Times New Roman"/>
          <w:highlight w:val="lightGray"/>
        </w:rPr>
      </w:pPr>
      <w:r w:rsidRPr="00D045B3">
        <w:rPr>
          <w:rFonts w:ascii="Times New Roman" w:hAnsi="Times New Roman"/>
          <w:highlight w:val="lightGray"/>
        </w:rPr>
        <w:t xml:space="preserve">90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BA9" w14:textId="77777777" w:rsidR="00974741" w:rsidRPr="00D045B3" w:rsidRDefault="00974741" w:rsidP="00974741">
      <w:pPr>
        <w:pStyle w:val="KeinLeerraum"/>
        <w:rPr>
          <w:rFonts w:ascii="Times New Roman" w:hAnsi="Times New Roman"/>
          <w:highlight w:val="lightGray"/>
        </w:rPr>
      </w:pPr>
      <w:r w:rsidRPr="00D045B3">
        <w:rPr>
          <w:rFonts w:ascii="Times New Roman" w:hAnsi="Times New Roman"/>
          <w:highlight w:val="lightGray"/>
        </w:rPr>
        <w:t xml:space="preserve">120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BAA" w14:textId="77777777" w:rsidR="00974741" w:rsidRPr="00D045B3" w:rsidRDefault="00974741" w:rsidP="00974741">
      <w:pPr>
        <w:pStyle w:val="KeinLeerraum"/>
        <w:rPr>
          <w:rFonts w:ascii="Times New Roman" w:hAnsi="Times New Roman"/>
        </w:rPr>
      </w:pPr>
      <w:r w:rsidRPr="00D045B3">
        <w:rPr>
          <w:rFonts w:ascii="Times New Roman" w:hAnsi="Times New Roman"/>
          <w:highlight w:val="lightGray"/>
        </w:rPr>
        <w:t xml:space="preserve">180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BAB" w14:textId="77777777" w:rsidR="00153411" w:rsidRPr="00D045B3" w:rsidRDefault="00153411" w:rsidP="0086743B">
      <w:pPr>
        <w:pStyle w:val="KeinLeerraum"/>
        <w:rPr>
          <w:rFonts w:ascii="Times New Roman" w:hAnsi="Times New Roman"/>
          <w:color w:val="000000"/>
        </w:rPr>
      </w:pPr>
    </w:p>
    <w:p w14:paraId="1E927BAC" w14:textId="77777777" w:rsidR="00153411" w:rsidRPr="00D045B3" w:rsidRDefault="00153411" w:rsidP="00153411">
      <w:pPr>
        <w:spacing w:line="240" w:lineRule="auto"/>
        <w:rPr>
          <w:color w:val="000000"/>
          <w:lang w:val="hu-HU"/>
        </w:rPr>
      </w:pPr>
    </w:p>
    <w:p w14:paraId="1E927BAD"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5.</w:t>
      </w:r>
      <w:r w:rsidRPr="00D045B3">
        <w:rPr>
          <w:b/>
          <w:color w:val="000000"/>
          <w:lang w:val="hu-HU"/>
        </w:rPr>
        <w:tab/>
        <w:t>AZ ALKALMAZÁSSAL KAPCSOLATOS TUDNIVALÓK ÉS AZ ALKALMAZÁS MÓDJA(I)</w:t>
      </w:r>
    </w:p>
    <w:p w14:paraId="1E927BAE" w14:textId="77777777" w:rsidR="00153411" w:rsidRPr="00D045B3" w:rsidRDefault="00153411" w:rsidP="00153411">
      <w:pPr>
        <w:spacing w:line="240" w:lineRule="auto"/>
        <w:rPr>
          <w:color w:val="000000"/>
          <w:lang w:val="hu-HU"/>
        </w:rPr>
      </w:pPr>
    </w:p>
    <w:p w14:paraId="1E927BAF" w14:textId="77777777" w:rsidR="00974741" w:rsidRPr="00D045B3" w:rsidRDefault="00974741" w:rsidP="00153411">
      <w:pPr>
        <w:rPr>
          <w:color w:val="000000"/>
          <w:lang w:val="hu-HU"/>
        </w:rPr>
      </w:pPr>
      <w:r w:rsidRPr="00D045B3">
        <w:rPr>
          <w:color w:val="000000"/>
          <w:lang w:val="hu-HU"/>
        </w:rPr>
        <w:t>Szájon át történő</w:t>
      </w:r>
      <w:r w:rsidR="00153411" w:rsidRPr="00D045B3">
        <w:rPr>
          <w:color w:val="000000"/>
          <w:lang w:val="hu-HU"/>
        </w:rPr>
        <w:t xml:space="preserve"> alkalmazás</w:t>
      </w:r>
      <w:r w:rsidRPr="00D045B3">
        <w:rPr>
          <w:color w:val="000000"/>
          <w:lang w:val="hu-HU"/>
        </w:rPr>
        <w:t>ra</w:t>
      </w:r>
      <w:r w:rsidR="00153411" w:rsidRPr="00D045B3">
        <w:rPr>
          <w:color w:val="000000"/>
          <w:lang w:val="hu-HU"/>
        </w:rPr>
        <w:t xml:space="preserve">. </w:t>
      </w:r>
    </w:p>
    <w:p w14:paraId="1E927BB0" w14:textId="77777777" w:rsidR="00153411" w:rsidRPr="00D045B3" w:rsidRDefault="00153411" w:rsidP="00153411">
      <w:pPr>
        <w:rPr>
          <w:color w:val="000000"/>
          <w:lang w:val="hu-HU"/>
        </w:rPr>
      </w:pPr>
      <w:r w:rsidRPr="00D045B3">
        <w:rPr>
          <w:color w:val="000000"/>
          <w:lang w:val="hu-HU"/>
        </w:rPr>
        <w:t>Használat előtt olvassa el a mellékelt betegtájékoztatót!</w:t>
      </w:r>
    </w:p>
    <w:p w14:paraId="1E927BB1" w14:textId="77777777" w:rsidR="00153411" w:rsidRPr="00D045B3" w:rsidRDefault="00153411" w:rsidP="00153411">
      <w:pPr>
        <w:spacing w:line="240" w:lineRule="auto"/>
        <w:rPr>
          <w:color w:val="000000"/>
          <w:lang w:val="hu-HU"/>
        </w:rPr>
      </w:pPr>
    </w:p>
    <w:p w14:paraId="1E927BB2" w14:textId="77777777" w:rsidR="00153411" w:rsidRPr="00D045B3" w:rsidRDefault="00153411" w:rsidP="00153411">
      <w:pPr>
        <w:spacing w:line="240" w:lineRule="auto"/>
        <w:rPr>
          <w:color w:val="000000"/>
          <w:lang w:val="hu-HU"/>
        </w:rPr>
      </w:pPr>
    </w:p>
    <w:p w14:paraId="1E927BB3" w14:textId="77777777" w:rsidR="00153411" w:rsidRPr="00D045B3" w:rsidRDefault="00153411" w:rsidP="00611231">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6.</w:t>
      </w:r>
      <w:r w:rsidRPr="00D045B3">
        <w:rPr>
          <w:b/>
          <w:color w:val="000000"/>
          <w:lang w:val="hu-HU"/>
        </w:rPr>
        <w:tab/>
        <w:t xml:space="preserve">KÜLÖN FIGYELMEZTETÉS, MELY SZERINT A GYÓGYSZERT GYERMEKEKTŐL ELZÁRVA </w:t>
      </w:r>
      <w:smartTag w:uri="urn:schemas-microsoft-com:office:smarttags" w:element="stockticker">
        <w:r w:rsidRPr="00D045B3">
          <w:rPr>
            <w:b/>
            <w:color w:val="000000"/>
            <w:lang w:val="hu-HU"/>
          </w:rPr>
          <w:t>KELL</w:t>
        </w:r>
      </w:smartTag>
      <w:r w:rsidRPr="00D045B3">
        <w:rPr>
          <w:b/>
          <w:color w:val="000000"/>
          <w:lang w:val="hu-HU"/>
        </w:rPr>
        <w:t xml:space="preserve"> TARTANI</w:t>
      </w:r>
    </w:p>
    <w:p w14:paraId="1E927BB4" w14:textId="77777777" w:rsidR="00153411" w:rsidRPr="00D045B3" w:rsidRDefault="00153411" w:rsidP="00611231">
      <w:pPr>
        <w:keepNext/>
        <w:spacing w:line="240" w:lineRule="auto"/>
        <w:rPr>
          <w:color w:val="000000"/>
          <w:lang w:val="hu-HU"/>
        </w:rPr>
      </w:pPr>
    </w:p>
    <w:p w14:paraId="1E927BB5" w14:textId="77777777" w:rsidR="00153411" w:rsidRPr="00D045B3" w:rsidRDefault="00153411" w:rsidP="00611231">
      <w:pPr>
        <w:keepNext/>
        <w:spacing w:line="240" w:lineRule="auto"/>
        <w:rPr>
          <w:color w:val="000000"/>
          <w:lang w:val="hu-HU"/>
        </w:rPr>
      </w:pPr>
      <w:r w:rsidRPr="00D045B3">
        <w:rPr>
          <w:color w:val="000000"/>
          <w:lang w:val="hu-HU"/>
        </w:rPr>
        <w:t>A gyógyszer gyermekektől elzárva tartandó!</w:t>
      </w:r>
    </w:p>
    <w:p w14:paraId="1E927BB6" w14:textId="77777777" w:rsidR="00153411" w:rsidRPr="00D045B3" w:rsidRDefault="00153411" w:rsidP="00153411">
      <w:pPr>
        <w:spacing w:line="240" w:lineRule="auto"/>
        <w:rPr>
          <w:color w:val="000000"/>
          <w:lang w:val="hu-HU"/>
        </w:rPr>
      </w:pPr>
    </w:p>
    <w:p w14:paraId="1E927BB7" w14:textId="77777777" w:rsidR="00153411" w:rsidRPr="00D045B3" w:rsidRDefault="00153411" w:rsidP="00153411">
      <w:pPr>
        <w:spacing w:line="240" w:lineRule="auto"/>
        <w:rPr>
          <w:color w:val="000000"/>
          <w:lang w:val="hu-HU"/>
        </w:rPr>
      </w:pPr>
    </w:p>
    <w:p w14:paraId="1E927BB8"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7.</w:t>
      </w:r>
      <w:r w:rsidRPr="00D045B3">
        <w:rPr>
          <w:b/>
          <w:color w:val="000000"/>
          <w:lang w:val="hu-HU"/>
        </w:rPr>
        <w:tab/>
        <w:t>TOVÁBBI FIGYELMEZTETÉS(EK), AMENNYIBEN SZÜKSÉGES</w:t>
      </w:r>
    </w:p>
    <w:p w14:paraId="1E927BB9" w14:textId="77777777" w:rsidR="00153411" w:rsidRPr="00D045B3" w:rsidRDefault="00153411" w:rsidP="00153411">
      <w:pPr>
        <w:spacing w:line="240" w:lineRule="auto"/>
        <w:rPr>
          <w:color w:val="000000"/>
          <w:lang w:val="hu-HU"/>
        </w:rPr>
      </w:pPr>
    </w:p>
    <w:p w14:paraId="1E927BBA" w14:textId="77777777" w:rsidR="00153411" w:rsidRPr="00D045B3" w:rsidRDefault="00153411" w:rsidP="00153411">
      <w:pPr>
        <w:spacing w:line="240" w:lineRule="auto"/>
        <w:rPr>
          <w:color w:val="000000"/>
          <w:lang w:val="hu-HU"/>
        </w:rPr>
      </w:pPr>
      <w:r w:rsidRPr="00D045B3">
        <w:rPr>
          <w:color w:val="000000"/>
          <w:lang w:val="hu-HU"/>
        </w:rPr>
        <w:t>Adagolása kizárólag az orvos utasításai szerint.</w:t>
      </w:r>
    </w:p>
    <w:p w14:paraId="1E927BBB" w14:textId="77777777" w:rsidR="00153411" w:rsidRPr="00D045B3" w:rsidRDefault="00153411" w:rsidP="00153411">
      <w:pPr>
        <w:spacing w:line="240" w:lineRule="auto"/>
        <w:rPr>
          <w:color w:val="000000"/>
          <w:lang w:val="hu-HU"/>
        </w:rPr>
      </w:pPr>
    </w:p>
    <w:p w14:paraId="1E927BBC" w14:textId="77777777" w:rsidR="00153411" w:rsidRPr="00D045B3" w:rsidRDefault="00153411" w:rsidP="00153411">
      <w:pPr>
        <w:spacing w:line="240" w:lineRule="auto"/>
        <w:rPr>
          <w:color w:val="000000"/>
          <w:lang w:val="hu-HU"/>
        </w:rPr>
      </w:pPr>
    </w:p>
    <w:p w14:paraId="1E927BBD"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8.</w:t>
      </w:r>
      <w:r w:rsidRPr="00D045B3">
        <w:rPr>
          <w:b/>
          <w:color w:val="000000"/>
          <w:lang w:val="hu-HU"/>
        </w:rPr>
        <w:tab/>
        <w:t>LEJÁRATI IDŐ</w:t>
      </w:r>
    </w:p>
    <w:p w14:paraId="1E927BBE" w14:textId="77777777" w:rsidR="00153411" w:rsidRPr="00D045B3" w:rsidRDefault="00153411" w:rsidP="00153411">
      <w:pPr>
        <w:spacing w:line="240" w:lineRule="auto"/>
        <w:rPr>
          <w:color w:val="000000"/>
          <w:lang w:val="hu-HU"/>
        </w:rPr>
      </w:pPr>
    </w:p>
    <w:p w14:paraId="1E927BBF" w14:textId="7C2E8E9A" w:rsidR="00153411" w:rsidRPr="00D045B3" w:rsidRDefault="00AE22C7" w:rsidP="00153411">
      <w:pPr>
        <w:spacing w:line="240" w:lineRule="auto"/>
        <w:rPr>
          <w:color w:val="000000"/>
          <w:lang w:val="hu-HU"/>
        </w:rPr>
      </w:pPr>
      <w:r w:rsidRPr="00D045B3">
        <w:rPr>
          <w:color w:val="000000"/>
          <w:lang w:val="hu-HU"/>
        </w:rPr>
        <w:t>EXP</w:t>
      </w:r>
    </w:p>
    <w:p w14:paraId="1E927BC0" w14:textId="77777777" w:rsidR="00153411" w:rsidRPr="00D045B3" w:rsidRDefault="00153411" w:rsidP="00153411">
      <w:pPr>
        <w:spacing w:line="240" w:lineRule="auto"/>
        <w:rPr>
          <w:color w:val="000000"/>
          <w:lang w:val="hu-HU"/>
        </w:rPr>
      </w:pPr>
    </w:p>
    <w:p w14:paraId="1E927BC1" w14:textId="77777777" w:rsidR="00153411" w:rsidRPr="00D045B3" w:rsidRDefault="00153411" w:rsidP="00153411">
      <w:pPr>
        <w:spacing w:line="240" w:lineRule="auto"/>
        <w:rPr>
          <w:color w:val="000000"/>
          <w:lang w:val="hu-HU"/>
        </w:rPr>
      </w:pPr>
    </w:p>
    <w:p w14:paraId="1E927BC2"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9.</w:t>
      </w:r>
      <w:r w:rsidRPr="00D045B3">
        <w:rPr>
          <w:b/>
          <w:color w:val="000000"/>
          <w:lang w:val="hu-HU"/>
        </w:rPr>
        <w:tab/>
        <w:t>KÜLÖNLEGES TÁROLÁSI ELŐÍRÁSOK</w:t>
      </w:r>
    </w:p>
    <w:p w14:paraId="1E927BC3" w14:textId="77777777" w:rsidR="00153411" w:rsidRPr="00D045B3" w:rsidRDefault="00153411" w:rsidP="00153411">
      <w:pPr>
        <w:spacing w:line="240" w:lineRule="auto"/>
        <w:rPr>
          <w:color w:val="000000"/>
          <w:lang w:val="hu-HU"/>
        </w:rPr>
      </w:pPr>
    </w:p>
    <w:p w14:paraId="1E927BC4" w14:textId="77777777" w:rsidR="00611231" w:rsidRPr="00D045B3" w:rsidRDefault="00153411" w:rsidP="00153411">
      <w:pPr>
        <w:spacing w:line="240" w:lineRule="auto"/>
        <w:rPr>
          <w:color w:val="000000"/>
          <w:lang w:val="hu-HU"/>
        </w:rPr>
      </w:pPr>
      <w:r w:rsidRPr="00D045B3">
        <w:rPr>
          <w:color w:val="000000"/>
          <w:lang w:val="hu-HU"/>
        </w:rPr>
        <w:t>Legfeljebb 30</w:t>
      </w:r>
      <w:r w:rsidRPr="00D045B3">
        <w:rPr>
          <w:color w:val="000000"/>
          <w:lang w:val="hu-HU"/>
        </w:rPr>
        <w:sym w:font="Symbol" w:char="F0B0"/>
      </w:r>
      <w:r w:rsidRPr="00D045B3">
        <w:rPr>
          <w:color w:val="000000"/>
          <w:lang w:val="hu-HU"/>
        </w:rPr>
        <w:t>C</w:t>
      </w:r>
      <w:r w:rsidRPr="00D045B3">
        <w:rPr>
          <w:color w:val="000000"/>
          <w:lang w:val="hu-HU"/>
        </w:rPr>
        <w:noBreakHyphen/>
        <w:t xml:space="preserve">on tárolandó. </w:t>
      </w:r>
    </w:p>
    <w:p w14:paraId="1E927BC5" w14:textId="77777777" w:rsidR="00153411" w:rsidRPr="00D045B3" w:rsidRDefault="00153411" w:rsidP="00153411">
      <w:pPr>
        <w:spacing w:line="240" w:lineRule="auto"/>
        <w:rPr>
          <w:color w:val="000000"/>
          <w:lang w:val="hu-HU"/>
        </w:rPr>
      </w:pPr>
      <w:r w:rsidRPr="00D045B3">
        <w:rPr>
          <w:color w:val="000000"/>
          <w:lang w:val="hu-HU"/>
        </w:rPr>
        <w:t>A nedvességtől való védelem érdekében az eredeti csomagolásban tárolandó.</w:t>
      </w:r>
    </w:p>
    <w:p w14:paraId="1E927BC6" w14:textId="77777777" w:rsidR="00153411" w:rsidRPr="00D045B3" w:rsidRDefault="00153411" w:rsidP="00153411">
      <w:pPr>
        <w:spacing w:line="240" w:lineRule="auto"/>
        <w:rPr>
          <w:color w:val="000000"/>
          <w:lang w:val="hu-HU"/>
        </w:rPr>
      </w:pPr>
    </w:p>
    <w:p w14:paraId="1E927BC7" w14:textId="77777777" w:rsidR="00153411" w:rsidRPr="00D045B3" w:rsidRDefault="00153411" w:rsidP="00153411">
      <w:pPr>
        <w:spacing w:line="240" w:lineRule="auto"/>
        <w:rPr>
          <w:color w:val="000000"/>
          <w:lang w:val="hu-HU"/>
        </w:rPr>
      </w:pPr>
    </w:p>
    <w:p w14:paraId="1E927BC8"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10.</w:t>
      </w:r>
      <w:r w:rsidRPr="00D045B3">
        <w:rPr>
          <w:b/>
          <w:color w:val="000000"/>
          <w:lang w:val="hu-HU"/>
        </w:rPr>
        <w:tab/>
        <w:t xml:space="preserve">KÜLÖNLEGES ÓVINTÉZKEDÉSEK A FEL </w:t>
      </w:r>
      <w:smartTag w:uri="urn:schemas-microsoft-com:office:smarttags" w:element="stockticker">
        <w:r w:rsidRPr="00D045B3">
          <w:rPr>
            <w:b/>
            <w:color w:val="000000"/>
            <w:lang w:val="hu-HU"/>
          </w:rPr>
          <w:t>NEM</w:t>
        </w:r>
      </w:smartTag>
      <w:r w:rsidRPr="00D045B3">
        <w:rPr>
          <w:b/>
          <w:color w:val="000000"/>
          <w:lang w:val="hu-HU"/>
        </w:rPr>
        <w:t xml:space="preserve"> HASZNÁLT GYÓGYSZEREK VAGY AZ ILYEN TERMÉKEKBŐL KELETKEZETT HULLADÉKANYAGOK ÁRTALMATLANNÁ TÉTELÉRE, HA ILYENEKRE SZÜKSÉG VAN</w:t>
      </w:r>
    </w:p>
    <w:p w14:paraId="1E927BC9" w14:textId="77777777" w:rsidR="00153411" w:rsidRPr="00D045B3" w:rsidRDefault="00153411" w:rsidP="00153411">
      <w:pPr>
        <w:spacing w:line="240" w:lineRule="auto"/>
        <w:rPr>
          <w:color w:val="000000"/>
          <w:lang w:val="hu-HU"/>
        </w:rPr>
      </w:pPr>
    </w:p>
    <w:p w14:paraId="1E927BCA" w14:textId="77777777" w:rsidR="00611231" w:rsidRPr="00D045B3" w:rsidRDefault="00611231" w:rsidP="00153411">
      <w:pPr>
        <w:spacing w:line="240" w:lineRule="auto"/>
        <w:rPr>
          <w:color w:val="000000"/>
          <w:lang w:val="hu-HU"/>
        </w:rPr>
      </w:pPr>
    </w:p>
    <w:p w14:paraId="1E927BCB"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11.</w:t>
      </w:r>
      <w:r w:rsidRPr="00D045B3">
        <w:rPr>
          <w:b/>
          <w:color w:val="000000"/>
          <w:lang w:val="hu-HU"/>
        </w:rPr>
        <w:tab/>
        <w:t>A FORGALOMBA HOZATALI ENGEDÉLY JOGOSULTJÁNAK NEVE ÉS CÍME</w:t>
      </w:r>
    </w:p>
    <w:p w14:paraId="1E927BCC" w14:textId="77777777" w:rsidR="00153411" w:rsidRPr="00D045B3" w:rsidRDefault="00153411" w:rsidP="00153411">
      <w:pPr>
        <w:spacing w:line="240" w:lineRule="auto"/>
        <w:rPr>
          <w:color w:val="000000"/>
          <w:lang w:val="hu-HU"/>
        </w:rPr>
      </w:pPr>
    </w:p>
    <w:p w14:paraId="1E927BCD" w14:textId="77777777" w:rsidR="00611231" w:rsidRPr="00D045B3" w:rsidRDefault="00611231" w:rsidP="00611231">
      <w:pPr>
        <w:autoSpaceDE w:val="0"/>
        <w:autoSpaceDN w:val="0"/>
        <w:adjustRightInd w:val="0"/>
        <w:spacing w:line="240" w:lineRule="auto"/>
        <w:rPr>
          <w:lang w:val="hu-HU"/>
        </w:rPr>
      </w:pPr>
      <w:r w:rsidRPr="00D045B3">
        <w:rPr>
          <w:lang w:val="hu-HU"/>
        </w:rPr>
        <w:t>Actavis Group PTC ehf.</w:t>
      </w:r>
    </w:p>
    <w:p w14:paraId="1E927BCE" w14:textId="77777777" w:rsidR="00611231" w:rsidRPr="00D045B3" w:rsidRDefault="001C19C5" w:rsidP="00611231">
      <w:pPr>
        <w:autoSpaceDE w:val="0"/>
        <w:autoSpaceDN w:val="0"/>
        <w:adjustRightInd w:val="0"/>
        <w:spacing w:line="240" w:lineRule="auto"/>
        <w:rPr>
          <w:lang w:val="hu-HU"/>
        </w:rPr>
      </w:pPr>
      <w:r w:rsidRPr="00D045B3">
        <w:rPr>
          <w:lang w:val="hu-HU"/>
        </w:rPr>
        <w:t xml:space="preserve">220 </w:t>
      </w:r>
      <w:r w:rsidR="00611231" w:rsidRPr="00D045B3">
        <w:rPr>
          <w:lang w:val="hu-HU"/>
        </w:rPr>
        <w:t>Hafnarfjörður</w:t>
      </w:r>
    </w:p>
    <w:p w14:paraId="1E927BCF" w14:textId="77777777" w:rsidR="00611231" w:rsidRPr="00D045B3" w:rsidRDefault="00611231" w:rsidP="00611231">
      <w:pPr>
        <w:autoSpaceDE w:val="0"/>
        <w:autoSpaceDN w:val="0"/>
        <w:adjustRightInd w:val="0"/>
        <w:spacing w:line="240" w:lineRule="auto"/>
        <w:rPr>
          <w:lang w:val="hu-HU"/>
        </w:rPr>
      </w:pPr>
      <w:r w:rsidRPr="00D045B3">
        <w:rPr>
          <w:lang w:val="hu-HU"/>
        </w:rPr>
        <w:t>Izland</w:t>
      </w:r>
    </w:p>
    <w:p w14:paraId="1E927BD0" w14:textId="77777777" w:rsidR="00153411" w:rsidRPr="00D045B3" w:rsidRDefault="00153411" w:rsidP="00153411">
      <w:pPr>
        <w:spacing w:line="240" w:lineRule="auto"/>
        <w:rPr>
          <w:color w:val="000000"/>
          <w:lang w:val="hu-HU"/>
        </w:rPr>
      </w:pPr>
    </w:p>
    <w:p w14:paraId="1E927BD1" w14:textId="77777777" w:rsidR="00153411" w:rsidRPr="00D045B3" w:rsidRDefault="00153411" w:rsidP="00153411">
      <w:pPr>
        <w:spacing w:line="240" w:lineRule="auto"/>
        <w:rPr>
          <w:color w:val="000000"/>
          <w:lang w:val="hu-HU"/>
        </w:rPr>
      </w:pPr>
    </w:p>
    <w:p w14:paraId="1E927BD2"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12.</w:t>
      </w:r>
      <w:r w:rsidRPr="00D045B3">
        <w:rPr>
          <w:b/>
          <w:color w:val="000000"/>
          <w:lang w:val="hu-HU"/>
        </w:rPr>
        <w:tab/>
        <w:t>A FORGALOMBA HOZATALI ENGEDÉLY SZÁMA(I)</w:t>
      </w:r>
    </w:p>
    <w:p w14:paraId="1E927BD3" w14:textId="77777777" w:rsidR="00153411" w:rsidRPr="00D045B3" w:rsidRDefault="00153411" w:rsidP="00153411">
      <w:pPr>
        <w:spacing w:line="240" w:lineRule="auto"/>
        <w:rPr>
          <w:color w:val="000000"/>
          <w:lang w:val="hu-HU"/>
        </w:rPr>
      </w:pPr>
    </w:p>
    <w:p w14:paraId="1E927BD4"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rPr>
        <w:t xml:space="preserve">EU/1/13/825/008 </w:t>
      </w:r>
      <w:r w:rsidR="00333F69" w:rsidRPr="00D045B3">
        <w:rPr>
          <w:rFonts w:ascii="Times New Roman" w:hAnsi="Times New Roman"/>
          <w:highlight w:val="lightGray"/>
        </w:rPr>
        <w:t>10  tabletta</w:t>
      </w:r>
    </w:p>
    <w:p w14:paraId="1E927BD5"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 xml:space="preserve">EU/1/13/825/009 </w:t>
      </w:r>
      <w:r w:rsidR="00333F69" w:rsidRPr="00D045B3">
        <w:rPr>
          <w:rFonts w:ascii="Times New Roman" w:hAnsi="Times New Roman"/>
          <w:highlight w:val="lightGray"/>
        </w:rPr>
        <w:t>20  tabletta</w:t>
      </w:r>
    </w:p>
    <w:p w14:paraId="1E927BD6"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 xml:space="preserve">EU/1/13/825/010 </w:t>
      </w:r>
      <w:r w:rsidR="00333F69" w:rsidRPr="00D045B3">
        <w:rPr>
          <w:rFonts w:ascii="Times New Roman" w:hAnsi="Times New Roman"/>
          <w:highlight w:val="lightGray"/>
        </w:rPr>
        <w:t>30  tabletta</w:t>
      </w:r>
    </w:p>
    <w:p w14:paraId="1E927BD7"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 xml:space="preserve">EU/1/13/825/011 </w:t>
      </w:r>
      <w:r w:rsidR="00333F69" w:rsidRPr="00D045B3">
        <w:rPr>
          <w:rFonts w:ascii="Times New Roman" w:hAnsi="Times New Roman"/>
          <w:highlight w:val="lightGray"/>
        </w:rPr>
        <w:t>60  tabletta</w:t>
      </w:r>
    </w:p>
    <w:p w14:paraId="1E927BD8"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EU/1/13/825/012 90</w:t>
      </w:r>
      <w:r w:rsidR="00333F69" w:rsidRPr="00D045B3">
        <w:rPr>
          <w:rFonts w:ascii="Times New Roman" w:hAnsi="Times New Roman"/>
          <w:highlight w:val="lightGray"/>
        </w:rPr>
        <w:t>  tabletta</w:t>
      </w:r>
    </w:p>
    <w:p w14:paraId="1E927BD9"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 xml:space="preserve">EU/1/13/825/013 </w:t>
      </w:r>
      <w:r w:rsidR="00333F69" w:rsidRPr="00D045B3">
        <w:rPr>
          <w:rFonts w:ascii="Times New Roman" w:hAnsi="Times New Roman"/>
          <w:highlight w:val="lightGray"/>
        </w:rPr>
        <w:t>120  tabletta</w:t>
      </w:r>
    </w:p>
    <w:p w14:paraId="1E927BDA" w14:textId="77777777" w:rsidR="00153411" w:rsidRPr="00D045B3" w:rsidRDefault="009E3F23" w:rsidP="009E3F23">
      <w:pPr>
        <w:spacing w:line="240" w:lineRule="auto"/>
        <w:rPr>
          <w:lang w:val="hu-HU"/>
        </w:rPr>
      </w:pPr>
      <w:r w:rsidRPr="00D045B3">
        <w:rPr>
          <w:highlight w:val="lightGray"/>
          <w:lang w:val="hu-HU"/>
        </w:rPr>
        <w:t xml:space="preserve">EU/1/13/825/014 </w:t>
      </w:r>
      <w:r w:rsidR="00333F69" w:rsidRPr="00D045B3">
        <w:rPr>
          <w:highlight w:val="lightGray"/>
          <w:lang w:val="hu-HU"/>
        </w:rPr>
        <w:t>180  tabletta</w:t>
      </w:r>
    </w:p>
    <w:p w14:paraId="1E927BDB" w14:textId="77777777" w:rsidR="009E3F23" w:rsidRPr="00D045B3" w:rsidRDefault="009E3F23" w:rsidP="009E3F23">
      <w:pPr>
        <w:spacing w:line="240" w:lineRule="auto"/>
        <w:rPr>
          <w:color w:val="000000"/>
          <w:lang w:val="hu-HU"/>
        </w:rPr>
      </w:pPr>
    </w:p>
    <w:p w14:paraId="1E927BDC" w14:textId="77777777" w:rsidR="00153411" w:rsidRPr="00D045B3" w:rsidRDefault="00153411" w:rsidP="00153411">
      <w:pPr>
        <w:spacing w:line="240" w:lineRule="auto"/>
        <w:rPr>
          <w:color w:val="000000"/>
          <w:lang w:val="hu-HU"/>
        </w:rPr>
      </w:pPr>
    </w:p>
    <w:p w14:paraId="1E927BDD"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13.</w:t>
      </w:r>
      <w:r w:rsidRPr="00D045B3">
        <w:rPr>
          <w:b/>
          <w:color w:val="000000"/>
          <w:lang w:val="hu-HU"/>
        </w:rPr>
        <w:tab/>
        <w:t>A GYÁRTÁSI TÉTEL SZÁMA</w:t>
      </w:r>
    </w:p>
    <w:p w14:paraId="1E927BDE" w14:textId="77777777" w:rsidR="00153411" w:rsidRPr="00D045B3" w:rsidRDefault="00153411" w:rsidP="00153411">
      <w:pPr>
        <w:spacing w:line="240" w:lineRule="auto"/>
        <w:rPr>
          <w:color w:val="000000"/>
          <w:lang w:val="hu-HU"/>
        </w:rPr>
      </w:pPr>
    </w:p>
    <w:p w14:paraId="1E927BDF" w14:textId="246C5B43" w:rsidR="00153411" w:rsidRPr="00D045B3" w:rsidRDefault="00AE22C7" w:rsidP="00153411">
      <w:pPr>
        <w:spacing w:line="240" w:lineRule="auto"/>
        <w:rPr>
          <w:color w:val="000000"/>
          <w:lang w:val="hu-HU"/>
        </w:rPr>
      </w:pPr>
      <w:r w:rsidRPr="00D045B3">
        <w:rPr>
          <w:color w:val="000000"/>
          <w:lang w:val="hu-HU"/>
        </w:rPr>
        <w:t>Lot</w:t>
      </w:r>
    </w:p>
    <w:p w14:paraId="1E927BE0" w14:textId="77777777" w:rsidR="00153411" w:rsidRPr="00D045B3" w:rsidRDefault="00153411" w:rsidP="00153411">
      <w:pPr>
        <w:spacing w:line="240" w:lineRule="auto"/>
        <w:rPr>
          <w:color w:val="000000"/>
          <w:lang w:val="hu-HU"/>
        </w:rPr>
      </w:pPr>
    </w:p>
    <w:p w14:paraId="1E927BE1" w14:textId="77777777" w:rsidR="00153411" w:rsidRPr="00D045B3" w:rsidRDefault="00153411" w:rsidP="00153411">
      <w:pPr>
        <w:spacing w:line="240" w:lineRule="auto"/>
        <w:rPr>
          <w:color w:val="000000"/>
          <w:lang w:val="hu-HU"/>
        </w:rPr>
      </w:pPr>
    </w:p>
    <w:p w14:paraId="1E927BE2"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14.</w:t>
      </w:r>
      <w:r w:rsidRPr="00D045B3">
        <w:rPr>
          <w:b/>
          <w:color w:val="000000"/>
          <w:lang w:val="hu-HU"/>
        </w:rPr>
        <w:tab/>
        <w:t>A GYÓGYSZER RENDELHETŐSÉG</w:t>
      </w:r>
      <w:r w:rsidR="00611231" w:rsidRPr="00D045B3">
        <w:rPr>
          <w:b/>
          <w:color w:val="000000"/>
          <w:lang w:val="hu-HU"/>
        </w:rPr>
        <w:t>E</w:t>
      </w:r>
    </w:p>
    <w:p w14:paraId="1E927BE3" w14:textId="77777777" w:rsidR="00153411" w:rsidRPr="00D045B3" w:rsidRDefault="00153411" w:rsidP="00153411">
      <w:pPr>
        <w:spacing w:line="240" w:lineRule="auto"/>
        <w:rPr>
          <w:color w:val="000000"/>
          <w:lang w:val="hu-HU"/>
        </w:rPr>
      </w:pPr>
    </w:p>
    <w:p w14:paraId="1E927BE4" w14:textId="77777777" w:rsidR="00153411" w:rsidRPr="00D045B3" w:rsidRDefault="00153411" w:rsidP="00153411">
      <w:pPr>
        <w:spacing w:line="240" w:lineRule="auto"/>
        <w:rPr>
          <w:color w:val="000000"/>
          <w:lang w:val="hu-HU"/>
        </w:rPr>
      </w:pPr>
      <w:r w:rsidRPr="00D045B3">
        <w:rPr>
          <w:color w:val="000000"/>
          <w:lang w:val="hu-HU"/>
        </w:rPr>
        <w:t>Orvosi rendelvényhez kötött gyógyszer.</w:t>
      </w:r>
    </w:p>
    <w:p w14:paraId="1E927BE5" w14:textId="77777777" w:rsidR="00153411" w:rsidRPr="00D045B3" w:rsidRDefault="00153411" w:rsidP="00153411">
      <w:pPr>
        <w:spacing w:line="240" w:lineRule="auto"/>
        <w:rPr>
          <w:color w:val="000000"/>
          <w:lang w:val="hu-HU"/>
        </w:rPr>
      </w:pPr>
    </w:p>
    <w:p w14:paraId="1E927BE6" w14:textId="77777777" w:rsidR="00153411" w:rsidRPr="00D045B3" w:rsidRDefault="00153411" w:rsidP="00153411">
      <w:pPr>
        <w:spacing w:line="240" w:lineRule="auto"/>
        <w:rPr>
          <w:color w:val="000000"/>
          <w:lang w:val="hu-HU"/>
        </w:rPr>
      </w:pPr>
    </w:p>
    <w:p w14:paraId="1E927BE7" w14:textId="77777777" w:rsidR="00153411" w:rsidRPr="00D045B3" w:rsidRDefault="00153411" w:rsidP="00153411">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15.</w:t>
      </w:r>
      <w:r w:rsidRPr="00D045B3">
        <w:rPr>
          <w:b/>
          <w:color w:val="000000"/>
          <w:lang w:val="hu-HU"/>
        </w:rPr>
        <w:tab/>
        <w:t>AZ ALKALMAZÁSRA VONATKOZÓ UTASÍTÁSOK</w:t>
      </w:r>
    </w:p>
    <w:p w14:paraId="1E927BE8" w14:textId="77777777" w:rsidR="00153411" w:rsidRPr="00D045B3" w:rsidRDefault="00153411" w:rsidP="00153411">
      <w:pPr>
        <w:spacing w:line="240" w:lineRule="auto"/>
        <w:rPr>
          <w:color w:val="000000"/>
          <w:szCs w:val="22"/>
          <w:lang w:val="hu-HU"/>
        </w:rPr>
      </w:pPr>
    </w:p>
    <w:p w14:paraId="1E927BE9" w14:textId="77777777" w:rsidR="00611231" w:rsidRPr="00D045B3" w:rsidRDefault="00611231" w:rsidP="00153411">
      <w:pPr>
        <w:spacing w:line="240" w:lineRule="auto"/>
        <w:rPr>
          <w:color w:val="000000"/>
          <w:szCs w:val="22"/>
          <w:lang w:val="hu-HU"/>
        </w:rPr>
      </w:pPr>
    </w:p>
    <w:p w14:paraId="1E927BEA" w14:textId="77777777" w:rsidR="00153411" w:rsidRPr="00D045B3" w:rsidRDefault="00153411" w:rsidP="00611231">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D045B3">
        <w:rPr>
          <w:b/>
          <w:color w:val="000000"/>
          <w:szCs w:val="22"/>
          <w:lang w:val="hu-HU"/>
        </w:rPr>
        <w:t>16.</w:t>
      </w:r>
      <w:r w:rsidRPr="00D045B3">
        <w:rPr>
          <w:b/>
          <w:color w:val="000000"/>
          <w:szCs w:val="22"/>
          <w:lang w:val="hu-HU"/>
        </w:rPr>
        <w:tab/>
        <w:t>BRAILLE ÍRÁSSAL FELTÜNTETETT INFORMÁCIÓK</w:t>
      </w:r>
    </w:p>
    <w:p w14:paraId="1E927BEB" w14:textId="77777777" w:rsidR="00153411" w:rsidRPr="00D045B3" w:rsidRDefault="00153411" w:rsidP="00611231">
      <w:pPr>
        <w:keepNext/>
        <w:spacing w:line="240" w:lineRule="auto"/>
        <w:rPr>
          <w:color w:val="000000"/>
          <w:szCs w:val="22"/>
          <w:lang w:val="hu-HU"/>
        </w:rPr>
      </w:pPr>
    </w:p>
    <w:p w14:paraId="1E927BEC" w14:textId="77777777" w:rsidR="00153411" w:rsidRPr="00D045B3" w:rsidRDefault="00611231" w:rsidP="00611231">
      <w:pPr>
        <w:keepNext/>
        <w:spacing w:line="240" w:lineRule="auto"/>
        <w:rPr>
          <w:color w:val="000000"/>
          <w:szCs w:val="22"/>
          <w:lang w:val="hu-HU"/>
        </w:rPr>
      </w:pPr>
      <w:r w:rsidRPr="00D045B3">
        <w:rPr>
          <w:lang w:val="hu-HU"/>
        </w:rPr>
        <w:t xml:space="preserve">Imatinib Actavis </w:t>
      </w:r>
      <w:r w:rsidR="00153411" w:rsidRPr="00D045B3">
        <w:rPr>
          <w:color w:val="000000"/>
          <w:szCs w:val="22"/>
          <w:lang w:val="hu-HU"/>
        </w:rPr>
        <w:t>100 mg</w:t>
      </w:r>
    </w:p>
    <w:p w14:paraId="1E927BED" w14:textId="77777777" w:rsidR="00415AA6" w:rsidRPr="00D045B3" w:rsidRDefault="00415AA6" w:rsidP="00415AA6">
      <w:pPr>
        <w:rPr>
          <w:noProof/>
          <w:shd w:val="clear" w:color="auto" w:fill="CCCCCC"/>
          <w:lang w:val="hu-HU"/>
        </w:rPr>
      </w:pPr>
    </w:p>
    <w:p w14:paraId="1E927BEE" w14:textId="77777777" w:rsidR="00415AA6" w:rsidRPr="00D045B3" w:rsidRDefault="00415AA6" w:rsidP="00415AA6">
      <w:pPr>
        <w:rPr>
          <w:noProof/>
          <w:shd w:val="clear" w:color="auto" w:fill="CCCCCC"/>
          <w:lang w:val="hu-HU"/>
        </w:rPr>
      </w:pPr>
    </w:p>
    <w:p w14:paraId="1E927BEF" w14:textId="77777777" w:rsidR="00415AA6" w:rsidRPr="00D045B3" w:rsidRDefault="00415AA6" w:rsidP="00E95370">
      <w:pPr>
        <w:keepNext/>
        <w:numPr>
          <w:ilvl w:val="0"/>
          <w:numId w:val="33"/>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 2D VONALKÓD</w:t>
      </w:r>
    </w:p>
    <w:p w14:paraId="1E927BF0" w14:textId="77777777" w:rsidR="00415AA6" w:rsidRPr="00D045B3" w:rsidRDefault="00415AA6" w:rsidP="00415AA6">
      <w:pPr>
        <w:rPr>
          <w:noProof/>
          <w:lang w:val="hu-HU"/>
        </w:rPr>
      </w:pPr>
    </w:p>
    <w:p w14:paraId="1E927BF1" w14:textId="77777777" w:rsidR="0052506B" w:rsidRPr="00D045B3" w:rsidRDefault="00BB710A" w:rsidP="0052506B">
      <w:pPr>
        <w:widowControl w:val="0"/>
        <w:shd w:val="clear" w:color="auto" w:fill="FFFFFF"/>
        <w:spacing w:line="240" w:lineRule="auto"/>
        <w:rPr>
          <w:szCs w:val="22"/>
          <w:shd w:val="pct15" w:color="auto" w:fill="auto"/>
          <w:lang w:val="hu-HU" w:eastAsia="en-US"/>
        </w:rPr>
      </w:pPr>
      <w:r w:rsidRPr="00D045B3">
        <w:rPr>
          <w:szCs w:val="22"/>
          <w:shd w:val="pct15" w:color="auto" w:fill="auto"/>
          <w:lang w:val="hu-HU" w:eastAsia="en-US"/>
        </w:rPr>
        <w:t>&lt;</w:t>
      </w:r>
      <w:r w:rsidR="0052506B" w:rsidRPr="00D045B3">
        <w:rPr>
          <w:szCs w:val="22"/>
          <w:shd w:val="pct15" w:color="auto" w:fill="auto"/>
          <w:lang w:val="hu-HU" w:eastAsia="en-US"/>
        </w:rPr>
        <w:t>Egyedi azonosítójú 2D vonalkóddal ellátva.</w:t>
      </w:r>
      <w:r w:rsidRPr="00D045B3">
        <w:rPr>
          <w:szCs w:val="22"/>
          <w:shd w:val="pct15" w:color="auto" w:fill="auto"/>
          <w:lang w:val="hu-HU" w:eastAsia="en-US"/>
        </w:rPr>
        <w:t>&gt;</w:t>
      </w:r>
    </w:p>
    <w:p w14:paraId="1E927BF2" w14:textId="77777777" w:rsidR="0052506B" w:rsidRPr="00D045B3" w:rsidRDefault="0052506B" w:rsidP="0052506B">
      <w:pPr>
        <w:widowControl w:val="0"/>
        <w:spacing w:line="240" w:lineRule="auto"/>
        <w:rPr>
          <w:noProof/>
          <w:szCs w:val="22"/>
          <w:lang w:val="hu-HU" w:eastAsia="en-US"/>
        </w:rPr>
      </w:pPr>
    </w:p>
    <w:p w14:paraId="1E927BF3" w14:textId="77777777" w:rsidR="00415AA6" w:rsidRPr="00D045B3" w:rsidRDefault="00415AA6" w:rsidP="00415AA6">
      <w:pPr>
        <w:rPr>
          <w:noProof/>
          <w:lang w:val="hu-HU"/>
        </w:rPr>
      </w:pPr>
    </w:p>
    <w:p w14:paraId="1E927BF4" w14:textId="77777777" w:rsidR="00415AA6" w:rsidRPr="00D045B3" w:rsidRDefault="00415AA6" w:rsidP="00E95370">
      <w:pPr>
        <w:keepNext/>
        <w:numPr>
          <w:ilvl w:val="0"/>
          <w:numId w:val="33"/>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OLVASHATÓ FORMÁTUMA</w:t>
      </w:r>
    </w:p>
    <w:p w14:paraId="1E927BF5" w14:textId="77777777" w:rsidR="00415AA6" w:rsidRPr="00D045B3" w:rsidRDefault="00415AA6" w:rsidP="00AC772F">
      <w:pPr>
        <w:keepNext/>
        <w:rPr>
          <w:noProof/>
          <w:lang w:val="hu-HU"/>
        </w:rPr>
      </w:pPr>
    </w:p>
    <w:p w14:paraId="1E927BF6" w14:textId="6869ACF4" w:rsidR="0052506B" w:rsidRPr="00D045B3" w:rsidRDefault="0052506B" w:rsidP="00AC772F">
      <w:pPr>
        <w:keepNext/>
        <w:shd w:val="clear" w:color="auto" w:fill="FFFFFF"/>
        <w:rPr>
          <w:szCs w:val="22"/>
          <w:lang w:val="hu-HU" w:eastAsia="en-US"/>
        </w:rPr>
      </w:pPr>
      <w:r w:rsidRPr="00D045B3">
        <w:rPr>
          <w:szCs w:val="22"/>
          <w:lang w:val="hu-HU" w:eastAsia="en-US"/>
        </w:rPr>
        <w:t>PC</w:t>
      </w:r>
      <w:r w:rsidR="00BB710A" w:rsidRPr="00D045B3">
        <w:rPr>
          <w:szCs w:val="22"/>
          <w:lang w:val="hu-HU" w:eastAsia="en-US"/>
        </w:rPr>
        <w:t xml:space="preserve"> </w:t>
      </w:r>
      <w:r w:rsidR="00BB710A" w:rsidRPr="00D045B3">
        <w:rPr>
          <w:lang w:val="hu-HU"/>
        </w:rPr>
        <w:t>{szám}</w:t>
      </w:r>
    </w:p>
    <w:p w14:paraId="1E927BF7" w14:textId="391CF05F" w:rsidR="0052506B" w:rsidRPr="00D045B3" w:rsidRDefault="0052506B" w:rsidP="00AC772F">
      <w:pPr>
        <w:keepNext/>
        <w:shd w:val="clear" w:color="auto" w:fill="FFFFFF"/>
        <w:rPr>
          <w:szCs w:val="22"/>
          <w:lang w:val="hu-HU" w:eastAsia="en-US"/>
        </w:rPr>
      </w:pPr>
      <w:r w:rsidRPr="00D045B3">
        <w:rPr>
          <w:szCs w:val="22"/>
          <w:lang w:val="hu-HU" w:eastAsia="en-US"/>
        </w:rPr>
        <w:t>SN</w:t>
      </w:r>
      <w:r w:rsidR="00BB710A" w:rsidRPr="00D045B3">
        <w:rPr>
          <w:szCs w:val="22"/>
          <w:lang w:val="hu-HU" w:eastAsia="en-US"/>
        </w:rPr>
        <w:t xml:space="preserve"> </w:t>
      </w:r>
      <w:r w:rsidR="00BB710A" w:rsidRPr="00D045B3">
        <w:rPr>
          <w:lang w:val="hu-HU"/>
        </w:rPr>
        <w:t>{szám}</w:t>
      </w:r>
    </w:p>
    <w:p w14:paraId="1E927BF8" w14:textId="263E3D49" w:rsidR="0052506B" w:rsidRPr="00D045B3" w:rsidRDefault="0052506B" w:rsidP="00AC772F">
      <w:pPr>
        <w:keepNext/>
        <w:shd w:val="clear" w:color="auto" w:fill="FFFFFF"/>
        <w:spacing w:line="240" w:lineRule="auto"/>
        <w:rPr>
          <w:color w:val="000000"/>
          <w:szCs w:val="22"/>
          <w:lang w:val="hu-HU"/>
        </w:rPr>
      </w:pPr>
      <w:r w:rsidRPr="00D045B3">
        <w:rPr>
          <w:szCs w:val="22"/>
          <w:lang w:val="hu-HU" w:eastAsia="en-US"/>
        </w:rPr>
        <w:t>NN</w:t>
      </w:r>
      <w:r w:rsidR="00BB710A" w:rsidRPr="00D045B3">
        <w:rPr>
          <w:szCs w:val="22"/>
          <w:lang w:val="hu-HU" w:eastAsia="en-US"/>
        </w:rPr>
        <w:t xml:space="preserve"> </w:t>
      </w:r>
      <w:r w:rsidR="00BB710A" w:rsidRPr="00D045B3">
        <w:rPr>
          <w:lang w:val="hu-HU"/>
        </w:rPr>
        <w:t>{szám}</w:t>
      </w:r>
    </w:p>
    <w:p w14:paraId="1E927BF9" w14:textId="77777777" w:rsidR="00611231" w:rsidRPr="00D045B3" w:rsidRDefault="00611231" w:rsidP="00153411">
      <w:pPr>
        <w:spacing w:line="240" w:lineRule="auto"/>
        <w:rPr>
          <w:color w:val="000000"/>
          <w:szCs w:val="22"/>
          <w:lang w:val="hu-HU"/>
        </w:rPr>
      </w:pPr>
    </w:p>
    <w:p w14:paraId="1E927BFA" w14:textId="77777777" w:rsidR="00A052B8" w:rsidRPr="00D045B3" w:rsidRDefault="00611231" w:rsidP="0052506B">
      <w:pPr>
        <w:spacing w:line="240" w:lineRule="auto"/>
        <w:rPr>
          <w:color w:val="000000"/>
          <w:lang w:val="hu-HU"/>
        </w:rPr>
      </w:pPr>
      <w:r w:rsidRPr="00D045B3">
        <w:rPr>
          <w:color w:val="000000"/>
          <w:szCs w:val="22"/>
          <w:lang w:val="hu-HU"/>
        </w:rPr>
        <w:br w:type="page"/>
      </w:r>
    </w:p>
    <w:p w14:paraId="1E927BFB"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KÜLSŐ CSOMAGOLÁSON FELTÜNTETENDŐ ADATOK</w:t>
      </w:r>
    </w:p>
    <w:p w14:paraId="1E927BFC"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BFD"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DOBOZ</w:t>
      </w:r>
    </w:p>
    <w:p w14:paraId="1E927BFE" w14:textId="77777777" w:rsidR="00A052B8" w:rsidRPr="00D045B3" w:rsidRDefault="00A052B8" w:rsidP="00A052B8">
      <w:pPr>
        <w:spacing w:line="240" w:lineRule="auto"/>
        <w:rPr>
          <w:color w:val="000000"/>
          <w:lang w:val="hu-HU"/>
        </w:rPr>
      </w:pPr>
    </w:p>
    <w:p w14:paraId="1E927BFF" w14:textId="77777777" w:rsidR="00A052B8" w:rsidRPr="00D045B3" w:rsidRDefault="00A052B8" w:rsidP="00A052B8">
      <w:pPr>
        <w:spacing w:line="240" w:lineRule="auto"/>
        <w:rPr>
          <w:color w:val="000000"/>
          <w:lang w:val="hu-HU"/>
        </w:rPr>
      </w:pPr>
    </w:p>
    <w:p w14:paraId="1E927C00"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C01" w14:textId="77777777" w:rsidR="00A052B8" w:rsidRPr="00D045B3" w:rsidRDefault="00A052B8" w:rsidP="00A052B8">
      <w:pPr>
        <w:spacing w:line="240" w:lineRule="auto"/>
        <w:rPr>
          <w:color w:val="000000"/>
          <w:lang w:val="hu-HU"/>
        </w:rPr>
      </w:pPr>
    </w:p>
    <w:p w14:paraId="1E927C02" w14:textId="77777777" w:rsidR="00A052B8" w:rsidRPr="00D045B3" w:rsidRDefault="00A052B8" w:rsidP="00A052B8">
      <w:pPr>
        <w:autoSpaceDE w:val="0"/>
        <w:autoSpaceDN w:val="0"/>
        <w:adjustRightInd w:val="0"/>
        <w:spacing w:line="240" w:lineRule="auto"/>
        <w:rPr>
          <w:lang w:val="hu-HU"/>
        </w:rPr>
      </w:pPr>
      <w:r w:rsidRPr="00D045B3">
        <w:rPr>
          <w:lang w:val="hu-HU"/>
        </w:rPr>
        <w:t>Imatinib Actavis 400 mg filmtabletta</w:t>
      </w:r>
    </w:p>
    <w:p w14:paraId="1E927C03" w14:textId="77777777" w:rsidR="00A052B8" w:rsidRPr="00D045B3" w:rsidRDefault="00FA3B29" w:rsidP="00A052B8">
      <w:pPr>
        <w:spacing w:line="240" w:lineRule="auto"/>
        <w:rPr>
          <w:color w:val="000000"/>
          <w:lang w:val="hu-HU"/>
        </w:rPr>
      </w:pPr>
      <w:r w:rsidRPr="00D045B3">
        <w:rPr>
          <w:lang w:val="hu-HU"/>
        </w:rPr>
        <w:t>i</w:t>
      </w:r>
      <w:r w:rsidR="00A052B8" w:rsidRPr="00D045B3">
        <w:rPr>
          <w:lang w:val="hu-HU"/>
        </w:rPr>
        <w:t>matinib</w:t>
      </w:r>
      <w:r w:rsidR="00A052B8" w:rsidRPr="00D045B3">
        <w:rPr>
          <w:color w:val="000000"/>
          <w:lang w:val="hu-HU"/>
        </w:rPr>
        <w:t xml:space="preserve"> </w:t>
      </w:r>
    </w:p>
    <w:p w14:paraId="1E927C04" w14:textId="77777777" w:rsidR="00A052B8" w:rsidRPr="00D045B3" w:rsidRDefault="00A052B8" w:rsidP="00A052B8">
      <w:pPr>
        <w:spacing w:line="240" w:lineRule="auto"/>
        <w:rPr>
          <w:color w:val="000000"/>
          <w:lang w:val="hu-HU"/>
        </w:rPr>
      </w:pPr>
    </w:p>
    <w:p w14:paraId="1E927C05" w14:textId="77777777" w:rsidR="00A052B8" w:rsidRPr="00D045B3" w:rsidRDefault="00A052B8" w:rsidP="00A052B8">
      <w:pPr>
        <w:spacing w:line="240" w:lineRule="auto"/>
        <w:rPr>
          <w:color w:val="000000"/>
          <w:lang w:val="hu-HU"/>
        </w:rPr>
      </w:pPr>
    </w:p>
    <w:p w14:paraId="1E927C06"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HATÓANYAG(OK) MEGNEVEZÉSE</w:t>
      </w:r>
    </w:p>
    <w:p w14:paraId="1E927C07" w14:textId="77777777" w:rsidR="00A052B8" w:rsidRPr="00D045B3" w:rsidRDefault="00A052B8" w:rsidP="00A052B8">
      <w:pPr>
        <w:spacing w:line="240" w:lineRule="auto"/>
        <w:rPr>
          <w:color w:val="000000"/>
          <w:lang w:val="hu-HU"/>
        </w:rPr>
      </w:pPr>
    </w:p>
    <w:p w14:paraId="1E927C08" w14:textId="77777777" w:rsidR="00A052B8" w:rsidRPr="00D045B3" w:rsidRDefault="00A052B8" w:rsidP="00A052B8">
      <w:pPr>
        <w:spacing w:line="240" w:lineRule="auto"/>
        <w:rPr>
          <w:color w:val="000000"/>
          <w:lang w:val="hu-HU"/>
        </w:rPr>
      </w:pPr>
      <w:r w:rsidRPr="00D045B3">
        <w:rPr>
          <w:color w:val="000000"/>
          <w:lang w:val="hu-HU"/>
        </w:rPr>
        <w:t>400 mg imatinib (mezilát formájában) filmtablettánként.</w:t>
      </w:r>
    </w:p>
    <w:p w14:paraId="1E927C09" w14:textId="77777777" w:rsidR="00A052B8" w:rsidRPr="00D045B3" w:rsidRDefault="00A052B8" w:rsidP="00A052B8">
      <w:pPr>
        <w:spacing w:line="240" w:lineRule="auto"/>
        <w:rPr>
          <w:color w:val="000000"/>
          <w:lang w:val="hu-HU"/>
        </w:rPr>
      </w:pPr>
    </w:p>
    <w:p w14:paraId="1E927C0A" w14:textId="77777777" w:rsidR="00A052B8" w:rsidRPr="00D045B3" w:rsidRDefault="00A052B8" w:rsidP="00A052B8">
      <w:pPr>
        <w:spacing w:line="240" w:lineRule="auto"/>
        <w:rPr>
          <w:color w:val="000000"/>
          <w:lang w:val="hu-HU"/>
        </w:rPr>
      </w:pPr>
    </w:p>
    <w:p w14:paraId="1E927C0B"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SEGÉDANYAGOK FELSOROLÁSA</w:t>
      </w:r>
    </w:p>
    <w:p w14:paraId="1E927C0C" w14:textId="77777777" w:rsidR="00A052B8" w:rsidRPr="00D045B3" w:rsidRDefault="00A052B8" w:rsidP="00A052B8">
      <w:pPr>
        <w:spacing w:line="240" w:lineRule="auto"/>
        <w:rPr>
          <w:color w:val="000000"/>
          <w:lang w:val="hu-HU"/>
        </w:rPr>
      </w:pPr>
    </w:p>
    <w:p w14:paraId="1E927C0D" w14:textId="77777777" w:rsidR="00A052B8" w:rsidRPr="00D045B3" w:rsidRDefault="00A052B8" w:rsidP="00A052B8">
      <w:pPr>
        <w:spacing w:line="240" w:lineRule="auto"/>
        <w:rPr>
          <w:color w:val="000000"/>
          <w:lang w:val="hu-HU"/>
        </w:rPr>
      </w:pPr>
      <w:r w:rsidRPr="00D045B3">
        <w:rPr>
          <w:color w:val="000000"/>
          <w:lang w:val="hu-HU"/>
        </w:rPr>
        <w:t>Lecitint (szója) (E322) taralmaz.</w:t>
      </w:r>
    </w:p>
    <w:p w14:paraId="1E927C0E" w14:textId="77777777" w:rsidR="00A052B8" w:rsidRPr="00D045B3" w:rsidRDefault="00A052B8" w:rsidP="00A052B8">
      <w:pPr>
        <w:spacing w:line="240" w:lineRule="auto"/>
        <w:rPr>
          <w:color w:val="000000"/>
          <w:lang w:val="hu-HU"/>
        </w:rPr>
      </w:pPr>
      <w:r w:rsidRPr="00D045B3">
        <w:rPr>
          <w:color w:val="000000"/>
          <w:lang w:val="hu-HU"/>
        </w:rPr>
        <w:t>További információkért olvassa el a betegtájékoztatót.</w:t>
      </w:r>
    </w:p>
    <w:p w14:paraId="1E927C0F" w14:textId="77777777" w:rsidR="00A052B8" w:rsidRPr="00D045B3" w:rsidRDefault="00A052B8" w:rsidP="00A052B8">
      <w:pPr>
        <w:spacing w:line="240" w:lineRule="auto"/>
        <w:rPr>
          <w:color w:val="000000"/>
          <w:lang w:val="hu-HU"/>
        </w:rPr>
      </w:pPr>
    </w:p>
    <w:p w14:paraId="1E927C10" w14:textId="77777777" w:rsidR="00A052B8" w:rsidRPr="00D045B3" w:rsidRDefault="00A052B8" w:rsidP="00A052B8">
      <w:pPr>
        <w:spacing w:line="240" w:lineRule="auto"/>
        <w:rPr>
          <w:color w:val="000000"/>
          <w:lang w:val="hu-HU"/>
        </w:rPr>
      </w:pPr>
    </w:p>
    <w:p w14:paraId="1E927C11"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GYÓGYSZERFORMA ÉS TARTALOM</w:t>
      </w:r>
    </w:p>
    <w:p w14:paraId="1E927C12" w14:textId="77777777" w:rsidR="00A052B8" w:rsidRPr="00D045B3" w:rsidRDefault="00A052B8" w:rsidP="00A052B8">
      <w:pPr>
        <w:spacing w:line="240" w:lineRule="auto"/>
        <w:rPr>
          <w:color w:val="000000"/>
          <w:lang w:val="hu-HU"/>
        </w:rPr>
      </w:pPr>
    </w:p>
    <w:p w14:paraId="1E927C13" w14:textId="77777777" w:rsidR="00A052B8" w:rsidRPr="00D045B3" w:rsidRDefault="00A052B8" w:rsidP="00A052B8">
      <w:pPr>
        <w:pStyle w:val="KeinLeerraum"/>
        <w:rPr>
          <w:rFonts w:ascii="Times New Roman" w:hAnsi="Times New Roman"/>
        </w:rPr>
      </w:pPr>
      <w:r w:rsidRPr="00D045B3">
        <w:rPr>
          <w:rFonts w:ascii="Times New Roman" w:hAnsi="Times New Roman"/>
        </w:rPr>
        <w:t xml:space="preserve">10 db </w:t>
      </w:r>
      <w:r w:rsidR="00101D7D" w:rsidRPr="00D045B3">
        <w:rPr>
          <w:rFonts w:ascii="Times New Roman" w:hAnsi="Times New Roman"/>
        </w:rPr>
        <w:t>film</w:t>
      </w:r>
      <w:r w:rsidRPr="00D045B3">
        <w:rPr>
          <w:rFonts w:ascii="Times New Roman" w:hAnsi="Times New Roman"/>
        </w:rPr>
        <w:t>tabletta</w:t>
      </w:r>
    </w:p>
    <w:p w14:paraId="1E927C14" w14:textId="77777777" w:rsidR="00A052B8" w:rsidRPr="00D045B3" w:rsidRDefault="00A052B8" w:rsidP="00A052B8">
      <w:pPr>
        <w:pStyle w:val="KeinLeerraum"/>
        <w:rPr>
          <w:rFonts w:ascii="Times New Roman" w:hAnsi="Times New Roman"/>
          <w:highlight w:val="lightGray"/>
        </w:rPr>
      </w:pPr>
      <w:r w:rsidRPr="00D045B3">
        <w:rPr>
          <w:rFonts w:ascii="Times New Roman" w:hAnsi="Times New Roman"/>
          <w:highlight w:val="lightGray"/>
        </w:rPr>
        <w:t xml:space="preserve">30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C15" w14:textId="77777777" w:rsidR="00A052B8" w:rsidRPr="00D045B3" w:rsidRDefault="00A052B8" w:rsidP="00A052B8">
      <w:pPr>
        <w:pStyle w:val="KeinLeerraum"/>
        <w:rPr>
          <w:rFonts w:ascii="Times New Roman" w:hAnsi="Times New Roman"/>
          <w:highlight w:val="lightGray"/>
        </w:rPr>
      </w:pPr>
      <w:r w:rsidRPr="00D045B3">
        <w:rPr>
          <w:rFonts w:ascii="Times New Roman" w:hAnsi="Times New Roman"/>
          <w:highlight w:val="lightGray"/>
        </w:rPr>
        <w:t xml:space="preserve">60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C16" w14:textId="77777777" w:rsidR="00A052B8" w:rsidRPr="00D045B3" w:rsidRDefault="00A052B8" w:rsidP="00A052B8">
      <w:pPr>
        <w:pStyle w:val="KeinLeerraum"/>
        <w:rPr>
          <w:rFonts w:ascii="Times New Roman" w:hAnsi="Times New Roman"/>
          <w:highlight w:val="lightGray"/>
        </w:rPr>
      </w:pPr>
      <w:r w:rsidRPr="00D045B3">
        <w:rPr>
          <w:rFonts w:ascii="Times New Roman" w:hAnsi="Times New Roman"/>
          <w:highlight w:val="lightGray"/>
        </w:rPr>
        <w:t xml:space="preserve">90 db </w:t>
      </w:r>
      <w:r w:rsidR="00101D7D" w:rsidRPr="00D045B3">
        <w:rPr>
          <w:rFonts w:ascii="Times New Roman" w:hAnsi="Times New Roman"/>
          <w:highlight w:val="lightGray"/>
        </w:rPr>
        <w:t>film</w:t>
      </w:r>
      <w:r w:rsidRPr="00D045B3">
        <w:rPr>
          <w:rFonts w:ascii="Times New Roman" w:hAnsi="Times New Roman"/>
          <w:highlight w:val="lightGray"/>
        </w:rPr>
        <w:t>tabletta</w:t>
      </w:r>
    </w:p>
    <w:p w14:paraId="1E927C17" w14:textId="77777777" w:rsidR="00A052B8" w:rsidRPr="00D045B3" w:rsidRDefault="00A052B8" w:rsidP="00A052B8">
      <w:pPr>
        <w:spacing w:line="240" w:lineRule="auto"/>
        <w:rPr>
          <w:color w:val="000000"/>
          <w:lang w:val="hu-HU"/>
        </w:rPr>
      </w:pPr>
    </w:p>
    <w:p w14:paraId="1E927C18" w14:textId="77777777" w:rsidR="00A052B8" w:rsidRPr="00D045B3" w:rsidRDefault="00A052B8" w:rsidP="00A052B8">
      <w:pPr>
        <w:spacing w:line="240" w:lineRule="auto"/>
        <w:rPr>
          <w:color w:val="000000"/>
          <w:lang w:val="hu-HU"/>
        </w:rPr>
      </w:pPr>
    </w:p>
    <w:p w14:paraId="1E927C19"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5.</w:t>
      </w:r>
      <w:r w:rsidRPr="00D045B3">
        <w:rPr>
          <w:b/>
          <w:color w:val="000000"/>
          <w:lang w:val="hu-HU"/>
        </w:rPr>
        <w:tab/>
        <w:t>AZ ALKALMAZÁSSAL KAPCSOLATOS TUDNIVALÓK ÉS AZ ALKALMAZÁS MÓDJA(I)</w:t>
      </w:r>
    </w:p>
    <w:p w14:paraId="1E927C1A" w14:textId="77777777" w:rsidR="00A052B8" w:rsidRPr="00D045B3" w:rsidRDefault="00A052B8" w:rsidP="00A052B8">
      <w:pPr>
        <w:spacing w:line="240" w:lineRule="auto"/>
        <w:rPr>
          <w:color w:val="000000"/>
          <w:lang w:val="hu-HU"/>
        </w:rPr>
      </w:pPr>
    </w:p>
    <w:p w14:paraId="1E927C1B" w14:textId="77777777" w:rsidR="00A052B8" w:rsidRPr="00D045B3" w:rsidRDefault="00A052B8" w:rsidP="00A052B8">
      <w:pPr>
        <w:rPr>
          <w:color w:val="000000"/>
          <w:lang w:val="hu-HU"/>
        </w:rPr>
      </w:pPr>
      <w:r w:rsidRPr="00D045B3">
        <w:rPr>
          <w:color w:val="000000"/>
          <w:lang w:val="hu-HU"/>
        </w:rPr>
        <w:t xml:space="preserve">Szájon át történő alkalmazásra. </w:t>
      </w:r>
    </w:p>
    <w:p w14:paraId="1E927C1C" w14:textId="77777777" w:rsidR="00A052B8" w:rsidRPr="00D045B3" w:rsidRDefault="00A052B8" w:rsidP="00A052B8">
      <w:pPr>
        <w:rPr>
          <w:color w:val="000000"/>
          <w:lang w:val="hu-HU"/>
        </w:rPr>
      </w:pPr>
      <w:r w:rsidRPr="00D045B3">
        <w:rPr>
          <w:color w:val="000000"/>
          <w:lang w:val="hu-HU"/>
        </w:rPr>
        <w:t>Használat előtt olvassa el a mellékelt betegtájékoztatót!</w:t>
      </w:r>
    </w:p>
    <w:p w14:paraId="1E927C1D" w14:textId="77777777" w:rsidR="00A052B8" w:rsidRPr="00D045B3" w:rsidRDefault="00A052B8" w:rsidP="00A052B8">
      <w:pPr>
        <w:spacing w:line="240" w:lineRule="auto"/>
        <w:rPr>
          <w:color w:val="000000"/>
          <w:lang w:val="hu-HU"/>
        </w:rPr>
      </w:pPr>
    </w:p>
    <w:p w14:paraId="1E927C1E" w14:textId="77777777" w:rsidR="00A052B8" w:rsidRPr="00D045B3" w:rsidRDefault="00A052B8" w:rsidP="00A052B8">
      <w:pPr>
        <w:spacing w:line="240" w:lineRule="auto"/>
        <w:rPr>
          <w:color w:val="000000"/>
          <w:lang w:val="hu-HU"/>
        </w:rPr>
      </w:pPr>
    </w:p>
    <w:p w14:paraId="1E927C1F" w14:textId="77777777" w:rsidR="00A052B8" w:rsidRPr="00D045B3" w:rsidRDefault="00A052B8" w:rsidP="00A052B8">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6.</w:t>
      </w:r>
      <w:r w:rsidRPr="00D045B3">
        <w:rPr>
          <w:b/>
          <w:color w:val="000000"/>
          <w:lang w:val="hu-HU"/>
        </w:rPr>
        <w:tab/>
        <w:t xml:space="preserve">KÜLÖN FIGYELMEZTETÉS, MELY SZERINT A GYÓGYSZERT GYERMEKEKTŐL ELZÁRVA </w:t>
      </w:r>
      <w:smartTag w:uri="urn:schemas-microsoft-com:office:smarttags" w:element="stockticker">
        <w:r w:rsidRPr="00D045B3">
          <w:rPr>
            <w:b/>
            <w:color w:val="000000"/>
            <w:lang w:val="hu-HU"/>
          </w:rPr>
          <w:t>KELL</w:t>
        </w:r>
      </w:smartTag>
      <w:r w:rsidRPr="00D045B3">
        <w:rPr>
          <w:b/>
          <w:color w:val="000000"/>
          <w:lang w:val="hu-HU"/>
        </w:rPr>
        <w:t xml:space="preserve"> TARTANI</w:t>
      </w:r>
    </w:p>
    <w:p w14:paraId="1E927C20" w14:textId="77777777" w:rsidR="00A052B8" w:rsidRPr="00D045B3" w:rsidRDefault="00A052B8" w:rsidP="00A052B8">
      <w:pPr>
        <w:keepNext/>
        <w:spacing w:line="240" w:lineRule="auto"/>
        <w:rPr>
          <w:color w:val="000000"/>
          <w:lang w:val="hu-HU"/>
        </w:rPr>
      </w:pPr>
    </w:p>
    <w:p w14:paraId="1E927C21" w14:textId="77777777" w:rsidR="00A052B8" w:rsidRPr="00D045B3" w:rsidRDefault="00A052B8" w:rsidP="00A052B8">
      <w:pPr>
        <w:keepNext/>
        <w:spacing w:line="240" w:lineRule="auto"/>
        <w:rPr>
          <w:color w:val="000000"/>
          <w:lang w:val="hu-HU"/>
        </w:rPr>
      </w:pPr>
      <w:r w:rsidRPr="00D045B3">
        <w:rPr>
          <w:color w:val="000000"/>
          <w:lang w:val="hu-HU"/>
        </w:rPr>
        <w:t>A gyógyszer gyermekektől elzárva tartandó!</w:t>
      </w:r>
    </w:p>
    <w:p w14:paraId="1E927C22" w14:textId="77777777" w:rsidR="00A052B8" w:rsidRPr="00D045B3" w:rsidRDefault="00A052B8" w:rsidP="00A052B8">
      <w:pPr>
        <w:spacing w:line="240" w:lineRule="auto"/>
        <w:rPr>
          <w:color w:val="000000"/>
          <w:lang w:val="hu-HU"/>
        </w:rPr>
      </w:pPr>
    </w:p>
    <w:p w14:paraId="1E927C23" w14:textId="77777777" w:rsidR="00A052B8" w:rsidRPr="00D045B3" w:rsidRDefault="00A052B8" w:rsidP="00A052B8">
      <w:pPr>
        <w:spacing w:line="240" w:lineRule="auto"/>
        <w:rPr>
          <w:color w:val="000000"/>
          <w:lang w:val="hu-HU"/>
        </w:rPr>
      </w:pPr>
    </w:p>
    <w:p w14:paraId="1E927C24"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7.</w:t>
      </w:r>
      <w:r w:rsidRPr="00D045B3">
        <w:rPr>
          <w:b/>
          <w:color w:val="000000"/>
          <w:lang w:val="hu-HU"/>
        </w:rPr>
        <w:tab/>
        <w:t>TOVÁBBI FIGYELMEZTETÉS(EK), AMENNYIBEN SZÜKSÉGES</w:t>
      </w:r>
    </w:p>
    <w:p w14:paraId="1E927C25" w14:textId="77777777" w:rsidR="00A052B8" w:rsidRPr="00D045B3" w:rsidRDefault="00A052B8" w:rsidP="00A052B8">
      <w:pPr>
        <w:spacing w:line="240" w:lineRule="auto"/>
        <w:rPr>
          <w:color w:val="000000"/>
          <w:lang w:val="hu-HU"/>
        </w:rPr>
      </w:pPr>
    </w:p>
    <w:p w14:paraId="1E927C26" w14:textId="77777777" w:rsidR="00A052B8" w:rsidRPr="00D045B3" w:rsidRDefault="00A052B8" w:rsidP="00A052B8">
      <w:pPr>
        <w:spacing w:line="240" w:lineRule="auto"/>
        <w:rPr>
          <w:color w:val="000000"/>
          <w:lang w:val="hu-HU"/>
        </w:rPr>
      </w:pPr>
      <w:r w:rsidRPr="00D045B3">
        <w:rPr>
          <w:color w:val="000000"/>
          <w:lang w:val="hu-HU"/>
        </w:rPr>
        <w:t>Adagolása kizárólag az orvos utasításai szerint.</w:t>
      </w:r>
    </w:p>
    <w:p w14:paraId="1E927C27" w14:textId="77777777" w:rsidR="00A052B8" w:rsidRPr="00D045B3" w:rsidRDefault="00A052B8" w:rsidP="00A052B8">
      <w:pPr>
        <w:spacing w:line="240" w:lineRule="auto"/>
        <w:rPr>
          <w:color w:val="000000"/>
          <w:lang w:val="hu-HU"/>
        </w:rPr>
      </w:pPr>
    </w:p>
    <w:p w14:paraId="1E927C28" w14:textId="77777777" w:rsidR="00A052B8" w:rsidRPr="00D045B3" w:rsidRDefault="00A052B8" w:rsidP="00A052B8">
      <w:pPr>
        <w:spacing w:line="240" w:lineRule="auto"/>
        <w:rPr>
          <w:color w:val="000000"/>
          <w:lang w:val="hu-HU"/>
        </w:rPr>
      </w:pPr>
    </w:p>
    <w:p w14:paraId="1E927C29"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8.</w:t>
      </w:r>
      <w:r w:rsidRPr="00D045B3">
        <w:rPr>
          <w:b/>
          <w:color w:val="000000"/>
          <w:lang w:val="hu-HU"/>
        </w:rPr>
        <w:tab/>
        <w:t>LEJÁRATI IDŐ</w:t>
      </w:r>
    </w:p>
    <w:p w14:paraId="1E927C2A" w14:textId="77777777" w:rsidR="00A052B8" w:rsidRPr="00D045B3" w:rsidRDefault="00A052B8" w:rsidP="00A052B8">
      <w:pPr>
        <w:spacing w:line="240" w:lineRule="auto"/>
        <w:rPr>
          <w:color w:val="000000"/>
          <w:lang w:val="hu-HU"/>
        </w:rPr>
      </w:pPr>
    </w:p>
    <w:p w14:paraId="1E927C2B" w14:textId="52A1FE5C" w:rsidR="00A052B8" w:rsidRPr="00D045B3" w:rsidRDefault="00AE22C7" w:rsidP="00A052B8">
      <w:pPr>
        <w:spacing w:line="240" w:lineRule="auto"/>
        <w:rPr>
          <w:color w:val="000000"/>
          <w:lang w:val="hu-HU"/>
        </w:rPr>
      </w:pPr>
      <w:r w:rsidRPr="00D045B3">
        <w:rPr>
          <w:color w:val="000000"/>
          <w:lang w:val="hu-HU"/>
        </w:rPr>
        <w:t>EXP</w:t>
      </w:r>
    </w:p>
    <w:p w14:paraId="1E927C2C" w14:textId="77777777" w:rsidR="00A052B8" w:rsidRPr="00D045B3" w:rsidRDefault="00A052B8" w:rsidP="00A052B8">
      <w:pPr>
        <w:spacing w:line="240" w:lineRule="auto"/>
        <w:rPr>
          <w:color w:val="000000"/>
          <w:lang w:val="hu-HU"/>
        </w:rPr>
      </w:pPr>
    </w:p>
    <w:p w14:paraId="1E927C2D" w14:textId="77777777" w:rsidR="00A052B8" w:rsidRPr="00D045B3" w:rsidRDefault="00A052B8" w:rsidP="00A052B8">
      <w:pPr>
        <w:spacing w:line="240" w:lineRule="auto"/>
        <w:rPr>
          <w:color w:val="000000"/>
          <w:lang w:val="hu-HU"/>
        </w:rPr>
      </w:pPr>
    </w:p>
    <w:p w14:paraId="1E927C2E"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9.</w:t>
      </w:r>
      <w:r w:rsidRPr="00D045B3">
        <w:rPr>
          <w:b/>
          <w:color w:val="000000"/>
          <w:lang w:val="hu-HU"/>
        </w:rPr>
        <w:tab/>
        <w:t>KÜLÖNLEGES TÁROLÁSI ELŐÍRÁSOK</w:t>
      </w:r>
    </w:p>
    <w:p w14:paraId="1E927C2F" w14:textId="77777777" w:rsidR="00A052B8" w:rsidRPr="00D045B3" w:rsidRDefault="00A052B8" w:rsidP="00A052B8">
      <w:pPr>
        <w:spacing w:line="240" w:lineRule="auto"/>
        <w:rPr>
          <w:color w:val="000000"/>
          <w:lang w:val="hu-HU"/>
        </w:rPr>
      </w:pPr>
    </w:p>
    <w:p w14:paraId="1E927C30" w14:textId="77777777" w:rsidR="00A052B8" w:rsidRPr="00D045B3" w:rsidRDefault="00A052B8" w:rsidP="00A052B8">
      <w:pPr>
        <w:spacing w:line="240" w:lineRule="auto"/>
        <w:rPr>
          <w:color w:val="000000"/>
          <w:lang w:val="hu-HU"/>
        </w:rPr>
      </w:pPr>
      <w:r w:rsidRPr="00D045B3">
        <w:rPr>
          <w:color w:val="000000"/>
          <w:lang w:val="hu-HU"/>
        </w:rPr>
        <w:t>Legfeljebb 30</w:t>
      </w:r>
      <w:r w:rsidRPr="00D045B3">
        <w:rPr>
          <w:color w:val="000000"/>
          <w:lang w:val="hu-HU"/>
        </w:rPr>
        <w:sym w:font="Symbol" w:char="F0B0"/>
      </w:r>
      <w:r w:rsidRPr="00D045B3">
        <w:rPr>
          <w:color w:val="000000"/>
          <w:lang w:val="hu-HU"/>
        </w:rPr>
        <w:t>C</w:t>
      </w:r>
      <w:r w:rsidRPr="00D045B3">
        <w:rPr>
          <w:color w:val="000000"/>
          <w:lang w:val="hu-HU"/>
        </w:rPr>
        <w:noBreakHyphen/>
        <w:t xml:space="preserve">on tárolandó. </w:t>
      </w:r>
    </w:p>
    <w:p w14:paraId="1E927C31" w14:textId="77777777" w:rsidR="00A052B8" w:rsidRPr="00D045B3" w:rsidRDefault="00A052B8" w:rsidP="00A052B8">
      <w:pPr>
        <w:spacing w:line="240" w:lineRule="auto"/>
        <w:rPr>
          <w:color w:val="000000"/>
          <w:lang w:val="hu-HU"/>
        </w:rPr>
      </w:pPr>
      <w:r w:rsidRPr="00D045B3">
        <w:rPr>
          <w:color w:val="000000"/>
          <w:lang w:val="hu-HU"/>
        </w:rPr>
        <w:t>A nedvességtől való védelem érdekében az eredeti csomagolásban tárolandó.</w:t>
      </w:r>
    </w:p>
    <w:p w14:paraId="1E927C32" w14:textId="77777777" w:rsidR="00A052B8" w:rsidRPr="00D045B3" w:rsidRDefault="00A052B8" w:rsidP="00A052B8">
      <w:pPr>
        <w:spacing w:line="240" w:lineRule="auto"/>
        <w:rPr>
          <w:color w:val="000000"/>
          <w:lang w:val="hu-HU"/>
        </w:rPr>
      </w:pPr>
    </w:p>
    <w:p w14:paraId="1E927C33" w14:textId="77777777" w:rsidR="00A052B8" w:rsidRPr="00D045B3" w:rsidRDefault="00A052B8" w:rsidP="00A052B8">
      <w:pPr>
        <w:spacing w:line="240" w:lineRule="auto"/>
        <w:rPr>
          <w:color w:val="000000"/>
          <w:lang w:val="hu-HU"/>
        </w:rPr>
      </w:pPr>
    </w:p>
    <w:p w14:paraId="1E927C34"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10.</w:t>
      </w:r>
      <w:r w:rsidRPr="00D045B3">
        <w:rPr>
          <w:b/>
          <w:color w:val="000000"/>
          <w:lang w:val="hu-HU"/>
        </w:rPr>
        <w:tab/>
        <w:t xml:space="preserve">KÜLÖNLEGES ÓVINTÉZKEDÉSEK A FEL </w:t>
      </w:r>
      <w:smartTag w:uri="urn:schemas-microsoft-com:office:smarttags" w:element="stockticker">
        <w:r w:rsidRPr="00D045B3">
          <w:rPr>
            <w:b/>
            <w:color w:val="000000"/>
            <w:lang w:val="hu-HU"/>
          </w:rPr>
          <w:t>NEM</w:t>
        </w:r>
      </w:smartTag>
      <w:r w:rsidRPr="00D045B3">
        <w:rPr>
          <w:b/>
          <w:color w:val="000000"/>
          <w:lang w:val="hu-HU"/>
        </w:rPr>
        <w:t xml:space="preserve"> HASZNÁLT GYÓGYSZEREK VAGY AZ ILYEN TERMÉKEKBŐL KELETKEZETT HULLADÉKANYAGOK ÁRTALMATLANNÁ TÉTELÉRE, HA ILYENEKRE SZÜKSÉG VAN</w:t>
      </w:r>
    </w:p>
    <w:p w14:paraId="1E927C35" w14:textId="77777777" w:rsidR="00A052B8" w:rsidRPr="00D045B3" w:rsidRDefault="00A052B8" w:rsidP="00A052B8">
      <w:pPr>
        <w:spacing w:line="240" w:lineRule="auto"/>
        <w:rPr>
          <w:color w:val="000000"/>
          <w:lang w:val="hu-HU"/>
        </w:rPr>
      </w:pPr>
    </w:p>
    <w:p w14:paraId="1E927C36" w14:textId="77777777" w:rsidR="00A052B8" w:rsidRPr="00D045B3" w:rsidRDefault="00A052B8" w:rsidP="00A052B8">
      <w:pPr>
        <w:spacing w:line="240" w:lineRule="auto"/>
        <w:rPr>
          <w:color w:val="000000"/>
          <w:lang w:val="hu-HU"/>
        </w:rPr>
      </w:pPr>
    </w:p>
    <w:p w14:paraId="1E927C37"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11.</w:t>
      </w:r>
      <w:r w:rsidRPr="00D045B3">
        <w:rPr>
          <w:b/>
          <w:color w:val="000000"/>
          <w:lang w:val="hu-HU"/>
        </w:rPr>
        <w:tab/>
        <w:t>A FORGALOMBA HOZATALI ENGEDÉLY JOGOSULTJÁNAK NEVE ÉS CÍME</w:t>
      </w:r>
    </w:p>
    <w:p w14:paraId="1E927C38" w14:textId="77777777" w:rsidR="00A052B8" w:rsidRPr="00D045B3" w:rsidRDefault="00A052B8" w:rsidP="00A052B8">
      <w:pPr>
        <w:spacing w:line="240" w:lineRule="auto"/>
        <w:rPr>
          <w:color w:val="000000"/>
          <w:lang w:val="hu-HU"/>
        </w:rPr>
      </w:pPr>
    </w:p>
    <w:p w14:paraId="1E927C39" w14:textId="77777777" w:rsidR="00A052B8" w:rsidRPr="00D045B3" w:rsidRDefault="00A052B8" w:rsidP="00A052B8">
      <w:pPr>
        <w:autoSpaceDE w:val="0"/>
        <w:autoSpaceDN w:val="0"/>
        <w:adjustRightInd w:val="0"/>
        <w:spacing w:line="240" w:lineRule="auto"/>
        <w:rPr>
          <w:lang w:val="hu-HU"/>
        </w:rPr>
      </w:pPr>
      <w:r w:rsidRPr="00D045B3">
        <w:rPr>
          <w:lang w:val="hu-HU"/>
        </w:rPr>
        <w:t>Actavis Group PTC ehf.</w:t>
      </w:r>
    </w:p>
    <w:p w14:paraId="1E927C3A" w14:textId="77777777" w:rsidR="00A052B8" w:rsidRPr="00D045B3" w:rsidRDefault="001C19C5" w:rsidP="00A052B8">
      <w:pPr>
        <w:autoSpaceDE w:val="0"/>
        <w:autoSpaceDN w:val="0"/>
        <w:adjustRightInd w:val="0"/>
        <w:spacing w:line="240" w:lineRule="auto"/>
        <w:rPr>
          <w:lang w:val="hu-HU"/>
        </w:rPr>
      </w:pPr>
      <w:r w:rsidRPr="00D045B3">
        <w:rPr>
          <w:lang w:val="hu-HU"/>
        </w:rPr>
        <w:t xml:space="preserve">220 </w:t>
      </w:r>
      <w:r w:rsidR="00A052B8" w:rsidRPr="00D045B3">
        <w:rPr>
          <w:lang w:val="hu-HU"/>
        </w:rPr>
        <w:t>Hafnarfjörður</w:t>
      </w:r>
    </w:p>
    <w:p w14:paraId="1E927C3B" w14:textId="77777777" w:rsidR="00A052B8" w:rsidRPr="00D045B3" w:rsidRDefault="00A052B8" w:rsidP="00A052B8">
      <w:pPr>
        <w:autoSpaceDE w:val="0"/>
        <w:autoSpaceDN w:val="0"/>
        <w:adjustRightInd w:val="0"/>
        <w:spacing w:line="240" w:lineRule="auto"/>
        <w:rPr>
          <w:lang w:val="hu-HU"/>
        </w:rPr>
      </w:pPr>
      <w:r w:rsidRPr="00D045B3">
        <w:rPr>
          <w:lang w:val="hu-HU"/>
        </w:rPr>
        <w:t>Izland</w:t>
      </w:r>
    </w:p>
    <w:p w14:paraId="1E927C3C" w14:textId="77777777" w:rsidR="00A052B8" w:rsidRPr="00D045B3" w:rsidRDefault="00A052B8" w:rsidP="00A052B8">
      <w:pPr>
        <w:spacing w:line="240" w:lineRule="auto"/>
        <w:rPr>
          <w:color w:val="000000"/>
          <w:lang w:val="hu-HU"/>
        </w:rPr>
      </w:pPr>
    </w:p>
    <w:p w14:paraId="1E927C3D" w14:textId="77777777" w:rsidR="00A052B8" w:rsidRPr="00D045B3" w:rsidRDefault="00A052B8" w:rsidP="00A052B8">
      <w:pPr>
        <w:spacing w:line="240" w:lineRule="auto"/>
        <w:rPr>
          <w:color w:val="000000"/>
          <w:lang w:val="hu-HU"/>
        </w:rPr>
      </w:pPr>
    </w:p>
    <w:p w14:paraId="1E927C3E"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12.</w:t>
      </w:r>
      <w:r w:rsidRPr="00D045B3">
        <w:rPr>
          <w:b/>
          <w:color w:val="000000"/>
          <w:lang w:val="hu-HU"/>
        </w:rPr>
        <w:tab/>
        <w:t>A FORGALOMBA HOZATALI ENGEDÉLY SZÁMA(I)</w:t>
      </w:r>
    </w:p>
    <w:p w14:paraId="1E927C3F" w14:textId="77777777" w:rsidR="00A052B8" w:rsidRPr="00D045B3" w:rsidRDefault="00A052B8" w:rsidP="00A052B8">
      <w:pPr>
        <w:spacing w:line="240" w:lineRule="auto"/>
        <w:rPr>
          <w:color w:val="000000"/>
          <w:lang w:val="hu-HU"/>
        </w:rPr>
      </w:pPr>
    </w:p>
    <w:p w14:paraId="1E927C40"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rPr>
        <w:t xml:space="preserve">EU/1/13/825/015 </w:t>
      </w:r>
      <w:r w:rsidR="00333F69" w:rsidRPr="00D045B3">
        <w:rPr>
          <w:rFonts w:ascii="Times New Roman" w:hAnsi="Times New Roman"/>
          <w:highlight w:val="lightGray"/>
        </w:rPr>
        <w:t>10  tabletta</w:t>
      </w:r>
    </w:p>
    <w:p w14:paraId="1E927C41"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EU/1/13/825/016 30  tab</w:t>
      </w:r>
      <w:r w:rsidR="00333F69" w:rsidRPr="00D045B3">
        <w:rPr>
          <w:rFonts w:ascii="Times New Roman" w:hAnsi="Times New Roman"/>
          <w:highlight w:val="lightGray"/>
        </w:rPr>
        <w:t>letta</w:t>
      </w:r>
    </w:p>
    <w:p w14:paraId="1E927C42" w14:textId="77777777" w:rsidR="009E3F23" w:rsidRPr="00D045B3" w:rsidRDefault="009E3F23" w:rsidP="009E3F23">
      <w:pPr>
        <w:pStyle w:val="KeinLeerraum"/>
        <w:rPr>
          <w:rFonts w:ascii="Times New Roman" w:hAnsi="Times New Roman"/>
          <w:highlight w:val="lightGray"/>
        </w:rPr>
      </w:pPr>
      <w:r w:rsidRPr="00D045B3">
        <w:rPr>
          <w:rFonts w:ascii="Times New Roman" w:hAnsi="Times New Roman"/>
          <w:highlight w:val="lightGray"/>
        </w:rPr>
        <w:t xml:space="preserve">EU/1/13/825/017 </w:t>
      </w:r>
      <w:r w:rsidR="00333F69" w:rsidRPr="00D045B3">
        <w:rPr>
          <w:rFonts w:ascii="Times New Roman" w:hAnsi="Times New Roman"/>
          <w:highlight w:val="lightGray"/>
        </w:rPr>
        <w:t>60  tabletta</w:t>
      </w:r>
    </w:p>
    <w:p w14:paraId="1E927C43" w14:textId="77777777" w:rsidR="009E3F23" w:rsidRPr="00D045B3" w:rsidRDefault="009E3F23" w:rsidP="009E3F23">
      <w:pPr>
        <w:spacing w:line="240" w:lineRule="auto"/>
        <w:rPr>
          <w:color w:val="000000"/>
          <w:lang w:val="hu-HU"/>
        </w:rPr>
      </w:pPr>
      <w:r w:rsidRPr="00D045B3">
        <w:rPr>
          <w:highlight w:val="lightGray"/>
          <w:lang w:val="hu-HU"/>
        </w:rPr>
        <w:t>EU/1/13/825/018 90  tablet</w:t>
      </w:r>
      <w:r w:rsidR="00333F69" w:rsidRPr="00D045B3">
        <w:rPr>
          <w:highlight w:val="lightGray"/>
          <w:lang w:val="hu-HU"/>
        </w:rPr>
        <w:t>ta</w:t>
      </w:r>
    </w:p>
    <w:p w14:paraId="1E927C44" w14:textId="77777777" w:rsidR="00A052B8" w:rsidRPr="00D045B3" w:rsidRDefault="00A052B8" w:rsidP="00A052B8">
      <w:pPr>
        <w:spacing w:line="240" w:lineRule="auto"/>
        <w:rPr>
          <w:color w:val="000000"/>
          <w:lang w:val="hu-HU"/>
        </w:rPr>
      </w:pPr>
    </w:p>
    <w:p w14:paraId="1E927C45"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13.</w:t>
      </w:r>
      <w:r w:rsidRPr="00D045B3">
        <w:rPr>
          <w:b/>
          <w:color w:val="000000"/>
          <w:lang w:val="hu-HU"/>
        </w:rPr>
        <w:tab/>
        <w:t>A GYÁRTÁSI TÉTEL SZÁMA</w:t>
      </w:r>
    </w:p>
    <w:p w14:paraId="1E927C46" w14:textId="77777777" w:rsidR="00A052B8" w:rsidRPr="00D045B3" w:rsidRDefault="00A052B8" w:rsidP="00A052B8">
      <w:pPr>
        <w:spacing w:line="240" w:lineRule="auto"/>
        <w:rPr>
          <w:color w:val="000000"/>
          <w:lang w:val="hu-HU"/>
        </w:rPr>
      </w:pPr>
    </w:p>
    <w:p w14:paraId="1E927C47" w14:textId="65DFE7A9" w:rsidR="00A052B8" w:rsidRPr="00D045B3" w:rsidRDefault="00AE22C7" w:rsidP="00A052B8">
      <w:pPr>
        <w:spacing w:line="240" w:lineRule="auto"/>
        <w:rPr>
          <w:color w:val="000000"/>
          <w:lang w:val="hu-HU"/>
        </w:rPr>
      </w:pPr>
      <w:r w:rsidRPr="00D045B3">
        <w:rPr>
          <w:color w:val="000000"/>
          <w:lang w:val="hu-HU"/>
        </w:rPr>
        <w:t>Lot</w:t>
      </w:r>
    </w:p>
    <w:p w14:paraId="1E927C48" w14:textId="77777777" w:rsidR="00A052B8" w:rsidRPr="00D045B3" w:rsidRDefault="00A052B8" w:rsidP="00A052B8">
      <w:pPr>
        <w:spacing w:line="240" w:lineRule="auto"/>
        <w:rPr>
          <w:color w:val="000000"/>
          <w:lang w:val="hu-HU"/>
        </w:rPr>
      </w:pPr>
    </w:p>
    <w:p w14:paraId="1E927C49" w14:textId="77777777" w:rsidR="00A052B8" w:rsidRPr="00D045B3" w:rsidRDefault="00A052B8" w:rsidP="00A052B8">
      <w:pPr>
        <w:spacing w:line="240" w:lineRule="auto"/>
        <w:rPr>
          <w:color w:val="000000"/>
          <w:lang w:val="hu-HU"/>
        </w:rPr>
      </w:pPr>
    </w:p>
    <w:p w14:paraId="1E927C4A"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14.</w:t>
      </w:r>
      <w:r w:rsidRPr="00D045B3">
        <w:rPr>
          <w:b/>
          <w:color w:val="000000"/>
          <w:lang w:val="hu-HU"/>
        </w:rPr>
        <w:tab/>
        <w:t>A GYÓGYSZER RENDELHETŐSÉGE</w:t>
      </w:r>
    </w:p>
    <w:p w14:paraId="1E927C4B" w14:textId="77777777" w:rsidR="00A052B8" w:rsidRPr="00D045B3" w:rsidRDefault="00A052B8" w:rsidP="00A052B8">
      <w:pPr>
        <w:spacing w:line="240" w:lineRule="auto"/>
        <w:rPr>
          <w:color w:val="000000"/>
          <w:lang w:val="hu-HU"/>
        </w:rPr>
      </w:pPr>
    </w:p>
    <w:p w14:paraId="1E927C4C" w14:textId="77777777" w:rsidR="00A052B8" w:rsidRPr="00D045B3" w:rsidRDefault="00A052B8" w:rsidP="00A052B8">
      <w:pPr>
        <w:spacing w:line="240" w:lineRule="auto"/>
        <w:rPr>
          <w:color w:val="000000"/>
          <w:lang w:val="hu-HU"/>
        </w:rPr>
      </w:pPr>
      <w:r w:rsidRPr="00D045B3">
        <w:rPr>
          <w:color w:val="000000"/>
          <w:lang w:val="hu-HU"/>
        </w:rPr>
        <w:t>Orvosi rendelvényhez kötött gyógyszer.</w:t>
      </w:r>
    </w:p>
    <w:p w14:paraId="1E927C4D" w14:textId="77777777" w:rsidR="00A052B8" w:rsidRPr="00D045B3" w:rsidRDefault="00A052B8" w:rsidP="00A052B8">
      <w:pPr>
        <w:spacing w:line="240" w:lineRule="auto"/>
        <w:rPr>
          <w:color w:val="000000"/>
          <w:lang w:val="hu-HU"/>
        </w:rPr>
      </w:pPr>
    </w:p>
    <w:p w14:paraId="1E927C4E" w14:textId="77777777" w:rsidR="00A052B8" w:rsidRPr="00D045B3" w:rsidRDefault="00A052B8" w:rsidP="00A052B8">
      <w:pPr>
        <w:spacing w:line="240" w:lineRule="auto"/>
        <w:rPr>
          <w:color w:val="000000"/>
          <w:lang w:val="hu-HU"/>
        </w:rPr>
      </w:pPr>
    </w:p>
    <w:p w14:paraId="1E927C4F"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15.</w:t>
      </w:r>
      <w:r w:rsidRPr="00D045B3">
        <w:rPr>
          <w:b/>
          <w:color w:val="000000"/>
          <w:lang w:val="hu-HU"/>
        </w:rPr>
        <w:tab/>
        <w:t>AZ ALKALMAZÁSRA VONATKOZÓ UTASÍTÁSOK</w:t>
      </w:r>
    </w:p>
    <w:p w14:paraId="1E927C50" w14:textId="77777777" w:rsidR="00A052B8" w:rsidRPr="00D045B3" w:rsidRDefault="00A052B8" w:rsidP="00A052B8">
      <w:pPr>
        <w:spacing w:line="240" w:lineRule="auto"/>
        <w:rPr>
          <w:color w:val="000000"/>
          <w:szCs w:val="22"/>
          <w:lang w:val="hu-HU"/>
        </w:rPr>
      </w:pPr>
    </w:p>
    <w:p w14:paraId="1E927C51" w14:textId="77777777" w:rsidR="00A052B8" w:rsidRPr="00D045B3" w:rsidRDefault="00A052B8" w:rsidP="00A052B8">
      <w:pPr>
        <w:spacing w:line="240" w:lineRule="auto"/>
        <w:rPr>
          <w:color w:val="000000"/>
          <w:szCs w:val="22"/>
          <w:lang w:val="hu-HU"/>
        </w:rPr>
      </w:pPr>
    </w:p>
    <w:p w14:paraId="1E927C52" w14:textId="77777777" w:rsidR="00A052B8" w:rsidRPr="00D045B3" w:rsidRDefault="00A052B8" w:rsidP="00A052B8">
      <w:pPr>
        <w:keepNext/>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szCs w:val="22"/>
          <w:lang w:val="hu-HU"/>
        </w:rPr>
      </w:pPr>
      <w:r w:rsidRPr="00D045B3">
        <w:rPr>
          <w:b/>
          <w:color w:val="000000"/>
          <w:szCs w:val="22"/>
          <w:lang w:val="hu-HU"/>
        </w:rPr>
        <w:t>16.</w:t>
      </w:r>
      <w:r w:rsidRPr="00D045B3">
        <w:rPr>
          <w:b/>
          <w:color w:val="000000"/>
          <w:szCs w:val="22"/>
          <w:lang w:val="hu-HU"/>
        </w:rPr>
        <w:tab/>
        <w:t>BRAILLE ÍRÁSSAL FELTÜNTETETT INFORMÁCIÓK</w:t>
      </w:r>
    </w:p>
    <w:p w14:paraId="1E927C53" w14:textId="77777777" w:rsidR="00A052B8" w:rsidRPr="00D045B3" w:rsidRDefault="00A052B8" w:rsidP="00A052B8">
      <w:pPr>
        <w:keepNext/>
        <w:spacing w:line="240" w:lineRule="auto"/>
        <w:rPr>
          <w:color w:val="000000"/>
          <w:szCs w:val="22"/>
          <w:lang w:val="hu-HU"/>
        </w:rPr>
      </w:pPr>
    </w:p>
    <w:p w14:paraId="1E927C54" w14:textId="77777777" w:rsidR="00A052B8" w:rsidRPr="00D045B3" w:rsidRDefault="00A052B8" w:rsidP="00A052B8">
      <w:pPr>
        <w:spacing w:line="240" w:lineRule="auto"/>
        <w:rPr>
          <w:color w:val="000000"/>
          <w:szCs w:val="22"/>
          <w:lang w:val="hu-HU"/>
        </w:rPr>
      </w:pPr>
      <w:r w:rsidRPr="00D045B3">
        <w:rPr>
          <w:lang w:val="hu-HU"/>
        </w:rPr>
        <w:t xml:space="preserve">Imatinib Actavis </w:t>
      </w:r>
      <w:r w:rsidRPr="00D045B3">
        <w:rPr>
          <w:color w:val="000000"/>
          <w:szCs w:val="22"/>
          <w:lang w:val="hu-HU"/>
        </w:rPr>
        <w:t>400 mg</w:t>
      </w:r>
    </w:p>
    <w:p w14:paraId="1E927C55" w14:textId="77777777" w:rsidR="00B661E3" w:rsidRPr="00D045B3" w:rsidRDefault="00B661E3" w:rsidP="00B661E3">
      <w:pPr>
        <w:rPr>
          <w:noProof/>
          <w:shd w:val="clear" w:color="auto" w:fill="CCCCCC"/>
          <w:lang w:val="hu-HU"/>
        </w:rPr>
      </w:pPr>
    </w:p>
    <w:p w14:paraId="1E927C56" w14:textId="77777777" w:rsidR="00B661E3" w:rsidRPr="00D045B3" w:rsidRDefault="00B661E3" w:rsidP="00E95370">
      <w:pPr>
        <w:keepNext/>
        <w:numPr>
          <w:ilvl w:val="0"/>
          <w:numId w:val="34"/>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 2D VONALKÓD</w:t>
      </w:r>
    </w:p>
    <w:p w14:paraId="1E927C57" w14:textId="77777777" w:rsidR="00B661E3" w:rsidRPr="00D045B3" w:rsidRDefault="00B661E3" w:rsidP="00B661E3">
      <w:pPr>
        <w:rPr>
          <w:noProof/>
          <w:lang w:val="hu-HU"/>
        </w:rPr>
      </w:pPr>
    </w:p>
    <w:p w14:paraId="1E927C58" w14:textId="77777777" w:rsidR="0052506B" w:rsidRPr="00D045B3" w:rsidRDefault="00BB710A" w:rsidP="0052506B">
      <w:pPr>
        <w:widowControl w:val="0"/>
        <w:shd w:val="clear" w:color="auto" w:fill="FFFFFF"/>
        <w:spacing w:line="240" w:lineRule="auto"/>
        <w:rPr>
          <w:szCs w:val="22"/>
          <w:shd w:val="pct15" w:color="auto" w:fill="auto"/>
          <w:lang w:val="hu-HU" w:eastAsia="en-US"/>
        </w:rPr>
      </w:pPr>
      <w:r w:rsidRPr="00D045B3">
        <w:rPr>
          <w:szCs w:val="22"/>
          <w:shd w:val="pct15" w:color="auto" w:fill="auto"/>
          <w:lang w:val="hu-HU" w:eastAsia="en-US"/>
        </w:rPr>
        <w:t>&lt;</w:t>
      </w:r>
      <w:r w:rsidR="0052506B" w:rsidRPr="00D045B3">
        <w:rPr>
          <w:szCs w:val="22"/>
          <w:shd w:val="pct15" w:color="auto" w:fill="auto"/>
          <w:lang w:val="hu-HU" w:eastAsia="en-US"/>
        </w:rPr>
        <w:t>Egyedi azonosítójú 2D vonalkóddal ellátva.</w:t>
      </w:r>
      <w:r w:rsidRPr="00D045B3">
        <w:rPr>
          <w:szCs w:val="22"/>
          <w:shd w:val="pct15" w:color="auto" w:fill="auto"/>
          <w:lang w:val="hu-HU" w:eastAsia="en-US"/>
        </w:rPr>
        <w:t>&gt;</w:t>
      </w:r>
    </w:p>
    <w:p w14:paraId="1E927C59" w14:textId="77777777" w:rsidR="0052506B" w:rsidRPr="00D045B3" w:rsidRDefault="0052506B" w:rsidP="0052506B">
      <w:pPr>
        <w:widowControl w:val="0"/>
        <w:spacing w:line="240" w:lineRule="auto"/>
        <w:rPr>
          <w:noProof/>
          <w:szCs w:val="22"/>
          <w:lang w:val="hu-HU" w:eastAsia="en-US"/>
        </w:rPr>
      </w:pPr>
    </w:p>
    <w:p w14:paraId="1E927C5A" w14:textId="77777777" w:rsidR="00B661E3" w:rsidRPr="00D045B3" w:rsidRDefault="00B661E3" w:rsidP="00B661E3">
      <w:pPr>
        <w:rPr>
          <w:noProof/>
          <w:lang w:val="hu-HU"/>
        </w:rPr>
      </w:pPr>
    </w:p>
    <w:p w14:paraId="1E927C5B" w14:textId="77777777" w:rsidR="00B661E3" w:rsidRPr="00D045B3" w:rsidRDefault="00B661E3" w:rsidP="00E95370">
      <w:pPr>
        <w:keepNext/>
        <w:numPr>
          <w:ilvl w:val="0"/>
          <w:numId w:val="34"/>
        </w:numPr>
        <w:pBdr>
          <w:top w:val="single" w:sz="4" w:space="1" w:color="auto"/>
          <w:left w:val="single" w:sz="4" w:space="4" w:color="auto"/>
          <w:bottom w:val="single" w:sz="4" w:space="1" w:color="auto"/>
          <w:right w:val="single" w:sz="4" w:space="4" w:color="auto"/>
        </w:pBdr>
        <w:spacing w:line="240" w:lineRule="auto"/>
        <w:ind w:hanging="1650"/>
        <w:outlineLvl w:val="0"/>
        <w:rPr>
          <w:i/>
          <w:noProof/>
          <w:lang w:val="hu-HU"/>
        </w:rPr>
      </w:pPr>
      <w:r w:rsidRPr="00D045B3">
        <w:rPr>
          <w:b/>
          <w:noProof/>
          <w:lang w:val="hu-HU"/>
        </w:rPr>
        <w:t>EGYEDI AZONOSÍTÓ OLVASHATÓ FORMÁTUMA</w:t>
      </w:r>
    </w:p>
    <w:p w14:paraId="1E927C5C" w14:textId="77777777" w:rsidR="00B661E3" w:rsidRPr="00D045B3" w:rsidRDefault="00B661E3" w:rsidP="00B661E3">
      <w:pPr>
        <w:rPr>
          <w:noProof/>
          <w:lang w:val="hu-HU"/>
        </w:rPr>
      </w:pPr>
    </w:p>
    <w:p w14:paraId="1E927C5D" w14:textId="3CC1EC04" w:rsidR="0052506B" w:rsidRPr="00D045B3" w:rsidRDefault="0052506B" w:rsidP="0052506B">
      <w:pPr>
        <w:widowControl w:val="0"/>
        <w:shd w:val="clear" w:color="auto" w:fill="FFFFFF"/>
        <w:rPr>
          <w:szCs w:val="22"/>
          <w:lang w:val="hu-HU" w:eastAsia="en-US"/>
        </w:rPr>
      </w:pPr>
      <w:r w:rsidRPr="00D045B3">
        <w:rPr>
          <w:szCs w:val="22"/>
          <w:lang w:val="hu-HU" w:eastAsia="en-US"/>
        </w:rPr>
        <w:t>PC</w:t>
      </w:r>
      <w:r w:rsidR="00BB710A" w:rsidRPr="00D045B3">
        <w:rPr>
          <w:szCs w:val="22"/>
          <w:lang w:val="hu-HU" w:eastAsia="en-US"/>
        </w:rPr>
        <w:t xml:space="preserve"> </w:t>
      </w:r>
      <w:r w:rsidR="00BB710A" w:rsidRPr="00D045B3">
        <w:rPr>
          <w:lang w:val="hu-HU"/>
        </w:rPr>
        <w:t>{szám}</w:t>
      </w:r>
    </w:p>
    <w:p w14:paraId="1E927C5E" w14:textId="76882EC4" w:rsidR="0052506B" w:rsidRPr="00D045B3" w:rsidRDefault="0052506B" w:rsidP="0052506B">
      <w:pPr>
        <w:widowControl w:val="0"/>
        <w:shd w:val="clear" w:color="auto" w:fill="FFFFFF"/>
        <w:rPr>
          <w:szCs w:val="22"/>
          <w:lang w:val="hu-HU" w:eastAsia="en-US"/>
        </w:rPr>
      </w:pPr>
      <w:r w:rsidRPr="00D045B3">
        <w:rPr>
          <w:szCs w:val="22"/>
          <w:lang w:val="hu-HU" w:eastAsia="en-US"/>
        </w:rPr>
        <w:t>SN</w:t>
      </w:r>
      <w:r w:rsidR="00BB710A" w:rsidRPr="00D045B3">
        <w:rPr>
          <w:szCs w:val="22"/>
          <w:lang w:val="hu-HU" w:eastAsia="en-US"/>
        </w:rPr>
        <w:t xml:space="preserve"> </w:t>
      </w:r>
      <w:r w:rsidR="00BB710A" w:rsidRPr="00D045B3">
        <w:rPr>
          <w:lang w:val="hu-HU"/>
        </w:rPr>
        <w:t>{szám}</w:t>
      </w:r>
    </w:p>
    <w:p w14:paraId="1E927C5F" w14:textId="617702D2" w:rsidR="00A052B8" w:rsidRPr="00D045B3" w:rsidRDefault="0052506B" w:rsidP="00010302">
      <w:pPr>
        <w:shd w:val="clear" w:color="auto" w:fill="FFFFFF"/>
        <w:spacing w:line="240" w:lineRule="auto"/>
        <w:rPr>
          <w:color w:val="000000"/>
          <w:szCs w:val="22"/>
          <w:lang w:val="hu-HU"/>
        </w:rPr>
      </w:pPr>
      <w:r w:rsidRPr="00D045B3">
        <w:rPr>
          <w:szCs w:val="22"/>
          <w:lang w:val="hu-HU" w:eastAsia="en-US"/>
        </w:rPr>
        <w:t>NN</w:t>
      </w:r>
      <w:r w:rsidR="00BB710A" w:rsidRPr="00D045B3">
        <w:rPr>
          <w:szCs w:val="22"/>
          <w:lang w:val="hu-HU" w:eastAsia="en-US"/>
        </w:rPr>
        <w:t xml:space="preserve"> </w:t>
      </w:r>
      <w:r w:rsidR="00BB710A" w:rsidRPr="00D045B3">
        <w:rPr>
          <w:lang w:val="hu-HU"/>
        </w:rPr>
        <w:t>{szám}</w:t>
      </w:r>
    </w:p>
    <w:p w14:paraId="1E927C60" w14:textId="77777777" w:rsidR="0052506B" w:rsidRPr="00D045B3" w:rsidRDefault="00A052B8" w:rsidP="0052506B">
      <w:pPr>
        <w:spacing w:line="240" w:lineRule="auto"/>
        <w:rPr>
          <w:color w:val="000000"/>
          <w:u w:val="single"/>
          <w:lang w:val="hu-HU"/>
        </w:rPr>
      </w:pPr>
      <w:r w:rsidRPr="00D045B3">
        <w:rPr>
          <w:color w:val="000000"/>
          <w:szCs w:val="22"/>
          <w:lang w:val="hu-HU"/>
        </w:rPr>
        <w:br w:type="page"/>
      </w:r>
    </w:p>
    <w:p w14:paraId="1E927C61" w14:textId="77777777" w:rsidR="0052506B" w:rsidRPr="00D045B3" w:rsidRDefault="0052506B" w:rsidP="0052506B">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BUBORÉK</w:t>
      </w:r>
      <w:r w:rsidRPr="00D045B3">
        <w:rPr>
          <w:b/>
          <w:noProof/>
          <w:szCs w:val="22"/>
          <w:lang w:val="hu-HU" w:eastAsia="en-US"/>
        </w:rPr>
        <w:t>CSOMAGOLÁSON</w:t>
      </w:r>
      <w:r w:rsidRPr="00D045B3">
        <w:rPr>
          <w:b/>
          <w:color w:val="000000"/>
          <w:lang w:val="hu-HU"/>
        </w:rPr>
        <w:t xml:space="preserve"> VAGY A </w:t>
      </w:r>
      <w:r w:rsidRPr="00D045B3">
        <w:rPr>
          <w:b/>
          <w:noProof/>
          <w:szCs w:val="22"/>
          <w:lang w:val="hu-HU" w:eastAsia="en-US"/>
        </w:rPr>
        <w:t xml:space="preserve">FÓLIACSÍKON </w:t>
      </w:r>
      <w:r w:rsidRPr="00D045B3">
        <w:rPr>
          <w:b/>
          <w:noProof/>
          <w:color w:val="000000"/>
          <w:lang w:val="hu-HU"/>
        </w:rPr>
        <w:t>MINIMÁLISAN</w:t>
      </w:r>
      <w:r w:rsidRPr="00D045B3">
        <w:rPr>
          <w:b/>
          <w:color w:val="000000"/>
          <w:lang w:val="hu-HU"/>
        </w:rPr>
        <w:t xml:space="preserve"> FELTÜNTETENDŐ ADATOK</w:t>
      </w:r>
    </w:p>
    <w:p w14:paraId="1E927C62" w14:textId="77777777" w:rsidR="0052506B" w:rsidRPr="00D045B3" w:rsidRDefault="0052506B" w:rsidP="0052506B">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C63" w14:textId="77777777" w:rsidR="0052506B" w:rsidRPr="00D045B3" w:rsidRDefault="0052506B" w:rsidP="0052506B">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BUBORÉK</w:t>
      </w:r>
      <w:r w:rsidRPr="00D045B3">
        <w:rPr>
          <w:b/>
          <w:noProof/>
          <w:szCs w:val="22"/>
          <w:lang w:val="hu-HU" w:eastAsia="en-US"/>
        </w:rPr>
        <w:t>CSOMAGOLÁS</w:t>
      </w:r>
    </w:p>
    <w:p w14:paraId="1E927C64" w14:textId="77777777" w:rsidR="0052506B" w:rsidRPr="00D045B3" w:rsidRDefault="0052506B" w:rsidP="0052506B">
      <w:pPr>
        <w:spacing w:line="240" w:lineRule="auto"/>
        <w:rPr>
          <w:color w:val="000000"/>
          <w:lang w:val="hu-HU"/>
        </w:rPr>
      </w:pPr>
    </w:p>
    <w:p w14:paraId="1E927C65" w14:textId="77777777" w:rsidR="0052506B" w:rsidRPr="00D045B3" w:rsidRDefault="0052506B" w:rsidP="0052506B">
      <w:pPr>
        <w:spacing w:line="240" w:lineRule="auto"/>
        <w:rPr>
          <w:color w:val="000000"/>
          <w:lang w:val="hu-HU"/>
        </w:rPr>
      </w:pPr>
    </w:p>
    <w:p w14:paraId="1E927C66"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C67" w14:textId="77777777" w:rsidR="0052506B" w:rsidRPr="00D045B3" w:rsidRDefault="0052506B" w:rsidP="0052506B">
      <w:pPr>
        <w:spacing w:line="240" w:lineRule="auto"/>
        <w:ind w:left="567" w:hanging="567"/>
        <w:rPr>
          <w:color w:val="000000"/>
          <w:lang w:val="hu-HU"/>
        </w:rPr>
      </w:pPr>
    </w:p>
    <w:p w14:paraId="1E927C68" w14:textId="77777777" w:rsidR="0052506B" w:rsidRPr="00D045B3" w:rsidRDefault="0052506B" w:rsidP="0052506B">
      <w:pPr>
        <w:spacing w:line="240" w:lineRule="auto"/>
        <w:rPr>
          <w:color w:val="000000"/>
          <w:lang w:val="hu-HU"/>
        </w:rPr>
      </w:pPr>
      <w:r w:rsidRPr="00D045B3">
        <w:rPr>
          <w:lang w:val="hu-HU"/>
        </w:rPr>
        <w:t xml:space="preserve">Imatinib Actavis </w:t>
      </w:r>
      <w:r w:rsidRPr="00D045B3">
        <w:rPr>
          <w:color w:val="000000"/>
          <w:lang w:val="hu-HU"/>
        </w:rPr>
        <w:t xml:space="preserve">100 mg </w:t>
      </w:r>
      <w:r w:rsidR="0076303B" w:rsidRPr="00D045B3">
        <w:rPr>
          <w:color w:val="000000"/>
          <w:lang w:val="hu-HU"/>
        </w:rPr>
        <w:t>film</w:t>
      </w:r>
      <w:r w:rsidRPr="00D045B3">
        <w:rPr>
          <w:color w:val="000000"/>
          <w:lang w:val="hu-HU"/>
        </w:rPr>
        <w:t>tabletta</w:t>
      </w:r>
    </w:p>
    <w:p w14:paraId="1E927C69" w14:textId="77777777" w:rsidR="0052506B" w:rsidRPr="00D045B3" w:rsidRDefault="0052506B" w:rsidP="0052506B">
      <w:pPr>
        <w:spacing w:line="240" w:lineRule="auto"/>
        <w:rPr>
          <w:color w:val="000000"/>
          <w:lang w:val="hu-HU"/>
        </w:rPr>
      </w:pPr>
      <w:r w:rsidRPr="00D045B3">
        <w:rPr>
          <w:color w:val="000000"/>
          <w:lang w:val="hu-HU"/>
        </w:rPr>
        <w:t>imatinib</w:t>
      </w:r>
    </w:p>
    <w:p w14:paraId="1E927C6A" w14:textId="77777777" w:rsidR="0052506B" w:rsidRPr="00D045B3" w:rsidRDefault="0052506B" w:rsidP="0052506B">
      <w:pPr>
        <w:spacing w:line="240" w:lineRule="auto"/>
        <w:rPr>
          <w:color w:val="000000"/>
          <w:lang w:val="hu-HU"/>
        </w:rPr>
      </w:pPr>
    </w:p>
    <w:p w14:paraId="1E927C6B" w14:textId="77777777" w:rsidR="0052506B" w:rsidRPr="00D045B3" w:rsidRDefault="0052506B" w:rsidP="0052506B">
      <w:pPr>
        <w:spacing w:line="240" w:lineRule="auto"/>
        <w:rPr>
          <w:color w:val="000000"/>
          <w:lang w:val="hu-HU"/>
        </w:rPr>
      </w:pPr>
    </w:p>
    <w:p w14:paraId="1E927C6C"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A FORGALOMBA HOZATALI ENGEDÉLY JOGOSULTJÁNAK NEVE</w:t>
      </w:r>
    </w:p>
    <w:p w14:paraId="1E927C6D" w14:textId="77777777" w:rsidR="0052506B" w:rsidRPr="00D045B3" w:rsidRDefault="0052506B" w:rsidP="0052506B">
      <w:pPr>
        <w:spacing w:line="240" w:lineRule="auto"/>
        <w:rPr>
          <w:color w:val="000000"/>
          <w:lang w:val="hu-HU"/>
        </w:rPr>
      </w:pPr>
    </w:p>
    <w:p w14:paraId="1E927C6E" w14:textId="77777777" w:rsidR="0052506B" w:rsidRPr="00D045B3" w:rsidRDefault="0052506B" w:rsidP="0052506B">
      <w:pPr>
        <w:autoSpaceDE w:val="0"/>
        <w:autoSpaceDN w:val="0"/>
        <w:adjustRightInd w:val="0"/>
        <w:spacing w:line="240" w:lineRule="auto"/>
        <w:rPr>
          <w:lang w:val="hu-HU"/>
        </w:rPr>
      </w:pPr>
      <w:r w:rsidRPr="00D045B3">
        <w:rPr>
          <w:lang w:val="hu-HU"/>
        </w:rPr>
        <w:t>[Actavis logó]</w:t>
      </w:r>
    </w:p>
    <w:p w14:paraId="1E927C6F" w14:textId="77777777" w:rsidR="0052506B" w:rsidRPr="00D045B3" w:rsidRDefault="0052506B" w:rsidP="0052506B">
      <w:pPr>
        <w:spacing w:line="240" w:lineRule="auto"/>
        <w:rPr>
          <w:color w:val="000000"/>
          <w:lang w:val="hu-HU"/>
        </w:rPr>
      </w:pPr>
    </w:p>
    <w:p w14:paraId="1E927C70" w14:textId="77777777" w:rsidR="0052506B" w:rsidRPr="00D045B3" w:rsidRDefault="0052506B" w:rsidP="0052506B">
      <w:pPr>
        <w:spacing w:line="240" w:lineRule="auto"/>
        <w:rPr>
          <w:color w:val="000000"/>
          <w:lang w:val="hu-HU"/>
        </w:rPr>
      </w:pPr>
    </w:p>
    <w:p w14:paraId="1E927C71"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LEJÁRATI IDŐ</w:t>
      </w:r>
    </w:p>
    <w:p w14:paraId="1E927C72" w14:textId="77777777" w:rsidR="0052506B" w:rsidRPr="00D045B3" w:rsidRDefault="0052506B" w:rsidP="0052506B">
      <w:pPr>
        <w:spacing w:line="240" w:lineRule="auto"/>
        <w:rPr>
          <w:color w:val="000000"/>
          <w:lang w:val="hu-HU"/>
        </w:rPr>
      </w:pPr>
    </w:p>
    <w:p w14:paraId="1E927C73" w14:textId="4B5789A7" w:rsidR="0052506B" w:rsidRPr="00D045B3" w:rsidRDefault="00AE22C7" w:rsidP="0052506B">
      <w:pPr>
        <w:pStyle w:val="Endnotentext"/>
        <w:spacing w:line="240" w:lineRule="auto"/>
        <w:rPr>
          <w:color w:val="000000"/>
          <w:lang w:val="hu-HU"/>
        </w:rPr>
      </w:pPr>
      <w:r w:rsidRPr="00D045B3">
        <w:rPr>
          <w:color w:val="000000"/>
          <w:lang w:val="hu-HU"/>
        </w:rPr>
        <w:t>EXP</w:t>
      </w:r>
    </w:p>
    <w:p w14:paraId="1E927C74" w14:textId="77777777" w:rsidR="0052506B" w:rsidRPr="00D045B3" w:rsidRDefault="0052506B" w:rsidP="0052506B">
      <w:pPr>
        <w:spacing w:line="240" w:lineRule="auto"/>
        <w:rPr>
          <w:color w:val="000000"/>
          <w:lang w:val="hu-HU"/>
        </w:rPr>
      </w:pPr>
    </w:p>
    <w:p w14:paraId="1E927C75" w14:textId="77777777" w:rsidR="0052506B" w:rsidRPr="00D045B3" w:rsidRDefault="0052506B" w:rsidP="0052506B">
      <w:pPr>
        <w:spacing w:line="240" w:lineRule="auto"/>
        <w:rPr>
          <w:color w:val="000000"/>
          <w:lang w:val="hu-HU"/>
        </w:rPr>
      </w:pPr>
    </w:p>
    <w:p w14:paraId="1E927C76"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A GYÁRTÁSI TÉTEL SZÁMA</w:t>
      </w:r>
    </w:p>
    <w:p w14:paraId="1E927C77" w14:textId="77777777" w:rsidR="0052506B" w:rsidRPr="00D045B3" w:rsidRDefault="0052506B" w:rsidP="0052506B">
      <w:pPr>
        <w:spacing w:line="240" w:lineRule="auto"/>
        <w:rPr>
          <w:color w:val="000000"/>
          <w:lang w:val="hu-HU"/>
        </w:rPr>
      </w:pPr>
    </w:p>
    <w:p w14:paraId="1E927C78" w14:textId="13F155B3" w:rsidR="0052506B" w:rsidRPr="00D045B3" w:rsidRDefault="00AE22C7" w:rsidP="0052506B">
      <w:pPr>
        <w:spacing w:line="240" w:lineRule="auto"/>
        <w:rPr>
          <w:color w:val="000000"/>
          <w:lang w:val="hu-HU"/>
        </w:rPr>
      </w:pPr>
      <w:r w:rsidRPr="00D045B3">
        <w:rPr>
          <w:color w:val="000000"/>
          <w:lang w:val="hu-HU"/>
        </w:rPr>
        <w:t>Lot</w:t>
      </w:r>
    </w:p>
    <w:p w14:paraId="1E927C79" w14:textId="77777777" w:rsidR="0052506B" w:rsidRPr="00D045B3" w:rsidRDefault="0052506B" w:rsidP="0052506B">
      <w:pPr>
        <w:widowControl w:val="0"/>
        <w:spacing w:line="240" w:lineRule="auto"/>
        <w:rPr>
          <w:color w:val="000000"/>
          <w:szCs w:val="22"/>
          <w:lang w:val="hu-HU"/>
        </w:rPr>
      </w:pPr>
    </w:p>
    <w:p w14:paraId="1E927C7A" w14:textId="77777777" w:rsidR="0052506B" w:rsidRPr="00D045B3" w:rsidRDefault="0052506B" w:rsidP="0052506B">
      <w:pPr>
        <w:widowControl w:val="0"/>
        <w:spacing w:line="240" w:lineRule="auto"/>
        <w:rPr>
          <w:color w:val="000000"/>
          <w:szCs w:val="22"/>
          <w:lang w:val="hu-HU"/>
        </w:rPr>
      </w:pPr>
    </w:p>
    <w:p w14:paraId="1E927C7B" w14:textId="77777777" w:rsidR="0052506B" w:rsidRPr="00D045B3" w:rsidRDefault="0052506B" w:rsidP="0052506B">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D045B3">
        <w:rPr>
          <w:b/>
          <w:noProof/>
          <w:color w:val="000000"/>
          <w:lang w:val="hu-HU"/>
        </w:rPr>
        <w:t>5.</w:t>
      </w:r>
      <w:r w:rsidRPr="00D045B3">
        <w:rPr>
          <w:b/>
          <w:noProof/>
          <w:color w:val="000000"/>
          <w:lang w:val="hu-HU"/>
        </w:rPr>
        <w:tab/>
        <w:t>EGYÉB INFORMÁCIÓK</w:t>
      </w:r>
    </w:p>
    <w:p w14:paraId="1E927C7C" w14:textId="77777777" w:rsidR="0052506B" w:rsidRPr="00D045B3" w:rsidRDefault="0052506B" w:rsidP="0052506B">
      <w:pPr>
        <w:spacing w:line="240" w:lineRule="auto"/>
        <w:rPr>
          <w:color w:val="000000"/>
          <w:szCs w:val="22"/>
          <w:lang w:val="hu-HU"/>
        </w:rPr>
      </w:pPr>
    </w:p>
    <w:p w14:paraId="1E927C7D" w14:textId="77777777" w:rsidR="0052506B" w:rsidRPr="00D045B3" w:rsidRDefault="0052506B" w:rsidP="0052506B">
      <w:pPr>
        <w:spacing w:line="240" w:lineRule="auto"/>
        <w:rPr>
          <w:color w:val="000000"/>
          <w:lang w:val="hu-HU"/>
        </w:rPr>
      </w:pPr>
      <w:r w:rsidRPr="00D045B3">
        <w:rPr>
          <w:color w:val="000000"/>
          <w:szCs w:val="22"/>
          <w:lang w:val="hu-HU"/>
        </w:rPr>
        <w:br w:type="page"/>
      </w:r>
    </w:p>
    <w:p w14:paraId="1E927C7E" w14:textId="77777777" w:rsidR="00A052B8" w:rsidRPr="00D045B3" w:rsidRDefault="00A052B8" w:rsidP="00A052B8">
      <w:pPr>
        <w:spacing w:line="240" w:lineRule="auto"/>
        <w:rPr>
          <w:color w:val="000000"/>
          <w:u w:val="single"/>
          <w:lang w:val="hu-HU"/>
        </w:rPr>
      </w:pPr>
    </w:p>
    <w:p w14:paraId="1E927C7F"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A BUBORÉK</w:t>
      </w:r>
      <w:r w:rsidRPr="00D045B3">
        <w:rPr>
          <w:b/>
          <w:noProof/>
          <w:szCs w:val="22"/>
          <w:lang w:val="hu-HU" w:eastAsia="en-US"/>
        </w:rPr>
        <w:t>CSOMAGOLÁSON</w:t>
      </w:r>
      <w:r w:rsidRPr="00D045B3">
        <w:rPr>
          <w:b/>
          <w:color w:val="000000"/>
          <w:lang w:val="hu-HU"/>
        </w:rPr>
        <w:t xml:space="preserve"> VAGY A </w:t>
      </w:r>
      <w:r w:rsidRPr="00D045B3">
        <w:rPr>
          <w:b/>
          <w:noProof/>
          <w:szCs w:val="22"/>
          <w:lang w:val="hu-HU" w:eastAsia="en-US"/>
        </w:rPr>
        <w:t xml:space="preserve">FÓLIACSÍKON </w:t>
      </w:r>
      <w:r w:rsidRPr="00D045B3">
        <w:rPr>
          <w:b/>
          <w:noProof/>
          <w:color w:val="000000"/>
          <w:lang w:val="hu-HU"/>
        </w:rPr>
        <w:t>MINIMÁLISAN</w:t>
      </w:r>
      <w:r w:rsidRPr="00D045B3">
        <w:rPr>
          <w:b/>
          <w:color w:val="000000"/>
          <w:lang w:val="hu-HU"/>
        </w:rPr>
        <w:t xml:space="preserve"> FELTÜNTETENDŐ ADATOK</w:t>
      </w:r>
    </w:p>
    <w:p w14:paraId="1E927C80"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color w:val="000000"/>
          <w:lang w:val="hu-HU"/>
        </w:rPr>
      </w:pPr>
    </w:p>
    <w:p w14:paraId="1E927C81" w14:textId="77777777" w:rsidR="00A052B8" w:rsidRPr="00D045B3" w:rsidRDefault="00A052B8" w:rsidP="00A052B8">
      <w:pPr>
        <w:pBdr>
          <w:top w:val="single" w:sz="4" w:space="1" w:color="auto"/>
          <w:left w:val="single" w:sz="4" w:space="4" w:color="auto"/>
          <w:bottom w:val="single" w:sz="4" w:space="1" w:color="auto"/>
          <w:right w:val="single" w:sz="4" w:space="4" w:color="auto"/>
        </w:pBdr>
        <w:spacing w:line="240" w:lineRule="auto"/>
        <w:rPr>
          <w:b/>
          <w:color w:val="000000"/>
          <w:lang w:val="hu-HU"/>
        </w:rPr>
      </w:pPr>
      <w:r w:rsidRPr="00D045B3">
        <w:rPr>
          <w:b/>
          <w:color w:val="000000"/>
          <w:lang w:val="hu-HU"/>
        </w:rPr>
        <w:t>BUBORÉK</w:t>
      </w:r>
      <w:r w:rsidRPr="00D045B3">
        <w:rPr>
          <w:b/>
          <w:noProof/>
          <w:szCs w:val="22"/>
          <w:lang w:val="hu-HU" w:eastAsia="en-US"/>
        </w:rPr>
        <w:t>CSOMAGOLÁS</w:t>
      </w:r>
    </w:p>
    <w:p w14:paraId="1E927C82" w14:textId="77777777" w:rsidR="00A052B8" w:rsidRPr="00D045B3" w:rsidRDefault="00A052B8" w:rsidP="00A052B8">
      <w:pPr>
        <w:spacing w:line="240" w:lineRule="auto"/>
        <w:rPr>
          <w:color w:val="000000"/>
          <w:lang w:val="hu-HU"/>
        </w:rPr>
      </w:pPr>
    </w:p>
    <w:p w14:paraId="1E927C83" w14:textId="77777777" w:rsidR="00A052B8" w:rsidRPr="00D045B3" w:rsidRDefault="00A052B8" w:rsidP="00A052B8">
      <w:pPr>
        <w:spacing w:line="240" w:lineRule="auto"/>
        <w:rPr>
          <w:color w:val="000000"/>
          <w:lang w:val="hu-HU"/>
        </w:rPr>
      </w:pPr>
    </w:p>
    <w:p w14:paraId="1E927C84"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1.</w:t>
      </w:r>
      <w:r w:rsidRPr="00D045B3">
        <w:rPr>
          <w:b/>
          <w:color w:val="000000"/>
          <w:lang w:val="hu-HU"/>
        </w:rPr>
        <w:tab/>
        <w:t>A GYÓGYSZER NEVE</w:t>
      </w:r>
    </w:p>
    <w:p w14:paraId="1E927C85" w14:textId="77777777" w:rsidR="00A052B8" w:rsidRPr="00D045B3" w:rsidRDefault="00A052B8" w:rsidP="00A052B8">
      <w:pPr>
        <w:spacing w:line="240" w:lineRule="auto"/>
        <w:ind w:left="567" w:hanging="567"/>
        <w:rPr>
          <w:color w:val="000000"/>
          <w:lang w:val="hu-HU"/>
        </w:rPr>
      </w:pPr>
    </w:p>
    <w:p w14:paraId="1E927C86" w14:textId="77777777" w:rsidR="00A052B8" w:rsidRPr="00D045B3" w:rsidRDefault="00A052B8" w:rsidP="00A052B8">
      <w:pPr>
        <w:spacing w:line="240" w:lineRule="auto"/>
        <w:rPr>
          <w:color w:val="000000"/>
          <w:lang w:val="hu-HU"/>
        </w:rPr>
      </w:pPr>
      <w:r w:rsidRPr="00D045B3">
        <w:rPr>
          <w:lang w:val="hu-HU"/>
        </w:rPr>
        <w:t xml:space="preserve">Imatinib Actavis </w:t>
      </w:r>
      <w:r w:rsidRPr="00D045B3">
        <w:rPr>
          <w:color w:val="000000"/>
          <w:lang w:val="hu-HU"/>
        </w:rPr>
        <w:t xml:space="preserve">400 mg </w:t>
      </w:r>
      <w:r w:rsidR="0076303B" w:rsidRPr="00D045B3">
        <w:rPr>
          <w:color w:val="000000"/>
          <w:lang w:val="hu-HU"/>
        </w:rPr>
        <w:t>film</w:t>
      </w:r>
      <w:r w:rsidRPr="00D045B3">
        <w:rPr>
          <w:color w:val="000000"/>
          <w:lang w:val="hu-HU"/>
        </w:rPr>
        <w:t>tabletta</w:t>
      </w:r>
    </w:p>
    <w:p w14:paraId="1E927C87" w14:textId="77777777" w:rsidR="00A052B8" w:rsidRPr="00D045B3" w:rsidRDefault="00FA3B29" w:rsidP="00A052B8">
      <w:pPr>
        <w:spacing w:line="240" w:lineRule="auto"/>
        <w:rPr>
          <w:color w:val="000000"/>
          <w:lang w:val="hu-HU"/>
        </w:rPr>
      </w:pPr>
      <w:r w:rsidRPr="00D045B3">
        <w:rPr>
          <w:color w:val="000000"/>
          <w:lang w:val="hu-HU"/>
        </w:rPr>
        <w:t>i</w:t>
      </w:r>
      <w:r w:rsidR="00A052B8" w:rsidRPr="00D045B3">
        <w:rPr>
          <w:color w:val="000000"/>
          <w:lang w:val="hu-HU"/>
        </w:rPr>
        <w:t>matinib</w:t>
      </w:r>
    </w:p>
    <w:p w14:paraId="1E927C88" w14:textId="77777777" w:rsidR="00A052B8" w:rsidRPr="00D045B3" w:rsidRDefault="00A052B8" w:rsidP="00A052B8">
      <w:pPr>
        <w:spacing w:line="240" w:lineRule="auto"/>
        <w:rPr>
          <w:color w:val="000000"/>
          <w:lang w:val="hu-HU"/>
        </w:rPr>
      </w:pPr>
    </w:p>
    <w:p w14:paraId="1E927C89" w14:textId="77777777" w:rsidR="00A052B8" w:rsidRPr="00D045B3" w:rsidRDefault="00A052B8" w:rsidP="00A052B8">
      <w:pPr>
        <w:spacing w:line="240" w:lineRule="auto"/>
        <w:rPr>
          <w:color w:val="000000"/>
          <w:lang w:val="hu-HU"/>
        </w:rPr>
      </w:pPr>
    </w:p>
    <w:p w14:paraId="1E927C8A"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2.</w:t>
      </w:r>
      <w:r w:rsidRPr="00D045B3">
        <w:rPr>
          <w:b/>
          <w:color w:val="000000"/>
          <w:lang w:val="hu-HU"/>
        </w:rPr>
        <w:tab/>
        <w:t>A FORGALOMBA HOZATALI ENGEDÉLY JOGOSULTJÁNAK NEVE</w:t>
      </w:r>
    </w:p>
    <w:p w14:paraId="1E927C8B" w14:textId="77777777" w:rsidR="00A052B8" w:rsidRPr="00D045B3" w:rsidRDefault="00A052B8" w:rsidP="00A052B8">
      <w:pPr>
        <w:spacing w:line="240" w:lineRule="auto"/>
        <w:rPr>
          <w:color w:val="000000"/>
          <w:lang w:val="hu-HU"/>
        </w:rPr>
      </w:pPr>
    </w:p>
    <w:p w14:paraId="1E927C8C" w14:textId="77777777" w:rsidR="00A052B8" w:rsidRPr="00D045B3" w:rsidRDefault="00A052B8" w:rsidP="00A052B8">
      <w:pPr>
        <w:autoSpaceDE w:val="0"/>
        <w:autoSpaceDN w:val="0"/>
        <w:adjustRightInd w:val="0"/>
        <w:spacing w:line="240" w:lineRule="auto"/>
        <w:rPr>
          <w:lang w:val="hu-HU"/>
        </w:rPr>
      </w:pPr>
      <w:r w:rsidRPr="00D045B3">
        <w:rPr>
          <w:lang w:val="hu-HU"/>
        </w:rPr>
        <w:t>[Actavis logó]</w:t>
      </w:r>
    </w:p>
    <w:p w14:paraId="1E927C8D" w14:textId="77777777" w:rsidR="00A052B8" w:rsidRPr="00D045B3" w:rsidRDefault="00A052B8" w:rsidP="00A052B8">
      <w:pPr>
        <w:spacing w:line="240" w:lineRule="auto"/>
        <w:rPr>
          <w:color w:val="000000"/>
          <w:lang w:val="hu-HU"/>
        </w:rPr>
      </w:pPr>
    </w:p>
    <w:p w14:paraId="1E927C8E" w14:textId="77777777" w:rsidR="00A052B8" w:rsidRPr="00D045B3" w:rsidRDefault="00A052B8" w:rsidP="00A052B8">
      <w:pPr>
        <w:spacing w:line="240" w:lineRule="auto"/>
        <w:rPr>
          <w:color w:val="000000"/>
          <w:lang w:val="hu-HU"/>
        </w:rPr>
      </w:pPr>
    </w:p>
    <w:p w14:paraId="1E927C8F"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3.</w:t>
      </w:r>
      <w:r w:rsidRPr="00D045B3">
        <w:rPr>
          <w:b/>
          <w:color w:val="000000"/>
          <w:lang w:val="hu-HU"/>
        </w:rPr>
        <w:tab/>
        <w:t>LEJÁRATI IDŐ</w:t>
      </w:r>
    </w:p>
    <w:p w14:paraId="1E927C90" w14:textId="77777777" w:rsidR="00A052B8" w:rsidRPr="00D045B3" w:rsidRDefault="00A052B8" w:rsidP="00A052B8">
      <w:pPr>
        <w:spacing w:line="240" w:lineRule="auto"/>
        <w:rPr>
          <w:color w:val="000000"/>
          <w:lang w:val="hu-HU"/>
        </w:rPr>
      </w:pPr>
    </w:p>
    <w:p w14:paraId="1E927C91" w14:textId="143261D5" w:rsidR="00A052B8" w:rsidRPr="00D045B3" w:rsidRDefault="00AE22C7" w:rsidP="00A052B8">
      <w:pPr>
        <w:pStyle w:val="Endnotentext"/>
        <w:spacing w:line="240" w:lineRule="auto"/>
        <w:rPr>
          <w:color w:val="000000"/>
          <w:lang w:val="hu-HU"/>
        </w:rPr>
      </w:pPr>
      <w:r w:rsidRPr="00D045B3">
        <w:rPr>
          <w:color w:val="000000"/>
          <w:lang w:val="hu-HU"/>
        </w:rPr>
        <w:t>EXP</w:t>
      </w:r>
    </w:p>
    <w:p w14:paraId="1E927C92" w14:textId="77777777" w:rsidR="00A052B8" w:rsidRPr="00D045B3" w:rsidRDefault="00A052B8" w:rsidP="00A052B8">
      <w:pPr>
        <w:spacing w:line="240" w:lineRule="auto"/>
        <w:rPr>
          <w:color w:val="000000"/>
          <w:lang w:val="hu-HU"/>
        </w:rPr>
      </w:pPr>
    </w:p>
    <w:p w14:paraId="1E927C93" w14:textId="77777777" w:rsidR="00A052B8" w:rsidRPr="00D045B3" w:rsidRDefault="00A052B8" w:rsidP="00A052B8">
      <w:pPr>
        <w:spacing w:line="240" w:lineRule="auto"/>
        <w:rPr>
          <w:color w:val="000000"/>
          <w:lang w:val="hu-HU"/>
        </w:rPr>
      </w:pPr>
    </w:p>
    <w:p w14:paraId="1E927C94"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color w:val="000000"/>
          <w:lang w:val="hu-HU"/>
        </w:rPr>
      </w:pPr>
      <w:r w:rsidRPr="00D045B3">
        <w:rPr>
          <w:b/>
          <w:color w:val="000000"/>
          <w:lang w:val="hu-HU"/>
        </w:rPr>
        <w:t>4.</w:t>
      </w:r>
      <w:r w:rsidRPr="00D045B3">
        <w:rPr>
          <w:b/>
          <w:color w:val="000000"/>
          <w:lang w:val="hu-HU"/>
        </w:rPr>
        <w:tab/>
        <w:t>A GYÁRTÁSI TÉTEL SZÁMA</w:t>
      </w:r>
    </w:p>
    <w:p w14:paraId="1E927C95" w14:textId="77777777" w:rsidR="00A052B8" w:rsidRPr="00D045B3" w:rsidRDefault="00A052B8" w:rsidP="00A052B8">
      <w:pPr>
        <w:spacing w:line="240" w:lineRule="auto"/>
        <w:rPr>
          <w:color w:val="000000"/>
          <w:lang w:val="hu-HU"/>
        </w:rPr>
      </w:pPr>
    </w:p>
    <w:p w14:paraId="1E927C96" w14:textId="09048F93" w:rsidR="00A052B8" w:rsidRPr="00D045B3" w:rsidRDefault="00AE22C7" w:rsidP="00A052B8">
      <w:pPr>
        <w:spacing w:line="240" w:lineRule="auto"/>
        <w:rPr>
          <w:color w:val="000000"/>
          <w:lang w:val="hu-HU"/>
        </w:rPr>
      </w:pPr>
      <w:r w:rsidRPr="00D045B3">
        <w:rPr>
          <w:color w:val="000000"/>
          <w:lang w:val="hu-HU"/>
        </w:rPr>
        <w:t>Lot</w:t>
      </w:r>
    </w:p>
    <w:p w14:paraId="1E927C97" w14:textId="77777777" w:rsidR="00A052B8" w:rsidRPr="00D045B3" w:rsidRDefault="00A052B8" w:rsidP="00A052B8">
      <w:pPr>
        <w:widowControl w:val="0"/>
        <w:spacing w:line="240" w:lineRule="auto"/>
        <w:rPr>
          <w:color w:val="000000"/>
          <w:szCs w:val="22"/>
          <w:lang w:val="hu-HU"/>
        </w:rPr>
      </w:pPr>
    </w:p>
    <w:p w14:paraId="1E927C98" w14:textId="77777777" w:rsidR="00A052B8" w:rsidRPr="00D045B3" w:rsidRDefault="00A052B8" w:rsidP="00A052B8">
      <w:pPr>
        <w:widowControl w:val="0"/>
        <w:spacing w:line="240" w:lineRule="auto"/>
        <w:rPr>
          <w:color w:val="000000"/>
          <w:szCs w:val="22"/>
          <w:lang w:val="hu-HU"/>
        </w:rPr>
      </w:pPr>
    </w:p>
    <w:p w14:paraId="1E927C99" w14:textId="77777777" w:rsidR="00A052B8" w:rsidRPr="00D045B3" w:rsidRDefault="00A052B8" w:rsidP="00A052B8">
      <w:pPr>
        <w:pBdr>
          <w:top w:val="single" w:sz="4" w:space="1" w:color="auto"/>
          <w:left w:val="single" w:sz="4" w:space="4" w:color="auto"/>
          <w:bottom w:val="single" w:sz="4" w:space="1" w:color="auto"/>
          <w:right w:val="single" w:sz="4" w:space="4" w:color="auto"/>
        </w:pBdr>
        <w:tabs>
          <w:tab w:val="left" w:pos="142"/>
        </w:tabs>
        <w:spacing w:line="240" w:lineRule="auto"/>
        <w:ind w:left="567" w:hanging="567"/>
        <w:rPr>
          <w:b/>
          <w:noProof/>
          <w:color w:val="000000"/>
          <w:lang w:val="hu-HU"/>
        </w:rPr>
      </w:pPr>
      <w:r w:rsidRPr="00D045B3">
        <w:rPr>
          <w:b/>
          <w:noProof/>
          <w:color w:val="000000"/>
          <w:lang w:val="hu-HU"/>
        </w:rPr>
        <w:t>5.</w:t>
      </w:r>
      <w:r w:rsidRPr="00D045B3">
        <w:rPr>
          <w:b/>
          <w:noProof/>
          <w:color w:val="000000"/>
          <w:lang w:val="hu-HU"/>
        </w:rPr>
        <w:tab/>
        <w:t>EGYÉB INFORMÁCIÓK</w:t>
      </w:r>
    </w:p>
    <w:p w14:paraId="1E927C9A" w14:textId="77777777" w:rsidR="00A052B8" w:rsidRPr="00D045B3" w:rsidRDefault="00A052B8" w:rsidP="00A052B8">
      <w:pPr>
        <w:spacing w:line="240" w:lineRule="auto"/>
        <w:rPr>
          <w:color w:val="000000"/>
          <w:szCs w:val="22"/>
          <w:lang w:val="hu-HU"/>
        </w:rPr>
      </w:pPr>
    </w:p>
    <w:p w14:paraId="1E927C9B" w14:textId="77777777" w:rsidR="00153411" w:rsidRPr="00D045B3" w:rsidRDefault="00153411" w:rsidP="00153411">
      <w:pPr>
        <w:spacing w:line="240" w:lineRule="auto"/>
        <w:rPr>
          <w:color w:val="000000"/>
          <w:szCs w:val="22"/>
          <w:lang w:val="hu-HU"/>
        </w:rPr>
      </w:pPr>
    </w:p>
    <w:p w14:paraId="1E927C9C" w14:textId="77777777" w:rsidR="00153411" w:rsidRPr="00D045B3" w:rsidRDefault="00153411" w:rsidP="00153411">
      <w:pPr>
        <w:spacing w:line="240" w:lineRule="auto"/>
        <w:rPr>
          <w:b/>
          <w:color w:val="000000"/>
          <w:u w:val="single"/>
          <w:lang w:val="hu-HU"/>
        </w:rPr>
      </w:pPr>
      <w:r w:rsidRPr="00D045B3">
        <w:rPr>
          <w:lang w:val="hu-HU"/>
        </w:rPr>
        <w:br w:type="page"/>
      </w:r>
    </w:p>
    <w:p w14:paraId="1E927C9D" w14:textId="77777777" w:rsidR="00153411" w:rsidRPr="00D045B3" w:rsidRDefault="00153411" w:rsidP="00611231">
      <w:pPr>
        <w:spacing w:line="240" w:lineRule="auto"/>
        <w:jc w:val="center"/>
        <w:rPr>
          <w:color w:val="000000"/>
          <w:lang w:val="hu-HU"/>
        </w:rPr>
      </w:pPr>
    </w:p>
    <w:p w14:paraId="1E927C9E" w14:textId="77777777" w:rsidR="00153411" w:rsidRPr="00D045B3" w:rsidRDefault="00153411" w:rsidP="00611231">
      <w:pPr>
        <w:spacing w:line="240" w:lineRule="auto"/>
        <w:jc w:val="center"/>
        <w:rPr>
          <w:color w:val="000000"/>
          <w:lang w:val="hu-HU"/>
        </w:rPr>
      </w:pPr>
    </w:p>
    <w:p w14:paraId="1E927C9F" w14:textId="77777777" w:rsidR="00153411" w:rsidRPr="00D045B3" w:rsidRDefault="00153411" w:rsidP="00611231">
      <w:pPr>
        <w:spacing w:line="240" w:lineRule="auto"/>
        <w:jc w:val="center"/>
        <w:rPr>
          <w:color w:val="000000"/>
          <w:lang w:val="hu-HU"/>
        </w:rPr>
      </w:pPr>
    </w:p>
    <w:p w14:paraId="1E927CA0" w14:textId="77777777" w:rsidR="00153411" w:rsidRPr="00D045B3" w:rsidRDefault="00153411" w:rsidP="00611231">
      <w:pPr>
        <w:spacing w:line="240" w:lineRule="auto"/>
        <w:jc w:val="center"/>
        <w:rPr>
          <w:color w:val="000000"/>
          <w:lang w:val="hu-HU"/>
        </w:rPr>
      </w:pPr>
    </w:p>
    <w:p w14:paraId="1E927CA1" w14:textId="77777777" w:rsidR="00153411" w:rsidRPr="00D045B3" w:rsidRDefault="00153411" w:rsidP="00611231">
      <w:pPr>
        <w:spacing w:line="240" w:lineRule="auto"/>
        <w:jc w:val="center"/>
        <w:rPr>
          <w:color w:val="000000"/>
          <w:lang w:val="hu-HU"/>
        </w:rPr>
      </w:pPr>
    </w:p>
    <w:p w14:paraId="1E927CA2" w14:textId="77777777" w:rsidR="00153411" w:rsidRPr="00D045B3" w:rsidRDefault="00153411" w:rsidP="00611231">
      <w:pPr>
        <w:spacing w:line="240" w:lineRule="auto"/>
        <w:jc w:val="center"/>
        <w:rPr>
          <w:color w:val="000000"/>
          <w:lang w:val="hu-HU"/>
        </w:rPr>
      </w:pPr>
    </w:p>
    <w:p w14:paraId="1E927CA3" w14:textId="77777777" w:rsidR="00153411" w:rsidRPr="00D045B3" w:rsidRDefault="00153411" w:rsidP="00611231">
      <w:pPr>
        <w:spacing w:line="240" w:lineRule="auto"/>
        <w:jc w:val="center"/>
        <w:rPr>
          <w:color w:val="000000"/>
          <w:lang w:val="hu-HU"/>
        </w:rPr>
      </w:pPr>
    </w:p>
    <w:p w14:paraId="1E927CA4" w14:textId="77777777" w:rsidR="00153411" w:rsidRPr="00D045B3" w:rsidRDefault="00153411" w:rsidP="00611231">
      <w:pPr>
        <w:spacing w:line="240" w:lineRule="auto"/>
        <w:jc w:val="center"/>
        <w:rPr>
          <w:color w:val="000000"/>
          <w:lang w:val="hu-HU"/>
        </w:rPr>
      </w:pPr>
    </w:p>
    <w:p w14:paraId="1E927CA5" w14:textId="77777777" w:rsidR="00153411" w:rsidRPr="00D045B3" w:rsidRDefault="00153411" w:rsidP="00611231">
      <w:pPr>
        <w:spacing w:line="240" w:lineRule="auto"/>
        <w:jc w:val="center"/>
        <w:rPr>
          <w:color w:val="000000"/>
          <w:lang w:val="hu-HU"/>
        </w:rPr>
      </w:pPr>
    </w:p>
    <w:p w14:paraId="1E927CA6" w14:textId="77777777" w:rsidR="00153411" w:rsidRPr="00D045B3" w:rsidRDefault="00153411" w:rsidP="00611231">
      <w:pPr>
        <w:spacing w:line="240" w:lineRule="auto"/>
        <w:jc w:val="center"/>
        <w:rPr>
          <w:color w:val="000000"/>
          <w:lang w:val="hu-HU"/>
        </w:rPr>
      </w:pPr>
    </w:p>
    <w:p w14:paraId="1E927CA7" w14:textId="77777777" w:rsidR="00153411" w:rsidRPr="00D045B3" w:rsidRDefault="00153411" w:rsidP="00611231">
      <w:pPr>
        <w:spacing w:line="240" w:lineRule="auto"/>
        <w:jc w:val="center"/>
        <w:rPr>
          <w:color w:val="000000"/>
          <w:lang w:val="hu-HU"/>
        </w:rPr>
      </w:pPr>
    </w:p>
    <w:p w14:paraId="1E927CA8" w14:textId="77777777" w:rsidR="00153411" w:rsidRPr="00D045B3" w:rsidRDefault="00153411" w:rsidP="00611231">
      <w:pPr>
        <w:spacing w:line="240" w:lineRule="auto"/>
        <w:jc w:val="center"/>
        <w:rPr>
          <w:color w:val="000000"/>
          <w:lang w:val="hu-HU"/>
        </w:rPr>
      </w:pPr>
    </w:p>
    <w:p w14:paraId="1E927CA9" w14:textId="77777777" w:rsidR="00153411" w:rsidRPr="00D045B3" w:rsidRDefault="00153411" w:rsidP="00611231">
      <w:pPr>
        <w:spacing w:line="240" w:lineRule="auto"/>
        <w:jc w:val="center"/>
        <w:rPr>
          <w:color w:val="000000"/>
          <w:lang w:val="hu-HU"/>
        </w:rPr>
      </w:pPr>
    </w:p>
    <w:p w14:paraId="1E927CAA" w14:textId="77777777" w:rsidR="00153411" w:rsidRPr="00D045B3" w:rsidRDefault="00153411" w:rsidP="00611231">
      <w:pPr>
        <w:spacing w:line="240" w:lineRule="auto"/>
        <w:jc w:val="center"/>
        <w:rPr>
          <w:color w:val="000000"/>
          <w:lang w:val="hu-HU"/>
        </w:rPr>
      </w:pPr>
    </w:p>
    <w:p w14:paraId="1E927CAB" w14:textId="77777777" w:rsidR="00153411" w:rsidRPr="00D045B3" w:rsidRDefault="00153411" w:rsidP="00611231">
      <w:pPr>
        <w:spacing w:line="240" w:lineRule="auto"/>
        <w:jc w:val="center"/>
        <w:rPr>
          <w:color w:val="000000"/>
          <w:lang w:val="hu-HU"/>
        </w:rPr>
      </w:pPr>
    </w:p>
    <w:p w14:paraId="1E927CAC" w14:textId="77777777" w:rsidR="00153411" w:rsidRPr="00D045B3" w:rsidRDefault="00153411" w:rsidP="00611231">
      <w:pPr>
        <w:spacing w:line="240" w:lineRule="auto"/>
        <w:jc w:val="center"/>
        <w:rPr>
          <w:color w:val="000000"/>
          <w:lang w:val="hu-HU"/>
        </w:rPr>
      </w:pPr>
    </w:p>
    <w:p w14:paraId="1E927CAD" w14:textId="77777777" w:rsidR="00153411" w:rsidRPr="00D045B3" w:rsidRDefault="00153411" w:rsidP="00611231">
      <w:pPr>
        <w:spacing w:line="240" w:lineRule="auto"/>
        <w:jc w:val="center"/>
        <w:rPr>
          <w:color w:val="000000"/>
          <w:lang w:val="hu-HU"/>
        </w:rPr>
      </w:pPr>
    </w:p>
    <w:p w14:paraId="1E927CAE" w14:textId="77777777" w:rsidR="00153411" w:rsidRPr="00D045B3" w:rsidRDefault="00153411" w:rsidP="00611231">
      <w:pPr>
        <w:spacing w:line="240" w:lineRule="auto"/>
        <w:jc w:val="center"/>
        <w:rPr>
          <w:color w:val="000000"/>
          <w:lang w:val="hu-HU"/>
        </w:rPr>
      </w:pPr>
    </w:p>
    <w:p w14:paraId="1E927CAF" w14:textId="77777777" w:rsidR="00153411" w:rsidRPr="00D045B3" w:rsidRDefault="00153411" w:rsidP="00611231">
      <w:pPr>
        <w:spacing w:line="240" w:lineRule="auto"/>
        <w:jc w:val="center"/>
        <w:rPr>
          <w:color w:val="000000"/>
          <w:lang w:val="hu-HU"/>
        </w:rPr>
      </w:pPr>
    </w:p>
    <w:p w14:paraId="1E927CB0" w14:textId="77777777" w:rsidR="00153411" w:rsidRPr="00D045B3" w:rsidRDefault="00153411" w:rsidP="00611231">
      <w:pPr>
        <w:spacing w:line="240" w:lineRule="auto"/>
        <w:jc w:val="center"/>
        <w:rPr>
          <w:color w:val="000000"/>
          <w:lang w:val="hu-HU"/>
        </w:rPr>
      </w:pPr>
    </w:p>
    <w:p w14:paraId="1E927CB1" w14:textId="77777777" w:rsidR="00153411" w:rsidRPr="00D045B3" w:rsidRDefault="00153411" w:rsidP="00611231">
      <w:pPr>
        <w:spacing w:line="240" w:lineRule="auto"/>
        <w:jc w:val="center"/>
        <w:rPr>
          <w:color w:val="000000"/>
          <w:lang w:val="hu-HU"/>
        </w:rPr>
      </w:pPr>
    </w:p>
    <w:p w14:paraId="1E927CB2" w14:textId="77777777" w:rsidR="00153411" w:rsidRPr="00D045B3" w:rsidRDefault="00153411" w:rsidP="00010302">
      <w:pPr>
        <w:pStyle w:val="TitleA"/>
        <w:numPr>
          <w:ilvl w:val="0"/>
          <w:numId w:val="0"/>
        </w:numPr>
      </w:pPr>
      <w:r w:rsidRPr="00D045B3">
        <w:t>B. BETEGTÁJÉKOZTATÓ</w:t>
      </w:r>
    </w:p>
    <w:p w14:paraId="1E927CB3" w14:textId="77777777" w:rsidR="00611231" w:rsidRPr="00D045B3" w:rsidRDefault="00611231" w:rsidP="00153411">
      <w:pPr>
        <w:spacing w:line="240" w:lineRule="auto"/>
        <w:jc w:val="center"/>
        <w:rPr>
          <w:b/>
          <w:color w:val="000000"/>
          <w:lang w:val="hu-HU"/>
        </w:rPr>
      </w:pPr>
      <w:r w:rsidRPr="00D045B3">
        <w:rPr>
          <w:b/>
          <w:color w:val="000000"/>
          <w:lang w:val="hu-HU"/>
        </w:rPr>
        <w:br/>
      </w:r>
    </w:p>
    <w:p w14:paraId="1E927CB4" w14:textId="77777777" w:rsidR="00611231" w:rsidRPr="00D045B3" w:rsidRDefault="00611231" w:rsidP="0086743B">
      <w:pPr>
        <w:spacing w:line="240" w:lineRule="auto"/>
        <w:jc w:val="center"/>
        <w:rPr>
          <w:color w:val="000000"/>
          <w:szCs w:val="22"/>
          <w:lang w:val="hu-HU"/>
        </w:rPr>
      </w:pPr>
      <w:r w:rsidRPr="00D045B3">
        <w:rPr>
          <w:b/>
          <w:color w:val="000000"/>
          <w:lang w:val="hu-HU"/>
        </w:rPr>
        <w:br w:type="page"/>
      </w:r>
      <w:r w:rsidRPr="00D045B3">
        <w:rPr>
          <w:b/>
          <w:noProof/>
          <w:szCs w:val="22"/>
          <w:lang w:val="hu-HU"/>
        </w:rPr>
        <w:t>Betegtájékoztató: Információk a felhasználó számára</w:t>
      </w:r>
    </w:p>
    <w:p w14:paraId="1E927CB5" w14:textId="77777777" w:rsidR="00611231" w:rsidRPr="00D045B3" w:rsidRDefault="00611231" w:rsidP="00611231">
      <w:pPr>
        <w:widowControl w:val="0"/>
        <w:spacing w:line="240" w:lineRule="auto"/>
        <w:jc w:val="center"/>
        <w:rPr>
          <w:color w:val="000000"/>
          <w:szCs w:val="22"/>
          <w:lang w:val="hu-HU"/>
        </w:rPr>
      </w:pPr>
    </w:p>
    <w:p w14:paraId="1E927CB6" w14:textId="77777777" w:rsidR="00611231" w:rsidRPr="00D045B3" w:rsidRDefault="00611231" w:rsidP="00611231">
      <w:pPr>
        <w:widowControl w:val="0"/>
        <w:spacing w:line="240" w:lineRule="auto"/>
        <w:jc w:val="center"/>
        <w:rPr>
          <w:color w:val="000000"/>
          <w:szCs w:val="22"/>
          <w:lang w:val="hu-HU"/>
        </w:rPr>
      </w:pPr>
      <w:r w:rsidRPr="00D045B3">
        <w:rPr>
          <w:b/>
          <w:color w:val="000000"/>
          <w:szCs w:val="22"/>
          <w:lang w:val="hu-HU"/>
        </w:rPr>
        <w:t>Imatinib Actavis 50 mg kemény kapszula</w:t>
      </w:r>
    </w:p>
    <w:p w14:paraId="1E927CB7" w14:textId="77777777" w:rsidR="00611231" w:rsidRPr="00D045B3" w:rsidRDefault="00611231" w:rsidP="00611231">
      <w:pPr>
        <w:widowControl w:val="0"/>
        <w:spacing w:line="240" w:lineRule="auto"/>
        <w:jc w:val="center"/>
        <w:rPr>
          <w:color w:val="000000"/>
          <w:szCs w:val="22"/>
          <w:lang w:val="hu-HU"/>
        </w:rPr>
      </w:pPr>
      <w:r w:rsidRPr="00D045B3">
        <w:rPr>
          <w:color w:val="000000"/>
          <w:szCs w:val="22"/>
          <w:lang w:val="hu-HU"/>
        </w:rPr>
        <w:t>imatinib</w:t>
      </w:r>
    </w:p>
    <w:p w14:paraId="1E927CB8" w14:textId="77777777" w:rsidR="00611231" w:rsidRPr="00D045B3" w:rsidRDefault="00611231" w:rsidP="00611231">
      <w:pPr>
        <w:spacing w:line="240" w:lineRule="auto"/>
        <w:jc w:val="center"/>
        <w:rPr>
          <w:color w:val="000000"/>
          <w:szCs w:val="22"/>
          <w:lang w:val="hu-HU"/>
        </w:rPr>
      </w:pPr>
    </w:p>
    <w:p w14:paraId="1E927CB9" w14:textId="77777777" w:rsidR="00611231" w:rsidRPr="00D045B3" w:rsidRDefault="00611231" w:rsidP="00611231">
      <w:pPr>
        <w:spacing w:line="240" w:lineRule="auto"/>
        <w:jc w:val="center"/>
        <w:rPr>
          <w:color w:val="000000"/>
          <w:szCs w:val="22"/>
          <w:lang w:val="hu-HU"/>
        </w:rPr>
      </w:pPr>
    </w:p>
    <w:p w14:paraId="1E927CBA" w14:textId="77777777" w:rsidR="00611231" w:rsidRPr="00D045B3" w:rsidRDefault="00611231" w:rsidP="00611231">
      <w:pPr>
        <w:spacing w:line="240" w:lineRule="auto"/>
        <w:rPr>
          <w:b/>
          <w:color w:val="000000"/>
          <w:szCs w:val="22"/>
          <w:lang w:val="hu-HU"/>
        </w:rPr>
      </w:pPr>
      <w:r w:rsidRPr="00D045B3">
        <w:rPr>
          <w:b/>
          <w:color w:val="000000"/>
          <w:szCs w:val="22"/>
          <w:lang w:val="hu-HU"/>
        </w:rPr>
        <w:t>Mielőtt elkezdi szedni ezt a gyógyszert, olvassa el figyelmesen az alábbi betegtájékoztatót</w:t>
      </w:r>
      <w:r w:rsidRPr="00D045B3">
        <w:rPr>
          <w:b/>
          <w:noProof/>
          <w:szCs w:val="22"/>
          <w:lang w:val="hu-HU"/>
        </w:rPr>
        <w:t>, me</w:t>
      </w:r>
      <w:r w:rsidR="00E1038E" w:rsidRPr="00D045B3">
        <w:rPr>
          <w:b/>
          <w:noProof/>
          <w:szCs w:val="22"/>
          <w:lang w:val="hu-HU"/>
        </w:rPr>
        <w:t>rt</w:t>
      </w:r>
      <w:r w:rsidRPr="00D045B3">
        <w:rPr>
          <w:b/>
          <w:noProof/>
          <w:szCs w:val="22"/>
          <w:lang w:val="hu-HU"/>
        </w:rPr>
        <w:t xml:space="preserve"> az Ön számára fontos információkat tartalmaz</w:t>
      </w:r>
      <w:r w:rsidRPr="00D045B3">
        <w:rPr>
          <w:b/>
          <w:color w:val="000000"/>
          <w:szCs w:val="22"/>
          <w:lang w:val="hu-HU"/>
        </w:rPr>
        <w:t>.</w:t>
      </w:r>
    </w:p>
    <w:p w14:paraId="1E927CBB" w14:textId="77777777" w:rsidR="00611231" w:rsidRPr="00D045B3" w:rsidRDefault="00611231" w:rsidP="00E95370">
      <w:pPr>
        <w:numPr>
          <w:ilvl w:val="0"/>
          <w:numId w:val="8"/>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Tartsa meg a betegtájékoztatót, mert a benne szereplő információkra a későbbiekben is szüksége lehet.</w:t>
      </w:r>
    </w:p>
    <w:p w14:paraId="1E927CBC" w14:textId="77777777" w:rsidR="00611231" w:rsidRPr="00D045B3" w:rsidRDefault="00611231" w:rsidP="00E95370">
      <w:pPr>
        <w:numPr>
          <w:ilvl w:val="0"/>
          <w:numId w:val="8"/>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 xml:space="preserve">További kérdéseivel forduljon </w:t>
      </w:r>
      <w:r w:rsidRPr="00D045B3">
        <w:rPr>
          <w:noProof/>
          <w:szCs w:val="22"/>
          <w:lang w:val="hu-HU"/>
        </w:rPr>
        <w:t>kezelőorvosához,</w:t>
      </w:r>
      <w:r w:rsidRPr="00D045B3">
        <w:rPr>
          <w:color w:val="000000"/>
          <w:szCs w:val="22"/>
          <w:lang w:val="hu-HU"/>
        </w:rPr>
        <w:t xml:space="preserve"> gyógyszerészéhez </w:t>
      </w:r>
      <w:r w:rsidRPr="00D045B3">
        <w:rPr>
          <w:noProof/>
          <w:szCs w:val="22"/>
          <w:lang w:val="hu-HU"/>
        </w:rPr>
        <w:t xml:space="preserve">vagy </w:t>
      </w:r>
      <w:r w:rsidR="00E1038E" w:rsidRPr="00D045B3">
        <w:rPr>
          <w:noProof/>
          <w:szCs w:val="22"/>
          <w:lang w:val="hu-HU"/>
        </w:rPr>
        <w:t>a gondozását végző egészségügyi szakemberhez</w:t>
      </w:r>
      <w:r w:rsidRPr="00D045B3">
        <w:rPr>
          <w:color w:val="000000"/>
          <w:szCs w:val="22"/>
          <w:lang w:val="hu-HU"/>
        </w:rPr>
        <w:t>.</w:t>
      </w:r>
    </w:p>
    <w:p w14:paraId="1E927CBD" w14:textId="77777777" w:rsidR="00611231" w:rsidRPr="00D045B3" w:rsidRDefault="00611231" w:rsidP="00E95370">
      <w:pPr>
        <w:pStyle w:val="WW-NormlWeb"/>
        <w:numPr>
          <w:ilvl w:val="0"/>
          <w:numId w:val="6"/>
        </w:numPr>
        <w:tabs>
          <w:tab w:val="clear" w:pos="360"/>
        </w:tabs>
        <w:spacing w:before="0" w:after="0" w:line="240" w:lineRule="auto"/>
        <w:ind w:left="567" w:hanging="567"/>
        <w:rPr>
          <w:rFonts w:ascii="Times New Roman" w:hAnsi="Times New Roman" w:cs="Times New Roman"/>
          <w:color w:val="000000"/>
          <w:sz w:val="22"/>
          <w:szCs w:val="22"/>
        </w:rPr>
      </w:pPr>
      <w:r w:rsidRPr="00D045B3">
        <w:rPr>
          <w:rFonts w:ascii="Times New Roman" w:hAnsi="Times New Roman" w:cs="Times New Roman"/>
          <w:color w:val="000000"/>
          <w:sz w:val="22"/>
          <w:szCs w:val="22"/>
        </w:rPr>
        <w:t>Ezt a gyógyszert az orvos kizárólag Önnek írta fel. Ne adja át a készítményt másnak, mert számára ártalmas lehet még abban az esetben is, ha a betegsége tünetei az Önéhez hasonlóak.</w:t>
      </w:r>
    </w:p>
    <w:p w14:paraId="1E927CBE" w14:textId="77777777" w:rsidR="00611231" w:rsidRPr="00D045B3" w:rsidRDefault="00611231" w:rsidP="00E95370">
      <w:pPr>
        <w:widowControl w:val="0"/>
        <w:numPr>
          <w:ilvl w:val="0"/>
          <w:numId w:val="16"/>
        </w:numPr>
        <w:tabs>
          <w:tab w:val="clear" w:pos="567"/>
        </w:tabs>
        <w:spacing w:line="240" w:lineRule="auto"/>
        <w:ind w:left="567" w:right="-2" w:hanging="567"/>
        <w:rPr>
          <w:color w:val="000000"/>
          <w:szCs w:val="22"/>
          <w:lang w:val="hu-HU"/>
        </w:rPr>
      </w:pPr>
      <w:r w:rsidRPr="00D045B3">
        <w:rPr>
          <w:color w:val="000000"/>
          <w:szCs w:val="22"/>
          <w:lang w:val="hu-HU"/>
        </w:rPr>
        <w:t xml:space="preserve">Ha Önnél bármilyen mellékhatás jelentkezik, tájékoztassa erről kezelőorvosát, gyógyszerészét vagy </w:t>
      </w:r>
      <w:r w:rsidR="00E1038E" w:rsidRPr="00D045B3">
        <w:rPr>
          <w:noProof/>
          <w:szCs w:val="22"/>
          <w:lang w:val="hu-HU"/>
        </w:rPr>
        <w:t>a gondozását végző egészségügyi szakembert</w:t>
      </w:r>
      <w:r w:rsidRPr="00D045B3">
        <w:rPr>
          <w:color w:val="000000"/>
          <w:szCs w:val="22"/>
          <w:lang w:val="hu-HU"/>
        </w:rPr>
        <w:t>. Ez a betegtájékoztatóban fel nem sorolt bármilyen lehetséges mellékhatásra is vonatkozik.</w:t>
      </w:r>
      <w:r w:rsidR="00A5011B" w:rsidRPr="00D045B3">
        <w:rPr>
          <w:color w:val="000000"/>
          <w:szCs w:val="22"/>
          <w:lang w:val="hu-HU"/>
        </w:rPr>
        <w:t xml:space="preserve"> Lásd 4. pont.</w:t>
      </w:r>
    </w:p>
    <w:p w14:paraId="1E927CBF" w14:textId="77777777" w:rsidR="00611231" w:rsidRPr="00D045B3" w:rsidRDefault="00611231" w:rsidP="00611231">
      <w:pPr>
        <w:spacing w:line="240" w:lineRule="auto"/>
        <w:ind w:right="-2"/>
        <w:rPr>
          <w:color w:val="000000"/>
          <w:szCs w:val="22"/>
          <w:lang w:val="hu-HU"/>
        </w:rPr>
      </w:pPr>
    </w:p>
    <w:p w14:paraId="1E927CC0" w14:textId="77777777" w:rsidR="00611231" w:rsidRPr="00D045B3" w:rsidRDefault="00611231" w:rsidP="002A776A">
      <w:pPr>
        <w:keepNext/>
        <w:spacing w:line="240" w:lineRule="auto"/>
        <w:ind w:right="-2"/>
        <w:rPr>
          <w:b/>
          <w:color w:val="000000"/>
          <w:szCs w:val="22"/>
          <w:lang w:val="hu-HU"/>
        </w:rPr>
      </w:pPr>
      <w:r w:rsidRPr="00D045B3">
        <w:rPr>
          <w:b/>
          <w:color w:val="000000"/>
          <w:szCs w:val="22"/>
          <w:lang w:val="hu-HU"/>
        </w:rPr>
        <w:t>A betegtájékoztató tartalma</w:t>
      </w:r>
      <w:r w:rsidR="001B47B6" w:rsidRPr="00D045B3">
        <w:rPr>
          <w:b/>
          <w:color w:val="000000"/>
          <w:szCs w:val="22"/>
          <w:lang w:val="hu-HU"/>
        </w:rPr>
        <w:t>:</w:t>
      </w:r>
    </w:p>
    <w:p w14:paraId="1E927CC1" w14:textId="77777777" w:rsidR="0080052A" w:rsidRPr="00D045B3" w:rsidRDefault="0080052A" w:rsidP="002A776A">
      <w:pPr>
        <w:keepNext/>
        <w:spacing w:line="240" w:lineRule="auto"/>
        <w:ind w:right="-2"/>
        <w:rPr>
          <w:b/>
          <w:color w:val="000000"/>
          <w:szCs w:val="22"/>
          <w:lang w:val="hu-HU"/>
        </w:rPr>
      </w:pPr>
    </w:p>
    <w:p w14:paraId="1E927CC2" w14:textId="77777777" w:rsidR="00611231" w:rsidRPr="00D045B3" w:rsidRDefault="00611231" w:rsidP="00CA41FD">
      <w:pPr>
        <w:spacing w:line="240" w:lineRule="auto"/>
        <w:ind w:right="-28"/>
        <w:rPr>
          <w:color w:val="000000"/>
          <w:szCs w:val="22"/>
          <w:lang w:val="hu-HU"/>
        </w:rPr>
      </w:pPr>
      <w:r w:rsidRPr="00D045B3">
        <w:rPr>
          <w:color w:val="000000"/>
          <w:szCs w:val="22"/>
          <w:lang w:val="hu-HU"/>
        </w:rPr>
        <w:t>1.</w:t>
      </w:r>
      <w:r w:rsidRPr="00D045B3">
        <w:rPr>
          <w:color w:val="000000"/>
          <w:szCs w:val="22"/>
          <w:lang w:val="hu-HU"/>
        </w:rPr>
        <w:tab/>
        <w:t>Milyen típusú gyógyszer az Imatinib Actavis és milyen betegségek esetén alkalmazható?</w:t>
      </w:r>
    </w:p>
    <w:p w14:paraId="1E927CC3" w14:textId="77777777" w:rsidR="00611231" w:rsidRPr="00D045B3" w:rsidRDefault="00611231" w:rsidP="00611231">
      <w:pPr>
        <w:spacing w:line="240" w:lineRule="auto"/>
        <w:ind w:right="-29"/>
        <w:rPr>
          <w:color w:val="000000"/>
          <w:szCs w:val="22"/>
          <w:lang w:val="hu-HU"/>
        </w:rPr>
      </w:pPr>
      <w:r w:rsidRPr="00D045B3">
        <w:rPr>
          <w:color w:val="000000"/>
          <w:szCs w:val="22"/>
          <w:lang w:val="hu-HU"/>
        </w:rPr>
        <w:t>2.</w:t>
      </w:r>
      <w:r w:rsidRPr="00D045B3">
        <w:rPr>
          <w:color w:val="000000"/>
          <w:szCs w:val="22"/>
          <w:lang w:val="hu-HU"/>
        </w:rPr>
        <w:tab/>
        <w:t>Tudnivalók az Imatinib Actavis szedése előtt</w:t>
      </w:r>
    </w:p>
    <w:p w14:paraId="1E927CC4" w14:textId="77777777" w:rsidR="00611231" w:rsidRPr="00D045B3" w:rsidRDefault="00611231" w:rsidP="00611231">
      <w:pPr>
        <w:spacing w:line="240" w:lineRule="auto"/>
        <w:ind w:left="567" w:right="-29" w:hanging="567"/>
        <w:rPr>
          <w:color w:val="000000"/>
          <w:szCs w:val="22"/>
          <w:lang w:val="hu-HU"/>
        </w:rPr>
      </w:pPr>
      <w:r w:rsidRPr="00D045B3">
        <w:rPr>
          <w:color w:val="000000"/>
          <w:szCs w:val="22"/>
          <w:lang w:val="hu-HU"/>
        </w:rPr>
        <w:t>3.</w:t>
      </w:r>
      <w:r w:rsidRPr="00D045B3">
        <w:rPr>
          <w:color w:val="000000"/>
          <w:szCs w:val="22"/>
          <w:lang w:val="hu-HU"/>
        </w:rPr>
        <w:tab/>
        <w:t>Hogyan kell szedni az Imatinib Actavis</w:t>
      </w:r>
      <w:r w:rsidRPr="00D045B3">
        <w:rPr>
          <w:color w:val="000000"/>
          <w:szCs w:val="22"/>
          <w:lang w:val="hu-HU"/>
        </w:rPr>
        <w:noBreakHyphen/>
        <w:t>t?</w:t>
      </w:r>
    </w:p>
    <w:p w14:paraId="1E927CC5" w14:textId="77777777" w:rsidR="00611231" w:rsidRPr="00D045B3" w:rsidRDefault="00611231" w:rsidP="00611231">
      <w:pPr>
        <w:spacing w:line="240" w:lineRule="auto"/>
        <w:ind w:left="567" w:right="-29" w:hanging="567"/>
        <w:rPr>
          <w:color w:val="000000"/>
          <w:szCs w:val="22"/>
          <w:lang w:val="hu-HU"/>
        </w:rPr>
      </w:pPr>
      <w:r w:rsidRPr="00D045B3">
        <w:rPr>
          <w:color w:val="000000"/>
          <w:szCs w:val="22"/>
          <w:lang w:val="hu-HU"/>
        </w:rPr>
        <w:t>4.</w:t>
      </w:r>
      <w:r w:rsidRPr="00D045B3">
        <w:rPr>
          <w:color w:val="000000"/>
          <w:szCs w:val="22"/>
          <w:lang w:val="hu-HU"/>
        </w:rPr>
        <w:tab/>
        <w:t>Lehetséges mellékhatások</w:t>
      </w:r>
    </w:p>
    <w:p w14:paraId="1E927CC6" w14:textId="77777777" w:rsidR="00611231" w:rsidRPr="00D045B3" w:rsidRDefault="00611231" w:rsidP="00611231">
      <w:pPr>
        <w:spacing w:line="240" w:lineRule="auto"/>
        <w:ind w:left="567" w:right="-29" w:hanging="567"/>
        <w:rPr>
          <w:color w:val="000000"/>
          <w:szCs w:val="22"/>
          <w:lang w:val="hu-HU"/>
        </w:rPr>
      </w:pPr>
      <w:r w:rsidRPr="00D045B3">
        <w:rPr>
          <w:color w:val="000000"/>
          <w:szCs w:val="22"/>
          <w:lang w:val="hu-HU"/>
        </w:rPr>
        <w:t>5.</w:t>
      </w:r>
      <w:r w:rsidRPr="00D045B3">
        <w:rPr>
          <w:color w:val="000000"/>
          <w:szCs w:val="22"/>
          <w:lang w:val="hu-HU"/>
        </w:rPr>
        <w:tab/>
        <w:t>Hogyan kell az Imatinib Actavis</w:t>
      </w:r>
      <w:r w:rsidRPr="00D045B3">
        <w:rPr>
          <w:color w:val="000000"/>
          <w:szCs w:val="22"/>
          <w:lang w:val="hu-HU"/>
        </w:rPr>
        <w:noBreakHyphen/>
        <w:t>t tárolni?</w:t>
      </w:r>
    </w:p>
    <w:p w14:paraId="1E927CC7" w14:textId="77777777" w:rsidR="00611231" w:rsidRPr="00D045B3" w:rsidRDefault="00611231" w:rsidP="00611231">
      <w:pPr>
        <w:spacing w:line="240" w:lineRule="auto"/>
        <w:ind w:left="567" w:right="-29" w:hanging="567"/>
        <w:rPr>
          <w:color w:val="000000"/>
          <w:szCs w:val="22"/>
          <w:lang w:val="hu-HU"/>
        </w:rPr>
      </w:pPr>
      <w:r w:rsidRPr="00D045B3">
        <w:rPr>
          <w:color w:val="000000"/>
          <w:szCs w:val="22"/>
          <w:lang w:val="hu-HU"/>
        </w:rPr>
        <w:t>6.</w:t>
      </w:r>
      <w:r w:rsidRPr="00D045B3">
        <w:rPr>
          <w:color w:val="000000"/>
          <w:szCs w:val="22"/>
          <w:lang w:val="hu-HU"/>
        </w:rPr>
        <w:tab/>
      </w:r>
      <w:r w:rsidRPr="00D045B3">
        <w:rPr>
          <w:noProof/>
          <w:szCs w:val="22"/>
          <w:lang w:val="hu-HU"/>
        </w:rPr>
        <w:t xml:space="preserve">A csomagolás tartalma és egyéb </w:t>
      </w:r>
      <w:r w:rsidRPr="00D045B3">
        <w:rPr>
          <w:color w:val="000000"/>
          <w:szCs w:val="22"/>
          <w:lang w:val="hu-HU"/>
        </w:rPr>
        <w:t>információk</w:t>
      </w:r>
    </w:p>
    <w:p w14:paraId="1E927CC8" w14:textId="77777777" w:rsidR="00611231" w:rsidRPr="00D045B3" w:rsidRDefault="00611231" w:rsidP="00611231">
      <w:pPr>
        <w:spacing w:line="240" w:lineRule="auto"/>
        <w:ind w:right="-2"/>
        <w:rPr>
          <w:color w:val="000000"/>
          <w:szCs w:val="22"/>
          <w:lang w:val="hu-HU"/>
        </w:rPr>
      </w:pPr>
    </w:p>
    <w:p w14:paraId="1E927CC9" w14:textId="77777777" w:rsidR="00611231" w:rsidRPr="00D045B3" w:rsidRDefault="00611231" w:rsidP="00611231">
      <w:pPr>
        <w:spacing w:line="240" w:lineRule="auto"/>
        <w:ind w:right="-2"/>
        <w:rPr>
          <w:color w:val="000000"/>
          <w:szCs w:val="22"/>
          <w:lang w:val="hu-HU"/>
        </w:rPr>
      </w:pPr>
    </w:p>
    <w:p w14:paraId="1E927CCA" w14:textId="77777777" w:rsidR="00611231" w:rsidRPr="00D045B3" w:rsidRDefault="00611231" w:rsidP="002A776A">
      <w:pPr>
        <w:keepNext/>
        <w:spacing w:line="240" w:lineRule="auto"/>
        <w:ind w:left="567" w:hanging="567"/>
        <w:rPr>
          <w:b/>
          <w:color w:val="000000"/>
          <w:szCs w:val="22"/>
          <w:lang w:val="hu-HU"/>
        </w:rPr>
      </w:pPr>
      <w:r w:rsidRPr="00D045B3">
        <w:rPr>
          <w:b/>
          <w:color w:val="000000"/>
          <w:szCs w:val="22"/>
          <w:lang w:val="hu-HU"/>
        </w:rPr>
        <w:t>1.</w:t>
      </w:r>
      <w:r w:rsidRPr="00D045B3">
        <w:rPr>
          <w:b/>
          <w:color w:val="000000"/>
          <w:szCs w:val="22"/>
          <w:lang w:val="hu-HU"/>
        </w:rPr>
        <w:tab/>
        <w:t>Milyen típusú gyógyszer az Imatinib Actavis és milyen betegségek esetén alkalmazható?</w:t>
      </w:r>
    </w:p>
    <w:p w14:paraId="1E927CCB" w14:textId="77777777" w:rsidR="00611231" w:rsidRPr="00D045B3" w:rsidRDefault="00611231" w:rsidP="002A776A">
      <w:pPr>
        <w:keepNext/>
        <w:spacing w:line="240" w:lineRule="auto"/>
        <w:rPr>
          <w:color w:val="000000"/>
          <w:szCs w:val="22"/>
          <w:lang w:val="hu-HU"/>
        </w:rPr>
      </w:pPr>
    </w:p>
    <w:p w14:paraId="1E927CCC" w14:textId="2DB4289A" w:rsidR="00611231" w:rsidRPr="00D045B3" w:rsidRDefault="00611231" w:rsidP="00CA41FD">
      <w:pPr>
        <w:spacing w:line="240" w:lineRule="auto"/>
        <w:rPr>
          <w:color w:val="000000"/>
          <w:szCs w:val="22"/>
          <w:lang w:val="hu-HU"/>
        </w:rPr>
      </w:pPr>
      <w:r w:rsidRPr="00D045B3">
        <w:rPr>
          <w:color w:val="000000"/>
          <w:szCs w:val="22"/>
          <w:lang w:val="hu-HU"/>
        </w:rPr>
        <w:t xml:space="preserve">Az Imatinib Actavis egy imatinib nevű hatóanyagot tartalmazó gyógyszer. Ez a gyógyszer a kóros sejtek szaporodását gátolja </w:t>
      </w:r>
      <w:r w:rsidR="00492C81" w:rsidRPr="00D045B3">
        <w:rPr>
          <w:color w:val="000000"/>
          <w:szCs w:val="22"/>
          <w:lang w:val="hu-HU"/>
        </w:rPr>
        <w:t>az alábbi betegségekben</w:t>
      </w:r>
      <w:r w:rsidRPr="00D045B3">
        <w:rPr>
          <w:color w:val="000000"/>
          <w:szCs w:val="22"/>
          <w:lang w:val="hu-HU"/>
        </w:rPr>
        <w:t>.</w:t>
      </w:r>
      <w:r w:rsidR="00492C81" w:rsidRPr="00D045B3">
        <w:rPr>
          <w:color w:val="000000"/>
          <w:szCs w:val="22"/>
          <w:lang w:val="hu-HU"/>
        </w:rPr>
        <w:t xml:space="preserve"> </w:t>
      </w:r>
      <w:r w:rsidR="00492C81" w:rsidRPr="00D045B3">
        <w:rPr>
          <w:szCs w:val="22"/>
          <w:lang w:val="hu-HU"/>
        </w:rPr>
        <w:t xml:space="preserve">Ezek a </w:t>
      </w:r>
      <w:r w:rsidR="00AA2E59" w:rsidRPr="00D045B3">
        <w:rPr>
          <w:szCs w:val="22"/>
          <w:lang w:val="hu-HU"/>
        </w:rPr>
        <w:t>betegségek bizonyos típusú rákos megbetegedések</w:t>
      </w:r>
      <w:r w:rsidR="00492C81" w:rsidRPr="00D045B3">
        <w:rPr>
          <w:szCs w:val="22"/>
          <w:lang w:val="hu-HU"/>
        </w:rPr>
        <w:t>.</w:t>
      </w:r>
    </w:p>
    <w:p w14:paraId="1E927CCD" w14:textId="77777777" w:rsidR="00611231" w:rsidRPr="00D045B3" w:rsidRDefault="00611231" w:rsidP="00611231">
      <w:pPr>
        <w:spacing w:line="240" w:lineRule="auto"/>
        <w:ind w:right="-2"/>
        <w:rPr>
          <w:color w:val="000000"/>
          <w:szCs w:val="22"/>
          <w:lang w:val="hu-HU"/>
        </w:rPr>
      </w:pPr>
    </w:p>
    <w:p w14:paraId="1E927CCE" w14:textId="14AE8D8F" w:rsidR="00492C81" w:rsidRPr="00D045B3" w:rsidRDefault="00611231" w:rsidP="002A776A">
      <w:pPr>
        <w:keepNext/>
        <w:spacing w:line="240" w:lineRule="auto"/>
        <w:rPr>
          <w:b/>
          <w:color w:val="000000"/>
          <w:szCs w:val="22"/>
          <w:lang w:val="hu-HU"/>
        </w:rPr>
      </w:pPr>
      <w:r w:rsidRPr="00D045B3">
        <w:rPr>
          <w:b/>
          <w:color w:val="000000"/>
          <w:szCs w:val="22"/>
          <w:lang w:val="hu-HU"/>
        </w:rPr>
        <w:t xml:space="preserve">Az Imatinib Actavis </w:t>
      </w:r>
      <w:r w:rsidR="008A4F1C" w:rsidRPr="00D045B3">
        <w:rPr>
          <w:b/>
          <w:color w:val="000000"/>
          <w:szCs w:val="22"/>
          <w:lang w:val="hu-HU"/>
        </w:rPr>
        <w:t xml:space="preserve">az alábbiak kezelésére </w:t>
      </w:r>
      <w:r w:rsidR="00492C81" w:rsidRPr="00D045B3">
        <w:rPr>
          <w:b/>
          <w:color w:val="000000"/>
          <w:szCs w:val="22"/>
          <w:lang w:val="hu-HU"/>
        </w:rPr>
        <w:t>alkalmazható:</w:t>
      </w:r>
    </w:p>
    <w:p w14:paraId="1E927CCF" w14:textId="77777777" w:rsidR="00704991" w:rsidRPr="00D045B3" w:rsidRDefault="00704991" w:rsidP="002A776A">
      <w:pPr>
        <w:keepNext/>
        <w:spacing w:line="240" w:lineRule="auto"/>
        <w:rPr>
          <w:b/>
          <w:color w:val="000000"/>
          <w:szCs w:val="22"/>
          <w:lang w:val="hu-HU"/>
        </w:rPr>
      </w:pPr>
    </w:p>
    <w:p w14:paraId="1E927CD0" w14:textId="77777777" w:rsidR="000A69BE" w:rsidRPr="00D045B3" w:rsidRDefault="00611231" w:rsidP="00E95370">
      <w:pPr>
        <w:keepNext/>
        <w:numPr>
          <w:ilvl w:val="0"/>
          <w:numId w:val="26"/>
        </w:numPr>
        <w:spacing w:line="240" w:lineRule="auto"/>
        <w:ind w:left="567" w:hanging="567"/>
        <w:rPr>
          <w:b/>
          <w:color w:val="000000"/>
          <w:szCs w:val="22"/>
          <w:lang w:val="hu-HU"/>
        </w:rPr>
      </w:pPr>
      <w:r w:rsidRPr="00D045B3">
        <w:rPr>
          <w:b/>
          <w:color w:val="000000"/>
          <w:szCs w:val="22"/>
          <w:lang w:val="hu-HU"/>
        </w:rPr>
        <w:t>krónikus mieloid leukémia (CML).</w:t>
      </w:r>
    </w:p>
    <w:p w14:paraId="1E927CD1" w14:textId="77777777" w:rsidR="00611231" w:rsidRPr="00D045B3" w:rsidRDefault="00611231" w:rsidP="00CA41FD">
      <w:pPr>
        <w:spacing w:line="240" w:lineRule="auto"/>
        <w:ind w:left="567"/>
        <w:rPr>
          <w:color w:val="000000"/>
          <w:szCs w:val="22"/>
          <w:lang w:val="hu-HU"/>
        </w:rPr>
      </w:pPr>
      <w:r w:rsidRPr="00D045B3">
        <w:rPr>
          <w:color w:val="000000"/>
          <w:szCs w:val="22"/>
          <w:lang w:val="hu-HU"/>
        </w:rPr>
        <w:t>A leukémia a fehérvérsejtek daganatos megbetegedése.</w:t>
      </w:r>
      <w:r w:rsidR="0006447B" w:rsidRPr="00D045B3">
        <w:rPr>
          <w:color w:val="000000"/>
          <w:szCs w:val="22"/>
          <w:lang w:val="hu-HU"/>
        </w:rPr>
        <w:t xml:space="preserve"> </w:t>
      </w:r>
      <w:r w:rsidRPr="00D045B3">
        <w:rPr>
          <w:color w:val="000000"/>
          <w:szCs w:val="22"/>
          <w:lang w:val="hu-HU"/>
        </w:rPr>
        <w:t>Ezek a fehérvérsejtek általában segítik a szervezetet a fertőzések leküzdésében. A krónikus mieloid leukémia a leukémiák azon formája, amelyben egyes kóros fehérvérsejtek (mieloid sejtek) száma szabályozatlanul növekedni kezd.</w:t>
      </w:r>
    </w:p>
    <w:p w14:paraId="1E927CD2" w14:textId="77777777" w:rsidR="00611231" w:rsidRPr="00D045B3" w:rsidRDefault="00611231" w:rsidP="00611231">
      <w:pPr>
        <w:spacing w:line="240" w:lineRule="auto"/>
        <w:ind w:right="-2"/>
        <w:rPr>
          <w:color w:val="000000"/>
          <w:szCs w:val="22"/>
          <w:lang w:val="hu-HU"/>
        </w:rPr>
      </w:pPr>
    </w:p>
    <w:p w14:paraId="1E927CD3" w14:textId="77777777" w:rsidR="00611231" w:rsidRPr="00D045B3" w:rsidRDefault="004C6676" w:rsidP="00611231">
      <w:pPr>
        <w:spacing w:line="240" w:lineRule="auto"/>
        <w:rPr>
          <w:color w:val="000000"/>
          <w:szCs w:val="22"/>
          <w:lang w:val="hu-HU"/>
        </w:rPr>
      </w:pPr>
      <w:r w:rsidRPr="00D045B3">
        <w:rPr>
          <w:color w:val="000000"/>
          <w:szCs w:val="22"/>
          <w:lang w:val="hu-HU"/>
        </w:rPr>
        <w:t>Felnőtt betegekné</w:t>
      </w:r>
      <w:r w:rsidR="00D62482" w:rsidRPr="00D045B3">
        <w:rPr>
          <w:color w:val="000000"/>
          <w:szCs w:val="22"/>
          <w:lang w:val="hu-HU"/>
        </w:rPr>
        <w:t>l</w:t>
      </w:r>
      <w:r w:rsidRPr="00D045B3">
        <w:rPr>
          <w:color w:val="000000"/>
          <w:szCs w:val="22"/>
          <w:lang w:val="hu-HU"/>
        </w:rPr>
        <w:t xml:space="preserve"> az Imatinib Actavis a betegség legelőrehaladottabb stádiumának (az úgynevezett blasztos krízisnek) a kezelésére alkalmazható. </w:t>
      </w:r>
      <w:r w:rsidR="00611231" w:rsidRPr="00D045B3">
        <w:rPr>
          <w:color w:val="000000"/>
          <w:szCs w:val="22"/>
          <w:lang w:val="hu-HU"/>
        </w:rPr>
        <w:t>A</w:t>
      </w:r>
      <w:r w:rsidRPr="00D045B3">
        <w:rPr>
          <w:color w:val="000000"/>
          <w:szCs w:val="22"/>
          <w:lang w:val="hu-HU"/>
        </w:rPr>
        <w:t>z Imatinib Actavis</w:t>
      </w:r>
      <w:r w:rsidR="00A90B3E" w:rsidRPr="00D045B3">
        <w:rPr>
          <w:color w:val="000000"/>
          <w:szCs w:val="22"/>
          <w:lang w:val="hu-HU"/>
        </w:rPr>
        <w:t xml:space="preserve"> </w:t>
      </w:r>
      <w:r w:rsidRPr="00D045B3">
        <w:rPr>
          <w:color w:val="000000"/>
          <w:szCs w:val="22"/>
          <w:lang w:val="hu-HU"/>
        </w:rPr>
        <w:t xml:space="preserve">gyermekeknél a betegség különböző stádiumainak (krónikus, akcelerált fázis és blasztos krízis) kezelésére </w:t>
      </w:r>
      <w:r w:rsidR="00CF3AB8" w:rsidRPr="00D045B3">
        <w:rPr>
          <w:color w:val="000000"/>
          <w:szCs w:val="22"/>
          <w:lang w:val="hu-HU"/>
        </w:rPr>
        <w:t>adható</w:t>
      </w:r>
      <w:r w:rsidRPr="00D045B3">
        <w:rPr>
          <w:color w:val="000000"/>
          <w:szCs w:val="22"/>
          <w:lang w:val="hu-HU"/>
        </w:rPr>
        <w:t xml:space="preserve">. </w:t>
      </w:r>
    </w:p>
    <w:p w14:paraId="1E927CD6" w14:textId="77777777" w:rsidR="0031405F" w:rsidRPr="00D045B3" w:rsidRDefault="0031405F" w:rsidP="0031405F">
      <w:pPr>
        <w:pStyle w:val="Default"/>
        <w:rPr>
          <w:sz w:val="22"/>
          <w:szCs w:val="22"/>
        </w:rPr>
      </w:pPr>
    </w:p>
    <w:p w14:paraId="1E927CD7" w14:textId="77777777" w:rsidR="00AE22C7" w:rsidRPr="00D045B3" w:rsidRDefault="0031405F" w:rsidP="00E95370">
      <w:pPr>
        <w:keepNext/>
        <w:numPr>
          <w:ilvl w:val="0"/>
          <w:numId w:val="26"/>
        </w:numPr>
        <w:spacing w:line="240" w:lineRule="auto"/>
        <w:ind w:left="567" w:hanging="567"/>
        <w:rPr>
          <w:b/>
          <w:color w:val="000000"/>
          <w:szCs w:val="22"/>
          <w:lang w:val="hu-HU"/>
        </w:rPr>
      </w:pPr>
      <w:r w:rsidRPr="00D045B3">
        <w:rPr>
          <w:b/>
          <w:color w:val="000000"/>
          <w:szCs w:val="22"/>
          <w:lang w:val="hu-HU"/>
        </w:rPr>
        <w:t xml:space="preserve">Filadelfia kromoszóma pozitív akut limfoblasztos leukémia (Ph-pozitív ALL). </w:t>
      </w:r>
      <w:r w:rsidRPr="00D045B3">
        <w:rPr>
          <w:b/>
          <w:color w:val="000000"/>
          <w:szCs w:val="22"/>
          <w:lang w:val="hu-HU"/>
        </w:rPr>
        <w:br/>
      </w:r>
      <w:r w:rsidRPr="00D045B3">
        <w:rPr>
          <w:color w:val="000000"/>
          <w:szCs w:val="22"/>
          <w:lang w:val="hu-HU"/>
        </w:rPr>
        <w:t xml:space="preserve">A leukémia a fehérvérsejtek daganatos megbetegedése. Ezek a fehérvérsejtek </w:t>
      </w:r>
      <w:r w:rsidR="00003397" w:rsidRPr="00D045B3">
        <w:rPr>
          <w:color w:val="000000"/>
          <w:szCs w:val="22"/>
          <w:lang w:val="hu-HU"/>
        </w:rPr>
        <w:t xml:space="preserve">általában </w:t>
      </w:r>
      <w:r w:rsidRPr="00D045B3">
        <w:rPr>
          <w:color w:val="000000"/>
          <w:szCs w:val="22"/>
          <w:lang w:val="hu-HU"/>
        </w:rPr>
        <w:t>segítik a szervezetet a fertőzések leküzdésében. Az akut limfoblasztos leukémia a leukémiák azon formája, amelyben egyes kóros fehérvérsejtek (</w:t>
      </w:r>
      <w:r w:rsidR="00003397" w:rsidRPr="00D045B3">
        <w:rPr>
          <w:color w:val="000000"/>
          <w:szCs w:val="22"/>
          <w:lang w:val="hu-HU"/>
        </w:rPr>
        <w:t xml:space="preserve">úgynevezett </w:t>
      </w:r>
      <w:r w:rsidRPr="00D045B3">
        <w:rPr>
          <w:color w:val="000000"/>
          <w:szCs w:val="22"/>
          <w:lang w:val="hu-HU"/>
        </w:rPr>
        <w:t>limfoblasztok) száma szabályozatlanul növekedni kezd. A</w:t>
      </w:r>
      <w:r w:rsidR="00003397" w:rsidRPr="00D045B3">
        <w:rPr>
          <w:color w:val="000000"/>
          <w:szCs w:val="22"/>
          <w:lang w:val="hu-HU"/>
        </w:rPr>
        <w:t>z Imatinib Actavis</w:t>
      </w:r>
      <w:r w:rsidRPr="00D045B3">
        <w:rPr>
          <w:color w:val="000000"/>
          <w:szCs w:val="22"/>
          <w:lang w:val="hu-HU"/>
        </w:rPr>
        <w:t xml:space="preserve"> gátolja e</w:t>
      </w:r>
      <w:r w:rsidR="00003397" w:rsidRPr="00D045B3">
        <w:rPr>
          <w:color w:val="000000"/>
          <w:szCs w:val="22"/>
          <w:lang w:val="hu-HU"/>
        </w:rPr>
        <w:t xml:space="preserve">zeknek a </w:t>
      </w:r>
      <w:r w:rsidRPr="00D045B3">
        <w:rPr>
          <w:color w:val="000000"/>
          <w:szCs w:val="22"/>
          <w:lang w:val="hu-HU"/>
        </w:rPr>
        <w:t>sejtek</w:t>
      </w:r>
      <w:r w:rsidR="00003397" w:rsidRPr="00D045B3">
        <w:rPr>
          <w:color w:val="000000"/>
          <w:szCs w:val="22"/>
          <w:lang w:val="hu-HU"/>
        </w:rPr>
        <w:t>nek a</w:t>
      </w:r>
      <w:r w:rsidRPr="00D045B3">
        <w:rPr>
          <w:color w:val="000000"/>
          <w:szCs w:val="22"/>
          <w:lang w:val="hu-HU"/>
        </w:rPr>
        <w:t xml:space="preserve"> szaporodását. </w:t>
      </w:r>
    </w:p>
    <w:p w14:paraId="1E927CD8" w14:textId="77777777" w:rsidR="00AE22C7" w:rsidRPr="00D045B3" w:rsidRDefault="00AE22C7" w:rsidP="00AE22C7">
      <w:pPr>
        <w:pStyle w:val="Default"/>
        <w:rPr>
          <w:b/>
          <w:sz w:val="22"/>
          <w:szCs w:val="22"/>
        </w:rPr>
      </w:pPr>
    </w:p>
    <w:p w14:paraId="1E927CD9" w14:textId="24CD6062" w:rsidR="00AE22C7" w:rsidRPr="00D045B3" w:rsidRDefault="00AE22C7" w:rsidP="00AE22C7">
      <w:pPr>
        <w:pStyle w:val="Default"/>
        <w:rPr>
          <w:sz w:val="22"/>
          <w:szCs w:val="22"/>
        </w:rPr>
      </w:pPr>
      <w:r w:rsidRPr="00D045B3">
        <w:rPr>
          <w:b/>
          <w:sz w:val="22"/>
          <w:szCs w:val="22"/>
        </w:rPr>
        <w:t xml:space="preserve">Az Imatinib Actavis </w:t>
      </w:r>
      <w:r w:rsidR="001B4687" w:rsidRPr="00D045B3">
        <w:rPr>
          <w:b/>
          <w:sz w:val="22"/>
          <w:szCs w:val="22"/>
        </w:rPr>
        <w:t xml:space="preserve">ezenkívül </w:t>
      </w:r>
      <w:r w:rsidRPr="00D045B3">
        <w:rPr>
          <w:b/>
          <w:sz w:val="22"/>
          <w:szCs w:val="22"/>
        </w:rPr>
        <w:t>felnőtt</w:t>
      </w:r>
      <w:r w:rsidR="001B4687" w:rsidRPr="00D045B3">
        <w:rPr>
          <w:b/>
          <w:sz w:val="22"/>
          <w:szCs w:val="22"/>
        </w:rPr>
        <w:t>korban</w:t>
      </w:r>
      <w:r w:rsidRPr="00D045B3">
        <w:rPr>
          <w:b/>
          <w:sz w:val="22"/>
          <w:szCs w:val="22"/>
        </w:rPr>
        <w:t xml:space="preserve"> az alábbi </w:t>
      </w:r>
      <w:r w:rsidR="001B4687" w:rsidRPr="00D045B3">
        <w:rPr>
          <w:b/>
          <w:sz w:val="22"/>
          <w:szCs w:val="22"/>
        </w:rPr>
        <w:t xml:space="preserve">kórkép </w:t>
      </w:r>
      <w:r w:rsidRPr="00D045B3">
        <w:rPr>
          <w:b/>
          <w:sz w:val="22"/>
          <w:szCs w:val="22"/>
        </w:rPr>
        <w:t>kezelésére is szolgál:</w:t>
      </w:r>
    </w:p>
    <w:p w14:paraId="1E927CDA" w14:textId="77777777" w:rsidR="0031405F" w:rsidRPr="00D045B3" w:rsidRDefault="0031405F" w:rsidP="00E20638">
      <w:pPr>
        <w:pStyle w:val="Default"/>
        <w:rPr>
          <w:sz w:val="22"/>
          <w:szCs w:val="22"/>
        </w:rPr>
      </w:pPr>
    </w:p>
    <w:p w14:paraId="1E927CDB" w14:textId="77777777" w:rsidR="0031405F" w:rsidRPr="00D045B3" w:rsidRDefault="0031405F" w:rsidP="008A6837">
      <w:pPr>
        <w:pStyle w:val="Default"/>
        <w:spacing w:after="11"/>
        <w:ind w:left="567" w:hanging="567"/>
        <w:rPr>
          <w:color w:val="auto"/>
          <w:sz w:val="22"/>
          <w:szCs w:val="22"/>
        </w:rPr>
      </w:pPr>
      <w:r w:rsidRPr="00D045B3">
        <w:rPr>
          <w:color w:val="auto"/>
          <w:sz w:val="22"/>
          <w:szCs w:val="22"/>
        </w:rPr>
        <w:t xml:space="preserve">- </w:t>
      </w:r>
      <w:r w:rsidR="00477AB0" w:rsidRPr="00D045B3">
        <w:rPr>
          <w:color w:val="auto"/>
          <w:sz w:val="22"/>
          <w:szCs w:val="22"/>
        </w:rPr>
        <w:tab/>
      </w:r>
      <w:r w:rsidRPr="00D045B3">
        <w:rPr>
          <w:b/>
          <w:bCs/>
          <w:color w:val="auto"/>
          <w:sz w:val="22"/>
          <w:szCs w:val="22"/>
        </w:rPr>
        <w:t xml:space="preserve">Mielodiszpláziás/mieloproliferatív betegségek (MDS/MPD). </w:t>
      </w:r>
      <w:r w:rsidRPr="00D045B3">
        <w:rPr>
          <w:color w:val="auto"/>
          <w:sz w:val="22"/>
          <w:szCs w:val="22"/>
        </w:rPr>
        <w:t>Ezek a vér betegségeinek olyan csoportjai, amelyekben a vér egyes sejtjeinek száma szabályozatlanul növekedni kezd. A</w:t>
      </w:r>
      <w:r w:rsidR="00477AB0" w:rsidRPr="00D045B3">
        <w:rPr>
          <w:color w:val="auto"/>
          <w:sz w:val="22"/>
          <w:szCs w:val="22"/>
        </w:rPr>
        <w:t>z Imatinib Actavis</w:t>
      </w:r>
      <w:r w:rsidRPr="00D045B3">
        <w:rPr>
          <w:color w:val="auto"/>
          <w:sz w:val="22"/>
          <w:szCs w:val="22"/>
        </w:rPr>
        <w:t xml:space="preserve"> </w:t>
      </w:r>
      <w:r w:rsidR="00B0509F" w:rsidRPr="00D045B3">
        <w:rPr>
          <w:color w:val="auto"/>
          <w:sz w:val="22"/>
          <w:szCs w:val="22"/>
        </w:rPr>
        <w:t xml:space="preserve">az ilyen betegségek bizonyos altípusában </w:t>
      </w:r>
      <w:r w:rsidRPr="00D045B3">
        <w:rPr>
          <w:color w:val="auto"/>
          <w:sz w:val="22"/>
          <w:szCs w:val="22"/>
        </w:rPr>
        <w:t>gátolja e</w:t>
      </w:r>
      <w:r w:rsidR="00477AB0" w:rsidRPr="00D045B3">
        <w:rPr>
          <w:color w:val="auto"/>
          <w:sz w:val="22"/>
          <w:szCs w:val="22"/>
        </w:rPr>
        <w:t>zeknek a</w:t>
      </w:r>
      <w:r w:rsidRPr="00D045B3">
        <w:rPr>
          <w:color w:val="auto"/>
          <w:sz w:val="22"/>
          <w:szCs w:val="22"/>
        </w:rPr>
        <w:t xml:space="preserve"> sejtek</w:t>
      </w:r>
      <w:r w:rsidR="00477AB0" w:rsidRPr="00D045B3">
        <w:rPr>
          <w:color w:val="auto"/>
          <w:sz w:val="22"/>
          <w:szCs w:val="22"/>
        </w:rPr>
        <w:t>nek a</w:t>
      </w:r>
      <w:r w:rsidRPr="00D045B3">
        <w:rPr>
          <w:color w:val="auto"/>
          <w:sz w:val="22"/>
          <w:szCs w:val="22"/>
        </w:rPr>
        <w:t xml:space="preserve"> szaporodását. </w:t>
      </w:r>
    </w:p>
    <w:p w14:paraId="1E927CDC" w14:textId="77777777" w:rsidR="0031405F" w:rsidRPr="00D045B3" w:rsidRDefault="0031405F" w:rsidP="008A6837">
      <w:pPr>
        <w:pStyle w:val="Default"/>
        <w:spacing w:after="11"/>
        <w:ind w:left="567" w:hanging="567"/>
        <w:rPr>
          <w:color w:val="auto"/>
          <w:sz w:val="22"/>
          <w:szCs w:val="22"/>
        </w:rPr>
      </w:pPr>
      <w:r w:rsidRPr="00D045B3">
        <w:rPr>
          <w:color w:val="auto"/>
          <w:sz w:val="22"/>
          <w:szCs w:val="22"/>
        </w:rPr>
        <w:t xml:space="preserve">- </w:t>
      </w:r>
      <w:r w:rsidR="00B0509F" w:rsidRPr="00D045B3">
        <w:rPr>
          <w:color w:val="auto"/>
          <w:sz w:val="22"/>
          <w:szCs w:val="22"/>
        </w:rPr>
        <w:tab/>
      </w:r>
      <w:r w:rsidRPr="00D045B3">
        <w:rPr>
          <w:b/>
          <w:bCs/>
          <w:color w:val="auto"/>
          <w:sz w:val="22"/>
          <w:szCs w:val="22"/>
        </w:rPr>
        <w:t xml:space="preserve">Hipereozinofília szindróma (HES) és/vagy krónikus eozinofíliás leukémia (CEL). </w:t>
      </w:r>
      <w:r w:rsidRPr="00D045B3">
        <w:rPr>
          <w:color w:val="auto"/>
          <w:sz w:val="22"/>
          <w:szCs w:val="22"/>
        </w:rPr>
        <w:t>Ezek a vérképzőrendszer olyan betegségei, amelyekben egyes vérsejtek (eozinofil sejtek) szabályozatlanul szaporodni kezdenek. A</w:t>
      </w:r>
      <w:r w:rsidR="00B0509F" w:rsidRPr="00D045B3">
        <w:rPr>
          <w:color w:val="auto"/>
          <w:sz w:val="22"/>
          <w:szCs w:val="22"/>
        </w:rPr>
        <w:t>z Imatinib Actavis</w:t>
      </w:r>
      <w:r w:rsidRPr="00D045B3">
        <w:rPr>
          <w:color w:val="auto"/>
          <w:sz w:val="22"/>
          <w:szCs w:val="22"/>
        </w:rPr>
        <w:t xml:space="preserve"> gátolja e</w:t>
      </w:r>
      <w:r w:rsidR="00B0509F" w:rsidRPr="00D045B3">
        <w:rPr>
          <w:color w:val="auto"/>
          <w:sz w:val="22"/>
          <w:szCs w:val="22"/>
        </w:rPr>
        <w:t xml:space="preserve">zeknek a </w:t>
      </w:r>
      <w:r w:rsidRPr="00D045B3">
        <w:rPr>
          <w:color w:val="auto"/>
          <w:sz w:val="22"/>
          <w:szCs w:val="22"/>
        </w:rPr>
        <w:t>sejtek</w:t>
      </w:r>
      <w:r w:rsidR="00B0509F" w:rsidRPr="00D045B3">
        <w:rPr>
          <w:color w:val="auto"/>
          <w:sz w:val="22"/>
          <w:szCs w:val="22"/>
        </w:rPr>
        <w:t>nek a</w:t>
      </w:r>
      <w:r w:rsidRPr="00D045B3">
        <w:rPr>
          <w:color w:val="auto"/>
          <w:sz w:val="22"/>
          <w:szCs w:val="22"/>
        </w:rPr>
        <w:t xml:space="preserve"> szaporodását </w:t>
      </w:r>
      <w:r w:rsidR="00B0509F" w:rsidRPr="00D045B3">
        <w:rPr>
          <w:color w:val="auto"/>
          <w:sz w:val="22"/>
          <w:szCs w:val="22"/>
        </w:rPr>
        <w:t>az ilyen</w:t>
      </w:r>
      <w:r w:rsidRPr="00D045B3">
        <w:rPr>
          <w:color w:val="auto"/>
          <w:sz w:val="22"/>
          <w:szCs w:val="22"/>
        </w:rPr>
        <w:t xml:space="preserve"> betegségek bizonyos altípusában. </w:t>
      </w:r>
    </w:p>
    <w:p w14:paraId="1E927CDD" w14:textId="77777777" w:rsidR="0031405F" w:rsidRPr="00D045B3" w:rsidRDefault="0031405F" w:rsidP="008A6837">
      <w:pPr>
        <w:pStyle w:val="Default"/>
        <w:ind w:left="567" w:hanging="567"/>
        <w:rPr>
          <w:color w:val="auto"/>
          <w:sz w:val="22"/>
          <w:szCs w:val="22"/>
        </w:rPr>
      </w:pPr>
      <w:r w:rsidRPr="00D045B3">
        <w:rPr>
          <w:color w:val="auto"/>
          <w:sz w:val="22"/>
          <w:szCs w:val="22"/>
        </w:rPr>
        <w:t xml:space="preserve">- </w:t>
      </w:r>
      <w:r w:rsidR="00B0509F" w:rsidRPr="00D045B3">
        <w:rPr>
          <w:color w:val="auto"/>
          <w:sz w:val="22"/>
          <w:szCs w:val="22"/>
        </w:rPr>
        <w:tab/>
      </w:r>
      <w:r w:rsidRPr="00D045B3">
        <w:rPr>
          <w:b/>
          <w:bCs/>
          <w:color w:val="auto"/>
          <w:sz w:val="22"/>
          <w:szCs w:val="22"/>
        </w:rPr>
        <w:t xml:space="preserve">Dermatifibroszarkóma protuberánsz (DFSP). </w:t>
      </w:r>
      <w:r w:rsidRPr="00D045B3">
        <w:rPr>
          <w:color w:val="auto"/>
          <w:sz w:val="22"/>
          <w:szCs w:val="22"/>
        </w:rPr>
        <w:t>A DFSP a bőr alatti szövet daganatos megbetegedése, melyben egyes sejtek szabályozatlanul szaporodni kezdenek. A</w:t>
      </w:r>
      <w:r w:rsidR="00B0509F" w:rsidRPr="00D045B3">
        <w:rPr>
          <w:color w:val="auto"/>
          <w:sz w:val="22"/>
          <w:szCs w:val="22"/>
        </w:rPr>
        <w:t>z Imatinib Actavis</w:t>
      </w:r>
      <w:r w:rsidRPr="00D045B3">
        <w:rPr>
          <w:color w:val="auto"/>
          <w:sz w:val="22"/>
          <w:szCs w:val="22"/>
        </w:rPr>
        <w:t xml:space="preserve"> e</w:t>
      </w:r>
      <w:r w:rsidR="00B0509F" w:rsidRPr="00D045B3">
        <w:rPr>
          <w:color w:val="auto"/>
          <w:sz w:val="22"/>
          <w:szCs w:val="22"/>
        </w:rPr>
        <w:t>zeknek a</w:t>
      </w:r>
      <w:r w:rsidRPr="00D045B3">
        <w:rPr>
          <w:color w:val="auto"/>
          <w:sz w:val="22"/>
          <w:szCs w:val="22"/>
        </w:rPr>
        <w:t xml:space="preserve"> sejtek</w:t>
      </w:r>
      <w:r w:rsidR="00B0509F" w:rsidRPr="00D045B3">
        <w:rPr>
          <w:color w:val="auto"/>
          <w:sz w:val="22"/>
          <w:szCs w:val="22"/>
        </w:rPr>
        <w:t>nek a</w:t>
      </w:r>
      <w:r w:rsidRPr="00D045B3">
        <w:rPr>
          <w:color w:val="auto"/>
          <w:sz w:val="22"/>
          <w:szCs w:val="22"/>
        </w:rPr>
        <w:t xml:space="preserve"> szaporodását gátolja. </w:t>
      </w:r>
    </w:p>
    <w:p w14:paraId="1E927CDE" w14:textId="77777777" w:rsidR="0031405F" w:rsidRPr="00D045B3" w:rsidRDefault="0031405F" w:rsidP="0031405F">
      <w:pPr>
        <w:pStyle w:val="Default"/>
        <w:rPr>
          <w:color w:val="auto"/>
          <w:sz w:val="22"/>
          <w:szCs w:val="22"/>
        </w:rPr>
      </w:pPr>
    </w:p>
    <w:p w14:paraId="1E927CDF" w14:textId="77777777" w:rsidR="0031405F" w:rsidRPr="00D045B3" w:rsidRDefault="00B0509F" w:rsidP="0031405F">
      <w:pPr>
        <w:spacing w:line="240" w:lineRule="auto"/>
        <w:rPr>
          <w:color w:val="000000"/>
          <w:szCs w:val="22"/>
          <w:lang w:val="hu-HU"/>
        </w:rPr>
      </w:pPr>
      <w:r w:rsidRPr="00D045B3">
        <w:rPr>
          <w:szCs w:val="22"/>
          <w:lang w:val="hu-HU"/>
        </w:rPr>
        <w:t xml:space="preserve">A </w:t>
      </w:r>
      <w:r w:rsidR="00D9647F" w:rsidRPr="00D045B3">
        <w:rPr>
          <w:szCs w:val="22"/>
          <w:lang w:val="hu-HU"/>
        </w:rPr>
        <w:t>b</w:t>
      </w:r>
      <w:r w:rsidRPr="00D045B3">
        <w:rPr>
          <w:szCs w:val="22"/>
          <w:lang w:val="hu-HU"/>
        </w:rPr>
        <w:t>etegtájékoztató további rész</w:t>
      </w:r>
      <w:r w:rsidR="008A4F1C" w:rsidRPr="00D045B3">
        <w:rPr>
          <w:szCs w:val="22"/>
          <w:lang w:val="hu-HU"/>
        </w:rPr>
        <w:t>eib</w:t>
      </w:r>
      <w:r w:rsidR="00256940" w:rsidRPr="00D045B3">
        <w:rPr>
          <w:szCs w:val="22"/>
          <w:lang w:val="hu-HU"/>
        </w:rPr>
        <w:t>e</w:t>
      </w:r>
      <w:r w:rsidR="008A4F1C" w:rsidRPr="00D045B3">
        <w:rPr>
          <w:szCs w:val="22"/>
          <w:lang w:val="hu-HU"/>
        </w:rPr>
        <w:t>n</w:t>
      </w:r>
      <w:r w:rsidRPr="00D045B3">
        <w:rPr>
          <w:szCs w:val="22"/>
          <w:lang w:val="hu-HU"/>
        </w:rPr>
        <w:t xml:space="preserve">, </w:t>
      </w:r>
      <w:r w:rsidR="008A4F1C" w:rsidRPr="00D045B3">
        <w:rPr>
          <w:szCs w:val="22"/>
          <w:lang w:val="hu-HU"/>
        </w:rPr>
        <w:t xml:space="preserve">ezeket a rövidítéseket fogjuk használni, </w:t>
      </w:r>
      <w:r w:rsidRPr="00D045B3">
        <w:rPr>
          <w:szCs w:val="22"/>
          <w:lang w:val="hu-HU"/>
        </w:rPr>
        <w:t>ha ezekről a betegségekrő</w:t>
      </w:r>
      <w:r w:rsidR="008A4F1C" w:rsidRPr="00D045B3">
        <w:rPr>
          <w:szCs w:val="22"/>
          <w:lang w:val="hu-HU"/>
        </w:rPr>
        <w:t>l teszünk említést.</w:t>
      </w:r>
    </w:p>
    <w:p w14:paraId="1E927CE0" w14:textId="77777777" w:rsidR="008A4F1C" w:rsidRPr="00D045B3" w:rsidRDefault="008A4F1C" w:rsidP="008A6837">
      <w:pPr>
        <w:spacing w:line="240" w:lineRule="auto"/>
        <w:rPr>
          <w:color w:val="000000"/>
          <w:szCs w:val="22"/>
          <w:lang w:val="hu-HU"/>
        </w:rPr>
      </w:pPr>
    </w:p>
    <w:p w14:paraId="1E927CE1" w14:textId="048E2460" w:rsidR="00611231" w:rsidRPr="00D045B3" w:rsidRDefault="0006447B" w:rsidP="008A6837">
      <w:pPr>
        <w:spacing w:line="240" w:lineRule="auto"/>
        <w:rPr>
          <w:color w:val="000000"/>
          <w:szCs w:val="22"/>
          <w:lang w:val="hu-HU"/>
        </w:rPr>
      </w:pPr>
      <w:r w:rsidRPr="00D045B3">
        <w:rPr>
          <w:color w:val="000000"/>
          <w:szCs w:val="22"/>
          <w:lang w:val="hu-HU"/>
        </w:rPr>
        <w:t>Amennyiben bármilyen kérdése van azzal kapcsolatban, hogy miként hat az Imatinib Actavis, illetve</w:t>
      </w:r>
      <w:r w:rsidR="00AA2E59" w:rsidRPr="00D045B3">
        <w:rPr>
          <w:color w:val="000000"/>
          <w:szCs w:val="22"/>
          <w:lang w:val="hu-HU"/>
        </w:rPr>
        <w:t>, hogy</w:t>
      </w:r>
      <w:r w:rsidRPr="00D045B3">
        <w:rPr>
          <w:color w:val="000000"/>
          <w:szCs w:val="22"/>
          <w:lang w:val="hu-HU"/>
        </w:rPr>
        <w:t xml:space="preserve"> miért írták fel Önnek ezt a gyógyszert, kérdezze meg kezelőorvosát.</w:t>
      </w:r>
    </w:p>
    <w:p w14:paraId="1E927CE2" w14:textId="77777777" w:rsidR="00611231" w:rsidRPr="00D045B3" w:rsidRDefault="00611231" w:rsidP="00611231">
      <w:pPr>
        <w:spacing w:line="240" w:lineRule="auto"/>
        <w:ind w:right="-2"/>
        <w:rPr>
          <w:color w:val="000000"/>
          <w:szCs w:val="22"/>
          <w:lang w:val="hu-HU"/>
        </w:rPr>
      </w:pPr>
    </w:p>
    <w:p w14:paraId="1E927CE3" w14:textId="77777777" w:rsidR="0006447B" w:rsidRPr="00D045B3" w:rsidRDefault="0006447B" w:rsidP="00611231">
      <w:pPr>
        <w:spacing w:line="240" w:lineRule="auto"/>
        <w:ind w:right="-2"/>
        <w:rPr>
          <w:color w:val="000000"/>
          <w:szCs w:val="22"/>
          <w:lang w:val="hu-HU"/>
        </w:rPr>
      </w:pPr>
    </w:p>
    <w:p w14:paraId="1E927CE4" w14:textId="77777777" w:rsidR="00611231" w:rsidRPr="00D045B3" w:rsidRDefault="00611231" w:rsidP="002A776A">
      <w:pPr>
        <w:keepNext/>
        <w:spacing w:line="240" w:lineRule="auto"/>
        <w:ind w:left="567" w:right="-2" w:hanging="567"/>
        <w:rPr>
          <w:b/>
          <w:color w:val="000000"/>
          <w:szCs w:val="22"/>
          <w:lang w:val="hu-HU"/>
        </w:rPr>
      </w:pPr>
      <w:r w:rsidRPr="00D045B3">
        <w:rPr>
          <w:b/>
          <w:color w:val="000000"/>
          <w:szCs w:val="22"/>
          <w:lang w:val="hu-HU"/>
        </w:rPr>
        <w:t>2.</w:t>
      </w:r>
      <w:r w:rsidRPr="00D045B3">
        <w:rPr>
          <w:b/>
          <w:color w:val="000000"/>
          <w:szCs w:val="22"/>
          <w:lang w:val="hu-HU"/>
        </w:rPr>
        <w:tab/>
        <w:t>Tudnivalók az Imatinib Actavis szedése előtt</w:t>
      </w:r>
    </w:p>
    <w:p w14:paraId="1E927CE5" w14:textId="77777777" w:rsidR="00611231" w:rsidRPr="00D045B3" w:rsidRDefault="00611231" w:rsidP="002A776A">
      <w:pPr>
        <w:keepNext/>
        <w:spacing w:line="240" w:lineRule="auto"/>
        <w:rPr>
          <w:color w:val="000000"/>
          <w:szCs w:val="22"/>
          <w:lang w:val="hu-HU"/>
        </w:rPr>
      </w:pPr>
    </w:p>
    <w:p w14:paraId="1E927CE6" w14:textId="77777777" w:rsidR="00611231" w:rsidRPr="00D045B3" w:rsidRDefault="00611231" w:rsidP="00CA41FD">
      <w:pPr>
        <w:spacing w:line="240" w:lineRule="auto"/>
        <w:rPr>
          <w:color w:val="000000"/>
          <w:szCs w:val="22"/>
          <w:lang w:val="hu-HU"/>
        </w:rPr>
      </w:pPr>
      <w:r w:rsidRPr="00D045B3">
        <w:rPr>
          <w:color w:val="000000"/>
          <w:szCs w:val="22"/>
          <w:lang w:val="hu-HU"/>
        </w:rPr>
        <w:t>Az Imatinib Actavis</w:t>
      </w:r>
      <w:r w:rsidRPr="00D045B3">
        <w:rPr>
          <w:color w:val="000000"/>
          <w:szCs w:val="22"/>
          <w:lang w:val="hu-HU"/>
        </w:rPr>
        <w:noBreakHyphen/>
        <w:t>t kizárólag olyan orvos írhatja fel Önnek, aki tapasztalt a vér</w:t>
      </w:r>
      <w:r w:rsidR="004C6676" w:rsidRPr="00D045B3">
        <w:rPr>
          <w:color w:val="000000"/>
          <w:szCs w:val="22"/>
          <w:lang w:val="hu-HU"/>
        </w:rPr>
        <w:t xml:space="preserve"> daganatos megbetegedéseinek </w:t>
      </w:r>
      <w:r w:rsidR="008A4F1C" w:rsidRPr="00D045B3">
        <w:rPr>
          <w:color w:val="000000"/>
          <w:szCs w:val="22"/>
          <w:lang w:val="hu-HU"/>
        </w:rPr>
        <w:t xml:space="preserve">vagy </w:t>
      </w:r>
      <w:r w:rsidR="00A411D0" w:rsidRPr="00D045B3">
        <w:rPr>
          <w:color w:val="000000"/>
          <w:szCs w:val="22"/>
          <w:lang w:val="hu-HU"/>
        </w:rPr>
        <w:t xml:space="preserve">úgynevezett szolid tumoros betegségek </w:t>
      </w:r>
      <w:r w:rsidRPr="00D045B3">
        <w:rPr>
          <w:color w:val="000000"/>
          <w:szCs w:val="22"/>
          <w:lang w:val="hu-HU"/>
        </w:rPr>
        <w:t>kezelésében.</w:t>
      </w:r>
    </w:p>
    <w:p w14:paraId="1E927CE7" w14:textId="77777777" w:rsidR="00611231" w:rsidRPr="00D045B3" w:rsidRDefault="00611231" w:rsidP="00611231">
      <w:pPr>
        <w:spacing w:line="240" w:lineRule="auto"/>
        <w:rPr>
          <w:color w:val="000000"/>
          <w:szCs w:val="22"/>
          <w:lang w:val="hu-HU"/>
        </w:rPr>
      </w:pPr>
    </w:p>
    <w:p w14:paraId="1E927CE8" w14:textId="77777777" w:rsidR="00611231" w:rsidRPr="00D045B3" w:rsidRDefault="00611231" w:rsidP="00611231">
      <w:pPr>
        <w:spacing w:line="240" w:lineRule="auto"/>
        <w:rPr>
          <w:color w:val="000000"/>
          <w:szCs w:val="22"/>
          <w:lang w:val="hu-HU"/>
        </w:rPr>
      </w:pPr>
      <w:r w:rsidRPr="00D045B3">
        <w:rPr>
          <w:color w:val="000000"/>
          <w:szCs w:val="22"/>
          <w:lang w:val="hu-HU"/>
        </w:rPr>
        <w:t xml:space="preserve">Gondosan kövesse orvosa valamennyi utasítását, még akkor is, ha azok eltérnek </w:t>
      </w:r>
      <w:r w:rsidR="004C6676" w:rsidRPr="00D045B3">
        <w:rPr>
          <w:color w:val="000000"/>
          <w:szCs w:val="22"/>
          <w:lang w:val="hu-HU"/>
        </w:rPr>
        <w:t xml:space="preserve">attól, az ebben a </w:t>
      </w:r>
      <w:r w:rsidRPr="00D045B3">
        <w:rPr>
          <w:color w:val="000000"/>
          <w:szCs w:val="22"/>
          <w:lang w:val="hu-HU"/>
        </w:rPr>
        <w:t xml:space="preserve">betegtájékoztatóban </w:t>
      </w:r>
      <w:r w:rsidR="004C6676" w:rsidRPr="00D045B3">
        <w:rPr>
          <w:color w:val="000000"/>
          <w:szCs w:val="22"/>
          <w:lang w:val="hu-HU"/>
        </w:rPr>
        <w:t xml:space="preserve">szereplő </w:t>
      </w:r>
      <w:r w:rsidRPr="00D045B3">
        <w:rPr>
          <w:color w:val="000000"/>
          <w:szCs w:val="22"/>
          <w:lang w:val="hu-HU"/>
        </w:rPr>
        <w:t>általános információktól.</w:t>
      </w:r>
    </w:p>
    <w:p w14:paraId="1E927CE9" w14:textId="77777777" w:rsidR="00611231" w:rsidRPr="00D045B3" w:rsidRDefault="00611231" w:rsidP="00611231">
      <w:pPr>
        <w:spacing w:line="240" w:lineRule="auto"/>
        <w:rPr>
          <w:color w:val="000000"/>
          <w:szCs w:val="22"/>
          <w:lang w:val="hu-HU"/>
        </w:rPr>
      </w:pPr>
    </w:p>
    <w:p w14:paraId="1E927CEA" w14:textId="77777777" w:rsidR="00611231" w:rsidRPr="00D045B3" w:rsidRDefault="00611231" w:rsidP="002A776A">
      <w:pPr>
        <w:keepNext/>
        <w:spacing w:line="240" w:lineRule="auto"/>
        <w:rPr>
          <w:b/>
          <w:color w:val="000000"/>
          <w:szCs w:val="22"/>
          <w:lang w:val="hu-HU"/>
        </w:rPr>
      </w:pPr>
      <w:r w:rsidRPr="00D045B3">
        <w:rPr>
          <w:b/>
          <w:color w:val="000000"/>
          <w:szCs w:val="22"/>
          <w:lang w:val="hu-HU"/>
        </w:rPr>
        <w:t>Ne szedje az Imatinib Actavis</w:t>
      </w:r>
      <w:r w:rsidRPr="00D045B3">
        <w:rPr>
          <w:b/>
          <w:color w:val="000000"/>
          <w:szCs w:val="22"/>
          <w:lang w:val="hu-HU"/>
        </w:rPr>
        <w:noBreakHyphen/>
        <w:t>t</w:t>
      </w:r>
      <w:r w:rsidR="00704991" w:rsidRPr="00D045B3">
        <w:rPr>
          <w:b/>
          <w:color w:val="000000"/>
          <w:szCs w:val="22"/>
          <w:lang w:val="hu-HU"/>
        </w:rPr>
        <w:t>:</w:t>
      </w:r>
    </w:p>
    <w:p w14:paraId="1E927CEB" w14:textId="77777777" w:rsidR="00611231" w:rsidRPr="00D045B3" w:rsidRDefault="00611231" w:rsidP="00E95370">
      <w:pPr>
        <w:numPr>
          <w:ilvl w:val="0"/>
          <w:numId w:val="9"/>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 xml:space="preserve">ha allergiás az imatinibre vagy a </w:t>
      </w:r>
      <w:r w:rsidRPr="00D045B3">
        <w:rPr>
          <w:noProof/>
          <w:szCs w:val="22"/>
          <w:lang w:val="hu-HU"/>
        </w:rPr>
        <w:t xml:space="preserve">gyógyszer (6. pontban felsorolt) </w:t>
      </w:r>
      <w:r w:rsidRPr="00D045B3">
        <w:rPr>
          <w:color w:val="000000"/>
          <w:szCs w:val="22"/>
          <w:lang w:val="hu-HU"/>
        </w:rPr>
        <w:t>egyéb összetevőjére.</w:t>
      </w:r>
    </w:p>
    <w:p w14:paraId="1E927CEC" w14:textId="77777777" w:rsidR="00D66BD0" w:rsidRPr="00D045B3" w:rsidRDefault="00D66BD0" w:rsidP="00611231">
      <w:pPr>
        <w:spacing w:line="240" w:lineRule="auto"/>
        <w:rPr>
          <w:color w:val="000000"/>
          <w:szCs w:val="22"/>
          <w:lang w:val="hu-HU"/>
        </w:rPr>
      </w:pPr>
    </w:p>
    <w:p w14:paraId="1E927CED" w14:textId="77777777" w:rsidR="00611231" w:rsidRPr="00D045B3" w:rsidRDefault="002A776A" w:rsidP="00611231">
      <w:pPr>
        <w:spacing w:line="240" w:lineRule="auto"/>
        <w:rPr>
          <w:color w:val="000000"/>
          <w:szCs w:val="22"/>
          <w:lang w:val="hu-HU"/>
        </w:rPr>
      </w:pPr>
      <w:r w:rsidRPr="00D045B3">
        <w:rPr>
          <w:color w:val="000000"/>
          <w:szCs w:val="22"/>
          <w:lang w:val="hu-HU"/>
        </w:rPr>
        <w:t>Amennyiben</w:t>
      </w:r>
      <w:r w:rsidR="00611231" w:rsidRPr="00D045B3">
        <w:rPr>
          <w:color w:val="000000"/>
          <w:szCs w:val="22"/>
          <w:lang w:val="hu-HU"/>
        </w:rPr>
        <w:t xml:space="preserve"> ez vonatkozik Önre, </w:t>
      </w:r>
      <w:r w:rsidR="004C6676" w:rsidRPr="00D045B3">
        <w:rPr>
          <w:b/>
          <w:color w:val="000000"/>
          <w:szCs w:val="22"/>
          <w:lang w:val="hu-HU"/>
        </w:rPr>
        <w:t>tájékoztassa erről</w:t>
      </w:r>
      <w:r w:rsidR="00611231" w:rsidRPr="00D045B3">
        <w:rPr>
          <w:b/>
          <w:color w:val="000000"/>
          <w:szCs w:val="22"/>
          <w:lang w:val="hu-HU"/>
        </w:rPr>
        <w:t xml:space="preserve"> kezelőorvosá</w:t>
      </w:r>
      <w:r w:rsidR="004C6676" w:rsidRPr="00D045B3">
        <w:rPr>
          <w:b/>
          <w:color w:val="000000"/>
          <w:szCs w:val="22"/>
          <w:lang w:val="hu-HU"/>
        </w:rPr>
        <w:t>t, mielőtt</w:t>
      </w:r>
      <w:r w:rsidR="00611231" w:rsidRPr="00D045B3">
        <w:rPr>
          <w:b/>
          <w:color w:val="000000"/>
          <w:szCs w:val="22"/>
          <w:lang w:val="hu-HU"/>
        </w:rPr>
        <w:t xml:space="preserve"> az Imatinib Actavis</w:t>
      </w:r>
      <w:r w:rsidR="00611231" w:rsidRPr="00D045B3">
        <w:rPr>
          <w:b/>
          <w:color w:val="000000"/>
          <w:szCs w:val="22"/>
          <w:lang w:val="hu-HU"/>
        </w:rPr>
        <w:noBreakHyphen/>
        <w:t>t bevenné.</w:t>
      </w:r>
    </w:p>
    <w:p w14:paraId="1E927CEE" w14:textId="77777777" w:rsidR="00611231" w:rsidRPr="00D045B3" w:rsidRDefault="00611231" w:rsidP="00611231">
      <w:pPr>
        <w:spacing w:line="240" w:lineRule="auto"/>
        <w:rPr>
          <w:color w:val="000000"/>
          <w:szCs w:val="22"/>
          <w:lang w:val="hu-HU"/>
        </w:rPr>
      </w:pPr>
    </w:p>
    <w:p w14:paraId="1E927CEF" w14:textId="77777777" w:rsidR="00611231" w:rsidRPr="00D045B3" w:rsidRDefault="00611231" w:rsidP="00611231">
      <w:pPr>
        <w:spacing w:line="240" w:lineRule="auto"/>
        <w:rPr>
          <w:color w:val="000000"/>
          <w:szCs w:val="22"/>
          <w:lang w:val="hu-HU"/>
        </w:rPr>
      </w:pPr>
      <w:r w:rsidRPr="00D045B3">
        <w:rPr>
          <w:color w:val="000000"/>
          <w:szCs w:val="22"/>
          <w:lang w:val="hu-HU"/>
        </w:rPr>
        <w:t xml:space="preserve">Ha Ön úgy véli, hogy </w:t>
      </w:r>
      <w:r w:rsidR="004C6676" w:rsidRPr="00D045B3">
        <w:rPr>
          <w:color w:val="000000"/>
          <w:szCs w:val="22"/>
          <w:lang w:val="hu-HU"/>
        </w:rPr>
        <w:t>allergiás</w:t>
      </w:r>
      <w:r w:rsidRPr="00D045B3">
        <w:rPr>
          <w:color w:val="000000"/>
          <w:szCs w:val="22"/>
          <w:lang w:val="hu-HU"/>
        </w:rPr>
        <w:t xml:space="preserve"> lehet, de nem biztos benne, forduljon orvosához további tanács</w:t>
      </w:r>
      <w:r w:rsidR="004C6676" w:rsidRPr="00D045B3">
        <w:rPr>
          <w:color w:val="000000"/>
          <w:szCs w:val="22"/>
          <w:lang w:val="hu-HU"/>
        </w:rPr>
        <w:t>ért</w:t>
      </w:r>
      <w:r w:rsidRPr="00D045B3">
        <w:rPr>
          <w:color w:val="000000"/>
          <w:szCs w:val="22"/>
          <w:lang w:val="hu-HU"/>
        </w:rPr>
        <w:t>.</w:t>
      </w:r>
    </w:p>
    <w:p w14:paraId="1E927CF0" w14:textId="77777777" w:rsidR="00611231" w:rsidRPr="00D045B3" w:rsidRDefault="00611231" w:rsidP="00611231">
      <w:pPr>
        <w:spacing w:line="240" w:lineRule="auto"/>
        <w:rPr>
          <w:color w:val="000000"/>
          <w:szCs w:val="22"/>
          <w:lang w:val="hu-HU"/>
        </w:rPr>
      </w:pPr>
    </w:p>
    <w:p w14:paraId="1E927CF1" w14:textId="77777777" w:rsidR="00611231" w:rsidRPr="00D045B3" w:rsidRDefault="00611231" w:rsidP="002A776A">
      <w:pPr>
        <w:keepNext/>
        <w:spacing w:line="240" w:lineRule="auto"/>
        <w:ind w:right="-2"/>
        <w:rPr>
          <w:b/>
          <w:color w:val="000000"/>
          <w:szCs w:val="22"/>
          <w:lang w:val="hu-HU"/>
        </w:rPr>
      </w:pPr>
      <w:r w:rsidRPr="00D045B3">
        <w:rPr>
          <w:b/>
          <w:noProof/>
          <w:szCs w:val="22"/>
          <w:lang w:val="hu-HU"/>
        </w:rPr>
        <w:t>Figyelmeztetések és óvintézkedések</w:t>
      </w:r>
    </w:p>
    <w:p w14:paraId="1E927CF2" w14:textId="77777777" w:rsidR="00611231" w:rsidRPr="00D045B3" w:rsidRDefault="00611231" w:rsidP="00CA41FD">
      <w:pPr>
        <w:spacing w:line="240" w:lineRule="auto"/>
        <w:rPr>
          <w:color w:val="000000"/>
          <w:szCs w:val="22"/>
          <w:lang w:val="hu-HU"/>
        </w:rPr>
      </w:pPr>
      <w:r w:rsidRPr="00D045B3">
        <w:rPr>
          <w:color w:val="000000"/>
          <w:szCs w:val="22"/>
          <w:lang w:val="hu-HU"/>
        </w:rPr>
        <w:t>Az Imatinib Actavis szedése előtt beszéljen kezelőorvosával:</w:t>
      </w:r>
    </w:p>
    <w:p w14:paraId="1E927CF3" w14:textId="77777777" w:rsidR="00611231" w:rsidRPr="00D045B3" w:rsidRDefault="00611231"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máj</w:t>
      </w:r>
      <w:r w:rsidRPr="00D045B3">
        <w:rPr>
          <w:color w:val="000000"/>
          <w:szCs w:val="22"/>
          <w:lang w:val="hu-HU"/>
        </w:rPr>
        <w:noBreakHyphen/>
        <w:t>, vese</w:t>
      </w:r>
      <w:r w:rsidRPr="00D045B3">
        <w:rPr>
          <w:color w:val="000000"/>
          <w:szCs w:val="22"/>
          <w:lang w:val="hu-HU"/>
        </w:rPr>
        <w:noBreakHyphen/>
        <w:t xml:space="preserve"> vagy szívproblémái vannak, vagy korábban bármikor voltak.</w:t>
      </w:r>
    </w:p>
    <w:p w14:paraId="1E927CF4" w14:textId="77777777" w:rsidR="00611231" w:rsidRPr="00D045B3" w:rsidRDefault="00611231"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levotiroxin</w:t>
      </w:r>
      <w:r w:rsidR="004C6676" w:rsidRPr="00D045B3">
        <w:rPr>
          <w:color w:val="000000"/>
          <w:szCs w:val="22"/>
          <w:lang w:val="hu-HU"/>
        </w:rPr>
        <w:noBreakHyphen/>
      </w:r>
      <w:r w:rsidRPr="00D045B3">
        <w:rPr>
          <w:color w:val="000000"/>
          <w:szCs w:val="22"/>
          <w:lang w:val="hu-HU"/>
        </w:rPr>
        <w:t>tartalmú gyógyszert szed, mert eltávolították a pajzsmirigyét.</w:t>
      </w:r>
    </w:p>
    <w:p w14:paraId="65B892AF" w14:textId="77777777" w:rsidR="00E267DD" w:rsidRPr="00D045B3" w:rsidRDefault="002A5FCC" w:rsidP="00E267DD">
      <w:pPr>
        <w:numPr>
          <w:ilvl w:val="0"/>
          <w:numId w:val="10"/>
        </w:numPr>
        <w:tabs>
          <w:tab w:val="clear" w:pos="360"/>
          <w:tab w:val="clear" w:pos="567"/>
        </w:tabs>
        <w:suppressAutoHyphens/>
        <w:spacing w:line="240" w:lineRule="auto"/>
        <w:ind w:left="567" w:hanging="567"/>
        <w:rPr>
          <w:color w:val="000000"/>
          <w:lang w:val="hu-HU"/>
        </w:rPr>
      </w:pPr>
      <w:r w:rsidRPr="00D045B3">
        <w:rPr>
          <w:lang w:val="hu-HU"/>
        </w:rPr>
        <w:t xml:space="preserve">ha Önnek valaha hepatitisz B fertőzése volt vagy jelenleg fennáll annak lehetősége. Erre azért van szükség, mert az Imatinib Actavis a hepatitisz B fertőzés kiújulását válthatja ki, ami egyes esetekben halálos lehet. A betegeket kezelőorvosuk gondosan ellenőrizni fogja, hogy nem alakultak-e ki a fertőzés jelei, mielőtt a kezelést elkezdi. </w:t>
      </w:r>
    </w:p>
    <w:p w14:paraId="1E927CF5" w14:textId="5C1638E3" w:rsidR="002A5FCC" w:rsidRPr="00D045B3" w:rsidRDefault="00E267DD" w:rsidP="00A074F7">
      <w:pPr>
        <w:numPr>
          <w:ilvl w:val="0"/>
          <w:numId w:val="10"/>
        </w:numPr>
        <w:tabs>
          <w:tab w:val="clear" w:pos="360"/>
        </w:tabs>
        <w:suppressAutoHyphens/>
        <w:spacing w:line="240" w:lineRule="auto"/>
        <w:ind w:left="567" w:hanging="567"/>
        <w:rPr>
          <w:lang w:val="hu-HU"/>
        </w:rPr>
      </w:pPr>
      <w:r w:rsidRPr="00D045B3">
        <w:rPr>
          <w:color w:val="000000"/>
          <w:lang w:val="hu-HU"/>
        </w:rPr>
        <w:t xml:space="preserve">ha </w:t>
      </w:r>
      <w:r w:rsidR="00215031" w:rsidRPr="00D045B3">
        <w:rPr>
          <w:color w:val="000000"/>
          <w:lang w:val="hu-HU"/>
        </w:rPr>
        <w:t>az Imatinib Actavis</w:t>
      </w:r>
      <w:r w:rsidRPr="00D045B3">
        <w:rPr>
          <w:color w:val="000000"/>
          <w:lang w:val="hu-HU"/>
        </w:rPr>
        <w:t xml:space="preserve"> szedése közben véraláfutást, vérzést, lázat, fáradtságot és zavartságot tapasztal, keresse fel kezelőorvosát. Ez a vérerek sérülésének, más néven a trom</w:t>
      </w:r>
      <w:r w:rsidR="00AA2E59" w:rsidRPr="00D045B3">
        <w:rPr>
          <w:color w:val="000000"/>
          <w:lang w:val="hu-HU"/>
        </w:rPr>
        <w:t>b</w:t>
      </w:r>
      <w:r w:rsidRPr="00D045B3">
        <w:rPr>
          <w:color w:val="000000"/>
          <w:lang w:val="hu-HU"/>
        </w:rPr>
        <w:t>otikus mikroangiopátiának (TMA) a jele lehet.</w:t>
      </w:r>
    </w:p>
    <w:p w14:paraId="1E927CF6" w14:textId="77777777" w:rsidR="00611231" w:rsidRPr="00D045B3" w:rsidRDefault="00611231" w:rsidP="00611231">
      <w:pPr>
        <w:tabs>
          <w:tab w:val="left" w:pos="5245"/>
        </w:tabs>
        <w:spacing w:line="240" w:lineRule="auto"/>
        <w:rPr>
          <w:b/>
          <w:color w:val="000000"/>
          <w:szCs w:val="22"/>
          <w:lang w:val="hu-HU"/>
        </w:rPr>
      </w:pPr>
      <w:r w:rsidRPr="00D045B3">
        <w:rPr>
          <w:color w:val="000000"/>
          <w:szCs w:val="22"/>
          <w:lang w:val="hu-HU"/>
        </w:rPr>
        <w:t>Ha a fentiek bármelyike vonatkoz</w:t>
      </w:r>
      <w:r w:rsidR="004C6676" w:rsidRPr="00D045B3">
        <w:rPr>
          <w:color w:val="000000"/>
          <w:szCs w:val="22"/>
          <w:lang w:val="hu-HU"/>
        </w:rPr>
        <w:t>ik</w:t>
      </w:r>
      <w:r w:rsidRPr="00D045B3">
        <w:rPr>
          <w:color w:val="000000"/>
          <w:szCs w:val="22"/>
          <w:lang w:val="hu-HU"/>
        </w:rPr>
        <w:t xml:space="preserve"> Önre, </w:t>
      </w:r>
      <w:r w:rsidR="004C6676" w:rsidRPr="00D045B3">
        <w:rPr>
          <w:color w:val="000000"/>
          <w:szCs w:val="22"/>
          <w:lang w:val="hu-HU"/>
        </w:rPr>
        <w:t xml:space="preserve">ezt </w:t>
      </w:r>
      <w:r w:rsidRPr="00D045B3">
        <w:rPr>
          <w:b/>
          <w:color w:val="000000"/>
          <w:szCs w:val="22"/>
          <w:lang w:val="hu-HU"/>
        </w:rPr>
        <w:t>még az Imatinib Actavis bevétele előtt közölje kezelőorvosával.</w:t>
      </w:r>
    </w:p>
    <w:p w14:paraId="1E927CF7" w14:textId="77777777" w:rsidR="00AE22C7" w:rsidRPr="00D045B3" w:rsidRDefault="00AE22C7" w:rsidP="00AE22C7">
      <w:pPr>
        <w:pStyle w:val="Endnotentext"/>
        <w:widowControl w:val="0"/>
        <w:tabs>
          <w:tab w:val="left" w:pos="720"/>
        </w:tabs>
        <w:rPr>
          <w:snapToGrid w:val="0"/>
          <w:color w:val="000000"/>
          <w:szCs w:val="22"/>
          <w:lang w:val="hu-HU"/>
        </w:rPr>
      </w:pPr>
    </w:p>
    <w:p w14:paraId="1E927CF8" w14:textId="77777777" w:rsidR="00AE22C7" w:rsidRPr="00D045B3" w:rsidRDefault="00AE22C7" w:rsidP="00AE22C7">
      <w:pPr>
        <w:pStyle w:val="Endnotentext"/>
        <w:widowControl w:val="0"/>
        <w:tabs>
          <w:tab w:val="left" w:pos="720"/>
        </w:tabs>
        <w:rPr>
          <w:snapToGrid w:val="0"/>
          <w:color w:val="000000"/>
          <w:szCs w:val="22"/>
          <w:lang w:val="hu-HU"/>
        </w:rPr>
      </w:pPr>
      <w:r w:rsidRPr="00D045B3">
        <w:rPr>
          <w:snapToGrid w:val="0"/>
          <w:color w:val="000000"/>
          <w:szCs w:val="22"/>
          <w:lang w:val="hu-HU"/>
        </w:rPr>
        <w:t>Az Imatinib Actavis szedése alatt Ön érzékenyebb lehet a napsugárzásra. Fontos, hogy öltözékével takarja a napsütésnek kitett bőrterületeket, valamint, hogy magas fényvédő faktorszámú naptejet használjon. Ezek a szabályok gyermekekre is vonatkoznak.</w:t>
      </w:r>
    </w:p>
    <w:p w14:paraId="1E927CF9" w14:textId="77777777" w:rsidR="00611231" w:rsidRPr="00D045B3" w:rsidRDefault="00611231" w:rsidP="00611231">
      <w:pPr>
        <w:spacing w:line="240" w:lineRule="auto"/>
        <w:ind w:right="-2"/>
        <w:rPr>
          <w:color w:val="000000"/>
          <w:szCs w:val="22"/>
          <w:lang w:val="hu-HU"/>
        </w:rPr>
      </w:pPr>
    </w:p>
    <w:p w14:paraId="1E927CFA" w14:textId="77777777" w:rsidR="00611231" w:rsidRPr="00D045B3" w:rsidRDefault="00611231" w:rsidP="002A776A">
      <w:pPr>
        <w:keepNext/>
        <w:spacing w:line="240" w:lineRule="auto"/>
        <w:rPr>
          <w:b/>
          <w:color w:val="000000"/>
          <w:szCs w:val="22"/>
          <w:lang w:val="hu-HU"/>
        </w:rPr>
      </w:pPr>
      <w:r w:rsidRPr="00D045B3">
        <w:rPr>
          <w:b/>
          <w:color w:val="000000"/>
          <w:szCs w:val="22"/>
          <w:lang w:val="hu-HU"/>
        </w:rPr>
        <w:t>Az Imatinib Actavis</w:t>
      </w:r>
      <w:r w:rsidRPr="00D045B3">
        <w:rPr>
          <w:b/>
          <w:color w:val="000000"/>
          <w:szCs w:val="22"/>
          <w:lang w:val="hu-HU"/>
        </w:rPr>
        <w:noBreakHyphen/>
        <w:t>kezelés során azonnal értesítse kezelőorvosát</w:t>
      </w:r>
      <w:r w:rsidRPr="00D045B3">
        <w:rPr>
          <w:color w:val="000000"/>
          <w:szCs w:val="22"/>
          <w:lang w:val="hu-HU"/>
        </w:rPr>
        <w:t>, ha hirtelen test</w:t>
      </w:r>
      <w:r w:rsidR="004C6676" w:rsidRPr="00D045B3">
        <w:rPr>
          <w:color w:val="000000"/>
          <w:szCs w:val="22"/>
          <w:lang w:val="hu-HU"/>
        </w:rPr>
        <w:t>tömeg</w:t>
      </w:r>
      <w:r w:rsidR="004C6676" w:rsidRPr="00D045B3">
        <w:rPr>
          <w:color w:val="000000"/>
          <w:szCs w:val="22"/>
          <w:lang w:val="hu-HU"/>
        </w:rPr>
        <w:noBreakHyphen/>
      </w:r>
      <w:r w:rsidRPr="00D045B3">
        <w:rPr>
          <w:color w:val="000000"/>
          <w:szCs w:val="22"/>
          <w:lang w:val="hu-HU"/>
        </w:rPr>
        <w:t>növekedést észlel. Az Imatinib Actavis az Ön testében a víz visszatartását okozhatja (</w:t>
      </w:r>
      <w:r w:rsidR="004C6676" w:rsidRPr="00D045B3">
        <w:rPr>
          <w:color w:val="000000"/>
          <w:szCs w:val="22"/>
          <w:lang w:val="hu-HU"/>
        </w:rPr>
        <w:t>úgynevezett súlyos folyadékretenció</w:t>
      </w:r>
      <w:r w:rsidRPr="00D045B3">
        <w:rPr>
          <w:color w:val="000000"/>
          <w:szCs w:val="22"/>
          <w:lang w:val="hu-HU"/>
        </w:rPr>
        <w:t>).</w:t>
      </w:r>
    </w:p>
    <w:p w14:paraId="1E927CFB" w14:textId="77777777" w:rsidR="00611231" w:rsidRPr="00D045B3" w:rsidRDefault="00611231" w:rsidP="00611231">
      <w:pPr>
        <w:spacing w:line="240" w:lineRule="auto"/>
        <w:ind w:right="-2"/>
        <w:rPr>
          <w:color w:val="000000"/>
          <w:szCs w:val="22"/>
          <w:lang w:val="hu-HU"/>
        </w:rPr>
      </w:pPr>
    </w:p>
    <w:p w14:paraId="1E927CFC" w14:textId="77777777" w:rsidR="00611231" w:rsidRPr="00D045B3" w:rsidRDefault="00611231" w:rsidP="00611231">
      <w:pPr>
        <w:spacing w:line="240" w:lineRule="auto"/>
        <w:rPr>
          <w:color w:val="000000"/>
          <w:szCs w:val="22"/>
          <w:lang w:val="hu-HU"/>
        </w:rPr>
      </w:pPr>
      <w:r w:rsidRPr="00D045B3">
        <w:rPr>
          <w:color w:val="000000"/>
          <w:szCs w:val="22"/>
          <w:lang w:val="hu-HU"/>
        </w:rPr>
        <w:t>Mialatt Ön szedi az Imatinib Actavis</w:t>
      </w:r>
      <w:r w:rsidR="0006447B" w:rsidRPr="00D045B3">
        <w:rPr>
          <w:color w:val="000000"/>
          <w:szCs w:val="22"/>
          <w:lang w:val="hu-HU"/>
        </w:rPr>
        <w:noBreakHyphen/>
      </w:r>
      <w:r w:rsidRPr="00D045B3">
        <w:rPr>
          <w:color w:val="000000"/>
          <w:szCs w:val="22"/>
          <w:lang w:val="hu-HU"/>
        </w:rPr>
        <w:t>t, kezelőorvosa rendszeresen ellenőrizni fogja, hogy a gyógyszer hat</w:t>
      </w:r>
      <w:r w:rsidRPr="00D045B3">
        <w:rPr>
          <w:color w:val="000000"/>
          <w:szCs w:val="22"/>
          <w:lang w:val="hu-HU"/>
        </w:rPr>
        <w:noBreakHyphen/>
        <w:t>e. Vérképét és test</w:t>
      </w:r>
      <w:r w:rsidR="004C6676" w:rsidRPr="00D045B3">
        <w:rPr>
          <w:color w:val="000000"/>
          <w:szCs w:val="22"/>
          <w:lang w:val="hu-HU"/>
        </w:rPr>
        <w:t>tömegét</w:t>
      </w:r>
      <w:r w:rsidRPr="00D045B3">
        <w:rPr>
          <w:color w:val="000000"/>
          <w:szCs w:val="22"/>
          <w:lang w:val="hu-HU"/>
        </w:rPr>
        <w:t xml:space="preserve"> is rendszeresen ellenőrzik majd.</w:t>
      </w:r>
    </w:p>
    <w:p w14:paraId="1E927CFD" w14:textId="77777777" w:rsidR="00611231" w:rsidRPr="00D045B3" w:rsidRDefault="00611231" w:rsidP="00611231">
      <w:pPr>
        <w:spacing w:line="240" w:lineRule="auto"/>
        <w:rPr>
          <w:color w:val="000000"/>
          <w:szCs w:val="22"/>
          <w:lang w:val="hu-HU"/>
        </w:rPr>
      </w:pPr>
    </w:p>
    <w:p w14:paraId="1E927CFE" w14:textId="77777777" w:rsidR="00611231" w:rsidRPr="00D045B3" w:rsidRDefault="00611231" w:rsidP="002A776A">
      <w:pPr>
        <w:keepNext/>
        <w:spacing w:line="240" w:lineRule="auto"/>
        <w:rPr>
          <w:b/>
          <w:noProof/>
          <w:szCs w:val="22"/>
          <w:lang w:val="hu-HU"/>
        </w:rPr>
      </w:pPr>
      <w:r w:rsidRPr="00D045B3">
        <w:rPr>
          <w:b/>
          <w:noProof/>
          <w:szCs w:val="22"/>
          <w:lang w:val="hu-HU"/>
        </w:rPr>
        <w:t>Gyermekek és serdülők</w:t>
      </w:r>
    </w:p>
    <w:p w14:paraId="1E927CFF" w14:textId="2DD19A07" w:rsidR="002A776A" w:rsidRPr="00D045B3" w:rsidRDefault="00611231" w:rsidP="00CA41FD">
      <w:pPr>
        <w:spacing w:line="240" w:lineRule="auto"/>
        <w:rPr>
          <w:color w:val="000000"/>
          <w:szCs w:val="22"/>
          <w:lang w:val="hu-HU"/>
        </w:rPr>
      </w:pPr>
      <w:r w:rsidRPr="00D045B3">
        <w:rPr>
          <w:color w:val="000000"/>
          <w:szCs w:val="22"/>
          <w:lang w:val="hu-HU"/>
        </w:rPr>
        <w:t xml:space="preserve">Az Imatinib Actavis </w:t>
      </w:r>
      <w:r w:rsidR="004C6676" w:rsidRPr="00D045B3">
        <w:rPr>
          <w:color w:val="000000"/>
          <w:szCs w:val="22"/>
          <w:lang w:val="hu-HU"/>
        </w:rPr>
        <w:t>krónikus mieloid leukémiában (</w:t>
      </w:r>
      <w:r w:rsidRPr="00D045B3">
        <w:rPr>
          <w:color w:val="000000"/>
          <w:szCs w:val="22"/>
          <w:lang w:val="hu-HU"/>
        </w:rPr>
        <w:t>CML</w:t>
      </w:r>
      <w:r w:rsidRPr="00D045B3">
        <w:rPr>
          <w:color w:val="000000"/>
          <w:szCs w:val="22"/>
          <w:lang w:val="hu-HU"/>
        </w:rPr>
        <w:noBreakHyphen/>
        <w:t>ben</w:t>
      </w:r>
      <w:r w:rsidR="002A776A" w:rsidRPr="00D045B3">
        <w:rPr>
          <w:color w:val="000000"/>
          <w:szCs w:val="22"/>
          <w:lang w:val="hu-HU"/>
        </w:rPr>
        <w:t>)</w:t>
      </w:r>
      <w:r w:rsidRPr="00D045B3">
        <w:rPr>
          <w:color w:val="000000"/>
          <w:szCs w:val="22"/>
          <w:lang w:val="hu-HU"/>
        </w:rPr>
        <w:t xml:space="preserve"> szenvedő gyermekek kezelésére is </w:t>
      </w:r>
      <w:r w:rsidR="00CF3AB8" w:rsidRPr="00D045B3">
        <w:rPr>
          <w:color w:val="000000"/>
          <w:szCs w:val="22"/>
          <w:lang w:val="hu-HU"/>
        </w:rPr>
        <w:t>alkalmazható</w:t>
      </w:r>
      <w:r w:rsidRPr="00D045B3">
        <w:rPr>
          <w:color w:val="000000"/>
          <w:szCs w:val="22"/>
          <w:lang w:val="hu-HU"/>
        </w:rPr>
        <w:t>. Két éves kor alatti</w:t>
      </w:r>
      <w:r w:rsidR="002A776A" w:rsidRPr="00D045B3">
        <w:rPr>
          <w:color w:val="000000"/>
          <w:szCs w:val="22"/>
          <w:lang w:val="hu-HU"/>
        </w:rPr>
        <w:t>,</w:t>
      </w:r>
      <w:r w:rsidRPr="00D045B3">
        <w:rPr>
          <w:color w:val="000000"/>
          <w:szCs w:val="22"/>
          <w:lang w:val="hu-HU"/>
        </w:rPr>
        <w:t xml:space="preserve"> </w:t>
      </w:r>
      <w:r w:rsidR="002A776A" w:rsidRPr="00D045B3">
        <w:rPr>
          <w:color w:val="000000"/>
          <w:szCs w:val="22"/>
          <w:lang w:val="hu-HU"/>
        </w:rPr>
        <w:t xml:space="preserve">krónikus mieloid leukémiában </w:t>
      </w:r>
      <w:r w:rsidRPr="00D045B3">
        <w:rPr>
          <w:color w:val="000000"/>
          <w:szCs w:val="22"/>
          <w:lang w:val="hu-HU"/>
        </w:rPr>
        <w:t>szenvedő gyermekek</w:t>
      </w:r>
      <w:r w:rsidR="002A776A" w:rsidRPr="00D045B3">
        <w:rPr>
          <w:color w:val="000000"/>
          <w:szCs w:val="22"/>
          <w:lang w:val="hu-HU"/>
        </w:rPr>
        <w:t xml:space="preserve">re vonatkozóan </w:t>
      </w:r>
      <w:r w:rsidRPr="00D045B3">
        <w:rPr>
          <w:color w:val="000000"/>
          <w:szCs w:val="22"/>
          <w:lang w:val="hu-HU"/>
        </w:rPr>
        <w:t xml:space="preserve">nincs tapasztalat. </w:t>
      </w:r>
      <w:r w:rsidR="00A411D0" w:rsidRPr="00D045B3">
        <w:rPr>
          <w:szCs w:val="22"/>
          <w:lang w:val="hu-HU"/>
        </w:rPr>
        <w:t>Ph</w:t>
      </w:r>
      <w:r w:rsidR="00A411D0" w:rsidRPr="00D045B3">
        <w:rPr>
          <w:szCs w:val="22"/>
          <w:lang w:val="hu-HU"/>
        </w:rPr>
        <w:noBreakHyphen/>
        <w:t>pozitív ALL</w:t>
      </w:r>
      <w:r w:rsidR="008117FE" w:rsidRPr="00D045B3">
        <w:rPr>
          <w:szCs w:val="22"/>
          <w:lang w:val="hu-HU"/>
        </w:rPr>
        <w:noBreakHyphen/>
        <w:t>es</w:t>
      </w:r>
      <w:r w:rsidR="00A411D0" w:rsidRPr="00D045B3">
        <w:rPr>
          <w:szCs w:val="22"/>
          <w:lang w:val="hu-HU"/>
        </w:rPr>
        <w:t xml:space="preserve"> gyermekek esetében </w:t>
      </w:r>
      <w:r w:rsidR="008117FE" w:rsidRPr="00D045B3">
        <w:rPr>
          <w:szCs w:val="22"/>
          <w:lang w:val="hu-HU"/>
        </w:rPr>
        <w:t xml:space="preserve">korlátozott, míg </w:t>
      </w:r>
      <w:r w:rsidR="00A411D0" w:rsidRPr="00D045B3">
        <w:rPr>
          <w:szCs w:val="22"/>
          <w:lang w:val="hu-HU"/>
        </w:rPr>
        <w:t>MDS/MPD, DFSP és HES/CEL</w:t>
      </w:r>
      <w:r w:rsidR="00A411D0" w:rsidRPr="00D045B3">
        <w:rPr>
          <w:szCs w:val="22"/>
          <w:lang w:val="hu-HU"/>
        </w:rPr>
        <w:noBreakHyphen/>
        <w:t>ben szenvedő gyermekek</w:t>
      </w:r>
      <w:r w:rsidR="008117FE" w:rsidRPr="00D045B3">
        <w:rPr>
          <w:szCs w:val="22"/>
          <w:lang w:val="hu-HU"/>
        </w:rPr>
        <w:t xml:space="preserve">re vonatkozóan csak </w:t>
      </w:r>
      <w:r w:rsidR="00A411D0" w:rsidRPr="00D045B3">
        <w:rPr>
          <w:szCs w:val="22"/>
          <w:lang w:val="hu-HU"/>
        </w:rPr>
        <w:t>nagyon korlátozott mennyiségű tapasztalat</w:t>
      </w:r>
      <w:r w:rsidR="008117FE" w:rsidRPr="00D045B3">
        <w:rPr>
          <w:szCs w:val="22"/>
          <w:lang w:val="hu-HU"/>
        </w:rPr>
        <w:t xml:space="preserve"> áll rendelkezésre</w:t>
      </w:r>
      <w:r w:rsidR="00A411D0" w:rsidRPr="00D045B3">
        <w:rPr>
          <w:szCs w:val="22"/>
          <w:lang w:val="hu-HU"/>
        </w:rPr>
        <w:t>.</w:t>
      </w:r>
    </w:p>
    <w:p w14:paraId="1E927D00" w14:textId="77777777" w:rsidR="00611231" w:rsidRPr="00D045B3" w:rsidRDefault="00611231" w:rsidP="00611231">
      <w:pPr>
        <w:spacing w:line="240" w:lineRule="auto"/>
        <w:ind w:right="-2"/>
        <w:rPr>
          <w:color w:val="000000"/>
          <w:szCs w:val="22"/>
          <w:lang w:val="hu-HU"/>
        </w:rPr>
      </w:pPr>
    </w:p>
    <w:p w14:paraId="1E927D01" w14:textId="77777777" w:rsidR="00611231" w:rsidRPr="00D045B3" w:rsidRDefault="00611231" w:rsidP="00611231">
      <w:pPr>
        <w:spacing w:line="240" w:lineRule="auto"/>
        <w:ind w:right="-2"/>
        <w:rPr>
          <w:color w:val="000000"/>
          <w:szCs w:val="22"/>
          <w:lang w:val="hu-HU"/>
        </w:rPr>
      </w:pPr>
      <w:r w:rsidRPr="00D045B3">
        <w:rPr>
          <w:color w:val="000000"/>
          <w:szCs w:val="22"/>
          <w:lang w:val="hu-HU"/>
        </w:rPr>
        <w:t>Néhány Imatinib Actavis</w:t>
      </w:r>
      <w:r w:rsidR="0006447B" w:rsidRPr="00D045B3">
        <w:rPr>
          <w:color w:val="000000"/>
          <w:szCs w:val="22"/>
          <w:lang w:val="hu-HU"/>
        </w:rPr>
        <w:noBreakHyphen/>
      </w:r>
      <w:r w:rsidRPr="00D045B3">
        <w:rPr>
          <w:color w:val="000000"/>
          <w:szCs w:val="22"/>
          <w:lang w:val="hu-HU"/>
        </w:rPr>
        <w:t xml:space="preserve">t szedő gyermek </w:t>
      </w:r>
      <w:r w:rsidR="00D66BD0" w:rsidRPr="00D045B3">
        <w:rPr>
          <w:color w:val="000000"/>
          <w:szCs w:val="22"/>
          <w:lang w:val="hu-HU"/>
        </w:rPr>
        <w:t>és</w:t>
      </w:r>
      <w:r w:rsidRPr="00D045B3">
        <w:rPr>
          <w:color w:val="000000"/>
          <w:szCs w:val="22"/>
          <w:lang w:val="hu-HU"/>
        </w:rPr>
        <w:t xml:space="preserve"> serdülőkorú növekedése a normálisnál lassabb lehet. Az orvos a rendszeres kontrollvizsgálatok alkalmával ellenőrizni fogja a növekedést.</w:t>
      </w:r>
    </w:p>
    <w:p w14:paraId="1E927D02" w14:textId="77777777" w:rsidR="00611231" w:rsidRPr="00D045B3" w:rsidRDefault="00611231" w:rsidP="00611231">
      <w:pPr>
        <w:spacing w:line="240" w:lineRule="auto"/>
        <w:rPr>
          <w:color w:val="000000"/>
          <w:szCs w:val="22"/>
          <w:lang w:val="hu-HU"/>
        </w:rPr>
      </w:pPr>
    </w:p>
    <w:p w14:paraId="1E927D03" w14:textId="77777777" w:rsidR="00611231" w:rsidRPr="00D045B3" w:rsidRDefault="00611231" w:rsidP="002A776A">
      <w:pPr>
        <w:keepNext/>
        <w:spacing w:line="240" w:lineRule="auto"/>
        <w:rPr>
          <w:b/>
          <w:color w:val="000000"/>
          <w:szCs w:val="22"/>
          <w:lang w:val="hu-HU"/>
        </w:rPr>
      </w:pPr>
      <w:r w:rsidRPr="00D045B3">
        <w:rPr>
          <w:b/>
          <w:color w:val="000000"/>
          <w:szCs w:val="22"/>
          <w:lang w:val="hu-HU"/>
        </w:rPr>
        <w:t>Egyéb gyógyszerek és az Imatinib Actavis</w:t>
      </w:r>
    </w:p>
    <w:p w14:paraId="1E927D04" w14:textId="77777777" w:rsidR="00611231" w:rsidRPr="00D045B3" w:rsidRDefault="00611231" w:rsidP="00CA41FD">
      <w:pPr>
        <w:spacing w:line="240" w:lineRule="auto"/>
        <w:rPr>
          <w:color w:val="000000"/>
          <w:szCs w:val="22"/>
          <w:lang w:val="hu-HU"/>
        </w:rPr>
      </w:pPr>
      <w:r w:rsidRPr="00D045B3">
        <w:rPr>
          <w:color w:val="000000"/>
          <w:szCs w:val="22"/>
          <w:lang w:val="hu-HU"/>
        </w:rPr>
        <w:t>Feltétlenül tájékoztassa kezelőorvosát vagy gyógyszerészét a jelenleg vagy nemrégiben szedett</w:t>
      </w:r>
      <w:r w:rsidRPr="00D045B3">
        <w:rPr>
          <w:noProof/>
          <w:szCs w:val="22"/>
          <w:lang w:val="hu-HU"/>
        </w:rPr>
        <w:t>, valamint szedni tervezett</w:t>
      </w:r>
      <w:r w:rsidRPr="00D045B3">
        <w:rPr>
          <w:color w:val="000000"/>
          <w:szCs w:val="22"/>
          <w:lang w:val="hu-HU"/>
        </w:rPr>
        <w:t xml:space="preserve"> egyéb gyógyszereiről, beleértve a vény nélkül kapható készítményeket (</w:t>
      </w:r>
      <w:r w:rsidR="002A776A" w:rsidRPr="00D045B3">
        <w:rPr>
          <w:color w:val="000000"/>
          <w:szCs w:val="22"/>
          <w:lang w:val="hu-HU"/>
        </w:rPr>
        <w:t>pl. a</w:t>
      </w:r>
      <w:r w:rsidRPr="00D045B3">
        <w:rPr>
          <w:color w:val="000000"/>
          <w:szCs w:val="22"/>
          <w:lang w:val="hu-HU"/>
        </w:rPr>
        <w:t xml:space="preserve"> paracetamol</w:t>
      </w:r>
      <w:r w:rsidR="002A776A" w:rsidRPr="00D045B3">
        <w:rPr>
          <w:color w:val="000000"/>
          <w:szCs w:val="22"/>
          <w:lang w:val="hu-HU"/>
        </w:rPr>
        <w:t>t</w:t>
      </w:r>
      <w:r w:rsidRPr="00D045B3">
        <w:rPr>
          <w:color w:val="000000"/>
          <w:szCs w:val="22"/>
          <w:lang w:val="hu-HU"/>
        </w:rPr>
        <w:t>) és a gyógynövény készítményeket (</w:t>
      </w:r>
      <w:r w:rsidR="002A776A" w:rsidRPr="00D045B3">
        <w:rPr>
          <w:color w:val="000000"/>
          <w:szCs w:val="22"/>
          <w:lang w:val="hu-HU"/>
        </w:rPr>
        <w:t>pl. az</w:t>
      </w:r>
      <w:r w:rsidRPr="00D045B3">
        <w:rPr>
          <w:color w:val="000000"/>
          <w:szCs w:val="22"/>
          <w:lang w:val="hu-HU"/>
        </w:rPr>
        <w:t xml:space="preserve"> orbáncf</w:t>
      </w:r>
      <w:r w:rsidR="00A90B3E" w:rsidRPr="00D045B3">
        <w:rPr>
          <w:color w:val="000000"/>
          <w:szCs w:val="22"/>
          <w:lang w:val="hu-HU"/>
        </w:rPr>
        <w:t>ü</w:t>
      </w:r>
      <w:r w:rsidR="002A776A" w:rsidRPr="00D045B3">
        <w:rPr>
          <w:color w:val="000000"/>
          <w:szCs w:val="22"/>
          <w:lang w:val="hu-HU"/>
        </w:rPr>
        <w:t>vet</w:t>
      </w:r>
      <w:r w:rsidRPr="00D045B3">
        <w:rPr>
          <w:color w:val="000000"/>
          <w:szCs w:val="22"/>
          <w:lang w:val="hu-HU"/>
        </w:rPr>
        <w:t xml:space="preserve">) is. Néhány gyógyszer egyidejű alkalmazás esetén befolyásolhatja az Imatinib Actavis hatását. </w:t>
      </w:r>
      <w:r w:rsidR="002A776A" w:rsidRPr="00D045B3">
        <w:rPr>
          <w:color w:val="000000"/>
          <w:szCs w:val="22"/>
          <w:lang w:val="hu-HU"/>
        </w:rPr>
        <w:t>Fokozhatják</w:t>
      </w:r>
      <w:r w:rsidRPr="00D045B3">
        <w:rPr>
          <w:color w:val="000000"/>
          <w:szCs w:val="22"/>
          <w:lang w:val="hu-HU"/>
        </w:rPr>
        <w:t xml:space="preserve">, illetve csökkenthetik az Imatinib Actavis hatását, ami a mellékhatások előfordulási gyakoriságának növekedéséhez, illetve az Imatinib Actavis hatásosságának csökkenéséhez vezethet. Az Imatinib Actavis ugyanígy </w:t>
      </w:r>
      <w:r w:rsidR="002A776A" w:rsidRPr="00D045B3">
        <w:rPr>
          <w:color w:val="000000"/>
          <w:szCs w:val="22"/>
          <w:lang w:val="hu-HU"/>
        </w:rPr>
        <w:t>hathat</w:t>
      </w:r>
      <w:r w:rsidRPr="00D045B3">
        <w:rPr>
          <w:color w:val="000000"/>
          <w:szCs w:val="22"/>
          <w:lang w:val="hu-HU"/>
        </w:rPr>
        <w:t xml:space="preserve"> néhány más gyógyszerre.</w:t>
      </w:r>
    </w:p>
    <w:p w14:paraId="1E927D05" w14:textId="77777777" w:rsidR="00611231" w:rsidRPr="00D045B3" w:rsidRDefault="00611231" w:rsidP="00611231">
      <w:pPr>
        <w:spacing w:line="240" w:lineRule="auto"/>
        <w:rPr>
          <w:color w:val="000000"/>
          <w:szCs w:val="22"/>
          <w:lang w:val="hu-HU"/>
        </w:rPr>
      </w:pPr>
    </w:p>
    <w:p w14:paraId="1E927D06" w14:textId="77777777" w:rsidR="00611231" w:rsidRPr="00D045B3" w:rsidRDefault="00611231" w:rsidP="00611231">
      <w:pPr>
        <w:spacing w:line="240" w:lineRule="auto"/>
        <w:rPr>
          <w:color w:val="000000"/>
          <w:szCs w:val="22"/>
          <w:lang w:val="hu-HU"/>
        </w:rPr>
      </w:pPr>
      <w:r w:rsidRPr="00D045B3">
        <w:rPr>
          <w:color w:val="000000"/>
          <w:szCs w:val="22"/>
          <w:lang w:val="hu-HU"/>
        </w:rPr>
        <w:t>Tájékoztassa kezelőorvosát, ha vérrögképződést gátló gyógyszert alkalmaz.</w:t>
      </w:r>
    </w:p>
    <w:p w14:paraId="1E927D07" w14:textId="77777777" w:rsidR="00611231" w:rsidRPr="00D045B3" w:rsidRDefault="00611231" w:rsidP="00611231">
      <w:pPr>
        <w:spacing w:line="240" w:lineRule="auto"/>
        <w:ind w:right="-2"/>
        <w:rPr>
          <w:color w:val="000000"/>
          <w:szCs w:val="22"/>
          <w:lang w:val="hu-HU"/>
        </w:rPr>
      </w:pPr>
    </w:p>
    <w:p w14:paraId="1E927D08" w14:textId="77777777" w:rsidR="00611231" w:rsidRPr="00D045B3" w:rsidRDefault="00611231" w:rsidP="002A776A">
      <w:pPr>
        <w:keepNext/>
        <w:ind w:right="-29"/>
        <w:rPr>
          <w:b/>
          <w:color w:val="000000"/>
          <w:szCs w:val="22"/>
          <w:lang w:val="hu-HU"/>
        </w:rPr>
      </w:pPr>
      <w:r w:rsidRPr="00D045B3">
        <w:rPr>
          <w:b/>
          <w:color w:val="000000"/>
          <w:szCs w:val="22"/>
          <w:lang w:val="hu-HU"/>
        </w:rPr>
        <w:t>Terhesség, szoptatás és termékenység</w:t>
      </w:r>
    </w:p>
    <w:p w14:paraId="1E927D09" w14:textId="77777777" w:rsidR="00611231" w:rsidRPr="00D045B3" w:rsidRDefault="00611231" w:rsidP="00E95370">
      <w:pPr>
        <w:widowControl w:val="0"/>
        <w:numPr>
          <w:ilvl w:val="0"/>
          <w:numId w:val="12"/>
        </w:numPr>
        <w:tabs>
          <w:tab w:val="clear" w:pos="0"/>
          <w:tab w:val="clear" w:pos="567"/>
        </w:tabs>
        <w:spacing w:line="240" w:lineRule="auto"/>
        <w:ind w:left="567" w:hanging="567"/>
        <w:rPr>
          <w:color w:val="000000"/>
          <w:szCs w:val="22"/>
          <w:lang w:val="hu-HU"/>
        </w:rPr>
      </w:pPr>
      <w:r w:rsidRPr="00D045B3">
        <w:rPr>
          <w:color w:val="000000"/>
          <w:szCs w:val="22"/>
          <w:lang w:val="hu-HU"/>
        </w:rPr>
        <w:t xml:space="preserve">Ha Ön terhes vagy szoptat, illetve ha fennáll Önnél a terhesség lehetősége vagy gyermeket szeretne, a gyógyszer </w:t>
      </w:r>
      <w:r w:rsidR="002F2161" w:rsidRPr="00D045B3">
        <w:rPr>
          <w:color w:val="000000"/>
          <w:szCs w:val="22"/>
          <w:lang w:val="hu-HU"/>
        </w:rPr>
        <w:t xml:space="preserve">alkalmazása </w:t>
      </w:r>
      <w:r w:rsidRPr="00D045B3">
        <w:rPr>
          <w:color w:val="000000"/>
          <w:szCs w:val="22"/>
          <w:lang w:val="hu-HU"/>
        </w:rPr>
        <w:t>előtt beszéljen kezelőorvosával.</w:t>
      </w:r>
    </w:p>
    <w:p w14:paraId="1E927D0A" w14:textId="73866E83" w:rsidR="00611231" w:rsidRPr="00D045B3" w:rsidRDefault="00611231"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 xml:space="preserve">Az Imatinib Actavis nem javasolt a terhesség ideje alatt, csak ha az egyértelműen szükséges, mert károsíthatja gyermekét. </w:t>
      </w:r>
      <w:r w:rsidR="00AA2E59" w:rsidRPr="00D045B3">
        <w:rPr>
          <w:color w:val="000000"/>
          <w:szCs w:val="22"/>
          <w:lang w:val="hu-HU"/>
        </w:rPr>
        <w:t xml:space="preserve">Kezelőorvosa </w:t>
      </w:r>
      <w:r w:rsidRPr="00D045B3">
        <w:rPr>
          <w:color w:val="000000"/>
          <w:szCs w:val="22"/>
          <w:lang w:val="hu-HU"/>
        </w:rPr>
        <w:t>megbeszéli Önnel a terhesség ideje alatti Imatinib Actavis</w:t>
      </w:r>
      <w:r w:rsidRPr="00D045B3">
        <w:rPr>
          <w:color w:val="000000"/>
          <w:szCs w:val="22"/>
          <w:lang w:val="hu-HU"/>
        </w:rPr>
        <w:noBreakHyphen/>
        <w:t>kezelés lehetséges kockázatait.</w:t>
      </w:r>
    </w:p>
    <w:p w14:paraId="1E927D0B" w14:textId="7257FA17" w:rsidR="00611231" w:rsidRPr="00D045B3" w:rsidRDefault="00611231"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A fogamzóképes életkorú nőknek hatékony fogamzásgátló módszer alkalmazása javasolt a kezelés időtartama alatt</w:t>
      </w:r>
      <w:r w:rsidR="00AC72FB" w:rsidRPr="00D045B3">
        <w:rPr>
          <w:szCs w:val="22"/>
          <w:lang w:val="hu-HU"/>
        </w:rPr>
        <w:t>, és még további 15 </w:t>
      </w:r>
      <w:r w:rsidR="004F2490" w:rsidRPr="00D045B3">
        <w:rPr>
          <w:szCs w:val="22"/>
          <w:lang w:val="hu-HU"/>
        </w:rPr>
        <w:t>napig az Imatinib Actavis-kezelés befejezését követően</w:t>
      </w:r>
      <w:r w:rsidRPr="00D045B3">
        <w:rPr>
          <w:color w:val="000000"/>
          <w:szCs w:val="22"/>
          <w:lang w:val="hu-HU"/>
        </w:rPr>
        <w:t>.</w:t>
      </w:r>
    </w:p>
    <w:p w14:paraId="1E927D0C" w14:textId="3E0E5FA6" w:rsidR="00611231" w:rsidRPr="00D045B3" w:rsidRDefault="00611231"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Ne szoptasson az Imatinib Actavis</w:t>
      </w:r>
      <w:r w:rsidRPr="00D045B3">
        <w:rPr>
          <w:color w:val="000000"/>
          <w:szCs w:val="22"/>
          <w:lang w:val="hu-HU"/>
        </w:rPr>
        <w:noBreakHyphen/>
        <w:t>kezelés időtartama alatt</w:t>
      </w:r>
      <w:r w:rsidR="00AC72FB" w:rsidRPr="00D045B3">
        <w:rPr>
          <w:szCs w:val="22"/>
          <w:lang w:val="hu-HU"/>
        </w:rPr>
        <w:t>, és még további 15 </w:t>
      </w:r>
      <w:r w:rsidR="004F2490" w:rsidRPr="00D045B3">
        <w:rPr>
          <w:szCs w:val="22"/>
          <w:lang w:val="hu-HU"/>
        </w:rPr>
        <w:t xml:space="preserve">napig az Imatinib </w:t>
      </w:r>
      <w:r w:rsidR="000A6320" w:rsidRPr="00D045B3">
        <w:rPr>
          <w:szCs w:val="22"/>
          <w:lang w:val="hu-HU"/>
        </w:rPr>
        <w:t>Actavis</w:t>
      </w:r>
      <w:r w:rsidR="004F2490" w:rsidRPr="00D045B3">
        <w:rPr>
          <w:szCs w:val="22"/>
          <w:lang w:val="hu-HU"/>
        </w:rPr>
        <w:t>-kezelés befejezését követően, mert ez káros hatással lehet csecsemőjére</w:t>
      </w:r>
      <w:r w:rsidRPr="00D045B3">
        <w:rPr>
          <w:color w:val="000000"/>
          <w:szCs w:val="22"/>
          <w:lang w:val="hu-HU"/>
        </w:rPr>
        <w:t>.</w:t>
      </w:r>
    </w:p>
    <w:p w14:paraId="1E927D0D" w14:textId="77777777" w:rsidR="00611231" w:rsidRPr="00D045B3" w:rsidRDefault="002A776A" w:rsidP="00E95370">
      <w:pPr>
        <w:widowControl w:val="0"/>
        <w:numPr>
          <w:ilvl w:val="0"/>
          <w:numId w:val="17"/>
        </w:numPr>
        <w:tabs>
          <w:tab w:val="clear" w:pos="567"/>
        </w:tabs>
        <w:spacing w:line="240" w:lineRule="auto"/>
        <w:ind w:left="567" w:hanging="567"/>
        <w:rPr>
          <w:color w:val="000000"/>
          <w:szCs w:val="22"/>
          <w:lang w:val="hu-HU"/>
        </w:rPr>
      </w:pPr>
      <w:r w:rsidRPr="00D045B3">
        <w:rPr>
          <w:szCs w:val="22"/>
          <w:lang w:val="hu-HU"/>
        </w:rPr>
        <w:t xml:space="preserve">Azon betegek, akiket aggasztanak a </w:t>
      </w:r>
      <w:r w:rsidR="00611231" w:rsidRPr="00D045B3">
        <w:rPr>
          <w:szCs w:val="22"/>
          <w:lang w:val="hu-HU"/>
        </w:rPr>
        <w:t>termékenységük</w:t>
      </w:r>
      <w:r w:rsidRPr="00D045B3">
        <w:rPr>
          <w:szCs w:val="22"/>
          <w:lang w:val="hu-HU"/>
        </w:rPr>
        <w:t>kel kapcsolatos kérdések, az</w:t>
      </w:r>
      <w:r w:rsidR="00611231" w:rsidRPr="00D045B3">
        <w:rPr>
          <w:szCs w:val="22"/>
          <w:lang w:val="hu-HU"/>
        </w:rPr>
        <w:t xml:space="preserve"> Imatinib Actavis</w:t>
      </w:r>
      <w:r w:rsidRPr="00D045B3">
        <w:rPr>
          <w:szCs w:val="22"/>
          <w:lang w:val="hu-HU"/>
        </w:rPr>
        <w:t xml:space="preserve"> szedése alatt, forduljanak tanácsért kezelőorvosukhoz</w:t>
      </w:r>
      <w:r w:rsidR="00611231" w:rsidRPr="00D045B3">
        <w:rPr>
          <w:szCs w:val="22"/>
          <w:lang w:val="hu-HU"/>
        </w:rPr>
        <w:t>.</w:t>
      </w:r>
    </w:p>
    <w:p w14:paraId="1E927D0E" w14:textId="77777777" w:rsidR="00611231" w:rsidRPr="00D045B3" w:rsidRDefault="00611231" w:rsidP="00611231">
      <w:pPr>
        <w:spacing w:line="240" w:lineRule="auto"/>
        <w:rPr>
          <w:color w:val="000000"/>
          <w:szCs w:val="22"/>
          <w:lang w:val="hu-HU"/>
        </w:rPr>
      </w:pPr>
    </w:p>
    <w:p w14:paraId="1E927D0F" w14:textId="77777777" w:rsidR="00611231" w:rsidRPr="00D045B3" w:rsidRDefault="00611231" w:rsidP="002A776A">
      <w:pPr>
        <w:keepNext/>
        <w:spacing w:line="240" w:lineRule="auto"/>
        <w:ind w:right="-28"/>
        <w:rPr>
          <w:b/>
          <w:color w:val="000000"/>
          <w:szCs w:val="22"/>
          <w:lang w:val="hu-HU"/>
        </w:rPr>
      </w:pPr>
      <w:r w:rsidRPr="00D045B3">
        <w:rPr>
          <w:b/>
          <w:color w:val="000000"/>
          <w:szCs w:val="22"/>
          <w:lang w:val="hu-HU"/>
        </w:rPr>
        <w:t xml:space="preserve">A készítmény hatásai a gépjárművezetéshez és </w:t>
      </w:r>
      <w:r w:rsidR="00B44A2D" w:rsidRPr="00D045B3">
        <w:rPr>
          <w:b/>
          <w:color w:val="000000"/>
          <w:szCs w:val="22"/>
          <w:lang w:val="hu-HU"/>
        </w:rPr>
        <w:t xml:space="preserve">a </w:t>
      </w:r>
      <w:r w:rsidRPr="00D045B3">
        <w:rPr>
          <w:b/>
          <w:color w:val="000000"/>
          <w:szCs w:val="22"/>
          <w:lang w:val="hu-HU"/>
        </w:rPr>
        <w:t>gépek kezeléséhez szükséges képességekre</w:t>
      </w:r>
    </w:p>
    <w:p w14:paraId="1E927D10" w14:textId="78C88099" w:rsidR="00611231" w:rsidRPr="00D045B3" w:rsidRDefault="00611231" w:rsidP="00CA41FD">
      <w:pPr>
        <w:spacing w:line="240" w:lineRule="auto"/>
        <w:ind w:right="-28"/>
        <w:rPr>
          <w:color w:val="000000"/>
          <w:szCs w:val="22"/>
          <w:lang w:val="hu-HU"/>
        </w:rPr>
      </w:pPr>
      <w:r w:rsidRPr="00D045B3">
        <w:rPr>
          <w:color w:val="000000"/>
          <w:szCs w:val="22"/>
          <w:lang w:val="hu-HU"/>
        </w:rPr>
        <w:t>A gyógyszer szedésének ideje alatt szédülhet vagy látása homályossá válhat. Ilyenkor ne vezessen, illetve ne használjon gépeket, amíg nem érzi ismét jól magát.</w:t>
      </w:r>
    </w:p>
    <w:p w14:paraId="3EFA694A" w14:textId="27A61187" w:rsidR="000B72A2" w:rsidRPr="00D045B3" w:rsidRDefault="000B72A2" w:rsidP="00CA41FD">
      <w:pPr>
        <w:spacing w:line="240" w:lineRule="auto"/>
        <w:ind w:right="-28"/>
        <w:rPr>
          <w:color w:val="000000"/>
          <w:szCs w:val="22"/>
          <w:lang w:val="hu-HU"/>
        </w:rPr>
      </w:pPr>
    </w:p>
    <w:p w14:paraId="28FB331F" w14:textId="69D49D9D" w:rsidR="000B72A2" w:rsidRPr="00D045B3" w:rsidRDefault="000B72A2" w:rsidP="00CA41FD">
      <w:pPr>
        <w:spacing w:line="240" w:lineRule="auto"/>
        <w:ind w:right="-28"/>
        <w:rPr>
          <w:b/>
          <w:bCs/>
          <w:color w:val="000000"/>
          <w:szCs w:val="22"/>
          <w:lang w:val="hu-HU"/>
        </w:rPr>
      </w:pPr>
      <w:r w:rsidRPr="00D045B3">
        <w:rPr>
          <w:b/>
          <w:bCs/>
          <w:color w:val="000000"/>
          <w:szCs w:val="22"/>
          <w:lang w:val="hu-HU"/>
        </w:rPr>
        <w:t>Az Imatinib Activis nátriumot tartalmaz</w:t>
      </w:r>
    </w:p>
    <w:p w14:paraId="3E34CE45" w14:textId="6B16525C" w:rsidR="000B72A2" w:rsidRPr="00D045B3" w:rsidRDefault="006970F2" w:rsidP="00A074F7">
      <w:pPr>
        <w:rPr>
          <w:b/>
          <w:bCs/>
          <w:color w:val="000000"/>
          <w:szCs w:val="22"/>
          <w:lang w:val="hu-HU"/>
        </w:rPr>
      </w:pPr>
      <w:r w:rsidRPr="00D045B3">
        <w:rPr>
          <w:lang w:val="hu-HU"/>
        </w:rPr>
        <w:t>A készítmény kevesebb, mint 1 </w:t>
      </w:r>
      <w:r w:rsidR="000B72A2" w:rsidRPr="00D045B3">
        <w:rPr>
          <w:lang w:val="hu-HU"/>
        </w:rPr>
        <w:t>mm</w:t>
      </w:r>
      <w:r w:rsidRPr="00D045B3">
        <w:rPr>
          <w:lang w:val="hu-HU"/>
        </w:rPr>
        <w:t>ol (23 </w:t>
      </w:r>
      <w:r w:rsidR="000B72A2" w:rsidRPr="00D045B3">
        <w:rPr>
          <w:lang w:val="hu-HU"/>
        </w:rPr>
        <w:t>mg) nátriumot tartalmaz kemény kapszulánként, azaz gyakorlatilag „nátriummentes”.</w:t>
      </w:r>
    </w:p>
    <w:p w14:paraId="1E927D11" w14:textId="7B898833" w:rsidR="00611231" w:rsidRPr="00D045B3" w:rsidRDefault="00611231" w:rsidP="00611231">
      <w:pPr>
        <w:spacing w:line="240" w:lineRule="auto"/>
        <w:ind w:right="-29"/>
        <w:rPr>
          <w:color w:val="000000"/>
          <w:szCs w:val="22"/>
          <w:lang w:val="hu-HU"/>
        </w:rPr>
      </w:pPr>
    </w:p>
    <w:p w14:paraId="1E927D12" w14:textId="77777777" w:rsidR="00611231" w:rsidRPr="00D045B3" w:rsidRDefault="00611231" w:rsidP="00611231">
      <w:pPr>
        <w:spacing w:line="240" w:lineRule="auto"/>
        <w:ind w:right="-2"/>
        <w:rPr>
          <w:color w:val="000000"/>
          <w:szCs w:val="22"/>
          <w:lang w:val="hu-HU"/>
        </w:rPr>
      </w:pPr>
    </w:p>
    <w:p w14:paraId="1E927D13" w14:textId="77777777" w:rsidR="00611231" w:rsidRPr="00D045B3" w:rsidRDefault="00611231" w:rsidP="00832AFA">
      <w:pPr>
        <w:keepNext/>
        <w:spacing w:line="240" w:lineRule="auto"/>
        <w:ind w:left="567" w:right="-29" w:hanging="567"/>
        <w:rPr>
          <w:b/>
          <w:color w:val="000000"/>
          <w:szCs w:val="22"/>
          <w:lang w:val="hu-HU"/>
        </w:rPr>
      </w:pPr>
      <w:r w:rsidRPr="00D045B3">
        <w:rPr>
          <w:b/>
          <w:color w:val="000000"/>
          <w:szCs w:val="22"/>
          <w:lang w:val="hu-HU"/>
        </w:rPr>
        <w:t>3.</w:t>
      </w:r>
      <w:r w:rsidRPr="00D045B3">
        <w:rPr>
          <w:b/>
          <w:color w:val="000000"/>
          <w:szCs w:val="22"/>
          <w:lang w:val="hu-HU"/>
        </w:rPr>
        <w:tab/>
        <w:t>Hogyan kell szedni az Imatinib Actavis</w:t>
      </w:r>
      <w:r w:rsidR="002A776A" w:rsidRPr="00D045B3">
        <w:rPr>
          <w:b/>
          <w:color w:val="000000"/>
          <w:szCs w:val="22"/>
          <w:lang w:val="hu-HU"/>
        </w:rPr>
        <w:noBreakHyphen/>
      </w:r>
      <w:r w:rsidRPr="00D045B3">
        <w:rPr>
          <w:b/>
          <w:color w:val="000000"/>
          <w:szCs w:val="22"/>
          <w:lang w:val="hu-HU"/>
        </w:rPr>
        <w:t>t?</w:t>
      </w:r>
    </w:p>
    <w:p w14:paraId="1E927D14" w14:textId="77777777" w:rsidR="00611231" w:rsidRPr="00D045B3" w:rsidRDefault="00611231" w:rsidP="00832AFA">
      <w:pPr>
        <w:keepNext/>
        <w:spacing w:line="240" w:lineRule="auto"/>
        <w:ind w:left="567" w:right="-2" w:hanging="567"/>
        <w:rPr>
          <w:color w:val="000000"/>
          <w:szCs w:val="22"/>
          <w:lang w:val="hu-HU"/>
        </w:rPr>
      </w:pPr>
    </w:p>
    <w:p w14:paraId="1E927D15" w14:textId="77777777" w:rsidR="00611231" w:rsidRPr="00D045B3" w:rsidRDefault="00611231" w:rsidP="00CA41FD">
      <w:pPr>
        <w:spacing w:line="240" w:lineRule="auto"/>
        <w:rPr>
          <w:color w:val="000000"/>
          <w:szCs w:val="22"/>
          <w:lang w:val="hu-HU"/>
        </w:rPr>
      </w:pPr>
      <w:r w:rsidRPr="00D045B3">
        <w:rPr>
          <w:color w:val="000000"/>
          <w:szCs w:val="22"/>
          <w:lang w:val="hu-HU"/>
        </w:rPr>
        <w:t>Kezelőorvosa</w:t>
      </w:r>
      <w:r w:rsidR="002A776A" w:rsidRPr="00D045B3">
        <w:rPr>
          <w:color w:val="000000"/>
          <w:szCs w:val="22"/>
          <w:lang w:val="hu-HU"/>
        </w:rPr>
        <w:t xml:space="preserve"> azért rendelte Önnek az</w:t>
      </w:r>
      <w:r w:rsidRPr="00D045B3">
        <w:rPr>
          <w:color w:val="000000"/>
          <w:szCs w:val="22"/>
          <w:lang w:val="hu-HU"/>
        </w:rPr>
        <w:t xml:space="preserve"> Imatinib Actavis</w:t>
      </w:r>
      <w:r w:rsidRPr="00D045B3">
        <w:rPr>
          <w:color w:val="000000"/>
          <w:szCs w:val="22"/>
          <w:lang w:val="hu-HU"/>
        </w:rPr>
        <w:noBreakHyphen/>
      </w:r>
      <w:r w:rsidR="002A776A" w:rsidRPr="00D045B3">
        <w:rPr>
          <w:color w:val="000000"/>
          <w:szCs w:val="22"/>
          <w:lang w:val="hu-HU"/>
        </w:rPr>
        <w:t>t</w:t>
      </w:r>
      <w:r w:rsidRPr="00D045B3">
        <w:rPr>
          <w:color w:val="000000"/>
          <w:szCs w:val="22"/>
          <w:lang w:val="hu-HU"/>
        </w:rPr>
        <w:t>, mert Ön súlyos betegségben szenved. Az Imatinib Actavis segíthet Önnek a betegséggel szembeni küzdelemben.</w:t>
      </w:r>
    </w:p>
    <w:p w14:paraId="1E927D16" w14:textId="77777777" w:rsidR="00611231" w:rsidRPr="00D045B3" w:rsidRDefault="00611231" w:rsidP="00611231">
      <w:pPr>
        <w:spacing w:line="240" w:lineRule="auto"/>
        <w:ind w:right="-2"/>
        <w:rPr>
          <w:color w:val="000000"/>
          <w:szCs w:val="22"/>
          <w:lang w:val="hu-HU"/>
        </w:rPr>
      </w:pPr>
    </w:p>
    <w:p w14:paraId="1E927D17" w14:textId="77777777" w:rsidR="00611231" w:rsidRPr="00D045B3" w:rsidRDefault="00611231" w:rsidP="00611231">
      <w:pPr>
        <w:spacing w:line="240" w:lineRule="auto"/>
        <w:ind w:right="-2"/>
        <w:rPr>
          <w:color w:val="000000"/>
          <w:szCs w:val="22"/>
          <w:lang w:val="hu-HU"/>
        </w:rPr>
      </w:pPr>
      <w:r w:rsidRPr="00D045B3">
        <w:rPr>
          <w:color w:val="000000"/>
          <w:szCs w:val="22"/>
          <w:lang w:val="hu-HU"/>
        </w:rPr>
        <w:t xml:space="preserve">Azonban, </w:t>
      </w:r>
      <w:r w:rsidRPr="00D045B3">
        <w:rPr>
          <w:noProof/>
          <w:color w:val="000000"/>
          <w:szCs w:val="22"/>
          <w:lang w:val="hu-HU"/>
        </w:rPr>
        <w:t xml:space="preserve">a </w:t>
      </w:r>
      <w:r w:rsidRPr="00D045B3">
        <w:rPr>
          <w:noProof/>
          <w:szCs w:val="22"/>
          <w:lang w:val="hu-HU"/>
        </w:rPr>
        <w:t>gyógyszert</w:t>
      </w:r>
      <w:r w:rsidRPr="00D045B3">
        <w:rPr>
          <w:szCs w:val="22"/>
          <w:lang w:val="hu-HU"/>
        </w:rPr>
        <w:t xml:space="preserve"> </w:t>
      </w:r>
      <w:r w:rsidRPr="00D045B3">
        <w:rPr>
          <w:noProof/>
          <w:color w:val="000000"/>
          <w:szCs w:val="22"/>
          <w:lang w:val="hu-HU"/>
        </w:rPr>
        <w:t xml:space="preserve">mindig a </w:t>
      </w:r>
      <w:r w:rsidRPr="00D045B3">
        <w:rPr>
          <w:noProof/>
          <w:szCs w:val="22"/>
          <w:lang w:val="hu-HU"/>
        </w:rPr>
        <w:t>kezelőorvosa vagy gyógyszerésze</w:t>
      </w:r>
      <w:r w:rsidRPr="00D045B3">
        <w:rPr>
          <w:noProof/>
          <w:color w:val="000000"/>
          <w:szCs w:val="22"/>
          <w:lang w:val="hu-HU"/>
        </w:rPr>
        <w:t xml:space="preserve"> által elmondottaknak megfelelően szedje. Fontos, hogy ezt mindaddig tegye, amíg kezelőorvosa előírja. </w:t>
      </w:r>
      <w:r w:rsidRPr="00D045B3">
        <w:rPr>
          <w:color w:val="000000"/>
          <w:szCs w:val="22"/>
          <w:lang w:val="hu-HU"/>
        </w:rPr>
        <w:t xml:space="preserve">Amennyiben nem biztos az adagolást illetően, kérdezze meg </w:t>
      </w:r>
      <w:r w:rsidRPr="00D045B3">
        <w:rPr>
          <w:noProof/>
          <w:szCs w:val="22"/>
          <w:lang w:val="hu-HU"/>
        </w:rPr>
        <w:t xml:space="preserve">kezelőorvosát </w:t>
      </w:r>
      <w:r w:rsidRPr="00D045B3">
        <w:rPr>
          <w:color w:val="000000"/>
          <w:szCs w:val="22"/>
          <w:lang w:val="hu-HU"/>
        </w:rPr>
        <w:t>vagy gyógyszerészét.</w:t>
      </w:r>
    </w:p>
    <w:p w14:paraId="1E927D18" w14:textId="77777777" w:rsidR="00611231" w:rsidRPr="00D045B3" w:rsidRDefault="00611231" w:rsidP="00611231">
      <w:pPr>
        <w:spacing w:line="240" w:lineRule="auto"/>
        <w:ind w:right="-2"/>
        <w:rPr>
          <w:color w:val="000000"/>
          <w:szCs w:val="22"/>
          <w:lang w:val="hu-HU"/>
        </w:rPr>
      </w:pPr>
    </w:p>
    <w:p w14:paraId="1E927D19" w14:textId="074A9E3D" w:rsidR="00611231" w:rsidRPr="00D045B3" w:rsidRDefault="00611231" w:rsidP="00611231">
      <w:pPr>
        <w:spacing w:line="240" w:lineRule="auto"/>
        <w:ind w:right="-2"/>
        <w:rPr>
          <w:color w:val="000000"/>
          <w:szCs w:val="22"/>
          <w:lang w:val="hu-HU"/>
        </w:rPr>
      </w:pPr>
      <w:r w:rsidRPr="00D045B3">
        <w:rPr>
          <w:color w:val="000000"/>
          <w:szCs w:val="22"/>
          <w:lang w:val="hu-HU"/>
        </w:rPr>
        <w:t xml:space="preserve">Ne hagyja abba az Imatinib Actavis szedését, </w:t>
      </w:r>
      <w:r w:rsidR="002A776A" w:rsidRPr="00D045B3">
        <w:rPr>
          <w:color w:val="000000"/>
          <w:szCs w:val="22"/>
          <w:lang w:val="hu-HU"/>
        </w:rPr>
        <w:t>csak akkor, ha</w:t>
      </w:r>
      <w:r w:rsidRPr="00D045B3">
        <w:rPr>
          <w:color w:val="000000"/>
          <w:szCs w:val="22"/>
          <w:lang w:val="hu-HU"/>
        </w:rPr>
        <w:t xml:space="preserve"> </w:t>
      </w:r>
      <w:r w:rsidR="00C06676" w:rsidRPr="00D045B3">
        <w:rPr>
          <w:color w:val="000000"/>
          <w:szCs w:val="22"/>
          <w:lang w:val="hu-HU"/>
        </w:rPr>
        <w:t xml:space="preserve">a </w:t>
      </w:r>
      <w:r w:rsidR="00AA2E59" w:rsidRPr="00D045B3">
        <w:rPr>
          <w:color w:val="000000"/>
          <w:szCs w:val="22"/>
          <w:lang w:val="hu-HU"/>
        </w:rPr>
        <w:t>kezelő</w:t>
      </w:r>
      <w:r w:rsidRPr="00D045B3">
        <w:rPr>
          <w:color w:val="000000"/>
          <w:szCs w:val="22"/>
          <w:lang w:val="hu-HU"/>
        </w:rPr>
        <w:t xml:space="preserve">orvosa </w:t>
      </w:r>
      <w:r w:rsidR="000056AE" w:rsidRPr="00D045B3">
        <w:rPr>
          <w:color w:val="000000"/>
          <w:szCs w:val="22"/>
          <w:lang w:val="hu-HU"/>
        </w:rPr>
        <w:t>úgy rendelkezik</w:t>
      </w:r>
      <w:r w:rsidRPr="00D045B3">
        <w:rPr>
          <w:color w:val="000000"/>
          <w:szCs w:val="22"/>
          <w:lang w:val="hu-HU"/>
        </w:rPr>
        <w:t xml:space="preserve">. </w:t>
      </w:r>
      <w:r w:rsidR="002A776A" w:rsidRPr="00D045B3">
        <w:rPr>
          <w:color w:val="000000"/>
          <w:szCs w:val="22"/>
          <w:lang w:val="hu-HU"/>
        </w:rPr>
        <w:t>Amennyiben</w:t>
      </w:r>
      <w:r w:rsidRPr="00D045B3">
        <w:rPr>
          <w:color w:val="000000"/>
          <w:szCs w:val="22"/>
          <w:lang w:val="hu-HU"/>
        </w:rPr>
        <w:t xml:space="preserve"> nem tudja a gyógyszert az orvos által előírtaknak megfelelően szedni, vagy ha úgy érzi, hogy már nincs rá szüksége, azonnal </w:t>
      </w:r>
      <w:r w:rsidR="002A776A" w:rsidRPr="00D045B3">
        <w:rPr>
          <w:color w:val="000000"/>
          <w:szCs w:val="22"/>
          <w:lang w:val="hu-HU"/>
        </w:rPr>
        <w:t>forduljon kezelőorvosához</w:t>
      </w:r>
      <w:r w:rsidRPr="00D045B3">
        <w:rPr>
          <w:color w:val="000000"/>
          <w:szCs w:val="22"/>
          <w:lang w:val="hu-HU"/>
        </w:rPr>
        <w:t>.</w:t>
      </w:r>
    </w:p>
    <w:p w14:paraId="1E927D1A" w14:textId="77777777" w:rsidR="00611231" w:rsidRPr="00D045B3" w:rsidRDefault="00611231" w:rsidP="00611231">
      <w:pPr>
        <w:spacing w:line="240" w:lineRule="auto"/>
        <w:ind w:right="-2"/>
        <w:rPr>
          <w:color w:val="000000"/>
          <w:szCs w:val="22"/>
          <w:lang w:val="hu-HU"/>
        </w:rPr>
      </w:pPr>
    </w:p>
    <w:p w14:paraId="1E927D1B" w14:textId="77777777" w:rsidR="00611231" w:rsidRPr="00D045B3" w:rsidRDefault="00611231" w:rsidP="00832AFA">
      <w:pPr>
        <w:keepNext/>
        <w:spacing w:line="240" w:lineRule="auto"/>
        <w:rPr>
          <w:b/>
          <w:color w:val="000000"/>
          <w:szCs w:val="22"/>
          <w:lang w:val="hu-HU"/>
        </w:rPr>
      </w:pPr>
      <w:r w:rsidRPr="00D045B3">
        <w:rPr>
          <w:b/>
          <w:color w:val="000000"/>
          <w:szCs w:val="22"/>
          <w:lang w:val="hu-HU"/>
        </w:rPr>
        <w:t>Mennyi Imatinib Actavis</w:t>
      </w:r>
      <w:r w:rsidR="002A776A" w:rsidRPr="00D045B3">
        <w:rPr>
          <w:b/>
          <w:color w:val="000000"/>
          <w:szCs w:val="22"/>
          <w:lang w:val="hu-HU"/>
        </w:rPr>
        <w:noBreakHyphen/>
      </w:r>
      <w:r w:rsidRPr="00D045B3">
        <w:rPr>
          <w:b/>
          <w:color w:val="000000"/>
          <w:szCs w:val="22"/>
          <w:lang w:val="hu-HU"/>
        </w:rPr>
        <w:t>t kell bevenni</w:t>
      </w:r>
      <w:r w:rsidR="002A776A" w:rsidRPr="00D045B3">
        <w:rPr>
          <w:b/>
          <w:color w:val="000000"/>
          <w:szCs w:val="22"/>
          <w:lang w:val="hu-HU"/>
        </w:rPr>
        <w:t>e</w:t>
      </w:r>
      <w:r w:rsidRPr="00D045B3">
        <w:rPr>
          <w:b/>
          <w:color w:val="000000"/>
          <w:szCs w:val="22"/>
          <w:lang w:val="hu-HU"/>
        </w:rPr>
        <w:t>?</w:t>
      </w:r>
    </w:p>
    <w:p w14:paraId="1E927D1C" w14:textId="77777777" w:rsidR="00611231" w:rsidRPr="00D045B3" w:rsidRDefault="00611231" w:rsidP="00832AFA">
      <w:pPr>
        <w:keepNext/>
        <w:spacing w:line="240" w:lineRule="auto"/>
        <w:rPr>
          <w:color w:val="000000"/>
          <w:szCs w:val="22"/>
          <w:lang w:val="hu-HU"/>
        </w:rPr>
      </w:pPr>
    </w:p>
    <w:p w14:paraId="1E927D1D" w14:textId="77777777" w:rsidR="00611231" w:rsidRPr="00D045B3" w:rsidRDefault="00611231" w:rsidP="00832AFA">
      <w:pPr>
        <w:keepNext/>
        <w:spacing w:line="240" w:lineRule="auto"/>
        <w:rPr>
          <w:b/>
          <w:color w:val="000000"/>
          <w:szCs w:val="22"/>
          <w:lang w:val="hu-HU"/>
        </w:rPr>
      </w:pPr>
      <w:r w:rsidRPr="00D045B3">
        <w:rPr>
          <w:b/>
          <w:color w:val="000000"/>
          <w:szCs w:val="22"/>
          <w:lang w:val="hu-HU"/>
        </w:rPr>
        <w:t>Alkalmazása felnőtteknél</w:t>
      </w:r>
    </w:p>
    <w:p w14:paraId="1E927D1E" w14:textId="77777777" w:rsidR="00611231" w:rsidRPr="00D045B3" w:rsidRDefault="00832AFA" w:rsidP="00832AFA">
      <w:pPr>
        <w:keepNext/>
        <w:spacing w:line="240" w:lineRule="auto"/>
        <w:rPr>
          <w:color w:val="000000"/>
          <w:szCs w:val="22"/>
          <w:lang w:val="hu-HU"/>
        </w:rPr>
      </w:pPr>
      <w:r w:rsidRPr="00D045B3">
        <w:rPr>
          <w:color w:val="000000"/>
          <w:szCs w:val="22"/>
          <w:lang w:val="hu-HU"/>
        </w:rPr>
        <w:t>Kezelőo</w:t>
      </w:r>
      <w:r w:rsidR="00611231" w:rsidRPr="00D045B3">
        <w:rPr>
          <w:color w:val="000000"/>
          <w:szCs w:val="22"/>
          <w:lang w:val="hu-HU"/>
        </w:rPr>
        <w:t>rvosa megmondja, hogy pontosan hány Imatinib Actavis kapszulát kell bevennie.</w:t>
      </w:r>
    </w:p>
    <w:p w14:paraId="1E927D1F" w14:textId="77777777" w:rsidR="00903E70" w:rsidRPr="00D045B3" w:rsidRDefault="00903E70" w:rsidP="00832AFA">
      <w:pPr>
        <w:keepNext/>
        <w:spacing w:line="240" w:lineRule="auto"/>
        <w:rPr>
          <w:color w:val="000000"/>
          <w:szCs w:val="22"/>
          <w:lang w:val="hu-HU"/>
        </w:rPr>
      </w:pPr>
    </w:p>
    <w:p w14:paraId="1E927D20" w14:textId="77777777" w:rsidR="00903E70" w:rsidRPr="00D045B3" w:rsidRDefault="00903E70" w:rsidP="00E95370">
      <w:pPr>
        <w:numPr>
          <w:ilvl w:val="0"/>
          <w:numId w:val="27"/>
        </w:numPr>
        <w:spacing w:line="240" w:lineRule="auto"/>
        <w:ind w:left="567" w:right="-2" w:hanging="567"/>
        <w:rPr>
          <w:b/>
          <w:color w:val="000000"/>
          <w:szCs w:val="22"/>
          <w:lang w:val="hu-HU"/>
        </w:rPr>
      </w:pPr>
      <w:r w:rsidRPr="00D045B3">
        <w:rPr>
          <w:b/>
          <w:color w:val="000000"/>
          <w:szCs w:val="22"/>
          <w:lang w:val="hu-HU"/>
        </w:rPr>
        <w:t>Ha CML miatt kezelik:</w:t>
      </w:r>
    </w:p>
    <w:p w14:paraId="1E927D24" w14:textId="77777777" w:rsidR="00611231" w:rsidRPr="00D045B3" w:rsidRDefault="00832AFA" w:rsidP="008A6837">
      <w:pPr>
        <w:spacing w:line="240" w:lineRule="auto"/>
        <w:ind w:left="567" w:right="-2"/>
        <w:rPr>
          <w:b/>
          <w:color w:val="000000"/>
          <w:szCs w:val="22"/>
          <w:lang w:val="hu-HU"/>
        </w:rPr>
      </w:pPr>
      <w:r w:rsidRPr="00D045B3">
        <w:rPr>
          <w:color w:val="000000"/>
          <w:szCs w:val="22"/>
          <w:lang w:val="hu-HU"/>
        </w:rPr>
        <w:t>A</w:t>
      </w:r>
      <w:r w:rsidR="00903E70" w:rsidRPr="00D045B3">
        <w:rPr>
          <w:color w:val="000000"/>
          <w:szCs w:val="22"/>
          <w:lang w:val="hu-HU"/>
        </w:rPr>
        <w:t xml:space="preserve"> szokásos</w:t>
      </w:r>
      <w:r w:rsidRPr="00D045B3">
        <w:rPr>
          <w:color w:val="000000"/>
          <w:szCs w:val="22"/>
          <w:lang w:val="hu-HU"/>
        </w:rPr>
        <w:t xml:space="preserve"> kezdő adag </w:t>
      </w:r>
      <w:r w:rsidRPr="00D045B3">
        <w:rPr>
          <w:b/>
          <w:color w:val="000000"/>
          <w:szCs w:val="22"/>
          <w:lang w:val="hu-HU"/>
        </w:rPr>
        <w:t>600 mg</w:t>
      </w:r>
      <w:r w:rsidRPr="00D045B3">
        <w:rPr>
          <w:color w:val="000000"/>
          <w:szCs w:val="22"/>
          <w:lang w:val="hu-HU"/>
        </w:rPr>
        <w:t xml:space="preserve">, amit naponta </w:t>
      </w:r>
      <w:r w:rsidRPr="00D045B3">
        <w:rPr>
          <w:b/>
          <w:color w:val="000000"/>
          <w:szCs w:val="22"/>
          <w:lang w:val="hu-HU"/>
        </w:rPr>
        <w:t xml:space="preserve">egyszer, </w:t>
      </w:r>
      <w:r w:rsidRPr="00D045B3">
        <w:rPr>
          <w:color w:val="000000"/>
          <w:szCs w:val="22"/>
          <w:lang w:val="hu-HU"/>
        </w:rPr>
        <w:t>12 db kapszula formájában kell bevennie</w:t>
      </w:r>
      <w:r w:rsidRPr="00D045B3">
        <w:rPr>
          <w:b/>
          <w:color w:val="000000"/>
          <w:szCs w:val="22"/>
          <w:lang w:val="hu-HU"/>
        </w:rPr>
        <w:t>.</w:t>
      </w:r>
    </w:p>
    <w:p w14:paraId="1E927D25" w14:textId="77777777" w:rsidR="00611231" w:rsidRPr="00D045B3" w:rsidRDefault="00611231" w:rsidP="00611231">
      <w:pPr>
        <w:spacing w:line="240" w:lineRule="auto"/>
        <w:ind w:right="-2"/>
        <w:rPr>
          <w:color w:val="000000"/>
          <w:szCs w:val="22"/>
          <w:lang w:val="hu-HU"/>
        </w:rPr>
      </w:pPr>
    </w:p>
    <w:p w14:paraId="1E927D26" w14:textId="77777777" w:rsidR="00FD4962" w:rsidRPr="00D045B3" w:rsidRDefault="00FD4962" w:rsidP="00903E70">
      <w:pPr>
        <w:spacing w:line="240" w:lineRule="auto"/>
        <w:ind w:right="-2"/>
        <w:rPr>
          <w:color w:val="000000"/>
          <w:szCs w:val="22"/>
          <w:lang w:val="hu-HU"/>
        </w:rPr>
      </w:pPr>
      <w:r w:rsidRPr="00D045B3">
        <w:rPr>
          <w:color w:val="000000"/>
          <w:szCs w:val="22"/>
          <w:lang w:val="hu-HU"/>
        </w:rPr>
        <w:t xml:space="preserve">Kezelőorvosa nagyobb vagy kisebb adagokat írhat elő, attól függően, hogy Ön miként reagál a kezelésre. </w:t>
      </w:r>
    </w:p>
    <w:p w14:paraId="1E927D27" w14:textId="77777777" w:rsidR="00FD4962" w:rsidRPr="00D045B3" w:rsidRDefault="00FD4962" w:rsidP="00611231">
      <w:pPr>
        <w:spacing w:line="240" w:lineRule="auto"/>
        <w:ind w:right="-2"/>
        <w:rPr>
          <w:color w:val="000000"/>
          <w:szCs w:val="22"/>
          <w:lang w:val="hu-HU"/>
        </w:rPr>
      </w:pPr>
      <w:r w:rsidRPr="00D045B3">
        <w:rPr>
          <w:color w:val="000000"/>
          <w:szCs w:val="22"/>
          <w:lang w:val="hu-HU"/>
        </w:rPr>
        <w:t>Ha az Ön napi adagja 800 mg (16 kapszula), akkor 8 kapszulát kell bevennie reggel és 8 kapszulát este.</w:t>
      </w:r>
    </w:p>
    <w:p w14:paraId="1E927D28" w14:textId="77777777" w:rsidR="00FD4962" w:rsidRPr="00D045B3" w:rsidRDefault="00FD4962" w:rsidP="00611231">
      <w:pPr>
        <w:spacing w:line="240" w:lineRule="auto"/>
        <w:ind w:right="-2"/>
        <w:rPr>
          <w:color w:val="000000"/>
          <w:szCs w:val="22"/>
          <w:lang w:val="hu-HU"/>
        </w:rPr>
      </w:pPr>
    </w:p>
    <w:p w14:paraId="1E927D29" w14:textId="77777777" w:rsidR="00E02C2F" w:rsidRPr="00D045B3" w:rsidRDefault="00E02C2F" w:rsidP="00E95370">
      <w:pPr>
        <w:pStyle w:val="Default"/>
        <w:keepNext/>
        <w:numPr>
          <w:ilvl w:val="0"/>
          <w:numId w:val="27"/>
        </w:numPr>
        <w:ind w:left="567" w:hanging="567"/>
        <w:rPr>
          <w:sz w:val="22"/>
          <w:szCs w:val="22"/>
        </w:rPr>
      </w:pPr>
      <w:r w:rsidRPr="00D045B3">
        <w:rPr>
          <w:b/>
          <w:bCs/>
          <w:sz w:val="22"/>
          <w:szCs w:val="22"/>
        </w:rPr>
        <w:t xml:space="preserve">Ha Önt Ph-pozitív ALL miatt kezelik: </w:t>
      </w:r>
    </w:p>
    <w:p w14:paraId="1E927D2A" w14:textId="77777777" w:rsidR="00E02C2F" w:rsidRPr="00D045B3" w:rsidRDefault="00E02C2F" w:rsidP="008A6837">
      <w:pPr>
        <w:pStyle w:val="Default"/>
        <w:keepNext/>
        <w:ind w:left="567"/>
        <w:rPr>
          <w:sz w:val="22"/>
          <w:szCs w:val="22"/>
        </w:rPr>
      </w:pPr>
      <w:r w:rsidRPr="00D045B3">
        <w:rPr>
          <w:sz w:val="22"/>
          <w:szCs w:val="22"/>
        </w:rPr>
        <w:t>A kezdő adag 600 mg, am</w:t>
      </w:r>
      <w:r w:rsidR="00583859" w:rsidRPr="00D045B3">
        <w:rPr>
          <w:sz w:val="22"/>
          <w:szCs w:val="22"/>
        </w:rPr>
        <w:t>it</w:t>
      </w:r>
      <w:r w:rsidRPr="00D045B3">
        <w:rPr>
          <w:sz w:val="22"/>
          <w:szCs w:val="22"/>
        </w:rPr>
        <w:t xml:space="preserve"> 12 db kapszula formájában, naponta </w:t>
      </w:r>
      <w:r w:rsidRPr="00D045B3">
        <w:rPr>
          <w:b/>
          <w:bCs/>
          <w:sz w:val="22"/>
          <w:szCs w:val="22"/>
        </w:rPr>
        <w:t xml:space="preserve">egy alkalommal </w:t>
      </w:r>
      <w:r w:rsidRPr="00D045B3">
        <w:rPr>
          <w:sz w:val="22"/>
          <w:szCs w:val="22"/>
        </w:rPr>
        <w:t>kell bevenni</w:t>
      </w:r>
      <w:r w:rsidR="00583859" w:rsidRPr="00D045B3">
        <w:rPr>
          <w:sz w:val="22"/>
          <w:szCs w:val="22"/>
        </w:rPr>
        <w:t>e</w:t>
      </w:r>
      <w:r w:rsidRPr="00D045B3">
        <w:rPr>
          <w:sz w:val="22"/>
          <w:szCs w:val="22"/>
        </w:rPr>
        <w:t xml:space="preserve">. </w:t>
      </w:r>
    </w:p>
    <w:p w14:paraId="1E927D2B" w14:textId="77777777" w:rsidR="00E02C2F" w:rsidRPr="00D045B3" w:rsidRDefault="00E02C2F" w:rsidP="008A6837">
      <w:pPr>
        <w:pStyle w:val="Default"/>
        <w:keepNext/>
        <w:rPr>
          <w:sz w:val="22"/>
          <w:szCs w:val="22"/>
        </w:rPr>
      </w:pPr>
    </w:p>
    <w:p w14:paraId="1E927D2C" w14:textId="77777777" w:rsidR="00E02C2F" w:rsidRPr="00D045B3" w:rsidRDefault="00E02C2F"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MDS/MPD miatt kezelik: </w:t>
      </w:r>
    </w:p>
    <w:p w14:paraId="1E927D2D" w14:textId="77777777" w:rsidR="00E02C2F" w:rsidRPr="00D045B3" w:rsidRDefault="00E02C2F" w:rsidP="008A6837">
      <w:pPr>
        <w:pStyle w:val="Default"/>
        <w:ind w:left="567"/>
        <w:rPr>
          <w:sz w:val="22"/>
          <w:szCs w:val="22"/>
        </w:rPr>
      </w:pPr>
      <w:r w:rsidRPr="00D045B3">
        <w:rPr>
          <w:sz w:val="22"/>
          <w:szCs w:val="22"/>
        </w:rPr>
        <w:t>A kezdő adag</w:t>
      </w:r>
      <w:r w:rsidR="00583859" w:rsidRPr="00D045B3">
        <w:rPr>
          <w:sz w:val="22"/>
          <w:szCs w:val="22"/>
        </w:rPr>
        <w:t xml:space="preserve"> 400 mg, amit 8 </w:t>
      </w:r>
      <w:r w:rsidRPr="00D045B3">
        <w:rPr>
          <w:sz w:val="22"/>
          <w:szCs w:val="22"/>
        </w:rPr>
        <w:t xml:space="preserve">db kapszula formájában, naponta </w:t>
      </w:r>
      <w:r w:rsidRPr="00D045B3">
        <w:rPr>
          <w:b/>
          <w:bCs/>
          <w:sz w:val="22"/>
          <w:szCs w:val="22"/>
        </w:rPr>
        <w:t xml:space="preserve">egy alkalommal </w:t>
      </w:r>
      <w:r w:rsidRPr="00D045B3">
        <w:rPr>
          <w:sz w:val="22"/>
          <w:szCs w:val="22"/>
        </w:rPr>
        <w:t>kell bevenni</w:t>
      </w:r>
      <w:r w:rsidR="00583859" w:rsidRPr="00D045B3">
        <w:rPr>
          <w:sz w:val="22"/>
          <w:szCs w:val="22"/>
        </w:rPr>
        <w:t>e.</w:t>
      </w:r>
    </w:p>
    <w:p w14:paraId="1E927D2E" w14:textId="77777777" w:rsidR="00583859" w:rsidRPr="00D045B3" w:rsidRDefault="00583859" w:rsidP="008A6837">
      <w:pPr>
        <w:pStyle w:val="Default"/>
        <w:ind w:left="567"/>
        <w:rPr>
          <w:sz w:val="22"/>
          <w:szCs w:val="22"/>
        </w:rPr>
      </w:pPr>
    </w:p>
    <w:p w14:paraId="1E927D2F" w14:textId="77777777" w:rsidR="00E02C2F" w:rsidRPr="00D045B3" w:rsidRDefault="00E02C2F" w:rsidP="008A6837">
      <w:pPr>
        <w:pStyle w:val="Default"/>
        <w:tabs>
          <w:tab w:val="left" w:pos="567"/>
        </w:tabs>
        <w:rPr>
          <w:sz w:val="22"/>
          <w:szCs w:val="22"/>
        </w:rPr>
      </w:pPr>
      <w:r w:rsidRPr="00D045B3">
        <w:rPr>
          <w:sz w:val="22"/>
          <w:szCs w:val="22"/>
        </w:rPr>
        <w:t xml:space="preserve">- </w:t>
      </w:r>
      <w:r w:rsidR="00583859" w:rsidRPr="00D045B3">
        <w:rPr>
          <w:sz w:val="22"/>
          <w:szCs w:val="22"/>
        </w:rPr>
        <w:tab/>
      </w:r>
      <w:r w:rsidRPr="00D045B3">
        <w:rPr>
          <w:b/>
          <w:bCs/>
          <w:sz w:val="22"/>
          <w:szCs w:val="22"/>
        </w:rPr>
        <w:t xml:space="preserve">Ha Önt HES/CEL miatt kezelik: </w:t>
      </w:r>
    </w:p>
    <w:p w14:paraId="1E927D30" w14:textId="77777777" w:rsidR="00E02C2F" w:rsidRPr="00D045B3" w:rsidRDefault="00E02C2F" w:rsidP="008A6837">
      <w:pPr>
        <w:pStyle w:val="Default"/>
        <w:ind w:left="567"/>
        <w:rPr>
          <w:sz w:val="22"/>
          <w:szCs w:val="22"/>
        </w:rPr>
      </w:pPr>
      <w:r w:rsidRPr="00D045B3">
        <w:rPr>
          <w:sz w:val="22"/>
          <w:szCs w:val="22"/>
        </w:rPr>
        <w:t>A kezdő</w:t>
      </w:r>
      <w:r w:rsidR="00583859" w:rsidRPr="00D045B3">
        <w:rPr>
          <w:sz w:val="22"/>
          <w:szCs w:val="22"/>
        </w:rPr>
        <w:t xml:space="preserve"> adag</w:t>
      </w:r>
      <w:r w:rsidR="008F522C" w:rsidRPr="00D045B3">
        <w:rPr>
          <w:sz w:val="22"/>
          <w:szCs w:val="22"/>
        </w:rPr>
        <w:t xml:space="preserve"> 100 </w:t>
      </w:r>
      <w:r w:rsidR="00583859" w:rsidRPr="00D045B3">
        <w:rPr>
          <w:sz w:val="22"/>
          <w:szCs w:val="22"/>
        </w:rPr>
        <w:t>mg, amit 2 </w:t>
      </w:r>
      <w:r w:rsidRPr="00D045B3">
        <w:rPr>
          <w:sz w:val="22"/>
          <w:szCs w:val="22"/>
        </w:rPr>
        <w:t xml:space="preserve">db kapszula formájában, naponta </w:t>
      </w:r>
      <w:r w:rsidRPr="00D045B3">
        <w:rPr>
          <w:b/>
          <w:bCs/>
          <w:sz w:val="22"/>
          <w:szCs w:val="22"/>
        </w:rPr>
        <w:t xml:space="preserve">egy alkalommal </w:t>
      </w:r>
      <w:r w:rsidRPr="00D045B3">
        <w:rPr>
          <w:sz w:val="22"/>
          <w:szCs w:val="22"/>
        </w:rPr>
        <w:t>kell bevenni</w:t>
      </w:r>
      <w:r w:rsidR="00583859" w:rsidRPr="00D045B3">
        <w:rPr>
          <w:sz w:val="22"/>
          <w:szCs w:val="22"/>
        </w:rPr>
        <w:t>e</w:t>
      </w:r>
      <w:r w:rsidRPr="00D045B3">
        <w:rPr>
          <w:sz w:val="22"/>
          <w:szCs w:val="22"/>
        </w:rPr>
        <w:t>. Attól függően, hogy betegsége miként</w:t>
      </w:r>
      <w:r w:rsidR="00583859" w:rsidRPr="00D045B3">
        <w:rPr>
          <w:sz w:val="22"/>
          <w:szCs w:val="22"/>
        </w:rPr>
        <w:t xml:space="preserve"> reagál a kezelésre, orvosa 400 </w:t>
      </w:r>
      <w:r w:rsidRPr="00D045B3">
        <w:rPr>
          <w:sz w:val="22"/>
          <w:szCs w:val="22"/>
        </w:rPr>
        <w:t>mg</w:t>
      </w:r>
      <w:r w:rsidR="00583859" w:rsidRPr="00D045B3">
        <w:rPr>
          <w:sz w:val="22"/>
          <w:szCs w:val="22"/>
        </w:rPr>
        <w:noBreakHyphen/>
      </w:r>
      <w:r w:rsidRPr="00D045B3">
        <w:rPr>
          <w:sz w:val="22"/>
          <w:szCs w:val="22"/>
        </w:rPr>
        <w:t>r</w:t>
      </w:r>
      <w:r w:rsidR="00583859" w:rsidRPr="00D045B3">
        <w:rPr>
          <w:sz w:val="22"/>
          <w:szCs w:val="22"/>
        </w:rPr>
        <w:t xml:space="preserve">a növelheti az adagot, melyet 8 </w:t>
      </w:r>
      <w:r w:rsidRPr="00D045B3">
        <w:rPr>
          <w:sz w:val="22"/>
          <w:szCs w:val="22"/>
        </w:rPr>
        <w:t xml:space="preserve">db kapszula formájában, naponta </w:t>
      </w:r>
      <w:r w:rsidRPr="00D045B3">
        <w:rPr>
          <w:b/>
          <w:bCs/>
          <w:sz w:val="22"/>
          <w:szCs w:val="22"/>
        </w:rPr>
        <w:t xml:space="preserve">egy alkalommal </w:t>
      </w:r>
      <w:r w:rsidR="00583859" w:rsidRPr="00D045B3">
        <w:rPr>
          <w:sz w:val="22"/>
          <w:szCs w:val="22"/>
        </w:rPr>
        <w:t>kell bevennie.</w:t>
      </w:r>
    </w:p>
    <w:p w14:paraId="1E927D31" w14:textId="77777777" w:rsidR="00583859" w:rsidRPr="00D045B3" w:rsidRDefault="00583859" w:rsidP="008A6837">
      <w:pPr>
        <w:pStyle w:val="Default"/>
        <w:ind w:left="708"/>
        <w:rPr>
          <w:sz w:val="22"/>
          <w:szCs w:val="22"/>
        </w:rPr>
      </w:pPr>
    </w:p>
    <w:p w14:paraId="1E927D32" w14:textId="77777777" w:rsidR="00E02C2F" w:rsidRPr="00D045B3" w:rsidRDefault="00E02C2F" w:rsidP="008A6837">
      <w:pPr>
        <w:pStyle w:val="Default"/>
        <w:tabs>
          <w:tab w:val="left" w:pos="567"/>
        </w:tabs>
        <w:rPr>
          <w:sz w:val="22"/>
          <w:szCs w:val="22"/>
        </w:rPr>
      </w:pPr>
      <w:r w:rsidRPr="00D045B3">
        <w:rPr>
          <w:sz w:val="22"/>
          <w:szCs w:val="22"/>
        </w:rPr>
        <w:t xml:space="preserve">- </w:t>
      </w:r>
      <w:r w:rsidR="00583859" w:rsidRPr="00D045B3">
        <w:rPr>
          <w:sz w:val="22"/>
          <w:szCs w:val="22"/>
        </w:rPr>
        <w:tab/>
      </w:r>
      <w:r w:rsidRPr="00D045B3">
        <w:rPr>
          <w:b/>
          <w:bCs/>
          <w:sz w:val="22"/>
          <w:szCs w:val="22"/>
        </w:rPr>
        <w:t xml:space="preserve">Ha Önt DFSP miatt kezelik: </w:t>
      </w:r>
    </w:p>
    <w:p w14:paraId="1E927D33" w14:textId="77777777" w:rsidR="00E02C2F" w:rsidRPr="00D045B3" w:rsidRDefault="00E02C2F" w:rsidP="008A6837">
      <w:pPr>
        <w:spacing w:line="240" w:lineRule="auto"/>
        <w:ind w:left="567" w:right="-2"/>
        <w:rPr>
          <w:szCs w:val="22"/>
          <w:lang w:val="hu-HU"/>
        </w:rPr>
      </w:pPr>
      <w:r w:rsidRPr="00D045B3">
        <w:rPr>
          <w:szCs w:val="22"/>
          <w:lang w:val="hu-HU"/>
        </w:rPr>
        <w:t>A</w:t>
      </w:r>
      <w:r w:rsidR="00583859" w:rsidRPr="00D045B3">
        <w:rPr>
          <w:szCs w:val="22"/>
          <w:lang w:val="hu-HU"/>
        </w:rPr>
        <w:t>z ad</w:t>
      </w:r>
      <w:r w:rsidR="008F522C" w:rsidRPr="00D045B3">
        <w:rPr>
          <w:szCs w:val="22"/>
          <w:lang w:val="hu-HU"/>
        </w:rPr>
        <w:t>a</w:t>
      </w:r>
      <w:r w:rsidR="00583859" w:rsidRPr="00D045B3">
        <w:rPr>
          <w:szCs w:val="22"/>
          <w:lang w:val="hu-HU"/>
        </w:rPr>
        <w:t>g napi 800 mg (16 </w:t>
      </w:r>
      <w:r w:rsidRPr="00D045B3">
        <w:rPr>
          <w:szCs w:val="22"/>
          <w:lang w:val="hu-HU"/>
        </w:rPr>
        <w:t>kapszula), am</w:t>
      </w:r>
      <w:r w:rsidR="00583859" w:rsidRPr="00D045B3">
        <w:rPr>
          <w:szCs w:val="22"/>
          <w:lang w:val="hu-HU"/>
        </w:rPr>
        <w:t>it</w:t>
      </w:r>
      <w:r w:rsidR="008F522C" w:rsidRPr="00D045B3">
        <w:rPr>
          <w:szCs w:val="22"/>
          <w:lang w:val="hu-HU"/>
        </w:rPr>
        <w:t xml:space="preserve"> reggel 8 db kapszula és este 8 </w:t>
      </w:r>
      <w:r w:rsidRPr="00D045B3">
        <w:rPr>
          <w:szCs w:val="22"/>
          <w:lang w:val="hu-HU"/>
        </w:rPr>
        <w:t>db kapszula formájában kell bevenni</w:t>
      </w:r>
      <w:r w:rsidR="008F522C" w:rsidRPr="00D045B3">
        <w:rPr>
          <w:szCs w:val="22"/>
          <w:lang w:val="hu-HU"/>
        </w:rPr>
        <w:t>e</w:t>
      </w:r>
      <w:r w:rsidRPr="00D045B3">
        <w:rPr>
          <w:szCs w:val="22"/>
          <w:lang w:val="hu-HU"/>
        </w:rPr>
        <w:t>.</w:t>
      </w:r>
    </w:p>
    <w:p w14:paraId="1E927D34" w14:textId="77777777" w:rsidR="008F522C" w:rsidRPr="00D045B3" w:rsidRDefault="008F522C" w:rsidP="008F522C">
      <w:pPr>
        <w:spacing w:line="240" w:lineRule="auto"/>
        <w:ind w:right="-2"/>
        <w:rPr>
          <w:color w:val="000000"/>
          <w:szCs w:val="22"/>
          <w:lang w:val="hu-HU"/>
        </w:rPr>
      </w:pPr>
    </w:p>
    <w:p w14:paraId="1E927D35" w14:textId="77777777" w:rsidR="00611231" w:rsidRPr="00D045B3" w:rsidRDefault="00611231" w:rsidP="00832AFA">
      <w:pPr>
        <w:keepNext/>
        <w:spacing w:line="240" w:lineRule="auto"/>
        <w:rPr>
          <w:b/>
          <w:color w:val="000000"/>
          <w:szCs w:val="22"/>
          <w:lang w:val="hu-HU"/>
        </w:rPr>
      </w:pPr>
      <w:r w:rsidRPr="00D045B3">
        <w:rPr>
          <w:b/>
          <w:color w:val="000000"/>
          <w:szCs w:val="22"/>
          <w:lang w:val="hu-HU"/>
        </w:rPr>
        <w:t>Alkalmazása gyermekeknél és serdülőknél</w:t>
      </w:r>
    </w:p>
    <w:p w14:paraId="1E927D36" w14:textId="54A54D5F" w:rsidR="001C19C5" w:rsidRPr="00D045B3" w:rsidRDefault="00611231" w:rsidP="00CA41FD">
      <w:pPr>
        <w:spacing w:line="240" w:lineRule="auto"/>
        <w:rPr>
          <w:color w:val="000000"/>
          <w:szCs w:val="22"/>
          <w:lang w:val="hu-HU"/>
        </w:rPr>
      </w:pPr>
      <w:r w:rsidRPr="00D045B3">
        <w:rPr>
          <w:color w:val="000000"/>
          <w:szCs w:val="22"/>
          <w:lang w:val="hu-HU"/>
        </w:rPr>
        <w:t xml:space="preserve">A </w:t>
      </w:r>
      <w:r w:rsidR="000056AE" w:rsidRPr="00D045B3">
        <w:rPr>
          <w:color w:val="000000"/>
          <w:szCs w:val="22"/>
          <w:lang w:val="hu-HU"/>
        </w:rPr>
        <w:t>kezelő</w:t>
      </w:r>
      <w:r w:rsidRPr="00D045B3">
        <w:rPr>
          <w:color w:val="000000"/>
          <w:szCs w:val="22"/>
          <w:lang w:val="hu-HU"/>
        </w:rPr>
        <w:t>orvos megmondja, hogy mennyi Imatinib Actavis kapszulát kell adnia gyermekének. Az alkalmazandó Imatinib Actavis mennyiség gyermeke állapotától, test</w:t>
      </w:r>
      <w:r w:rsidR="00832AFA" w:rsidRPr="00D045B3">
        <w:rPr>
          <w:color w:val="000000"/>
          <w:szCs w:val="22"/>
          <w:lang w:val="hu-HU"/>
        </w:rPr>
        <w:t>tömegétől</w:t>
      </w:r>
      <w:r w:rsidRPr="00D045B3">
        <w:rPr>
          <w:color w:val="000000"/>
          <w:szCs w:val="22"/>
          <w:lang w:val="hu-HU"/>
        </w:rPr>
        <w:t xml:space="preserve"> és testmagasságától függ. </w:t>
      </w:r>
    </w:p>
    <w:p w14:paraId="1E927D38" w14:textId="5D0ED2D6" w:rsidR="00611231" w:rsidRPr="00D045B3" w:rsidRDefault="00611231" w:rsidP="00CA41FD">
      <w:pPr>
        <w:spacing w:line="240" w:lineRule="auto"/>
        <w:rPr>
          <w:color w:val="000000"/>
          <w:szCs w:val="22"/>
          <w:lang w:val="hu-HU"/>
        </w:rPr>
      </w:pPr>
      <w:r w:rsidRPr="00D045B3">
        <w:rPr>
          <w:color w:val="000000"/>
          <w:szCs w:val="22"/>
          <w:lang w:val="hu-HU"/>
        </w:rPr>
        <w:t xml:space="preserve">A gyermekeknek </w:t>
      </w:r>
      <w:r w:rsidR="00832AFA" w:rsidRPr="00D045B3">
        <w:rPr>
          <w:color w:val="000000"/>
          <w:szCs w:val="22"/>
          <w:lang w:val="hu-HU"/>
        </w:rPr>
        <w:t>be</w:t>
      </w:r>
      <w:r w:rsidRPr="00D045B3">
        <w:rPr>
          <w:color w:val="000000"/>
          <w:szCs w:val="22"/>
          <w:lang w:val="hu-HU"/>
        </w:rPr>
        <w:t xml:space="preserve">adandó </w:t>
      </w:r>
      <w:r w:rsidR="00832AFA" w:rsidRPr="00D045B3">
        <w:rPr>
          <w:color w:val="000000"/>
          <w:szCs w:val="22"/>
          <w:lang w:val="hu-HU"/>
        </w:rPr>
        <w:t>teljes napi adag</w:t>
      </w:r>
      <w:r w:rsidRPr="00D045B3">
        <w:rPr>
          <w:color w:val="000000"/>
          <w:szCs w:val="22"/>
          <w:lang w:val="hu-HU"/>
        </w:rPr>
        <w:t xml:space="preserve"> </w:t>
      </w:r>
      <w:r w:rsidR="001C19C5" w:rsidRPr="00D045B3">
        <w:rPr>
          <w:color w:val="000000"/>
          <w:szCs w:val="22"/>
          <w:lang w:val="hu-HU"/>
        </w:rPr>
        <w:t xml:space="preserve">CML esetében </w:t>
      </w:r>
      <w:r w:rsidRPr="00D045B3">
        <w:rPr>
          <w:color w:val="000000"/>
          <w:szCs w:val="22"/>
          <w:lang w:val="hu-HU"/>
        </w:rPr>
        <w:t>nem lépheti túl a 800 mg</w:t>
      </w:r>
      <w:r w:rsidRPr="00D045B3">
        <w:rPr>
          <w:color w:val="000000"/>
          <w:szCs w:val="22"/>
          <w:lang w:val="hu-HU"/>
        </w:rPr>
        <w:noBreakHyphen/>
        <w:t>ot</w:t>
      </w:r>
      <w:r w:rsidR="00666719" w:rsidRPr="00D045B3">
        <w:rPr>
          <w:color w:val="000000"/>
          <w:szCs w:val="22"/>
          <w:lang w:val="hu-HU"/>
        </w:rPr>
        <w:t xml:space="preserve"> </w:t>
      </w:r>
      <w:r w:rsidR="00666719" w:rsidRPr="00D045B3">
        <w:rPr>
          <w:color w:val="000000"/>
          <w:lang w:val="hu-HU"/>
        </w:rPr>
        <w:t>és 600 mg-ot Ph+ALL esetén</w:t>
      </w:r>
      <w:r w:rsidRPr="00D045B3">
        <w:rPr>
          <w:color w:val="000000"/>
          <w:szCs w:val="22"/>
          <w:lang w:val="hu-HU"/>
        </w:rPr>
        <w:t>. A napi adag</w:t>
      </w:r>
      <w:r w:rsidR="00832AFA" w:rsidRPr="00D045B3">
        <w:rPr>
          <w:color w:val="000000"/>
          <w:szCs w:val="22"/>
          <w:lang w:val="hu-HU"/>
        </w:rPr>
        <w:t>ot</w:t>
      </w:r>
      <w:r w:rsidRPr="00D045B3">
        <w:rPr>
          <w:color w:val="000000"/>
          <w:szCs w:val="22"/>
          <w:lang w:val="hu-HU"/>
        </w:rPr>
        <w:t xml:space="preserve"> egyszerre</w:t>
      </w:r>
      <w:r w:rsidR="00832AFA" w:rsidRPr="00D045B3">
        <w:rPr>
          <w:color w:val="000000"/>
          <w:szCs w:val="22"/>
          <w:lang w:val="hu-HU"/>
        </w:rPr>
        <w:t xml:space="preserve"> vagy </w:t>
      </w:r>
      <w:r w:rsidRPr="00D045B3">
        <w:rPr>
          <w:color w:val="000000"/>
          <w:szCs w:val="22"/>
          <w:lang w:val="hu-HU"/>
        </w:rPr>
        <w:t>két részre elosztva is be</w:t>
      </w:r>
      <w:r w:rsidR="00832AFA" w:rsidRPr="00D045B3">
        <w:rPr>
          <w:color w:val="000000"/>
          <w:szCs w:val="22"/>
          <w:lang w:val="hu-HU"/>
        </w:rPr>
        <w:t xml:space="preserve"> lehet venni</w:t>
      </w:r>
      <w:r w:rsidRPr="00D045B3">
        <w:rPr>
          <w:color w:val="000000"/>
          <w:szCs w:val="22"/>
          <w:lang w:val="hu-HU"/>
        </w:rPr>
        <w:t xml:space="preserve"> (felét reggel, másik felét este).</w:t>
      </w:r>
    </w:p>
    <w:p w14:paraId="1E927D39" w14:textId="77777777" w:rsidR="00611231" w:rsidRPr="00D045B3" w:rsidRDefault="00611231" w:rsidP="00611231">
      <w:pPr>
        <w:spacing w:line="240" w:lineRule="auto"/>
        <w:ind w:right="-2"/>
        <w:rPr>
          <w:color w:val="000000"/>
          <w:szCs w:val="22"/>
          <w:lang w:val="hu-HU"/>
        </w:rPr>
      </w:pPr>
    </w:p>
    <w:p w14:paraId="1E927D3A" w14:textId="77777777" w:rsidR="00611231" w:rsidRPr="00D045B3" w:rsidRDefault="00611231" w:rsidP="00832AFA">
      <w:pPr>
        <w:keepNext/>
        <w:spacing w:line="240" w:lineRule="auto"/>
        <w:ind w:right="-2"/>
        <w:rPr>
          <w:b/>
          <w:color w:val="000000"/>
          <w:lang w:val="hu-HU"/>
        </w:rPr>
      </w:pPr>
      <w:r w:rsidRPr="00D045B3">
        <w:rPr>
          <w:b/>
          <w:color w:val="000000"/>
          <w:lang w:val="hu-HU"/>
        </w:rPr>
        <w:t>Mikor és hogyan kell szedni az Imatinib Actavis</w:t>
      </w:r>
      <w:r w:rsidR="00832AFA" w:rsidRPr="00D045B3">
        <w:rPr>
          <w:b/>
          <w:color w:val="000000"/>
          <w:lang w:val="hu-HU"/>
        </w:rPr>
        <w:noBreakHyphen/>
      </w:r>
      <w:r w:rsidRPr="00D045B3">
        <w:rPr>
          <w:b/>
          <w:color w:val="000000"/>
          <w:lang w:val="hu-HU"/>
        </w:rPr>
        <w:t>t?</w:t>
      </w:r>
    </w:p>
    <w:p w14:paraId="1E927D3B" w14:textId="77777777" w:rsidR="00611231" w:rsidRPr="00D045B3" w:rsidRDefault="00611231" w:rsidP="00E95370">
      <w:pPr>
        <w:numPr>
          <w:ilvl w:val="0"/>
          <w:numId w:val="13"/>
        </w:numPr>
        <w:suppressAutoHyphens/>
        <w:ind w:left="579" w:hanging="573"/>
        <w:rPr>
          <w:color w:val="000000"/>
          <w:lang w:val="hu-HU"/>
        </w:rPr>
      </w:pPr>
      <w:r w:rsidRPr="00D045B3">
        <w:rPr>
          <w:b/>
          <w:color w:val="000000"/>
          <w:lang w:val="hu-HU"/>
        </w:rPr>
        <w:t>Az Imatinib Actavis</w:t>
      </w:r>
      <w:r w:rsidR="00832AFA" w:rsidRPr="00D045B3">
        <w:rPr>
          <w:b/>
          <w:color w:val="000000"/>
          <w:lang w:val="hu-HU"/>
        </w:rPr>
        <w:noBreakHyphen/>
      </w:r>
      <w:r w:rsidRPr="00D045B3">
        <w:rPr>
          <w:b/>
          <w:color w:val="000000"/>
          <w:lang w:val="hu-HU"/>
        </w:rPr>
        <w:t xml:space="preserve">t étkezés közben vegye be. </w:t>
      </w:r>
      <w:r w:rsidRPr="00D045B3">
        <w:rPr>
          <w:color w:val="000000"/>
          <w:lang w:val="hu-HU"/>
        </w:rPr>
        <w:t>Ez segít elkerülni az Imatinib Actavis szedése alatt jelentkező gyomorpanaszokat.</w:t>
      </w:r>
    </w:p>
    <w:p w14:paraId="1E927D3C" w14:textId="77777777" w:rsidR="00611231" w:rsidRPr="00D045B3" w:rsidRDefault="00611231" w:rsidP="00E95370">
      <w:pPr>
        <w:numPr>
          <w:ilvl w:val="0"/>
          <w:numId w:val="13"/>
        </w:numPr>
        <w:suppressAutoHyphens/>
        <w:rPr>
          <w:color w:val="000000"/>
          <w:lang w:val="hu-HU"/>
        </w:rPr>
      </w:pPr>
      <w:r w:rsidRPr="00D045B3">
        <w:rPr>
          <w:b/>
          <w:color w:val="000000"/>
          <w:lang w:val="hu-HU"/>
        </w:rPr>
        <w:t>A kapszulát egészben, egy nagy pohárnyi vízzel kell lenyelni.</w:t>
      </w:r>
      <w:r w:rsidRPr="00D045B3">
        <w:rPr>
          <w:color w:val="000000"/>
          <w:lang w:val="hu-HU"/>
        </w:rPr>
        <w:t xml:space="preserve"> Ne nyissa ki és ne törje össze a kapszulát, csak abban az esetben</w:t>
      </w:r>
      <w:r w:rsidR="00832AFA" w:rsidRPr="00D045B3">
        <w:rPr>
          <w:color w:val="000000"/>
          <w:lang w:val="hu-HU"/>
        </w:rPr>
        <w:t>,</w:t>
      </w:r>
      <w:r w:rsidRPr="00D045B3">
        <w:rPr>
          <w:color w:val="000000"/>
          <w:lang w:val="hu-HU"/>
        </w:rPr>
        <w:t xml:space="preserve"> ha a beteg (pl. gyermek) nem tudja a kapszulákat lenyelni.</w:t>
      </w:r>
    </w:p>
    <w:p w14:paraId="1E927D3D" w14:textId="77777777" w:rsidR="00611231" w:rsidRPr="00D045B3" w:rsidRDefault="00611231" w:rsidP="00E95370">
      <w:pPr>
        <w:numPr>
          <w:ilvl w:val="0"/>
          <w:numId w:val="13"/>
        </w:numPr>
        <w:suppressAutoHyphens/>
        <w:rPr>
          <w:color w:val="000000"/>
          <w:lang w:val="hu-HU"/>
        </w:rPr>
      </w:pPr>
      <w:r w:rsidRPr="00D045B3">
        <w:rPr>
          <w:color w:val="000000"/>
          <w:lang w:val="hu-HU"/>
        </w:rPr>
        <w:t>Ha Ön nem tudja lenyelni a kapszulát, felnyithatja azokat, és a port beleöntheti egy pohár tiszta vízbe vagy almalébe.</w:t>
      </w:r>
    </w:p>
    <w:p w14:paraId="1E927D3E" w14:textId="77777777" w:rsidR="00611231" w:rsidRPr="00D045B3" w:rsidRDefault="00611231" w:rsidP="00E95370">
      <w:pPr>
        <w:numPr>
          <w:ilvl w:val="0"/>
          <w:numId w:val="13"/>
        </w:numPr>
        <w:suppressAutoHyphens/>
        <w:rPr>
          <w:color w:val="000000"/>
          <w:lang w:val="hu-HU"/>
        </w:rPr>
      </w:pPr>
      <w:r w:rsidRPr="00D045B3">
        <w:rPr>
          <w:color w:val="000000"/>
          <w:lang w:val="hu-HU"/>
        </w:rPr>
        <w:t>Ha Ön terhes, vagy fogamzóképes korú és megpróbálja felnyitni a kapszulát, kezelje óvatosan annak tartalmát, nehogy a por a szemébe vagy a bőrére kerüljön, illetve hogy elkerülje annak belégzését. A kapszula felnyitása után azonnal mosson alaposan kezet.</w:t>
      </w:r>
    </w:p>
    <w:p w14:paraId="1E927D3F" w14:textId="77777777" w:rsidR="00611231" w:rsidRPr="00D045B3" w:rsidRDefault="00611231" w:rsidP="00611231">
      <w:pPr>
        <w:spacing w:line="240" w:lineRule="auto"/>
        <w:ind w:right="-2"/>
        <w:rPr>
          <w:color w:val="000000"/>
          <w:lang w:val="hu-HU"/>
        </w:rPr>
      </w:pPr>
    </w:p>
    <w:p w14:paraId="1E927D40" w14:textId="77777777" w:rsidR="00611231" w:rsidRPr="00D045B3" w:rsidRDefault="00611231" w:rsidP="00832AFA">
      <w:pPr>
        <w:keepNext/>
        <w:spacing w:line="240" w:lineRule="auto"/>
        <w:rPr>
          <w:b/>
          <w:color w:val="000000"/>
          <w:lang w:val="hu-HU"/>
        </w:rPr>
      </w:pPr>
      <w:r w:rsidRPr="00D045B3">
        <w:rPr>
          <w:b/>
          <w:color w:val="000000"/>
          <w:lang w:val="hu-HU"/>
        </w:rPr>
        <w:t xml:space="preserve">Mennyi ideig </w:t>
      </w:r>
      <w:r w:rsidR="00832AFA" w:rsidRPr="00D045B3">
        <w:rPr>
          <w:b/>
          <w:color w:val="000000"/>
          <w:lang w:val="hu-HU"/>
        </w:rPr>
        <w:t xml:space="preserve">kell </w:t>
      </w:r>
      <w:r w:rsidRPr="00D045B3">
        <w:rPr>
          <w:b/>
          <w:color w:val="000000"/>
          <w:lang w:val="hu-HU"/>
        </w:rPr>
        <w:t>szed</w:t>
      </w:r>
      <w:r w:rsidR="00832AFA" w:rsidRPr="00D045B3">
        <w:rPr>
          <w:b/>
          <w:color w:val="000000"/>
          <w:lang w:val="hu-HU"/>
        </w:rPr>
        <w:t>nie</w:t>
      </w:r>
      <w:r w:rsidRPr="00D045B3">
        <w:rPr>
          <w:b/>
          <w:color w:val="000000"/>
          <w:lang w:val="hu-HU"/>
        </w:rPr>
        <w:t xml:space="preserve"> az Imatinib Actavis</w:t>
      </w:r>
      <w:r w:rsidR="00832AFA" w:rsidRPr="00D045B3">
        <w:rPr>
          <w:b/>
          <w:color w:val="000000"/>
          <w:lang w:val="hu-HU"/>
        </w:rPr>
        <w:noBreakHyphen/>
      </w:r>
      <w:r w:rsidRPr="00D045B3">
        <w:rPr>
          <w:b/>
          <w:color w:val="000000"/>
          <w:lang w:val="hu-HU"/>
        </w:rPr>
        <w:t>t?</w:t>
      </w:r>
    </w:p>
    <w:p w14:paraId="1E927D41" w14:textId="77777777" w:rsidR="00611231" w:rsidRPr="00D045B3" w:rsidRDefault="00611231" w:rsidP="00CA41FD">
      <w:pPr>
        <w:rPr>
          <w:color w:val="000000"/>
          <w:lang w:val="hu-HU"/>
        </w:rPr>
      </w:pPr>
      <w:r w:rsidRPr="00D045B3">
        <w:rPr>
          <w:color w:val="000000"/>
          <w:lang w:val="hu-HU"/>
        </w:rPr>
        <w:t>Az Imatinib Actavis</w:t>
      </w:r>
      <w:r w:rsidR="00832AFA" w:rsidRPr="00D045B3">
        <w:rPr>
          <w:color w:val="000000"/>
          <w:lang w:val="hu-HU"/>
        </w:rPr>
        <w:noBreakHyphen/>
      </w:r>
      <w:r w:rsidRPr="00D045B3">
        <w:rPr>
          <w:color w:val="000000"/>
          <w:lang w:val="hu-HU"/>
        </w:rPr>
        <w:t>t naponta szedje mindaddig, amíg kezelőorvosa előírja.</w:t>
      </w:r>
    </w:p>
    <w:p w14:paraId="1E927D42" w14:textId="77777777" w:rsidR="00611231" w:rsidRPr="00D045B3" w:rsidRDefault="00611231" w:rsidP="00611231">
      <w:pPr>
        <w:spacing w:line="240" w:lineRule="auto"/>
        <w:ind w:right="-2"/>
        <w:rPr>
          <w:color w:val="000000"/>
          <w:lang w:val="hu-HU"/>
        </w:rPr>
      </w:pPr>
    </w:p>
    <w:p w14:paraId="1E927D43" w14:textId="77777777" w:rsidR="00611231" w:rsidRPr="00D045B3" w:rsidRDefault="00611231" w:rsidP="007F5F30">
      <w:pPr>
        <w:keepNext/>
        <w:spacing w:line="240" w:lineRule="auto"/>
        <w:rPr>
          <w:b/>
          <w:color w:val="000000"/>
          <w:lang w:val="hu-HU"/>
        </w:rPr>
      </w:pPr>
      <w:r w:rsidRPr="00D045B3">
        <w:rPr>
          <w:b/>
          <w:color w:val="000000"/>
          <w:lang w:val="hu-HU"/>
        </w:rPr>
        <w:t>Ha az előírtnál több Imatinib Actavis</w:t>
      </w:r>
      <w:r w:rsidRPr="00D045B3">
        <w:rPr>
          <w:b/>
          <w:color w:val="000000"/>
          <w:lang w:val="hu-HU"/>
        </w:rPr>
        <w:noBreakHyphen/>
        <w:t>t vett be</w:t>
      </w:r>
    </w:p>
    <w:p w14:paraId="1E927D44" w14:textId="77777777" w:rsidR="00611231" w:rsidRPr="00D045B3" w:rsidRDefault="00611231" w:rsidP="00CA41FD">
      <w:pPr>
        <w:spacing w:line="240" w:lineRule="auto"/>
        <w:rPr>
          <w:color w:val="000000"/>
          <w:lang w:val="hu-HU"/>
        </w:rPr>
      </w:pPr>
      <w:r w:rsidRPr="00D045B3">
        <w:rPr>
          <w:color w:val="000000"/>
          <w:lang w:val="hu-HU"/>
        </w:rPr>
        <w:t xml:space="preserve">Ha véletlenül az előírtnál több kapszulát vett be, </w:t>
      </w:r>
      <w:r w:rsidRPr="00D045B3">
        <w:rPr>
          <w:b/>
          <w:color w:val="000000"/>
          <w:lang w:val="hu-HU"/>
        </w:rPr>
        <w:t>azonnal</w:t>
      </w:r>
      <w:r w:rsidRPr="00D045B3">
        <w:rPr>
          <w:color w:val="000000"/>
          <w:lang w:val="hu-HU"/>
        </w:rPr>
        <w:t xml:space="preserve"> forduljon kezelőorvosához. Orvosi megfigyelésre lehet szüksége. A gyógyszer csomagolását vigye magával.</w:t>
      </w:r>
    </w:p>
    <w:p w14:paraId="1E927D45" w14:textId="77777777" w:rsidR="00611231" w:rsidRPr="00D045B3" w:rsidRDefault="00611231" w:rsidP="00611231">
      <w:pPr>
        <w:spacing w:line="240" w:lineRule="auto"/>
        <w:ind w:right="-2"/>
        <w:rPr>
          <w:color w:val="000000"/>
          <w:lang w:val="hu-HU"/>
        </w:rPr>
      </w:pPr>
    </w:p>
    <w:p w14:paraId="1E927D46" w14:textId="77777777" w:rsidR="00611231" w:rsidRPr="00D045B3" w:rsidRDefault="00611231" w:rsidP="00832AFA">
      <w:pPr>
        <w:keepNext/>
        <w:spacing w:line="240" w:lineRule="auto"/>
        <w:rPr>
          <w:b/>
          <w:color w:val="000000"/>
          <w:lang w:val="hu-HU"/>
        </w:rPr>
      </w:pPr>
      <w:r w:rsidRPr="00D045B3">
        <w:rPr>
          <w:b/>
          <w:color w:val="000000"/>
          <w:lang w:val="hu-HU"/>
        </w:rPr>
        <w:t>Ha elfelejtette bevenni az Imatinib Actavis</w:t>
      </w:r>
      <w:r w:rsidR="00832AFA" w:rsidRPr="00D045B3">
        <w:rPr>
          <w:b/>
          <w:color w:val="000000"/>
          <w:lang w:val="hu-HU"/>
        </w:rPr>
        <w:noBreakHyphen/>
      </w:r>
      <w:r w:rsidRPr="00D045B3">
        <w:rPr>
          <w:b/>
          <w:color w:val="000000"/>
          <w:lang w:val="hu-HU"/>
        </w:rPr>
        <w:t>t</w:t>
      </w:r>
    </w:p>
    <w:p w14:paraId="1E927D47" w14:textId="77777777" w:rsidR="00611231" w:rsidRPr="00D045B3" w:rsidRDefault="00611231" w:rsidP="00E95370">
      <w:pPr>
        <w:numPr>
          <w:ilvl w:val="0"/>
          <w:numId w:val="14"/>
        </w:numPr>
        <w:suppressAutoHyphens/>
        <w:spacing w:line="240" w:lineRule="auto"/>
        <w:rPr>
          <w:color w:val="000000"/>
          <w:lang w:val="hu-HU"/>
        </w:rPr>
      </w:pPr>
      <w:r w:rsidRPr="00D045B3">
        <w:rPr>
          <w:color w:val="000000"/>
          <w:lang w:val="hu-HU"/>
        </w:rPr>
        <w:t>Ha elfelejtett egy adagot, vegye be</w:t>
      </w:r>
      <w:r w:rsidR="000A69BE" w:rsidRPr="00D045B3">
        <w:rPr>
          <w:color w:val="000000"/>
          <w:lang w:val="hu-HU"/>
        </w:rPr>
        <w:t>,</w:t>
      </w:r>
      <w:r w:rsidRPr="00D045B3">
        <w:rPr>
          <w:color w:val="000000"/>
          <w:lang w:val="hu-HU"/>
        </w:rPr>
        <w:t xml:space="preserve"> amint eszébe jut. Azonban, ha ez már majdnem a következő esedékes adag idejében történik, hagyja ki az elfelejtett adagot.</w:t>
      </w:r>
    </w:p>
    <w:p w14:paraId="1E927D48" w14:textId="77777777" w:rsidR="00611231" w:rsidRPr="00D045B3" w:rsidRDefault="00611231" w:rsidP="00E95370">
      <w:pPr>
        <w:numPr>
          <w:ilvl w:val="0"/>
          <w:numId w:val="14"/>
        </w:numPr>
        <w:suppressAutoHyphens/>
        <w:spacing w:line="240" w:lineRule="auto"/>
        <w:ind w:right="-2"/>
        <w:rPr>
          <w:color w:val="000000"/>
          <w:lang w:val="hu-HU"/>
        </w:rPr>
      </w:pPr>
      <w:r w:rsidRPr="00D045B3">
        <w:rPr>
          <w:color w:val="000000"/>
          <w:lang w:val="hu-HU"/>
        </w:rPr>
        <w:t>Ezután folytassa a gyógyszer szedését</w:t>
      </w:r>
      <w:r w:rsidRPr="00D045B3" w:rsidDel="003509F8">
        <w:rPr>
          <w:color w:val="000000"/>
          <w:lang w:val="hu-HU"/>
        </w:rPr>
        <w:t xml:space="preserve"> </w:t>
      </w:r>
      <w:r w:rsidRPr="00D045B3">
        <w:rPr>
          <w:color w:val="000000"/>
          <w:lang w:val="hu-HU"/>
        </w:rPr>
        <w:t>a szokásos menetrend szerint.</w:t>
      </w:r>
    </w:p>
    <w:p w14:paraId="1E927D49" w14:textId="77777777" w:rsidR="00611231" w:rsidRPr="00D045B3" w:rsidRDefault="00611231" w:rsidP="00E95370">
      <w:pPr>
        <w:numPr>
          <w:ilvl w:val="0"/>
          <w:numId w:val="14"/>
        </w:numPr>
        <w:suppressAutoHyphens/>
        <w:spacing w:line="240" w:lineRule="auto"/>
        <w:ind w:right="-2"/>
        <w:rPr>
          <w:color w:val="000000"/>
          <w:lang w:val="hu-HU"/>
        </w:rPr>
      </w:pPr>
      <w:r w:rsidRPr="00D045B3">
        <w:rPr>
          <w:noProof/>
          <w:color w:val="000000"/>
          <w:lang w:val="hu-HU"/>
        </w:rPr>
        <w:t>Ne vegyen be kétszeres adagot a kihagyott adag pótlására.</w:t>
      </w:r>
    </w:p>
    <w:p w14:paraId="1E927D4A" w14:textId="77777777" w:rsidR="00611231" w:rsidRPr="00D045B3" w:rsidRDefault="00611231" w:rsidP="00611231">
      <w:pPr>
        <w:spacing w:line="240" w:lineRule="auto"/>
        <w:ind w:right="-2"/>
        <w:rPr>
          <w:color w:val="000000"/>
          <w:lang w:val="hu-HU"/>
        </w:rPr>
      </w:pPr>
    </w:p>
    <w:p w14:paraId="1E927D4B" w14:textId="77777777" w:rsidR="00611231" w:rsidRPr="00D045B3" w:rsidRDefault="00611231" w:rsidP="00611231">
      <w:pPr>
        <w:spacing w:line="240" w:lineRule="auto"/>
        <w:ind w:right="-2"/>
        <w:rPr>
          <w:color w:val="000000"/>
          <w:lang w:val="hu-HU"/>
        </w:rPr>
      </w:pPr>
      <w:r w:rsidRPr="00D045B3">
        <w:rPr>
          <w:color w:val="000000"/>
          <w:lang w:val="hu-HU"/>
        </w:rPr>
        <w:t xml:space="preserve">Ha bármilyen további kérdése van a gyógyszer alkalmazásával kapcsolatban, kérdezze meg kezelőorvosát, gyógyszerészét vagy </w:t>
      </w:r>
      <w:r w:rsidR="00832AFA" w:rsidRPr="00D045B3">
        <w:rPr>
          <w:color w:val="000000"/>
          <w:lang w:val="hu-HU"/>
        </w:rPr>
        <w:t xml:space="preserve">a </w:t>
      </w:r>
      <w:r w:rsidR="00B44A2D" w:rsidRPr="00D045B3">
        <w:rPr>
          <w:noProof/>
          <w:szCs w:val="24"/>
          <w:lang w:val="hu-HU"/>
        </w:rPr>
        <w:t>gondozását végző egészségügyi szakembert</w:t>
      </w:r>
      <w:r w:rsidRPr="00D045B3">
        <w:rPr>
          <w:color w:val="000000"/>
          <w:lang w:val="hu-HU"/>
        </w:rPr>
        <w:t>.</w:t>
      </w:r>
    </w:p>
    <w:p w14:paraId="1E927D4C" w14:textId="77777777" w:rsidR="00611231" w:rsidRPr="00D045B3" w:rsidRDefault="00611231" w:rsidP="00611231">
      <w:pPr>
        <w:spacing w:line="240" w:lineRule="auto"/>
        <w:ind w:right="-2"/>
        <w:rPr>
          <w:color w:val="000000"/>
          <w:lang w:val="hu-HU"/>
        </w:rPr>
      </w:pPr>
    </w:p>
    <w:p w14:paraId="1E927D4D" w14:textId="77777777" w:rsidR="00611231" w:rsidRPr="00D045B3" w:rsidRDefault="00611231" w:rsidP="00611231">
      <w:pPr>
        <w:spacing w:line="240" w:lineRule="auto"/>
        <w:ind w:right="-2"/>
        <w:rPr>
          <w:color w:val="000000"/>
          <w:lang w:val="hu-HU"/>
        </w:rPr>
      </w:pPr>
    </w:p>
    <w:p w14:paraId="1E927D4E" w14:textId="77777777" w:rsidR="00611231" w:rsidRPr="00D045B3" w:rsidRDefault="00611231" w:rsidP="00601F49">
      <w:pPr>
        <w:keepNext/>
        <w:spacing w:line="240" w:lineRule="auto"/>
        <w:ind w:left="567" w:right="-2" w:hanging="567"/>
        <w:rPr>
          <w:b/>
          <w:color w:val="000000"/>
          <w:lang w:val="hu-HU"/>
        </w:rPr>
      </w:pPr>
      <w:r w:rsidRPr="00D045B3">
        <w:rPr>
          <w:b/>
          <w:color w:val="000000"/>
          <w:lang w:val="hu-HU"/>
        </w:rPr>
        <w:t>4.</w:t>
      </w:r>
      <w:r w:rsidRPr="00D045B3">
        <w:rPr>
          <w:b/>
          <w:color w:val="000000"/>
          <w:lang w:val="hu-HU"/>
        </w:rPr>
        <w:tab/>
        <w:t>Lehetséges mellékhatások</w:t>
      </w:r>
    </w:p>
    <w:p w14:paraId="1E927D4F" w14:textId="77777777" w:rsidR="00611231" w:rsidRPr="00D045B3" w:rsidRDefault="00611231" w:rsidP="00601F49">
      <w:pPr>
        <w:keepNext/>
        <w:spacing w:line="240" w:lineRule="auto"/>
        <w:ind w:right="-29"/>
        <w:rPr>
          <w:color w:val="000000"/>
          <w:lang w:val="hu-HU"/>
        </w:rPr>
      </w:pPr>
    </w:p>
    <w:p w14:paraId="1E927D50" w14:textId="77777777" w:rsidR="00611231" w:rsidRPr="00D045B3" w:rsidRDefault="00611231" w:rsidP="00CA41FD">
      <w:pPr>
        <w:ind w:right="-29"/>
        <w:rPr>
          <w:color w:val="000000"/>
          <w:lang w:val="hu-HU"/>
        </w:rPr>
      </w:pPr>
      <w:r w:rsidRPr="00D045B3">
        <w:rPr>
          <w:color w:val="000000"/>
          <w:lang w:val="hu-HU"/>
        </w:rPr>
        <w:t xml:space="preserve">Mint minden gyógyszer, így </w:t>
      </w:r>
      <w:r w:rsidRPr="00D045B3">
        <w:rPr>
          <w:noProof/>
          <w:szCs w:val="24"/>
          <w:lang w:val="hu-HU"/>
        </w:rPr>
        <w:t>ez a gyógyszer</w:t>
      </w:r>
      <w:r w:rsidRPr="00D045B3">
        <w:rPr>
          <w:lang w:val="hu-HU"/>
        </w:rPr>
        <w:t xml:space="preserve"> </w:t>
      </w:r>
      <w:r w:rsidRPr="00D045B3">
        <w:rPr>
          <w:color w:val="000000"/>
          <w:lang w:val="hu-HU"/>
        </w:rPr>
        <w:t xml:space="preserve">is okozhat mellékhatásokat, amelyek azonban nem mindenkinél jelentkeznek. </w:t>
      </w:r>
      <w:r w:rsidR="00832AFA" w:rsidRPr="00D045B3">
        <w:rPr>
          <w:color w:val="000000"/>
          <w:lang w:val="hu-HU"/>
        </w:rPr>
        <w:t>A mellékhatások</w:t>
      </w:r>
      <w:r w:rsidRPr="00D045B3">
        <w:rPr>
          <w:color w:val="000000"/>
          <w:lang w:val="hu-HU"/>
        </w:rPr>
        <w:t xml:space="preserve"> rendszerint enyhék vagy mérsékeltek.</w:t>
      </w:r>
    </w:p>
    <w:p w14:paraId="1E927D51" w14:textId="77777777" w:rsidR="00611231" w:rsidRPr="00D045B3" w:rsidRDefault="00611231" w:rsidP="00611231">
      <w:pPr>
        <w:ind w:right="-29"/>
        <w:rPr>
          <w:color w:val="000000"/>
          <w:lang w:val="hu-HU"/>
        </w:rPr>
      </w:pPr>
    </w:p>
    <w:p w14:paraId="1E927D52" w14:textId="77777777" w:rsidR="00611231" w:rsidRPr="00D045B3" w:rsidRDefault="00611231" w:rsidP="00CA41FD">
      <w:pPr>
        <w:spacing w:line="240" w:lineRule="auto"/>
        <w:rPr>
          <w:b/>
          <w:color w:val="000000"/>
          <w:lang w:val="hu-HU"/>
        </w:rPr>
      </w:pPr>
      <w:r w:rsidRPr="00D045B3">
        <w:rPr>
          <w:b/>
          <w:color w:val="000000"/>
          <w:lang w:val="hu-HU"/>
        </w:rPr>
        <w:t>Néhány mellékhatás súlyos lehet. Azonnal forduljon kezelőorvosához, ha az alábbiak közül bármelyiket észleli:</w:t>
      </w:r>
    </w:p>
    <w:p w14:paraId="1E927D53" w14:textId="77777777" w:rsidR="00611231" w:rsidRPr="00D045B3" w:rsidRDefault="00611231" w:rsidP="00CA41FD">
      <w:pPr>
        <w:spacing w:line="240" w:lineRule="auto"/>
        <w:rPr>
          <w:iCs/>
          <w:color w:val="000000"/>
          <w:lang w:val="hu-HU"/>
        </w:rPr>
      </w:pPr>
    </w:p>
    <w:p w14:paraId="1E927D54" w14:textId="3D3AD683" w:rsidR="00611231" w:rsidRPr="00D045B3" w:rsidRDefault="00611231" w:rsidP="001D737B">
      <w:pPr>
        <w:keepNext/>
        <w:spacing w:line="240" w:lineRule="auto"/>
        <w:rPr>
          <w:b/>
          <w:bCs/>
          <w:iCs/>
          <w:color w:val="000000"/>
          <w:lang w:val="hu-HU"/>
        </w:rPr>
      </w:pPr>
      <w:r w:rsidRPr="00D045B3">
        <w:rPr>
          <w:b/>
          <w:bCs/>
          <w:iCs/>
          <w:color w:val="000000"/>
          <w:lang w:val="hu-HU"/>
        </w:rPr>
        <w:t xml:space="preserve">Nagyon gyakori </w:t>
      </w:r>
      <w:r w:rsidR="00832AFA" w:rsidRPr="00D045B3">
        <w:rPr>
          <w:bCs/>
          <w:iCs/>
          <w:color w:val="000000"/>
          <w:lang w:val="hu-HU"/>
        </w:rPr>
        <w:t>(10</w:t>
      </w:r>
      <w:r w:rsidR="00832AFA" w:rsidRPr="00D045B3">
        <w:rPr>
          <w:bCs/>
          <w:iCs/>
          <w:color w:val="000000"/>
          <w:lang w:val="hu-HU"/>
        </w:rPr>
        <w:noBreakHyphen/>
        <w:t>ből 1</w:t>
      </w:r>
      <w:r w:rsidR="00832AFA" w:rsidRPr="00D045B3">
        <w:rPr>
          <w:bCs/>
          <w:iCs/>
          <w:color w:val="000000"/>
          <w:lang w:val="hu-HU"/>
        </w:rPr>
        <w:noBreakHyphen/>
        <w:t>nél több beteget érinthetnek)</w:t>
      </w:r>
      <w:r w:rsidR="00832AFA" w:rsidRPr="00D045B3">
        <w:rPr>
          <w:b/>
          <w:bCs/>
          <w:iCs/>
          <w:color w:val="000000"/>
          <w:lang w:val="hu-HU"/>
        </w:rPr>
        <w:t xml:space="preserve"> </w:t>
      </w:r>
      <w:r w:rsidRPr="00D045B3">
        <w:rPr>
          <w:b/>
          <w:bCs/>
          <w:iCs/>
          <w:color w:val="000000"/>
          <w:lang w:val="hu-HU"/>
        </w:rPr>
        <w:t xml:space="preserve">vagy gyakori </w:t>
      </w:r>
      <w:r w:rsidR="00832AFA" w:rsidRPr="00D045B3">
        <w:rPr>
          <w:bCs/>
          <w:iCs/>
          <w:color w:val="000000"/>
          <w:lang w:val="hu-HU"/>
        </w:rPr>
        <w:t>(10</w:t>
      </w:r>
      <w:r w:rsidR="00832AFA" w:rsidRPr="00D045B3">
        <w:rPr>
          <w:bCs/>
          <w:iCs/>
          <w:color w:val="000000"/>
          <w:lang w:val="hu-HU"/>
        </w:rPr>
        <w:noBreakHyphen/>
        <w:t>ből legfeljebb1</w:t>
      </w:r>
      <w:r w:rsidR="009E6A84" w:rsidRPr="00D045B3">
        <w:rPr>
          <w:bCs/>
          <w:iCs/>
          <w:color w:val="000000"/>
          <w:lang w:val="hu-HU"/>
        </w:rPr>
        <w:t> </w:t>
      </w:r>
      <w:r w:rsidR="00832AFA" w:rsidRPr="00D045B3">
        <w:rPr>
          <w:bCs/>
          <w:iCs/>
          <w:color w:val="000000"/>
          <w:lang w:val="hu-HU"/>
        </w:rPr>
        <w:t>beteget érinthetnek)</w:t>
      </w:r>
      <w:r w:rsidRPr="00D045B3">
        <w:rPr>
          <w:b/>
          <w:bCs/>
          <w:iCs/>
          <w:color w:val="000000"/>
          <w:lang w:val="hu-HU"/>
        </w:rPr>
        <w:t>:</w:t>
      </w:r>
    </w:p>
    <w:p w14:paraId="1E927D55" w14:textId="77777777" w:rsidR="00611231" w:rsidRPr="00D045B3" w:rsidRDefault="00611231" w:rsidP="00E95370">
      <w:pPr>
        <w:keepNext/>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Gyors test</w:t>
      </w:r>
      <w:r w:rsidR="00832AFA" w:rsidRPr="00D045B3">
        <w:rPr>
          <w:color w:val="000000"/>
          <w:lang w:val="hu-HU"/>
        </w:rPr>
        <w:t>tömeg</w:t>
      </w:r>
      <w:r w:rsidR="00832AFA" w:rsidRPr="00D045B3">
        <w:rPr>
          <w:color w:val="000000"/>
          <w:lang w:val="hu-HU"/>
        </w:rPr>
        <w:noBreakHyphen/>
      </w:r>
      <w:r w:rsidRPr="00D045B3">
        <w:rPr>
          <w:color w:val="000000"/>
          <w:lang w:val="hu-HU"/>
        </w:rPr>
        <w:t>gyarapodás. Az Imatinib Actavis hatására szervezete vizet tarthat vissza (</w:t>
      </w:r>
      <w:r w:rsidR="00832AFA" w:rsidRPr="00D045B3">
        <w:rPr>
          <w:color w:val="000000"/>
          <w:lang w:val="hu-HU"/>
        </w:rPr>
        <w:t xml:space="preserve">úgynevezett </w:t>
      </w:r>
      <w:r w:rsidRPr="00D045B3">
        <w:rPr>
          <w:color w:val="000000"/>
          <w:lang w:val="hu-HU"/>
        </w:rPr>
        <w:t>súlyos folyadékretenció).</w:t>
      </w:r>
    </w:p>
    <w:p w14:paraId="1E927D56" w14:textId="77777777" w:rsidR="00611231" w:rsidRPr="00D045B3" w:rsidRDefault="00611231"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 xml:space="preserve">Fertőzésre utaló jelek, pl. láz, </w:t>
      </w:r>
      <w:r w:rsidR="00832AFA" w:rsidRPr="00D045B3">
        <w:rPr>
          <w:color w:val="000000"/>
          <w:lang w:val="hu-HU"/>
        </w:rPr>
        <w:t>nagyfokú</w:t>
      </w:r>
      <w:r w:rsidRPr="00D045B3">
        <w:rPr>
          <w:color w:val="000000"/>
          <w:lang w:val="hu-HU"/>
        </w:rPr>
        <w:t xml:space="preserve"> hidegrázás, torokfájás, szájfekélyek. Az Imatinib Actavis csökkentheti a vérben a fehérvérsejtek számát, ezáltal Ön könnyebben kapja el a fertőzéseket.</w:t>
      </w:r>
    </w:p>
    <w:p w14:paraId="1E927D57" w14:textId="77777777" w:rsidR="00611231" w:rsidRPr="00D045B3" w:rsidRDefault="00611231"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Váratlan vérzés vagy véraláfutás (</w:t>
      </w:r>
      <w:r w:rsidR="00832AFA" w:rsidRPr="00D045B3">
        <w:rPr>
          <w:color w:val="000000"/>
          <w:lang w:val="hu-HU"/>
        </w:rPr>
        <w:t>olyankor, amikor</w:t>
      </w:r>
      <w:r w:rsidRPr="00D045B3">
        <w:rPr>
          <w:color w:val="000000"/>
          <w:lang w:val="hu-HU"/>
        </w:rPr>
        <w:t xml:space="preserve"> nem sértette meg magát).</w:t>
      </w:r>
    </w:p>
    <w:p w14:paraId="1E927D58" w14:textId="77777777" w:rsidR="00611231" w:rsidRPr="00D045B3" w:rsidRDefault="00611231" w:rsidP="00611231">
      <w:pPr>
        <w:spacing w:line="240" w:lineRule="auto"/>
        <w:rPr>
          <w:color w:val="000000"/>
          <w:lang w:val="hu-HU"/>
        </w:rPr>
      </w:pPr>
    </w:p>
    <w:p w14:paraId="1E927D59" w14:textId="41003E63" w:rsidR="00611231" w:rsidRPr="00D045B3" w:rsidRDefault="00611231" w:rsidP="00601F49">
      <w:pPr>
        <w:keepNext/>
        <w:spacing w:line="240" w:lineRule="auto"/>
        <w:rPr>
          <w:b/>
          <w:bCs/>
          <w:iCs/>
          <w:color w:val="000000"/>
          <w:lang w:val="hu-HU"/>
        </w:rPr>
      </w:pPr>
      <w:r w:rsidRPr="00D045B3">
        <w:rPr>
          <w:b/>
          <w:bCs/>
          <w:iCs/>
          <w:color w:val="000000"/>
          <w:lang w:val="hu-HU"/>
        </w:rPr>
        <w:t xml:space="preserve">Nem gyakori </w:t>
      </w:r>
      <w:r w:rsidR="009E6A84" w:rsidRPr="00D045B3">
        <w:rPr>
          <w:bCs/>
          <w:iCs/>
          <w:color w:val="000000"/>
          <w:lang w:val="hu-HU"/>
        </w:rPr>
        <w:t>(100</w:t>
      </w:r>
      <w:r w:rsidR="009E6A84" w:rsidRPr="00D045B3">
        <w:rPr>
          <w:bCs/>
          <w:iCs/>
          <w:color w:val="000000"/>
          <w:lang w:val="hu-HU"/>
        </w:rPr>
        <w:noBreakHyphen/>
        <w:t xml:space="preserve">ból legfeljebb1 beteget érinthetnek) </w:t>
      </w:r>
      <w:r w:rsidRPr="00D045B3">
        <w:rPr>
          <w:b/>
          <w:bCs/>
          <w:iCs/>
          <w:color w:val="000000"/>
          <w:lang w:val="hu-HU"/>
        </w:rPr>
        <w:t>vagy ritka</w:t>
      </w:r>
      <w:r w:rsidR="00606619" w:rsidRPr="00D045B3">
        <w:rPr>
          <w:b/>
          <w:bCs/>
          <w:iCs/>
          <w:color w:val="000000"/>
          <w:lang w:val="hu-HU"/>
        </w:rPr>
        <w:t xml:space="preserve"> </w:t>
      </w:r>
      <w:r w:rsidR="009E6A84" w:rsidRPr="00D045B3">
        <w:rPr>
          <w:bCs/>
          <w:iCs/>
          <w:color w:val="000000"/>
          <w:lang w:val="hu-HU"/>
        </w:rPr>
        <w:t>(1000</w:t>
      </w:r>
      <w:r w:rsidR="009E6A84" w:rsidRPr="00D045B3">
        <w:rPr>
          <w:bCs/>
          <w:iCs/>
          <w:color w:val="000000"/>
          <w:lang w:val="hu-HU"/>
        </w:rPr>
        <w:noBreakHyphen/>
        <w:t>ből legfeljebb1 beteget érinthetnek)</w:t>
      </w:r>
      <w:r w:rsidRPr="00D045B3">
        <w:rPr>
          <w:b/>
          <w:bCs/>
          <w:iCs/>
          <w:color w:val="000000"/>
          <w:lang w:val="hu-HU"/>
        </w:rPr>
        <w:t>:</w:t>
      </w:r>
    </w:p>
    <w:p w14:paraId="1E927D5A" w14:textId="77777777" w:rsidR="00611231" w:rsidRPr="00D045B3" w:rsidRDefault="00611231" w:rsidP="00E95370">
      <w:pPr>
        <w:keepNext/>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Mellkasi fájdalom, szabálytalan szívverés (szív</w:t>
      </w:r>
      <w:r w:rsidR="00601F49" w:rsidRPr="00D045B3">
        <w:rPr>
          <w:color w:val="000000"/>
          <w:lang w:val="hu-HU"/>
        </w:rPr>
        <w:t>problémákra</w:t>
      </w:r>
      <w:r w:rsidRPr="00D045B3">
        <w:rPr>
          <w:color w:val="000000"/>
          <w:lang w:val="hu-HU"/>
        </w:rPr>
        <w:t xml:space="preserve"> utaló jelek).</w:t>
      </w:r>
    </w:p>
    <w:p w14:paraId="1E927D5B"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Köhögés, légszomj vagy fájdalmas légzés (tüdő</w:t>
      </w:r>
      <w:r w:rsidR="00601F49" w:rsidRPr="00D045B3">
        <w:rPr>
          <w:color w:val="000000"/>
          <w:lang w:val="hu-HU"/>
        </w:rPr>
        <w:t>problémákra</w:t>
      </w:r>
      <w:r w:rsidRPr="00D045B3">
        <w:rPr>
          <w:color w:val="000000"/>
          <w:lang w:val="hu-HU"/>
        </w:rPr>
        <w:t xml:space="preserve"> utaló jelek).</w:t>
      </w:r>
    </w:p>
    <w:p w14:paraId="1E927D5C"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Kábultság, szédülés vagy ájulás közeli érzés (alacsony vérnyomásra utaló jelek).</w:t>
      </w:r>
    </w:p>
    <w:p w14:paraId="1E927D5D"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 xml:space="preserve">Émelygés (hányinger) étvágytalansággal, </w:t>
      </w:r>
      <w:r w:rsidR="001D737B" w:rsidRPr="00D045B3">
        <w:rPr>
          <w:color w:val="000000"/>
          <w:lang w:val="hu-HU"/>
        </w:rPr>
        <w:t xml:space="preserve">sötét </w:t>
      </w:r>
      <w:r w:rsidRPr="00D045B3">
        <w:rPr>
          <w:color w:val="000000"/>
          <w:lang w:val="hu-HU"/>
        </w:rPr>
        <w:t>színű vizelettel vagy a bőr, illetve a szemfehérje besárgulásával (májrendellenességre utaló jelek).</w:t>
      </w:r>
    </w:p>
    <w:p w14:paraId="1E927D5E" w14:textId="77777777" w:rsidR="00611231" w:rsidRPr="00D045B3" w:rsidRDefault="009E6A84"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Bőrk</w:t>
      </w:r>
      <w:r w:rsidR="00611231" w:rsidRPr="00D045B3">
        <w:rPr>
          <w:color w:val="000000"/>
          <w:lang w:val="hu-HU"/>
        </w:rPr>
        <w:t>iütés, bőrpír, hólyagokkal az ajkakon, szemeken, bőrön vagy a szájban, a bőr hámlása, láz, a bőr felszínéből kiemelkedő vörös vagy lila foltok, viszketés, égő érzés, gennyes hólyagokkal jelentkező bőrkiütés (bőr</w:t>
      </w:r>
      <w:r w:rsidR="00601F49" w:rsidRPr="00D045B3">
        <w:rPr>
          <w:color w:val="000000"/>
          <w:lang w:val="hu-HU"/>
        </w:rPr>
        <w:t>problémákra</w:t>
      </w:r>
      <w:r w:rsidR="00611231" w:rsidRPr="00D045B3">
        <w:rPr>
          <w:color w:val="000000"/>
          <w:lang w:val="hu-HU"/>
        </w:rPr>
        <w:t xml:space="preserve"> utaló jelek).</w:t>
      </w:r>
    </w:p>
    <w:p w14:paraId="1E927D5F"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has</w:t>
      </w:r>
      <w:r w:rsidR="00601F49" w:rsidRPr="00D045B3">
        <w:rPr>
          <w:color w:val="000000"/>
          <w:lang w:val="hu-HU"/>
        </w:rPr>
        <w:t xml:space="preserve">i </w:t>
      </w:r>
      <w:r w:rsidRPr="00D045B3">
        <w:rPr>
          <w:color w:val="000000"/>
          <w:lang w:val="hu-HU"/>
        </w:rPr>
        <w:t>fáj</w:t>
      </w:r>
      <w:r w:rsidR="00601F49" w:rsidRPr="00D045B3">
        <w:rPr>
          <w:color w:val="000000"/>
          <w:lang w:val="hu-HU"/>
        </w:rPr>
        <w:t>dalom</w:t>
      </w:r>
      <w:r w:rsidRPr="00D045B3">
        <w:rPr>
          <w:color w:val="000000"/>
          <w:lang w:val="hu-HU"/>
        </w:rPr>
        <w:t>, vér a hányadékban, a székletben vagy a vizeletben, fekete széklet (gyomor-bélrendszer</w:t>
      </w:r>
      <w:r w:rsidR="00601F49" w:rsidRPr="00D045B3">
        <w:rPr>
          <w:color w:val="000000"/>
          <w:lang w:val="hu-HU"/>
        </w:rPr>
        <w:t>i problémákra</w:t>
      </w:r>
      <w:r w:rsidRPr="00D045B3">
        <w:rPr>
          <w:color w:val="000000"/>
          <w:lang w:val="hu-HU"/>
        </w:rPr>
        <w:t xml:space="preserve"> utaló jelek).</w:t>
      </w:r>
    </w:p>
    <w:p w14:paraId="1E927D60"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vizelet mennyiségének nagymértékű csökkenése, szomjúság érzés (vese</w:t>
      </w:r>
      <w:r w:rsidR="00601F49" w:rsidRPr="00D045B3">
        <w:rPr>
          <w:color w:val="000000"/>
          <w:lang w:val="hu-HU"/>
        </w:rPr>
        <w:t>problémákra</w:t>
      </w:r>
      <w:r w:rsidRPr="00D045B3">
        <w:rPr>
          <w:color w:val="000000"/>
          <w:lang w:val="hu-HU"/>
        </w:rPr>
        <w:t xml:space="preserve"> utaló jelek).</w:t>
      </w:r>
    </w:p>
    <w:p w14:paraId="1E927D61"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hasmenéssel és hányással, hasfájás vagy láz (bélrendellenességre utaló jelek).</w:t>
      </w:r>
    </w:p>
    <w:p w14:paraId="1E927D62" w14:textId="47C23D74"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fejfájás, a végtagok vagy az arc</w:t>
      </w:r>
      <w:r w:rsidR="000056AE" w:rsidRPr="00D045B3">
        <w:rPr>
          <w:color w:val="000000"/>
          <w:lang w:val="hu-HU"/>
        </w:rPr>
        <w:t>izmok</w:t>
      </w:r>
      <w:r w:rsidRPr="00D045B3">
        <w:rPr>
          <w:color w:val="000000"/>
          <w:lang w:val="hu-HU"/>
        </w:rPr>
        <w:t xml:space="preserve"> gyengesége vagy bénulása, nehezített beszéd, hirtelen eszméletvesztés (idegrendszeri </w:t>
      </w:r>
      <w:r w:rsidR="00601F49" w:rsidRPr="00D045B3">
        <w:rPr>
          <w:color w:val="000000"/>
          <w:lang w:val="hu-HU"/>
        </w:rPr>
        <w:t>problémákra</w:t>
      </w:r>
      <w:r w:rsidRPr="00D045B3">
        <w:rPr>
          <w:color w:val="000000"/>
          <w:lang w:val="hu-HU"/>
        </w:rPr>
        <w:t>, mint például a koponyán belüli vagy az agyban kialakuló vérzésre vagy vizenyőre utaló jelek).</w:t>
      </w:r>
    </w:p>
    <w:p w14:paraId="1E927D63"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Sápadt bőr, fáradtság és légszomj, valamint sötét vizelet (alacsony vörösvértestszámra utaló jelek).</w:t>
      </w:r>
    </w:p>
    <w:p w14:paraId="1E927D64"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Szemfájdalom vagy a látás romlása</w:t>
      </w:r>
      <w:r w:rsidR="001D737B" w:rsidRPr="00D045B3">
        <w:rPr>
          <w:color w:val="000000"/>
          <w:lang w:val="hu-HU"/>
        </w:rPr>
        <w:t>, szemen belüli vérzés</w:t>
      </w:r>
      <w:r w:rsidRPr="00D045B3">
        <w:rPr>
          <w:color w:val="000000"/>
          <w:lang w:val="hu-HU"/>
        </w:rPr>
        <w:t>.</w:t>
      </w:r>
    </w:p>
    <w:p w14:paraId="1E927D65"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Csípőfájdalom vagy a járás nehezítettsége.</w:t>
      </w:r>
    </w:p>
    <w:p w14:paraId="1E927D66"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láb- és kézujjak zsibbadása vagy hidegsége (Raynaud-szindrómára utaló jelek).</w:t>
      </w:r>
    </w:p>
    <w:p w14:paraId="1E927D67"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bőr hirtelen duzzadása és vörössége (cellulitisz nevű bőrfertőzésre utaló jelek).</w:t>
      </w:r>
    </w:p>
    <w:p w14:paraId="1E927D68"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Halláscsökkenés.</w:t>
      </w:r>
    </w:p>
    <w:p w14:paraId="1E927D69"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bookmarkStart w:id="1" w:name="OLE_LINK2"/>
      <w:r w:rsidRPr="00D045B3">
        <w:rPr>
          <w:color w:val="000000"/>
          <w:lang w:val="hu-HU"/>
        </w:rPr>
        <w:t>Izomgyengeség és izomgörcsök szívritmuszavarral (a vérben lévő kálium</w:t>
      </w:r>
      <w:r w:rsidR="00601F49" w:rsidRPr="00D045B3">
        <w:rPr>
          <w:color w:val="000000"/>
          <w:lang w:val="hu-HU"/>
        </w:rPr>
        <w:noBreakHyphen/>
      </w:r>
      <w:r w:rsidRPr="00D045B3">
        <w:rPr>
          <w:color w:val="000000"/>
          <w:lang w:val="hu-HU"/>
        </w:rPr>
        <w:t>mennyiség változásának jelei).</w:t>
      </w:r>
    </w:p>
    <w:p w14:paraId="1E927D6A"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Véraláfutás.</w:t>
      </w:r>
    </w:p>
    <w:p w14:paraId="1E927D6B"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Gyomorfájdalom émelygéssel (hányingerrel).</w:t>
      </w:r>
    </w:p>
    <w:p w14:paraId="1E927D6C"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Izomgörcsök lázzal, vöröses-barna színű vizelettel, izomfájdalommal vagy izomgyengeséggel (izom</w:t>
      </w:r>
      <w:r w:rsidR="00A90B3E" w:rsidRPr="00D045B3">
        <w:rPr>
          <w:color w:val="000000"/>
          <w:lang w:val="hu-HU"/>
        </w:rPr>
        <w:t>problémákra</w:t>
      </w:r>
      <w:r w:rsidRPr="00D045B3">
        <w:rPr>
          <w:color w:val="000000"/>
          <w:lang w:val="hu-HU"/>
        </w:rPr>
        <w:t xml:space="preserve"> utaló jelek).</w:t>
      </w:r>
    </w:p>
    <w:p w14:paraId="1E927D6D" w14:textId="77777777"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Kismedencei fájdalom, néha hányingerrel és hányással, váratlan hüvelyi vérzéssel, szédüléssel vagy ájulás közeli érzéssel, mely az alacsony vérnyomásnak tulajdonítható (petefészek- vagy méh</w:t>
      </w:r>
      <w:r w:rsidR="00601F49" w:rsidRPr="00D045B3">
        <w:rPr>
          <w:color w:val="000000"/>
          <w:lang w:val="hu-HU"/>
        </w:rPr>
        <w:t>problémákra</w:t>
      </w:r>
      <w:r w:rsidRPr="00D045B3">
        <w:rPr>
          <w:color w:val="000000"/>
          <w:lang w:val="hu-HU"/>
        </w:rPr>
        <w:t xml:space="preserve"> utaló jelek).</w:t>
      </w:r>
    </w:p>
    <w:p w14:paraId="1E927D6E" w14:textId="51990495" w:rsidR="00611231" w:rsidRPr="00D045B3" w:rsidRDefault="00611231"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Kóros laborat</w:t>
      </w:r>
      <w:r w:rsidR="006A6FE8" w:rsidRPr="00D045B3">
        <w:rPr>
          <w:color w:val="000000"/>
          <w:lang w:val="hu-HU"/>
        </w:rPr>
        <w:t>ó</w:t>
      </w:r>
      <w:r w:rsidRPr="00D045B3">
        <w:rPr>
          <w:color w:val="000000"/>
          <w:lang w:val="hu-HU"/>
        </w:rPr>
        <w:t xml:space="preserve">riumi </w:t>
      </w:r>
      <w:r w:rsidR="00601F49" w:rsidRPr="00D045B3">
        <w:rPr>
          <w:color w:val="000000"/>
          <w:lang w:val="hu-HU"/>
        </w:rPr>
        <w:t>vizsgálati</w:t>
      </w:r>
      <w:r w:rsidRPr="00D045B3">
        <w:rPr>
          <w:color w:val="000000"/>
          <w:lang w:val="hu-HU"/>
        </w:rPr>
        <w:t xml:space="preserve"> eredményekkel (pl. magas kálium-, húgysav- </w:t>
      </w:r>
      <w:r w:rsidR="00E52BE8" w:rsidRPr="00D045B3">
        <w:rPr>
          <w:color w:val="000000"/>
          <w:lang w:val="hu-HU"/>
        </w:rPr>
        <w:t>és kalciumszint, valamint alacsony</w:t>
      </w:r>
      <w:r w:rsidRPr="00D045B3">
        <w:rPr>
          <w:color w:val="000000"/>
          <w:lang w:val="hu-HU"/>
        </w:rPr>
        <w:t xml:space="preserve"> foszforszint, a vérben) összefüggő hányinger, légszomj, rendszertelen szívverés, zavaros vizelet, fáradtság és/vagy ízületi fájdalom.</w:t>
      </w:r>
    </w:p>
    <w:p w14:paraId="7651BB11" w14:textId="647143B6" w:rsidR="00D70748" w:rsidRPr="00D045B3" w:rsidRDefault="00D70748"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Vérrögök a kis vérerekben (trombotikus mikroangiopátia).</w:t>
      </w:r>
    </w:p>
    <w:p w14:paraId="1E927D6F" w14:textId="77777777" w:rsidR="00E52BE8" w:rsidRPr="00D045B3" w:rsidRDefault="00E52BE8" w:rsidP="00422206">
      <w:pPr>
        <w:tabs>
          <w:tab w:val="clear" w:pos="567"/>
        </w:tabs>
        <w:suppressAutoHyphens/>
        <w:spacing w:line="240" w:lineRule="auto"/>
        <w:rPr>
          <w:color w:val="000000"/>
          <w:lang w:val="hu-HU"/>
        </w:rPr>
      </w:pPr>
    </w:p>
    <w:p w14:paraId="1E927D70" w14:textId="77777777" w:rsidR="00422206" w:rsidRPr="00D045B3" w:rsidRDefault="00422206" w:rsidP="00190CF7">
      <w:pPr>
        <w:pStyle w:val="Default"/>
        <w:keepNext/>
        <w:rPr>
          <w:sz w:val="22"/>
          <w:szCs w:val="22"/>
        </w:rPr>
      </w:pPr>
      <w:r w:rsidRPr="00D045B3">
        <w:rPr>
          <w:b/>
          <w:bCs/>
          <w:sz w:val="22"/>
          <w:szCs w:val="22"/>
        </w:rPr>
        <w:t xml:space="preserve">Nem ismert </w:t>
      </w:r>
      <w:r w:rsidRPr="00D045B3">
        <w:rPr>
          <w:sz w:val="22"/>
          <w:szCs w:val="22"/>
        </w:rPr>
        <w:t xml:space="preserve">(a gyakoriság a rendelkezésre álló adatokból nem állapítható meg): </w:t>
      </w:r>
    </w:p>
    <w:p w14:paraId="1E927D71" w14:textId="77777777" w:rsidR="00576401" w:rsidRPr="00D045B3" w:rsidRDefault="00422206" w:rsidP="00E95370">
      <w:pPr>
        <w:pStyle w:val="Default"/>
        <w:keepNext/>
        <w:numPr>
          <w:ilvl w:val="0"/>
          <w:numId w:val="29"/>
        </w:numPr>
        <w:ind w:left="567" w:hanging="567"/>
        <w:rPr>
          <w:sz w:val="22"/>
          <w:szCs w:val="22"/>
        </w:rPr>
      </w:pPr>
      <w:r w:rsidRPr="00D045B3">
        <w:rPr>
          <w:sz w:val="22"/>
          <w:szCs w:val="22"/>
        </w:rPr>
        <w:t>Kiterjedt, súlyos bőrkiütés, hányinger, láz, bizonyos fehérvérsejtek magas szám</w:t>
      </w:r>
      <w:r w:rsidR="007C4FF3" w:rsidRPr="00D045B3">
        <w:rPr>
          <w:sz w:val="22"/>
          <w:szCs w:val="22"/>
        </w:rPr>
        <w:t>ának</w:t>
      </w:r>
      <w:r w:rsidRPr="00D045B3">
        <w:rPr>
          <w:sz w:val="22"/>
          <w:szCs w:val="22"/>
        </w:rPr>
        <w:t xml:space="preserve"> vagy </w:t>
      </w:r>
      <w:r w:rsidR="007C4FF3" w:rsidRPr="00D045B3">
        <w:rPr>
          <w:sz w:val="22"/>
          <w:szCs w:val="22"/>
        </w:rPr>
        <w:t>a</w:t>
      </w:r>
      <w:r w:rsidRPr="00D045B3">
        <w:rPr>
          <w:sz w:val="22"/>
          <w:szCs w:val="22"/>
        </w:rPr>
        <w:t xml:space="preserve"> bőr</w:t>
      </w:r>
      <w:r w:rsidR="007C4FF3" w:rsidRPr="00D045B3">
        <w:rPr>
          <w:sz w:val="22"/>
          <w:szCs w:val="22"/>
        </w:rPr>
        <w:t xml:space="preserve">, illetve a </w:t>
      </w:r>
      <w:r w:rsidRPr="00D045B3">
        <w:rPr>
          <w:sz w:val="22"/>
          <w:szCs w:val="22"/>
        </w:rPr>
        <w:t>szemfehérje</w:t>
      </w:r>
      <w:r w:rsidR="007C4FF3" w:rsidRPr="00D045B3">
        <w:rPr>
          <w:sz w:val="22"/>
          <w:szCs w:val="22"/>
        </w:rPr>
        <w:t xml:space="preserve"> besárgulásának</w:t>
      </w:r>
      <w:r w:rsidRPr="00D045B3">
        <w:rPr>
          <w:sz w:val="22"/>
          <w:szCs w:val="22"/>
        </w:rPr>
        <w:t xml:space="preserve"> (sárgaság tünetei) kombinációja, lég</w:t>
      </w:r>
      <w:r w:rsidR="007C4FF3" w:rsidRPr="00D045B3">
        <w:rPr>
          <w:sz w:val="22"/>
          <w:szCs w:val="22"/>
        </w:rPr>
        <w:t>szomjjal, mellkasi fájdalommal/</w:t>
      </w:r>
      <w:r w:rsidRPr="00D045B3">
        <w:rPr>
          <w:sz w:val="22"/>
          <w:szCs w:val="22"/>
        </w:rPr>
        <w:t xml:space="preserve">kellemetlen érzéssel, </w:t>
      </w:r>
      <w:r w:rsidR="007C4FF3" w:rsidRPr="00D045B3">
        <w:rPr>
          <w:sz w:val="22"/>
          <w:szCs w:val="22"/>
        </w:rPr>
        <w:t>nagymértékben</w:t>
      </w:r>
      <w:r w:rsidRPr="00D045B3">
        <w:rPr>
          <w:sz w:val="22"/>
          <w:szCs w:val="22"/>
        </w:rPr>
        <w:t xml:space="preserve"> csökkent vizeletürítéssel és szomjúsággal stb. (ezek a kezeléssel összefüggő allergiás reakció jelei).</w:t>
      </w:r>
    </w:p>
    <w:p w14:paraId="1E927D72" w14:textId="082DFCE4" w:rsidR="00C12DEE" w:rsidRPr="00D045B3" w:rsidRDefault="00C20179" w:rsidP="00E95370">
      <w:pPr>
        <w:pStyle w:val="KeinLeerraum"/>
        <w:numPr>
          <w:ilvl w:val="0"/>
          <w:numId w:val="35"/>
        </w:numPr>
        <w:tabs>
          <w:tab w:val="left" w:pos="567"/>
        </w:tabs>
        <w:ind w:left="567" w:hanging="567"/>
        <w:rPr>
          <w:rFonts w:ascii="Times New Roman" w:hAnsi="Times New Roman"/>
        </w:rPr>
      </w:pPr>
      <w:r w:rsidRPr="00D045B3">
        <w:rPr>
          <w:rFonts w:ascii="Times New Roman" w:hAnsi="Times New Roman"/>
        </w:rPr>
        <w:t>K</w:t>
      </w:r>
      <w:r w:rsidR="00576401" w:rsidRPr="00D045B3">
        <w:rPr>
          <w:rFonts w:ascii="Times New Roman" w:hAnsi="Times New Roman"/>
        </w:rPr>
        <w:t>rónikus veseelégtelenség</w:t>
      </w:r>
      <w:r w:rsidRPr="00D045B3">
        <w:rPr>
          <w:rFonts w:ascii="Times New Roman" w:hAnsi="Times New Roman"/>
        </w:rPr>
        <w:t>.</w:t>
      </w:r>
    </w:p>
    <w:p w14:paraId="1E927D73" w14:textId="77777777" w:rsidR="00C12DEE" w:rsidRPr="00D045B3" w:rsidRDefault="007D7CF1" w:rsidP="00E95370">
      <w:pPr>
        <w:pStyle w:val="KeinLeerraum"/>
        <w:numPr>
          <w:ilvl w:val="0"/>
          <w:numId w:val="35"/>
        </w:numPr>
        <w:tabs>
          <w:tab w:val="left" w:pos="567"/>
        </w:tabs>
        <w:ind w:left="567" w:hanging="567"/>
        <w:rPr>
          <w:rFonts w:ascii="Times New Roman" w:hAnsi="Times New Roman"/>
        </w:rPr>
      </w:pPr>
      <w:r w:rsidRPr="00D045B3">
        <w:rPr>
          <w:rFonts w:ascii="Times New Roman" w:hAnsi="Times New Roman"/>
        </w:rPr>
        <w:t>A hepatitisz </w:t>
      </w:r>
      <w:r w:rsidR="00C12DEE" w:rsidRPr="00D045B3">
        <w:rPr>
          <w:rFonts w:ascii="Times New Roman" w:hAnsi="Times New Roman"/>
        </w:rPr>
        <w:t>B fertőzés kiújulása (reaktiválódása</w:t>
      </w:r>
      <w:r w:rsidR="003D5598" w:rsidRPr="00D045B3">
        <w:rPr>
          <w:rFonts w:ascii="Times New Roman" w:hAnsi="Times New Roman"/>
        </w:rPr>
        <w:t>), ha Önnek korábban hepatitisz </w:t>
      </w:r>
      <w:r w:rsidR="00C12DEE" w:rsidRPr="00D045B3">
        <w:rPr>
          <w:rFonts w:ascii="Times New Roman" w:hAnsi="Times New Roman"/>
        </w:rPr>
        <w:t>B fe</w:t>
      </w:r>
      <w:r w:rsidR="002A262C" w:rsidRPr="00D045B3">
        <w:rPr>
          <w:rFonts w:ascii="Times New Roman" w:hAnsi="Times New Roman"/>
        </w:rPr>
        <w:t>rtőzése (egy májfertőzés) volt.</w:t>
      </w:r>
    </w:p>
    <w:p w14:paraId="1E927D74" w14:textId="77777777" w:rsidR="00422206" w:rsidRPr="00D045B3" w:rsidRDefault="00422206" w:rsidP="00422206">
      <w:pPr>
        <w:tabs>
          <w:tab w:val="clear" w:pos="567"/>
        </w:tabs>
        <w:suppressAutoHyphens/>
        <w:spacing w:line="240" w:lineRule="auto"/>
        <w:rPr>
          <w:color w:val="000000"/>
          <w:lang w:val="hu-HU"/>
        </w:rPr>
      </w:pPr>
    </w:p>
    <w:bookmarkEnd w:id="1"/>
    <w:p w14:paraId="1E927D75" w14:textId="77777777" w:rsidR="00611231" w:rsidRPr="00D045B3" w:rsidRDefault="00611231" w:rsidP="00611231">
      <w:pPr>
        <w:spacing w:line="240" w:lineRule="auto"/>
        <w:rPr>
          <w:color w:val="000000"/>
          <w:lang w:val="hu-HU"/>
        </w:rPr>
      </w:pPr>
      <w:r w:rsidRPr="00D045B3">
        <w:rPr>
          <w:b/>
          <w:color w:val="000000"/>
          <w:lang w:val="hu-HU"/>
        </w:rPr>
        <w:t xml:space="preserve">Azonnal forduljon kezelőorvosához, </w:t>
      </w:r>
      <w:r w:rsidRPr="00D045B3">
        <w:rPr>
          <w:color w:val="000000"/>
          <w:lang w:val="hu-HU"/>
        </w:rPr>
        <w:t>ha a fentiek közül bármelyiket észleli!</w:t>
      </w:r>
    </w:p>
    <w:p w14:paraId="1E927D76" w14:textId="77777777" w:rsidR="00611231" w:rsidRPr="00D045B3" w:rsidRDefault="00611231" w:rsidP="00611231">
      <w:pPr>
        <w:spacing w:line="240" w:lineRule="auto"/>
        <w:rPr>
          <w:color w:val="000000"/>
          <w:lang w:val="hu-HU"/>
        </w:rPr>
      </w:pPr>
    </w:p>
    <w:p w14:paraId="1E927D77" w14:textId="77777777" w:rsidR="00611231" w:rsidRPr="00D045B3" w:rsidRDefault="00611231" w:rsidP="00601F49">
      <w:pPr>
        <w:keepNext/>
        <w:spacing w:line="240" w:lineRule="auto"/>
        <w:rPr>
          <w:b/>
          <w:color w:val="000000"/>
          <w:lang w:val="hu-HU"/>
        </w:rPr>
      </w:pPr>
      <w:r w:rsidRPr="00D045B3">
        <w:rPr>
          <w:b/>
          <w:color w:val="000000"/>
          <w:lang w:val="hu-HU"/>
        </w:rPr>
        <w:t>További lehetséges mellékhatások:</w:t>
      </w:r>
    </w:p>
    <w:p w14:paraId="1E927D78" w14:textId="77777777" w:rsidR="00611231" w:rsidRPr="00D045B3" w:rsidRDefault="00611231" w:rsidP="00601F49">
      <w:pPr>
        <w:keepNext/>
        <w:spacing w:line="240" w:lineRule="auto"/>
        <w:rPr>
          <w:color w:val="000000"/>
          <w:lang w:val="hu-HU"/>
        </w:rPr>
      </w:pPr>
    </w:p>
    <w:p w14:paraId="1E927D79" w14:textId="55C3A6C7" w:rsidR="00611231" w:rsidRPr="00D045B3" w:rsidRDefault="00611231" w:rsidP="00601F49">
      <w:pPr>
        <w:keepNext/>
        <w:spacing w:line="240" w:lineRule="auto"/>
        <w:rPr>
          <w:b/>
          <w:color w:val="000000"/>
          <w:lang w:val="hu-HU"/>
        </w:rPr>
      </w:pPr>
      <w:r w:rsidRPr="00D045B3">
        <w:rPr>
          <w:b/>
          <w:color w:val="000000"/>
          <w:lang w:val="hu-HU"/>
        </w:rPr>
        <w:t>Nagyon gyakori</w:t>
      </w:r>
      <w:r w:rsidR="008157F6" w:rsidRPr="00D045B3">
        <w:rPr>
          <w:b/>
          <w:color w:val="000000"/>
          <w:lang w:val="hu-HU"/>
        </w:rPr>
        <w:t xml:space="preserve"> </w:t>
      </w:r>
      <w:r w:rsidR="00601F49" w:rsidRPr="00D045B3">
        <w:rPr>
          <w:color w:val="000000"/>
          <w:lang w:val="hu-HU"/>
        </w:rPr>
        <w:t>(</w:t>
      </w:r>
      <w:r w:rsidR="00601F49" w:rsidRPr="00D045B3">
        <w:rPr>
          <w:bCs/>
          <w:iCs/>
          <w:color w:val="000000"/>
          <w:lang w:val="hu-HU"/>
        </w:rPr>
        <w:t>10</w:t>
      </w:r>
      <w:r w:rsidR="00601F49" w:rsidRPr="00D045B3">
        <w:rPr>
          <w:bCs/>
          <w:iCs/>
          <w:color w:val="000000"/>
          <w:lang w:val="hu-HU"/>
        </w:rPr>
        <w:noBreakHyphen/>
        <w:t>ből 1</w:t>
      </w:r>
      <w:r w:rsidR="00601F49" w:rsidRPr="00D045B3">
        <w:rPr>
          <w:bCs/>
          <w:iCs/>
          <w:color w:val="000000"/>
          <w:lang w:val="hu-HU"/>
        </w:rPr>
        <w:noBreakHyphen/>
        <w:t>nél több beteget érinthetnek)</w:t>
      </w:r>
      <w:r w:rsidRPr="00D045B3">
        <w:rPr>
          <w:b/>
          <w:color w:val="000000"/>
          <w:lang w:val="hu-HU"/>
        </w:rPr>
        <w:t>:</w:t>
      </w:r>
    </w:p>
    <w:p w14:paraId="1E927D7A" w14:textId="77777777" w:rsidR="00611231" w:rsidRPr="00D045B3" w:rsidRDefault="00611231" w:rsidP="00E95370">
      <w:pPr>
        <w:keepNext/>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Fejfájás vagy fáradtság.</w:t>
      </w:r>
    </w:p>
    <w:p w14:paraId="1E927D7B" w14:textId="77777777" w:rsidR="00611231" w:rsidRPr="00D045B3" w:rsidRDefault="00611231"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Hányinger, hányás, hasmenés vagy emésztési zavarok.</w:t>
      </w:r>
    </w:p>
    <w:p w14:paraId="1E927D7C" w14:textId="77777777" w:rsidR="00611231" w:rsidRPr="00D045B3" w:rsidRDefault="00611231"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Bőrkiütés.</w:t>
      </w:r>
    </w:p>
    <w:p w14:paraId="1E927D7D" w14:textId="77777777" w:rsidR="00704991" w:rsidRPr="00D045B3" w:rsidRDefault="00611231" w:rsidP="00E95370">
      <w:pPr>
        <w:numPr>
          <w:ilvl w:val="0"/>
          <w:numId w:val="15"/>
        </w:numPr>
        <w:tabs>
          <w:tab w:val="clear" w:pos="360"/>
          <w:tab w:val="clear" w:pos="567"/>
          <w:tab w:val="num" w:pos="600"/>
        </w:tabs>
        <w:suppressAutoHyphens/>
        <w:spacing w:line="240" w:lineRule="auto"/>
        <w:ind w:left="600" w:hanging="600"/>
        <w:rPr>
          <w:color w:val="000000"/>
          <w:lang w:val="hu-HU"/>
        </w:rPr>
      </w:pPr>
      <w:r w:rsidRPr="00D045B3">
        <w:rPr>
          <w:color w:val="000000"/>
          <w:lang w:val="hu-HU"/>
        </w:rPr>
        <w:t>Izomgörcsök, vagy ízületi-, izom</w:t>
      </w:r>
      <w:r w:rsidRPr="00D045B3">
        <w:rPr>
          <w:color w:val="000000"/>
          <w:lang w:val="hu-HU"/>
        </w:rPr>
        <w:noBreakHyphen/>
        <w:t xml:space="preserve"> vagy csontfájdalmak</w:t>
      </w:r>
      <w:r w:rsidR="00704991" w:rsidRPr="00D045B3">
        <w:rPr>
          <w:color w:val="000000"/>
          <w:lang w:val="hu-HU"/>
        </w:rPr>
        <w:t>, imatinib-kezelés alatt, vagy az imatinib szedésének abbahagyását követően.</w:t>
      </w:r>
    </w:p>
    <w:p w14:paraId="1E927D7E" w14:textId="64960CBA" w:rsidR="00611231" w:rsidRPr="00D045B3" w:rsidRDefault="00611231"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Duzzanat, mint a bokaduzzanat és a szem</w:t>
      </w:r>
      <w:r w:rsidR="000056AE" w:rsidRPr="00D045B3">
        <w:rPr>
          <w:color w:val="000000"/>
          <w:lang w:val="hu-HU"/>
        </w:rPr>
        <w:t>tájé</w:t>
      </w:r>
      <w:r w:rsidRPr="00D045B3">
        <w:rPr>
          <w:color w:val="000000"/>
          <w:lang w:val="hu-HU"/>
        </w:rPr>
        <w:t>k duzzanata.</w:t>
      </w:r>
    </w:p>
    <w:p w14:paraId="1E927D7F" w14:textId="77777777" w:rsidR="00611231" w:rsidRPr="00D045B3" w:rsidRDefault="00611231"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Test</w:t>
      </w:r>
      <w:r w:rsidR="00601F49" w:rsidRPr="00D045B3">
        <w:rPr>
          <w:color w:val="000000"/>
          <w:lang w:val="hu-HU"/>
        </w:rPr>
        <w:t>tömeg</w:t>
      </w:r>
      <w:r w:rsidR="00601F49" w:rsidRPr="00D045B3">
        <w:rPr>
          <w:color w:val="000000"/>
          <w:lang w:val="hu-HU"/>
        </w:rPr>
        <w:noBreakHyphen/>
      </w:r>
      <w:r w:rsidRPr="00D045B3">
        <w:rPr>
          <w:color w:val="000000"/>
          <w:lang w:val="hu-HU"/>
        </w:rPr>
        <w:t>gyarapodás.</w:t>
      </w:r>
    </w:p>
    <w:p w14:paraId="1E927D80" w14:textId="77777777" w:rsidR="00611231" w:rsidRPr="00D045B3" w:rsidRDefault="00611231" w:rsidP="00611231">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7D81" w14:textId="77777777" w:rsidR="00611231" w:rsidRPr="00D045B3" w:rsidRDefault="00611231" w:rsidP="00611231">
      <w:pPr>
        <w:spacing w:line="240" w:lineRule="auto"/>
        <w:rPr>
          <w:color w:val="000000"/>
          <w:lang w:val="hu-HU"/>
        </w:rPr>
      </w:pPr>
    </w:p>
    <w:p w14:paraId="1E927D82" w14:textId="755C0CF2" w:rsidR="00611231" w:rsidRPr="00D045B3" w:rsidRDefault="00611231" w:rsidP="008A6837">
      <w:pPr>
        <w:keepNext/>
        <w:spacing w:line="240" w:lineRule="auto"/>
        <w:rPr>
          <w:b/>
          <w:color w:val="000000"/>
          <w:lang w:val="hu-HU"/>
        </w:rPr>
      </w:pPr>
      <w:r w:rsidRPr="00D045B3">
        <w:rPr>
          <w:b/>
          <w:color w:val="000000"/>
          <w:lang w:val="hu-HU"/>
        </w:rPr>
        <w:t>Gyakori</w:t>
      </w:r>
      <w:r w:rsidR="008157F6" w:rsidRPr="00D045B3">
        <w:rPr>
          <w:b/>
          <w:color w:val="000000"/>
          <w:lang w:val="hu-HU"/>
        </w:rPr>
        <w:t xml:space="preserve"> </w:t>
      </w:r>
      <w:r w:rsidR="00D467A0" w:rsidRPr="00D045B3">
        <w:rPr>
          <w:bCs/>
          <w:iCs/>
          <w:color w:val="000000"/>
          <w:lang w:val="hu-HU"/>
        </w:rPr>
        <w:t>(10</w:t>
      </w:r>
      <w:r w:rsidR="00D467A0" w:rsidRPr="00D045B3">
        <w:rPr>
          <w:bCs/>
          <w:iCs/>
          <w:color w:val="000000"/>
          <w:lang w:val="hu-HU"/>
        </w:rPr>
        <w:noBreakHyphen/>
        <w:t>ből legfeljebb1 beteget érinthetnek)</w:t>
      </w:r>
      <w:r w:rsidRPr="00D045B3">
        <w:rPr>
          <w:b/>
          <w:color w:val="000000"/>
          <w:lang w:val="hu-HU"/>
        </w:rPr>
        <w:t>:</w:t>
      </w:r>
    </w:p>
    <w:p w14:paraId="1E927D83"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Étvágytalanság, test</w:t>
      </w:r>
      <w:r w:rsidR="00D467A0" w:rsidRPr="00D045B3">
        <w:rPr>
          <w:color w:val="000000"/>
          <w:lang w:val="hu-HU"/>
        </w:rPr>
        <w:t>tömeg</w:t>
      </w:r>
      <w:r w:rsidR="00D467A0" w:rsidRPr="00D045B3">
        <w:rPr>
          <w:color w:val="000000"/>
          <w:lang w:val="hu-HU"/>
        </w:rPr>
        <w:noBreakHyphen/>
      </w:r>
      <w:r w:rsidRPr="00D045B3">
        <w:rPr>
          <w:color w:val="000000"/>
          <w:lang w:val="hu-HU"/>
        </w:rPr>
        <w:t>csökkenés vagy ízérzési zavarok.</w:t>
      </w:r>
    </w:p>
    <w:p w14:paraId="1E927D84"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Szédülés vagy gyengeség.</w:t>
      </w:r>
    </w:p>
    <w:p w14:paraId="1E927D85"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Álmatlanság (inszomnia).</w:t>
      </w:r>
    </w:p>
    <w:p w14:paraId="1E927D86"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Szemváladékozás viszketéssel, vörösséggel és duzzanattal (kötőhártya</w:t>
      </w:r>
      <w:r w:rsidR="006A6FE8" w:rsidRPr="00D045B3">
        <w:rPr>
          <w:color w:val="000000"/>
          <w:lang w:val="hu-HU"/>
        </w:rPr>
        <w:t xml:space="preserve"> </w:t>
      </w:r>
      <w:r w:rsidRPr="00D045B3">
        <w:rPr>
          <w:color w:val="000000"/>
          <w:lang w:val="hu-HU"/>
        </w:rPr>
        <w:t>gyulladás), fokozott könnyfolyás vagy homályos látás.</w:t>
      </w:r>
    </w:p>
    <w:p w14:paraId="1E927D87"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Orrvérzés.</w:t>
      </w:r>
    </w:p>
    <w:p w14:paraId="1E927D88"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Hasi fájdalom vagy haspuffadás, fokozott bélgáztermelődés, gyomorégés vagy székrekedés.</w:t>
      </w:r>
    </w:p>
    <w:p w14:paraId="1E927D89"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Viszketés.</w:t>
      </w:r>
    </w:p>
    <w:p w14:paraId="1E927D8A"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Szokatlan hajhullás vagy hajritkulás.</w:t>
      </w:r>
    </w:p>
    <w:p w14:paraId="1E927D8B"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Kéz</w:t>
      </w:r>
      <w:r w:rsidRPr="00D045B3">
        <w:rPr>
          <w:color w:val="000000"/>
          <w:lang w:val="hu-HU"/>
        </w:rPr>
        <w:noBreakHyphen/>
        <w:t xml:space="preserve"> és lábfejzsibbadás.</w:t>
      </w:r>
    </w:p>
    <w:p w14:paraId="1E927D8C"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Szájfekély.</w:t>
      </w:r>
    </w:p>
    <w:p w14:paraId="1E927D8D"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Ízületi fájdalom</w:t>
      </w:r>
      <w:r w:rsidR="00D467A0" w:rsidRPr="00D045B3">
        <w:rPr>
          <w:color w:val="000000"/>
          <w:lang w:val="hu-HU"/>
        </w:rPr>
        <w:t>,</w:t>
      </w:r>
      <w:r w:rsidRPr="00D045B3">
        <w:rPr>
          <w:color w:val="000000"/>
          <w:lang w:val="hu-HU"/>
        </w:rPr>
        <w:t xml:space="preserve"> duzzadással.</w:t>
      </w:r>
    </w:p>
    <w:p w14:paraId="1E927D8E"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Szájszárazság, bőrszárazság vagy szemszárazság.</w:t>
      </w:r>
    </w:p>
    <w:p w14:paraId="1E927D8F"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A bőr érzékenységének csökkenése vagy fokozódása.</w:t>
      </w:r>
    </w:p>
    <w:p w14:paraId="1E927D90" w14:textId="77777777" w:rsidR="00611231" w:rsidRPr="00D045B3" w:rsidRDefault="00611231"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Hőhullámok, hidegrázás vagy éjszakai izzadás.</w:t>
      </w:r>
    </w:p>
    <w:p w14:paraId="1E927D91" w14:textId="77777777" w:rsidR="00611231" w:rsidRPr="00D045B3" w:rsidRDefault="00611231" w:rsidP="00611231">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7D92" w14:textId="77777777" w:rsidR="00611231" w:rsidRPr="00D045B3" w:rsidRDefault="00611231" w:rsidP="00611231">
      <w:pPr>
        <w:spacing w:line="240" w:lineRule="auto"/>
        <w:rPr>
          <w:color w:val="000000"/>
          <w:lang w:val="hu-HU"/>
        </w:rPr>
      </w:pPr>
    </w:p>
    <w:p w14:paraId="1E927D93" w14:textId="67699BC5" w:rsidR="00611231" w:rsidRPr="00D045B3" w:rsidRDefault="00611231" w:rsidP="00D467A0">
      <w:pPr>
        <w:keepNext/>
        <w:spacing w:line="240" w:lineRule="auto"/>
        <w:rPr>
          <w:b/>
          <w:color w:val="000000"/>
          <w:lang w:val="hu-HU"/>
        </w:rPr>
      </w:pPr>
      <w:r w:rsidRPr="00D045B3">
        <w:rPr>
          <w:b/>
          <w:color w:val="000000"/>
          <w:lang w:val="hu-HU"/>
        </w:rPr>
        <w:t>Nem ismert</w:t>
      </w:r>
      <w:r w:rsidR="00D467A0" w:rsidRPr="00D045B3">
        <w:rPr>
          <w:b/>
          <w:color w:val="000000"/>
          <w:lang w:val="hu-HU"/>
        </w:rPr>
        <w:t xml:space="preserve"> </w:t>
      </w:r>
      <w:r w:rsidR="00D467A0" w:rsidRPr="00D045B3">
        <w:rPr>
          <w:color w:val="000000"/>
          <w:lang w:val="hu-HU"/>
        </w:rPr>
        <w:t>(a gyakoriság a rendelkezésre álló adatokból nem állapítható meg)</w:t>
      </w:r>
      <w:r w:rsidRPr="00D045B3">
        <w:rPr>
          <w:color w:val="000000"/>
          <w:lang w:val="hu-HU"/>
        </w:rPr>
        <w:t>:</w:t>
      </w:r>
    </w:p>
    <w:p w14:paraId="1E927D94" w14:textId="77777777" w:rsidR="00611231" w:rsidRPr="00D045B3" w:rsidRDefault="00611231" w:rsidP="00E95370">
      <w:pPr>
        <w:keepNext/>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A tenyér és a talp kivörösödése és/vagy duzzadása, mely zsibbadással és égő érzéssel járhat.</w:t>
      </w:r>
    </w:p>
    <w:p w14:paraId="1E927D95" w14:textId="77777777" w:rsidR="00C20179" w:rsidRPr="00D045B3" w:rsidRDefault="00C20179" w:rsidP="00E95370">
      <w:pPr>
        <w:keepNext/>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Fájdalmas és/vagy hólyagos bőrelváltozások.</w:t>
      </w:r>
    </w:p>
    <w:p w14:paraId="1E927D96" w14:textId="77777777" w:rsidR="00611231" w:rsidRPr="00D045B3" w:rsidRDefault="00611231"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Lassabb növekedés gyermekeknél és serdülőkorúaknál.</w:t>
      </w:r>
    </w:p>
    <w:p w14:paraId="1E927D98" w14:textId="77777777" w:rsidR="00611231" w:rsidRPr="00D045B3" w:rsidRDefault="00611231" w:rsidP="00C51567">
      <w:pPr>
        <w:pStyle w:val="KeinLeerraum"/>
        <w:tabs>
          <w:tab w:val="left" w:pos="567"/>
        </w:tabs>
        <w:rPr>
          <w:rFonts w:ascii="Times New Roman" w:hAnsi="Times New Roman"/>
          <w:color w:val="000000"/>
        </w:rPr>
      </w:pPr>
      <w:r w:rsidRPr="00D045B3">
        <w:rPr>
          <w:rFonts w:ascii="Times New Roman" w:hAnsi="Times New Roman"/>
          <w:b/>
          <w:color w:val="000000"/>
        </w:rPr>
        <w:t>Forduljon kezelőorvosához</w:t>
      </w:r>
      <w:r w:rsidRPr="00D045B3">
        <w:rPr>
          <w:rFonts w:ascii="Times New Roman" w:hAnsi="Times New Roman"/>
          <w:color w:val="000000"/>
        </w:rPr>
        <w:t>, ha a fent felsorolt mellékhatások súlyosan érintik Önt.</w:t>
      </w:r>
    </w:p>
    <w:p w14:paraId="1E927D99" w14:textId="77777777" w:rsidR="00611231" w:rsidRPr="00D045B3" w:rsidRDefault="00611231" w:rsidP="00611231">
      <w:pPr>
        <w:spacing w:line="240" w:lineRule="auto"/>
        <w:ind w:right="-2"/>
        <w:rPr>
          <w:color w:val="000000"/>
          <w:lang w:val="hu-HU"/>
        </w:rPr>
      </w:pPr>
    </w:p>
    <w:p w14:paraId="1E927D9A" w14:textId="77777777" w:rsidR="00724D1F" w:rsidRPr="00D045B3" w:rsidRDefault="00724D1F" w:rsidP="00724D1F">
      <w:pPr>
        <w:keepNext/>
        <w:rPr>
          <w:u w:val="single"/>
          <w:lang w:val="hu-HU"/>
        </w:rPr>
      </w:pPr>
      <w:r w:rsidRPr="00D045B3">
        <w:rPr>
          <w:u w:val="single"/>
          <w:lang w:val="hu-HU"/>
        </w:rPr>
        <w:t>Mellékhatások bejelentése</w:t>
      </w:r>
    </w:p>
    <w:p w14:paraId="1E927D9B" w14:textId="77777777" w:rsidR="00724D1F" w:rsidRPr="00D045B3" w:rsidRDefault="00724D1F" w:rsidP="008A6837">
      <w:pPr>
        <w:tabs>
          <w:tab w:val="left" w:pos="9214"/>
        </w:tabs>
        <w:rPr>
          <w:b/>
          <w:bCs/>
          <w:color w:val="000000"/>
          <w:lang w:val="hu-HU" w:eastAsia="hu-HU"/>
        </w:rPr>
      </w:pPr>
      <w:r w:rsidRPr="00D045B3">
        <w:rPr>
          <w:color w:val="000000"/>
          <w:lang w:val="hu-HU"/>
        </w:rPr>
        <w:t xml:space="preserve">Ha Önnél bármilyen mellékhatás jelentkezik, tájékoztassa kezelőorvosát, gyógyszerészét vagy </w:t>
      </w:r>
      <w:r w:rsidRPr="00D045B3">
        <w:rPr>
          <w:noProof/>
          <w:szCs w:val="24"/>
          <w:lang w:val="hu-HU"/>
        </w:rPr>
        <w:t>a gondozását végző egészségügyi szakembert</w:t>
      </w:r>
      <w:r w:rsidRPr="00D045B3">
        <w:rPr>
          <w:color w:val="000000"/>
          <w:lang w:val="hu-HU"/>
        </w:rPr>
        <w:t xml:space="preserve">. Ez a betegtájékoztatóban fel nem sorolt bármilyen lehetséges mellékhatásra is vonatkozik. </w:t>
      </w:r>
      <w:r w:rsidRPr="00D045B3">
        <w:rPr>
          <w:lang w:val="hu-HU"/>
        </w:rPr>
        <w:t>A mellékhatásokat közvetlenül a hatóság részére is bejelentheti a</w:t>
      </w:r>
      <w:r w:rsidR="00251A00" w:rsidRPr="00D045B3">
        <w:rPr>
          <w:lang w:val="hu-HU"/>
        </w:rPr>
        <w:t xml:space="preserve">z </w:t>
      </w:r>
      <w:hyperlink r:id="rId15" w:history="1">
        <w:r w:rsidR="00251A00" w:rsidRPr="00D045B3">
          <w:rPr>
            <w:rStyle w:val="Hyperlink"/>
            <w:highlight w:val="lightGray"/>
            <w:lang w:val="hu-HU"/>
          </w:rPr>
          <w:t>V</w:t>
        </w:r>
      </w:hyperlink>
      <w:r w:rsidR="00251A00" w:rsidRPr="00D045B3">
        <w:rPr>
          <w:highlight w:val="lightGray"/>
          <w:lang w:val="hu-HU"/>
        </w:rPr>
        <w:t>. függelékben található</w:t>
      </w:r>
      <w:r w:rsidR="00251A00" w:rsidRPr="00D045B3">
        <w:rPr>
          <w:lang w:val="hu-HU"/>
        </w:rPr>
        <w:t xml:space="preserve"> </w:t>
      </w:r>
      <w:r w:rsidRPr="00D045B3">
        <w:rPr>
          <w:lang w:val="hu-HU"/>
        </w:rPr>
        <w:t xml:space="preserve">elérhetőségeken keresztül. </w:t>
      </w:r>
      <w:r w:rsidR="00AD11A0" w:rsidRPr="00D045B3">
        <w:rPr>
          <w:lang w:val="hu-HU"/>
        </w:rPr>
        <w:t>A mellékhatások bejelentésével Ön is hozzájárulhat ahhoz, hogy minél több információ álljon rendelkezésre a gyógyszer biztonságos alkalmazásával kapcsolatban.</w:t>
      </w:r>
    </w:p>
    <w:p w14:paraId="1E927D9C" w14:textId="77777777" w:rsidR="00611231" w:rsidRPr="00D045B3" w:rsidRDefault="00611231" w:rsidP="00611231">
      <w:pPr>
        <w:spacing w:line="240" w:lineRule="auto"/>
        <w:ind w:right="-2"/>
        <w:rPr>
          <w:color w:val="000000"/>
          <w:lang w:val="hu-HU"/>
        </w:rPr>
      </w:pPr>
    </w:p>
    <w:p w14:paraId="1E927D9D" w14:textId="77777777" w:rsidR="00611231" w:rsidRPr="00D045B3" w:rsidRDefault="00611231" w:rsidP="00CA41FD">
      <w:pPr>
        <w:spacing w:line="240" w:lineRule="auto"/>
        <w:rPr>
          <w:color w:val="000000"/>
          <w:lang w:val="hu-HU"/>
        </w:rPr>
      </w:pPr>
    </w:p>
    <w:p w14:paraId="1E927D9E" w14:textId="77777777" w:rsidR="00611231" w:rsidRPr="00D045B3" w:rsidRDefault="00611231" w:rsidP="00ED5963">
      <w:pPr>
        <w:keepNext/>
        <w:spacing w:line="240" w:lineRule="auto"/>
        <w:ind w:left="567" w:hanging="567"/>
        <w:rPr>
          <w:b/>
          <w:color w:val="000000"/>
          <w:lang w:val="hu-HU"/>
        </w:rPr>
      </w:pPr>
      <w:r w:rsidRPr="00D045B3">
        <w:rPr>
          <w:b/>
          <w:color w:val="000000"/>
          <w:lang w:val="hu-HU"/>
        </w:rPr>
        <w:t>5.</w:t>
      </w:r>
      <w:r w:rsidRPr="00D045B3">
        <w:rPr>
          <w:b/>
          <w:color w:val="000000"/>
          <w:lang w:val="hu-HU"/>
        </w:rPr>
        <w:tab/>
        <w:t>Hogyan kell az Imatinib Actavis</w:t>
      </w:r>
      <w:r w:rsidR="00D467A0" w:rsidRPr="00D045B3">
        <w:rPr>
          <w:b/>
          <w:color w:val="000000"/>
          <w:lang w:val="hu-HU"/>
        </w:rPr>
        <w:noBreakHyphen/>
      </w:r>
      <w:r w:rsidRPr="00D045B3">
        <w:rPr>
          <w:b/>
          <w:color w:val="000000"/>
          <w:lang w:val="hu-HU"/>
        </w:rPr>
        <w:t>t tárolni?</w:t>
      </w:r>
    </w:p>
    <w:p w14:paraId="1E927D9F" w14:textId="77777777" w:rsidR="00611231" w:rsidRPr="00D045B3" w:rsidRDefault="00611231" w:rsidP="00ED5963">
      <w:pPr>
        <w:keepNext/>
        <w:spacing w:line="240" w:lineRule="auto"/>
        <w:rPr>
          <w:color w:val="000000"/>
          <w:lang w:val="hu-HU"/>
        </w:rPr>
      </w:pPr>
    </w:p>
    <w:p w14:paraId="1E927DA0" w14:textId="77777777" w:rsidR="00611231" w:rsidRPr="00D045B3" w:rsidRDefault="00611231" w:rsidP="00CA41FD">
      <w:pPr>
        <w:tabs>
          <w:tab w:val="clear" w:pos="567"/>
        </w:tabs>
        <w:suppressAutoHyphens/>
        <w:spacing w:line="240" w:lineRule="auto"/>
        <w:rPr>
          <w:color w:val="000000"/>
          <w:lang w:val="hu-HU"/>
        </w:rPr>
      </w:pPr>
      <w:r w:rsidRPr="00D045B3">
        <w:rPr>
          <w:color w:val="000000"/>
          <w:lang w:val="hu-HU"/>
        </w:rPr>
        <w:t>A gyógyszer gyermekektől elzárva tartandó!</w:t>
      </w:r>
    </w:p>
    <w:p w14:paraId="1E927DA1" w14:textId="77777777" w:rsidR="00D467A0" w:rsidRPr="00D045B3" w:rsidRDefault="00611231" w:rsidP="00D467A0">
      <w:pPr>
        <w:pStyle w:val="KeinLeerraum"/>
        <w:rPr>
          <w:rFonts w:ascii="Times New Roman" w:hAnsi="Times New Roman"/>
        </w:rPr>
      </w:pPr>
      <w:r w:rsidRPr="00D045B3">
        <w:rPr>
          <w:rFonts w:ascii="Times New Roman" w:hAnsi="Times New Roman"/>
          <w:color w:val="000000"/>
        </w:rPr>
        <w:t xml:space="preserve">A dobozon </w:t>
      </w:r>
      <w:r w:rsidR="00C20179" w:rsidRPr="00D045B3">
        <w:rPr>
          <w:rFonts w:ascii="Times New Roman" w:hAnsi="Times New Roman"/>
          <w:color w:val="000000"/>
        </w:rPr>
        <w:t xml:space="preserve">és a buborékcsomagoláson </w:t>
      </w:r>
      <w:r w:rsidRPr="00D045B3">
        <w:rPr>
          <w:rFonts w:ascii="Times New Roman" w:hAnsi="Times New Roman"/>
          <w:color w:val="000000"/>
        </w:rPr>
        <w:t>feltüntetett lejárati idő</w:t>
      </w:r>
      <w:r w:rsidR="00C12DEE" w:rsidRPr="00D045B3">
        <w:rPr>
          <w:rFonts w:ascii="Times New Roman" w:hAnsi="Times New Roman"/>
          <w:color w:val="000000"/>
        </w:rPr>
        <w:t xml:space="preserve"> (EXP)</w:t>
      </w:r>
      <w:r w:rsidRPr="00D045B3">
        <w:rPr>
          <w:rFonts w:ascii="Times New Roman" w:hAnsi="Times New Roman"/>
          <w:color w:val="000000"/>
        </w:rPr>
        <w:t xml:space="preserve"> után ne alkalmazza </w:t>
      </w:r>
      <w:r w:rsidR="002F2161" w:rsidRPr="00D045B3">
        <w:rPr>
          <w:rFonts w:ascii="Times New Roman" w:hAnsi="Times New Roman"/>
          <w:color w:val="000000"/>
        </w:rPr>
        <w:t xml:space="preserve">ezt </w:t>
      </w:r>
      <w:r w:rsidRPr="00D045B3">
        <w:rPr>
          <w:rFonts w:ascii="Times New Roman" w:hAnsi="Times New Roman"/>
          <w:noProof/>
          <w:szCs w:val="24"/>
        </w:rPr>
        <w:t>a gyógyszert</w:t>
      </w:r>
      <w:r w:rsidRPr="00D045B3">
        <w:rPr>
          <w:rFonts w:ascii="Times New Roman" w:hAnsi="Times New Roman"/>
          <w:color w:val="000000"/>
        </w:rPr>
        <w:t>.</w:t>
      </w:r>
      <w:r w:rsidR="00D467A0" w:rsidRPr="00D045B3">
        <w:rPr>
          <w:rFonts w:ascii="Times New Roman" w:hAnsi="Times New Roman"/>
          <w:color w:val="000000"/>
        </w:rPr>
        <w:t xml:space="preserve"> </w:t>
      </w:r>
      <w:r w:rsidR="00D467A0" w:rsidRPr="00D045B3">
        <w:rPr>
          <w:rFonts w:ascii="Times New Roman" w:hAnsi="Times New Roman"/>
        </w:rPr>
        <w:t xml:space="preserve">A lejárati idő az adott hónap utolsó napjára vonatkozik </w:t>
      </w:r>
    </w:p>
    <w:p w14:paraId="1E927DA2" w14:textId="77777777" w:rsidR="00611231" w:rsidRPr="00D045B3" w:rsidRDefault="00611231" w:rsidP="00D467A0">
      <w:pPr>
        <w:tabs>
          <w:tab w:val="clear" w:pos="567"/>
        </w:tabs>
        <w:suppressAutoHyphens/>
        <w:ind w:right="-2"/>
        <w:rPr>
          <w:color w:val="000000"/>
          <w:lang w:val="hu-HU"/>
        </w:rPr>
      </w:pPr>
      <w:r w:rsidRPr="00D045B3">
        <w:rPr>
          <w:color w:val="000000"/>
          <w:lang w:val="hu-HU"/>
        </w:rPr>
        <w:t xml:space="preserve">Legfeljebb </w:t>
      </w:r>
      <w:r w:rsidR="00D723FA" w:rsidRPr="00D045B3">
        <w:rPr>
          <w:color w:val="000000"/>
          <w:lang w:val="hu-HU"/>
        </w:rPr>
        <w:t>25</w:t>
      </w:r>
      <w:r w:rsidRPr="00D045B3">
        <w:rPr>
          <w:color w:val="000000"/>
          <w:lang w:val="hu-HU"/>
        </w:rPr>
        <w:sym w:font="Symbol" w:char="F0B0"/>
      </w:r>
      <w:r w:rsidRPr="00D045B3">
        <w:rPr>
          <w:color w:val="000000"/>
          <w:lang w:val="hu-HU"/>
        </w:rPr>
        <w:t>C</w:t>
      </w:r>
      <w:r w:rsidRPr="00D045B3">
        <w:rPr>
          <w:color w:val="000000"/>
          <w:lang w:val="hu-HU"/>
        </w:rPr>
        <w:noBreakHyphen/>
        <w:t>on tárolandó.</w:t>
      </w:r>
      <w:r w:rsidR="00D467A0" w:rsidRPr="00D045B3">
        <w:rPr>
          <w:color w:val="000000"/>
          <w:lang w:val="hu-HU"/>
        </w:rPr>
        <w:t xml:space="preserve"> </w:t>
      </w:r>
      <w:r w:rsidRPr="00D045B3">
        <w:rPr>
          <w:color w:val="000000"/>
          <w:lang w:val="hu-HU"/>
        </w:rPr>
        <w:t>A nedvességtől való védelem érdekében az eredeti csomagolásban tárolandó.</w:t>
      </w:r>
    </w:p>
    <w:p w14:paraId="1E927DA3" w14:textId="77777777" w:rsidR="00611231" w:rsidRPr="00D045B3" w:rsidRDefault="00611231" w:rsidP="00D467A0">
      <w:pPr>
        <w:tabs>
          <w:tab w:val="clear" w:pos="567"/>
        </w:tabs>
        <w:suppressAutoHyphens/>
        <w:spacing w:line="240" w:lineRule="auto"/>
        <w:ind w:right="-2"/>
        <w:rPr>
          <w:color w:val="000000"/>
          <w:lang w:val="hu-HU"/>
        </w:rPr>
      </w:pPr>
      <w:r w:rsidRPr="00D045B3">
        <w:rPr>
          <w:color w:val="000000"/>
          <w:lang w:val="hu-HU"/>
        </w:rPr>
        <w:t>Ne használj</w:t>
      </w:r>
      <w:r w:rsidR="00D467A0" w:rsidRPr="00D045B3">
        <w:rPr>
          <w:color w:val="000000"/>
          <w:lang w:val="hu-HU"/>
        </w:rPr>
        <w:t xml:space="preserve">a fel azt a gyógyszercsomagot, </w:t>
      </w:r>
      <w:r w:rsidRPr="00D045B3">
        <w:rPr>
          <w:color w:val="000000"/>
          <w:lang w:val="hu-HU"/>
        </w:rPr>
        <w:t xml:space="preserve">melynek csomagolása sérült, vagy </w:t>
      </w:r>
      <w:r w:rsidR="00D467A0" w:rsidRPr="00D045B3">
        <w:rPr>
          <w:color w:val="000000"/>
          <w:lang w:val="hu-HU"/>
        </w:rPr>
        <w:t xml:space="preserve">amelyen </w:t>
      </w:r>
      <w:r w:rsidRPr="00D045B3">
        <w:rPr>
          <w:color w:val="000000"/>
          <w:lang w:val="hu-HU"/>
        </w:rPr>
        <w:t>bármilyen előzetes felnyitásra utaló jel</w:t>
      </w:r>
      <w:r w:rsidR="00D467A0" w:rsidRPr="00D045B3">
        <w:rPr>
          <w:color w:val="000000"/>
          <w:lang w:val="hu-HU"/>
        </w:rPr>
        <w:t xml:space="preserve"> észlelhető.</w:t>
      </w:r>
    </w:p>
    <w:p w14:paraId="1E927DA4" w14:textId="77777777" w:rsidR="00ED5963" w:rsidRPr="00D045B3" w:rsidRDefault="00ED5963" w:rsidP="00ED5963">
      <w:pPr>
        <w:ind w:right="-2"/>
        <w:rPr>
          <w:color w:val="000000"/>
          <w:lang w:val="hu-HU"/>
        </w:rPr>
      </w:pPr>
      <w:r w:rsidRPr="00D045B3">
        <w:rPr>
          <w:noProof/>
          <w:szCs w:val="24"/>
          <w:lang w:val="hu-HU"/>
        </w:rPr>
        <w:t xml:space="preserve">Semmilyen gyógyszert ne dobjon a szennyvízbe </w:t>
      </w:r>
      <w:r w:rsidRPr="00D045B3">
        <w:rPr>
          <w:lang w:val="hu-HU"/>
        </w:rPr>
        <w:t xml:space="preserve">vagy a háztartási </w:t>
      </w:r>
      <w:r w:rsidRPr="00D045B3">
        <w:rPr>
          <w:noProof/>
          <w:szCs w:val="24"/>
          <w:lang w:val="hu-HU"/>
        </w:rPr>
        <w:t>hulladékba.</w:t>
      </w:r>
      <w:r w:rsidRPr="00D045B3">
        <w:rPr>
          <w:lang w:val="hu-HU"/>
        </w:rPr>
        <w:t xml:space="preserve"> Kérdezze meg gyógyszerészét, hogy mit tegyen </w:t>
      </w:r>
      <w:r w:rsidRPr="00D045B3">
        <w:rPr>
          <w:noProof/>
          <w:szCs w:val="24"/>
          <w:lang w:val="hu-HU"/>
        </w:rPr>
        <w:t>a már nem használt</w:t>
      </w:r>
      <w:r w:rsidRPr="00D045B3">
        <w:rPr>
          <w:lang w:val="hu-HU"/>
        </w:rPr>
        <w:t xml:space="preserve"> gyógyszereivel. Ezek az intézkedések elősegítik a környezet védelmét.</w:t>
      </w:r>
    </w:p>
    <w:p w14:paraId="1E927DA5" w14:textId="77777777" w:rsidR="00611231" w:rsidRPr="00D045B3" w:rsidRDefault="00611231" w:rsidP="00611231">
      <w:pPr>
        <w:ind w:right="-2"/>
        <w:rPr>
          <w:color w:val="000000"/>
          <w:lang w:val="hu-HU"/>
        </w:rPr>
      </w:pPr>
    </w:p>
    <w:p w14:paraId="1E927DA6" w14:textId="77777777" w:rsidR="00611231" w:rsidRPr="00D045B3" w:rsidRDefault="00611231" w:rsidP="00611231">
      <w:pPr>
        <w:ind w:right="-2"/>
        <w:rPr>
          <w:color w:val="000000"/>
          <w:lang w:val="hu-HU"/>
        </w:rPr>
      </w:pPr>
    </w:p>
    <w:p w14:paraId="1E927DA7" w14:textId="77777777" w:rsidR="00611231" w:rsidRPr="00D045B3" w:rsidRDefault="00611231" w:rsidP="00D467A0">
      <w:pPr>
        <w:keepNext/>
        <w:spacing w:line="240" w:lineRule="auto"/>
        <w:ind w:left="567" w:right="-2" w:hanging="567"/>
        <w:rPr>
          <w:b/>
          <w:color w:val="000000"/>
          <w:lang w:val="hu-HU"/>
        </w:rPr>
      </w:pPr>
      <w:r w:rsidRPr="00D045B3">
        <w:rPr>
          <w:b/>
          <w:color w:val="000000"/>
          <w:lang w:val="hu-HU"/>
        </w:rPr>
        <w:t>6.</w:t>
      </w:r>
      <w:r w:rsidRPr="00D045B3">
        <w:rPr>
          <w:b/>
          <w:color w:val="000000"/>
          <w:lang w:val="hu-HU"/>
        </w:rPr>
        <w:tab/>
      </w:r>
      <w:r w:rsidRPr="00D045B3">
        <w:rPr>
          <w:b/>
          <w:noProof/>
          <w:szCs w:val="24"/>
          <w:lang w:val="hu-HU"/>
        </w:rPr>
        <w:t>A csomagolás tartalma és egyéb információk</w:t>
      </w:r>
    </w:p>
    <w:p w14:paraId="1E927DA8" w14:textId="77777777" w:rsidR="00611231" w:rsidRPr="00D045B3" w:rsidRDefault="00611231" w:rsidP="00D467A0">
      <w:pPr>
        <w:keepNext/>
        <w:spacing w:line="240" w:lineRule="auto"/>
        <w:rPr>
          <w:color w:val="000000"/>
          <w:lang w:val="hu-HU"/>
        </w:rPr>
      </w:pPr>
    </w:p>
    <w:p w14:paraId="1E927DA9" w14:textId="77777777" w:rsidR="00D467A0" w:rsidRPr="00D045B3" w:rsidRDefault="00611231" w:rsidP="00CA41FD">
      <w:pPr>
        <w:keepNext/>
        <w:autoSpaceDE w:val="0"/>
        <w:autoSpaceDN w:val="0"/>
        <w:adjustRightInd w:val="0"/>
        <w:spacing w:line="240" w:lineRule="auto"/>
        <w:rPr>
          <w:lang w:val="hu-HU"/>
        </w:rPr>
      </w:pPr>
      <w:r w:rsidRPr="00D045B3">
        <w:rPr>
          <w:b/>
          <w:color w:val="000000"/>
          <w:lang w:val="hu-HU"/>
        </w:rPr>
        <w:t>Mit tartalmaz az Imatinib Actavis</w:t>
      </w:r>
      <w:r w:rsidR="00704991" w:rsidRPr="00D045B3">
        <w:rPr>
          <w:b/>
          <w:color w:val="000000"/>
          <w:lang w:val="hu-HU"/>
        </w:rPr>
        <w:t>?</w:t>
      </w:r>
    </w:p>
    <w:p w14:paraId="1E927DAA" w14:textId="77777777" w:rsidR="00611231" w:rsidRPr="00D045B3" w:rsidRDefault="00611231" w:rsidP="00E95370">
      <w:pPr>
        <w:numPr>
          <w:ilvl w:val="0"/>
          <w:numId w:val="7"/>
        </w:numPr>
        <w:tabs>
          <w:tab w:val="clear" w:pos="360"/>
          <w:tab w:val="clear" w:pos="567"/>
        </w:tabs>
        <w:suppressAutoHyphens/>
        <w:spacing w:line="240" w:lineRule="auto"/>
        <w:ind w:left="567" w:hanging="567"/>
        <w:rPr>
          <w:color w:val="000000"/>
          <w:lang w:val="hu-HU"/>
        </w:rPr>
      </w:pPr>
      <w:r w:rsidRPr="00D045B3">
        <w:rPr>
          <w:color w:val="000000"/>
          <w:lang w:val="hu-HU"/>
        </w:rPr>
        <w:t>A készítmény hatóanyaga az imatinib</w:t>
      </w:r>
      <w:r w:rsidR="00D467A0" w:rsidRPr="00D045B3">
        <w:rPr>
          <w:color w:val="000000"/>
          <w:lang w:val="hu-HU"/>
        </w:rPr>
        <w:t xml:space="preserve"> (</w:t>
      </w:r>
      <w:r w:rsidRPr="00D045B3">
        <w:rPr>
          <w:color w:val="000000"/>
          <w:lang w:val="hu-HU"/>
        </w:rPr>
        <w:t>mezilát</w:t>
      </w:r>
      <w:r w:rsidR="00D467A0" w:rsidRPr="00D045B3">
        <w:rPr>
          <w:color w:val="000000"/>
          <w:lang w:val="hu-HU"/>
        </w:rPr>
        <w:t xml:space="preserve"> formájában)</w:t>
      </w:r>
      <w:r w:rsidRPr="00D045B3">
        <w:rPr>
          <w:color w:val="000000"/>
          <w:lang w:val="hu-HU"/>
        </w:rPr>
        <w:t>.</w:t>
      </w:r>
      <w:r w:rsidRPr="00D045B3">
        <w:rPr>
          <w:color w:val="000000"/>
          <w:szCs w:val="22"/>
          <w:lang w:val="hu-HU"/>
        </w:rPr>
        <w:t xml:space="preserve"> Minden egyes Imatinib Actavis kapszula 50 mg imatinib</w:t>
      </w:r>
      <w:r w:rsidR="00D467A0" w:rsidRPr="00D045B3">
        <w:rPr>
          <w:color w:val="000000"/>
          <w:szCs w:val="22"/>
          <w:lang w:val="hu-HU"/>
        </w:rPr>
        <w:t xml:space="preserve">et tartalmaz </w:t>
      </w:r>
      <w:r w:rsidR="00D467A0" w:rsidRPr="00D045B3">
        <w:rPr>
          <w:color w:val="000000"/>
          <w:lang w:val="hu-HU"/>
        </w:rPr>
        <w:t>(mezilát formájában)</w:t>
      </w:r>
      <w:r w:rsidRPr="00D045B3">
        <w:rPr>
          <w:color w:val="000000"/>
          <w:szCs w:val="22"/>
          <w:lang w:val="hu-HU"/>
        </w:rPr>
        <w:t>.</w:t>
      </w:r>
    </w:p>
    <w:p w14:paraId="1E927DAB" w14:textId="77777777" w:rsidR="00611231" w:rsidRPr="00D045B3" w:rsidRDefault="00611231" w:rsidP="00E95370">
      <w:pPr>
        <w:pStyle w:val="WW-BodyText3"/>
        <w:numPr>
          <w:ilvl w:val="0"/>
          <w:numId w:val="11"/>
        </w:numPr>
        <w:tabs>
          <w:tab w:val="clear" w:pos="360"/>
          <w:tab w:val="num" w:pos="567"/>
        </w:tabs>
        <w:ind w:left="567" w:hanging="567"/>
        <w:rPr>
          <w:color w:val="000000"/>
          <w:sz w:val="22"/>
        </w:rPr>
      </w:pPr>
      <w:r w:rsidRPr="00D045B3">
        <w:rPr>
          <w:color w:val="000000"/>
          <w:sz w:val="22"/>
        </w:rPr>
        <w:t>Egyéb összetevők</w:t>
      </w:r>
      <w:r w:rsidR="00D467A0" w:rsidRPr="00D045B3">
        <w:rPr>
          <w:color w:val="000000"/>
          <w:sz w:val="22"/>
        </w:rPr>
        <w:t xml:space="preserve">: kapszulatartalom: </w:t>
      </w:r>
      <w:r w:rsidRPr="00D045B3">
        <w:rPr>
          <w:color w:val="000000"/>
          <w:sz w:val="22"/>
        </w:rPr>
        <w:t xml:space="preserve">mikrokristályos cellulóz, </w:t>
      </w:r>
      <w:r w:rsidR="00D467A0" w:rsidRPr="00D045B3">
        <w:rPr>
          <w:color w:val="000000"/>
          <w:sz w:val="22"/>
        </w:rPr>
        <w:t xml:space="preserve">kopovidon, </w:t>
      </w:r>
      <w:r w:rsidRPr="00D045B3">
        <w:rPr>
          <w:color w:val="000000"/>
          <w:sz w:val="22"/>
        </w:rPr>
        <w:t xml:space="preserve">kroszpovidon, </w:t>
      </w:r>
      <w:r w:rsidR="00D467A0" w:rsidRPr="00D045B3">
        <w:rPr>
          <w:color w:val="000000"/>
          <w:sz w:val="22"/>
        </w:rPr>
        <w:t>nátrium</w:t>
      </w:r>
      <w:r w:rsidR="00D467A0" w:rsidRPr="00D045B3">
        <w:rPr>
          <w:color w:val="000000"/>
          <w:sz w:val="22"/>
        </w:rPr>
        <w:noBreakHyphen/>
        <w:t>sztearil</w:t>
      </w:r>
      <w:r w:rsidR="00D467A0" w:rsidRPr="00D045B3">
        <w:rPr>
          <w:color w:val="000000"/>
          <w:sz w:val="22"/>
        </w:rPr>
        <w:noBreakHyphen/>
        <w:t>fumarát, (kolloid hidrofób és kolloid vízm</w:t>
      </w:r>
      <w:r w:rsidR="006A6FE8" w:rsidRPr="00D045B3">
        <w:rPr>
          <w:color w:val="000000"/>
          <w:sz w:val="22"/>
        </w:rPr>
        <w:t>e</w:t>
      </w:r>
      <w:r w:rsidR="00D467A0" w:rsidRPr="00D045B3">
        <w:rPr>
          <w:color w:val="000000"/>
          <w:sz w:val="22"/>
        </w:rPr>
        <w:t>ntes) szilícium</w:t>
      </w:r>
      <w:r w:rsidR="00D467A0" w:rsidRPr="00D045B3">
        <w:rPr>
          <w:color w:val="000000"/>
          <w:sz w:val="22"/>
        </w:rPr>
        <w:noBreakHyphen/>
        <w:t>dioxid. Kapszulahéj: hipromellóz, titán</w:t>
      </w:r>
      <w:r w:rsidR="00D467A0" w:rsidRPr="00D045B3">
        <w:rPr>
          <w:color w:val="000000"/>
          <w:sz w:val="22"/>
        </w:rPr>
        <w:noBreakHyphen/>
        <w:t xml:space="preserve">dioxid (E171), </w:t>
      </w:r>
      <w:r w:rsidR="005F32A1" w:rsidRPr="00D045B3">
        <w:rPr>
          <w:color w:val="000000"/>
          <w:sz w:val="22"/>
        </w:rPr>
        <w:t>sá</w:t>
      </w:r>
      <w:r w:rsidRPr="00D045B3">
        <w:rPr>
          <w:color w:val="000000"/>
          <w:sz w:val="22"/>
        </w:rPr>
        <w:t>rga vas</w:t>
      </w:r>
      <w:r w:rsidRPr="00D045B3">
        <w:rPr>
          <w:color w:val="000000"/>
          <w:sz w:val="22"/>
        </w:rPr>
        <w:noBreakHyphen/>
        <w:t>oxid (E172)</w:t>
      </w:r>
      <w:r w:rsidR="005F32A1" w:rsidRPr="00D045B3">
        <w:rPr>
          <w:color w:val="000000"/>
          <w:sz w:val="22"/>
        </w:rPr>
        <w:t>. Jelölőfesték: shellack, fekete</w:t>
      </w:r>
      <w:r w:rsidRPr="00D045B3">
        <w:rPr>
          <w:color w:val="000000"/>
          <w:sz w:val="22"/>
        </w:rPr>
        <w:t xml:space="preserve"> vas</w:t>
      </w:r>
      <w:r w:rsidRPr="00D045B3">
        <w:rPr>
          <w:color w:val="000000"/>
          <w:sz w:val="22"/>
        </w:rPr>
        <w:noBreakHyphen/>
        <w:t xml:space="preserve">oxid (E172), </w:t>
      </w:r>
      <w:r w:rsidR="005F32A1" w:rsidRPr="00D045B3">
        <w:rPr>
          <w:color w:val="000000"/>
          <w:sz w:val="22"/>
        </w:rPr>
        <w:t>propilén</w:t>
      </w:r>
      <w:r w:rsidR="005F32A1" w:rsidRPr="00D045B3">
        <w:rPr>
          <w:color w:val="000000"/>
          <w:sz w:val="22"/>
        </w:rPr>
        <w:noBreakHyphen/>
        <w:t>glikol, ammónia oldat, kálium</w:t>
      </w:r>
      <w:r w:rsidR="005F32A1" w:rsidRPr="00D045B3">
        <w:rPr>
          <w:color w:val="000000"/>
          <w:sz w:val="22"/>
        </w:rPr>
        <w:noBreakHyphen/>
        <w:t>hidroxid.</w:t>
      </w:r>
    </w:p>
    <w:p w14:paraId="1E927DAC" w14:textId="77777777" w:rsidR="005F32A1" w:rsidRPr="00D045B3" w:rsidRDefault="005F32A1" w:rsidP="00611231">
      <w:pPr>
        <w:spacing w:line="240" w:lineRule="auto"/>
        <w:ind w:right="-2"/>
        <w:rPr>
          <w:color w:val="000000"/>
          <w:lang w:val="hu-HU"/>
        </w:rPr>
      </w:pPr>
    </w:p>
    <w:p w14:paraId="1E927DAD" w14:textId="77777777" w:rsidR="00611231" w:rsidRPr="00D045B3" w:rsidRDefault="00611231" w:rsidP="00CA41FD">
      <w:pPr>
        <w:keepNext/>
        <w:spacing w:line="240" w:lineRule="auto"/>
        <w:rPr>
          <w:b/>
          <w:color w:val="000000"/>
          <w:lang w:val="hu-HU"/>
        </w:rPr>
      </w:pPr>
      <w:r w:rsidRPr="00D045B3">
        <w:rPr>
          <w:b/>
          <w:color w:val="000000"/>
          <w:lang w:val="hu-HU"/>
        </w:rPr>
        <w:t>Milyen az Imatinib Actavis külleme és mit tartalmaz a csomagolás</w:t>
      </w:r>
      <w:r w:rsidR="00704991" w:rsidRPr="00D045B3">
        <w:rPr>
          <w:b/>
          <w:color w:val="000000"/>
          <w:lang w:val="hu-HU"/>
        </w:rPr>
        <w:t>?</w:t>
      </w:r>
    </w:p>
    <w:p w14:paraId="1E927DAE" w14:textId="77777777" w:rsidR="005F32A1" w:rsidRPr="00D045B3" w:rsidRDefault="005F32A1" w:rsidP="005F32A1">
      <w:pPr>
        <w:pStyle w:val="KeinLeerraum"/>
        <w:rPr>
          <w:rFonts w:ascii="Times New Roman" w:eastAsia="Times New Roman" w:hAnsi="Times New Roman"/>
        </w:rPr>
      </w:pPr>
      <w:r w:rsidRPr="00D045B3">
        <w:rPr>
          <w:rFonts w:ascii="Times New Roman" w:eastAsia="Times New Roman" w:hAnsi="Times New Roman"/>
        </w:rPr>
        <w:t>Kemény kapszula, világossárga kapszulatetővel és ugyancsak világossárga kapszulatesttel, a kapszulatesten fekete „50 mg” felirattal.</w:t>
      </w:r>
    </w:p>
    <w:p w14:paraId="1E927DAF" w14:textId="77777777" w:rsidR="005F32A1" w:rsidRPr="00D045B3" w:rsidRDefault="005F32A1" w:rsidP="005F32A1">
      <w:pPr>
        <w:pStyle w:val="KeinLeerraum"/>
        <w:rPr>
          <w:rFonts w:ascii="Times New Roman" w:eastAsia="Times New Roman" w:hAnsi="Times New Roman"/>
        </w:rPr>
      </w:pPr>
      <w:r w:rsidRPr="00D045B3">
        <w:rPr>
          <w:rFonts w:ascii="Times New Roman" w:eastAsia="Times New Roman" w:hAnsi="Times New Roman"/>
        </w:rPr>
        <w:t>A kapszula világossárga port tartalmaz.</w:t>
      </w:r>
    </w:p>
    <w:p w14:paraId="1E927DB0" w14:textId="77777777" w:rsidR="005F32A1" w:rsidRPr="00D045B3" w:rsidRDefault="005F32A1" w:rsidP="005F32A1">
      <w:pPr>
        <w:pStyle w:val="KeinLeerraum"/>
        <w:rPr>
          <w:rFonts w:ascii="Times New Roman" w:eastAsia="Times New Roman" w:hAnsi="Times New Roman"/>
        </w:rPr>
      </w:pPr>
    </w:p>
    <w:p w14:paraId="1E927DB1" w14:textId="77777777" w:rsidR="00611231" w:rsidRPr="00D045B3" w:rsidRDefault="004C6A2F" w:rsidP="00DD1765">
      <w:pPr>
        <w:keepNext/>
        <w:spacing w:line="240" w:lineRule="auto"/>
        <w:rPr>
          <w:i/>
          <w:color w:val="000000"/>
          <w:lang w:val="hu-HU"/>
        </w:rPr>
      </w:pPr>
      <w:r w:rsidRPr="00D045B3">
        <w:rPr>
          <w:i/>
          <w:color w:val="000000"/>
          <w:lang w:val="hu-HU"/>
        </w:rPr>
        <w:t>Kiszerelések:</w:t>
      </w:r>
    </w:p>
    <w:p w14:paraId="1E927DB2" w14:textId="77777777" w:rsidR="00D723FA" w:rsidRPr="00D045B3" w:rsidRDefault="00D723FA" w:rsidP="00DD1765">
      <w:pPr>
        <w:keepNext/>
        <w:spacing w:line="240" w:lineRule="auto"/>
        <w:rPr>
          <w:color w:val="000000"/>
          <w:lang w:val="hu-HU"/>
        </w:rPr>
      </w:pPr>
    </w:p>
    <w:p w14:paraId="1E927DB3" w14:textId="77777777" w:rsidR="004C6A2F" w:rsidRPr="00D045B3" w:rsidRDefault="00422206" w:rsidP="00DD1765">
      <w:pPr>
        <w:keepNext/>
        <w:spacing w:line="240" w:lineRule="auto"/>
        <w:rPr>
          <w:color w:val="000000"/>
          <w:lang w:val="hu-HU"/>
        </w:rPr>
      </w:pPr>
      <w:r w:rsidRPr="00D045B3">
        <w:rPr>
          <w:color w:val="000000"/>
          <w:lang w:val="hu-HU"/>
        </w:rPr>
        <w:t xml:space="preserve">A kapszulák </w:t>
      </w:r>
      <w:r w:rsidR="004C6A2F" w:rsidRPr="00D045B3">
        <w:rPr>
          <w:color w:val="000000"/>
          <w:lang w:val="hu-HU"/>
        </w:rPr>
        <w:t>30 vagy 90 kapszulát tartalmazó</w:t>
      </w:r>
      <w:r w:rsidR="007C4FF3" w:rsidRPr="00D045B3">
        <w:rPr>
          <w:color w:val="000000"/>
          <w:lang w:val="hu-HU"/>
        </w:rPr>
        <w:t>,</w:t>
      </w:r>
      <w:r w:rsidR="004C6A2F" w:rsidRPr="00D045B3">
        <w:rPr>
          <w:color w:val="000000"/>
          <w:lang w:val="hu-HU"/>
        </w:rPr>
        <w:t xml:space="preserve"> </w:t>
      </w:r>
      <w:r w:rsidRPr="00D045B3">
        <w:rPr>
          <w:color w:val="000000"/>
          <w:lang w:val="hu-HU"/>
        </w:rPr>
        <w:t>alumínium buborék</w:t>
      </w:r>
      <w:r w:rsidR="004C6A2F" w:rsidRPr="00D045B3">
        <w:rPr>
          <w:color w:val="000000"/>
          <w:lang w:val="hu-HU"/>
        </w:rPr>
        <w:t>csomagolásban kerül</w:t>
      </w:r>
      <w:r w:rsidRPr="00D045B3">
        <w:rPr>
          <w:color w:val="000000"/>
          <w:lang w:val="hu-HU"/>
        </w:rPr>
        <w:t>nek</w:t>
      </w:r>
      <w:r w:rsidR="004C6A2F" w:rsidRPr="00D045B3">
        <w:rPr>
          <w:color w:val="000000"/>
          <w:lang w:val="hu-HU"/>
        </w:rPr>
        <w:t xml:space="preserve"> forgalomba.</w:t>
      </w:r>
    </w:p>
    <w:p w14:paraId="1E927DB4" w14:textId="77777777" w:rsidR="00422206" w:rsidRPr="00D045B3" w:rsidRDefault="00422206" w:rsidP="00DD1765">
      <w:pPr>
        <w:keepNext/>
        <w:spacing w:line="240" w:lineRule="auto"/>
        <w:rPr>
          <w:color w:val="000000"/>
          <w:lang w:val="hu-HU"/>
        </w:rPr>
      </w:pPr>
    </w:p>
    <w:p w14:paraId="1E927DB5" w14:textId="77777777" w:rsidR="005F32A1" w:rsidRPr="00D045B3" w:rsidRDefault="005F32A1" w:rsidP="005F32A1">
      <w:pPr>
        <w:pStyle w:val="KeinLeerraum"/>
        <w:rPr>
          <w:rFonts w:ascii="Times New Roman" w:hAnsi="Times New Roman"/>
        </w:rPr>
      </w:pPr>
      <w:r w:rsidRPr="00D045B3">
        <w:rPr>
          <w:rFonts w:ascii="Times New Roman" w:hAnsi="Times New Roman"/>
        </w:rPr>
        <w:t xml:space="preserve">Nem feltétlenül mindegyik kiszerelés kerül kereskedelmi forgalomba. </w:t>
      </w:r>
    </w:p>
    <w:p w14:paraId="1E927DB6" w14:textId="77777777" w:rsidR="005F32A1" w:rsidRPr="00D045B3" w:rsidRDefault="005F32A1" w:rsidP="00611231">
      <w:pPr>
        <w:spacing w:line="240" w:lineRule="auto"/>
        <w:ind w:right="-2"/>
        <w:rPr>
          <w:color w:val="000000"/>
          <w:lang w:val="hu-HU"/>
        </w:rPr>
      </w:pPr>
    </w:p>
    <w:p w14:paraId="1E927DB7" w14:textId="77777777" w:rsidR="00611231" w:rsidRPr="00D045B3" w:rsidRDefault="00611231" w:rsidP="00DD1765">
      <w:pPr>
        <w:keepNext/>
        <w:spacing w:line="240" w:lineRule="auto"/>
        <w:ind w:right="-2"/>
        <w:rPr>
          <w:b/>
          <w:color w:val="000000"/>
          <w:lang w:val="hu-HU"/>
        </w:rPr>
      </w:pPr>
      <w:r w:rsidRPr="00D045B3">
        <w:rPr>
          <w:b/>
          <w:color w:val="000000"/>
          <w:lang w:val="hu-HU"/>
        </w:rPr>
        <w:t>A forgalomba hozatali engedély jogosultja</w:t>
      </w:r>
    </w:p>
    <w:p w14:paraId="1E927DB8" w14:textId="77777777" w:rsidR="005F32A1" w:rsidRPr="00D045B3" w:rsidRDefault="005F32A1" w:rsidP="00CA41FD">
      <w:pPr>
        <w:autoSpaceDE w:val="0"/>
        <w:autoSpaceDN w:val="0"/>
        <w:adjustRightInd w:val="0"/>
        <w:spacing w:line="240" w:lineRule="auto"/>
        <w:rPr>
          <w:lang w:val="hu-HU"/>
        </w:rPr>
      </w:pPr>
      <w:r w:rsidRPr="00D045B3">
        <w:rPr>
          <w:lang w:val="hu-HU"/>
        </w:rPr>
        <w:t>Actavis Group PTC ehf.</w:t>
      </w:r>
    </w:p>
    <w:p w14:paraId="1E927DB9" w14:textId="77777777" w:rsidR="005F32A1" w:rsidRPr="00D045B3" w:rsidRDefault="005F32A1" w:rsidP="005F32A1">
      <w:pPr>
        <w:autoSpaceDE w:val="0"/>
        <w:autoSpaceDN w:val="0"/>
        <w:adjustRightInd w:val="0"/>
        <w:spacing w:line="240" w:lineRule="auto"/>
        <w:rPr>
          <w:lang w:val="hu-HU"/>
        </w:rPr>
      </w:pPr>
      <w:r w:rsidRPr="00D045B3">
        <w:rPr>
          <w:lang w:val="hu-HU"/>
        </w:rPr>
        <w:t>Reykjavíkurvegur 76-78,</w:t>
      </w:r>
    </w:p>
    <w:p w14:paraId="1E927DBA" w14:textId="77777777" w:rsidR="005F32A1" w:rsidRPr="00D045B3" w:rsidRDefault="005F32A1" w:rsidP="005F32A1">
      <w:pPr>
        <w:autoSpaceDE w:val="0"/>
        <w:autoSpaceDN w:val="0"/>
        <w:adjustRightInd w:val="0"/>
        <w:spacing w:line="240" w:lineRule="auto"/>
        <w:rPr>
          <w:lang w:val="hu-HU"/>
        </w:rPr>
      </w:pPr>
      <w:r w:rsidRPr="00D045B3">
        <w:rPr>
          <w:lang w:val="hu-HU"/>
        </w:rPr>
        <w:t>Hafnarfjörður</w:t>
      </w:r>
    </w:p>
    <w:p w14:paraId="1E927DBB" w14:textId="77777777" w:rsidR="00611231" w:rsidRPr="00D045B3" w:rsidRDefault="005F32A1" w:rsidP="005F32A1">
      <w:pPr>
        <w:spacing w:line="240" w:lineRule="auto"/>
        <w:ind w:right="-2"/>
        <w:rPr>
          <w:color w:val="000000"/>
          <w:lang w:val="hu-HU"/>
        </w:rPr>
      </w:pPr>
      <w:r w:rsidRPr="00D045B3">
        <w:rPr>
          <w:lang w:val="hu-HU"/>
        </w:rPr>
        <w:t>Izland</w:t>
      </w:r>
    </w:p>
    <w:p w14:paraId="1E927DBC" w14:textId="77777777" w:rsidR="005F32A1" w:rsidRPr="00D045B3" w:rsidRDefault="005F32A1" w:rsidP="00611231">
      <w:pPr>
        <w:spacing w:line="240" w:lineRule="auto"/>
        <w:ind w:right="-2"/>
        <w:rPr>
          <w:b/>
          <w:color w:val="000000"/>
          <w:lang w:val="hu-HU"/>
        </w:rPr>
      </w:pPr>
    </w:p>
    <w:p w14:paraId="1E927DBD" w14:textId="77777777" w:rsidR="00611231" w:rsidRPr="00D045B3" w:rsidRDefault="00611231" w:rsidP="00ED5963">
      <w:pPr>
        <w:keepNext/>
        <w:spacing w:line="240" w:lineRule="auto"/>
        <w:ind w:right="-2"/>
        <w:rPr>
          <w:b/>
          <w:color w:val="000000"/>
          <w:lang w:val="hu-HU"/>
        </w:rPr>
      </w:pPr>
      <w:r w:rsidRPr="00D045B3">
        <w:rPr>
          <w:b/>
          <w:color w:val="000000"/>
          <w:lang w:val="hu-HU"/>
        </w:rPr>
        <w:t>Gyártó</w:t>
      </w:r>
    </w:p>
    <w:p w14:paraId="1E927DBE" w14:textId="77777777" w:rsidR="005F32A1" w:rsidRPr="00D045B3" w:rsidRDefault="005F32A1" w:rsidP="00CA41FD">
      <w:pPr>
        <w:pStyle w:val="KeinLeerraum"/>
        <w:rPr>
          <w:rFonts w:ascii="Times New Roman" w:hAnsi="Times New Roman"/>
        </w:rPr>
      </w:pPr>
      <w:r w:rsidRPr="00D045B3">
        <w:rPr>
          <w:rFonts w:ascii="Times New Roman" w:hAnsi="Times New Roman"/>
        </w:rPr>
        <w:t>S.C. Sindan</w:t>
      </w:r>
      <w:r w:rsidRPr="00D045B3">
        <w:rPr>
          <w:rFonts w:ascii="Times New Roman" w:hAnsi="Times New Roman"/>
        </w:rPr>
        <w:noBreakHyphen/>
        <w:t>Pharma S.R.L.</w:t>
      </w:r>
    </w:p>
    <w:p w14:paraId="1E927DBF" w14:textId="77777777" w:rsidR="005F32A1" w:rsidRPr="00D045B3" w:rsidRDefault="005F32A1" w:rsidP="005F32A1">
      <w:pPr>
        <w:pStyle w:val="KeinLeerraum"/>
        <w:rPr>
          <w:rFonts w:ascii="Times New Roman" w:hAnsi="Times New Roman"/>
        </w:rPr>
      </w:pPr>
      <w:r w:rsidRPr="00D045B3">
        <w:rPr>
          <w:rFonts w:ascii="Times New Roman" w:hAnsi="Times New Roman"/>
        </w:rPr>
        <w:t>11 Ion Mihalache Blvd</w:t>
      </w:r>
    </w:p>
    <w:p w14:paraId="1E927DC0" w14:textId="77777777" w:rsidR="005F32A1" w:rsidRPr="00D045B3" w:rsidRDefault="005F32A1" w:rsidP="005F32A1">
      <w:pPr>
        <w:pStyle w:val="KeinLeerraum"/>
        <w:rPr>
          <w:rFonts w:ascii="Times New Roman" w:hAnsi="Times New Roman"/>
        </w:rPr>
      </w:pPr>
      <w:r w:rsidRPr="00D045B3">
        <w:rPr>
          <w:rFonts w:ascii="Times New Roman" w:hAnsi="Times New Roman"/>
        </w:rPr>
        <w:t>Bucharest</w:t>
      </w:r>
    </w:p>
    <w:p w14:paraId="1E927DC1" w14:textId="77777777" w:rsidR="005F32A1" w:rsidRPr="00D045B3" w:rsidRDefault="005F32A1" w:rsidP="005F32A1">
      <w:pPr>
        <w:pStyle w:val="KeinLeerraum"/>
        <w:rPr>
          <w:rFonts w:ascii="Times New Roman" w:hAnsi="Times New Roman"/>
        </w:rPr>
      </w:pPr>
      <w:r w:rsidRPr="00D045B3">
        <w:rPr>
          <w:rFonts w:ascii="Times New Roman" w:hAnsi="Times New Roman"/>
        </w:rPr>
        <w:t>Románia</w:t>
      </w:r>
    </w:p>
    <w:p w14:paraId="1E927DC2" w14:textId="77777777" w:rsidR="00611231" w:rsidRPr="00D045B3" w:rsidRDefault="00611231" w:rsidP="00611231">
      <w:pPr>
        <w:spacing w:line="240" w:lineRule="auto"/>
        <w:ind w:right="-2"/>
        <w:rPr>
          <w:color w:val="000000"/>
          <w:lang w:val="hu-HU"/>
        </w:rPr>
      </w:pPr>
    </w:p>
    <w:p w14:paraId="1E927DC3" w14:textId="77777777" w:rsidR="00611231" w:rsidRPr="00D045B3" w:rsidRDefault="00611231" w:rsidP="00611231">
      <w:pPr>
        <w:spacing w:line="240" w:lineRule="auto"/>
        <w:rPr>
          <w:color w:val="000000"/>
          <w:lang w:val="hu-HU"/>
        </w:rPr>
      </w:pPr>
      <w:r w:rsidRPr="00D045B3">
        <w:rPr>
          <w:color w:val="000000"/>
          <w:lang w:val="hu-HU"/>
        </w:rPr>
        <w:t>A készítményhez kapcsolódó további kérdéseivel forduljon a forgalomba hozatali engedély jogosultjának helyi képviseletéhez:</w:t>
      </w:r>
    </w:p>
    <w:p w14:paraId="48F7110E" w14:textId="77777777" w:rsidR="00B57E2C" w:rsidRPr="00F67173" w:rsidRDefault="00B57E2C" w:rsidP="00B57E2C">
      <w:pPr>
        <w:autoSpaceDE w:val="0"/>
        <w:autoSpaceDN w:val="0"/>
        <w:adjustRightInd w:val="0"/>
        <w:spacing w:line="240" w:lineRule="auto"/>
        <w:rPr>
          <w:color w:val="000000" w:themeColor="text1"/>
          <w:szCs w:val="22"/>
          <w:lang w:val="hu-HU"/>
        </w:rPr>
      </w:pPr>
    </w:p>
    <w:tbl>
      <w:tblPr>
        <w:tblW w:w="9360" w:type="dxa"/>
        <w:tblInd w:w="-34" w:type="dxa"/>
        <w:tblLayout w:type="fixed"/>
        <w:tblLook w:val="04A0" w:firstRow="1" w:lastRow="0" w:firstColumn="1" w:lastColumn="0" w:noHBand="0" w:noVBand="1"/>
      </w:tblPr>
      <w:tblGrid>
        <w:gridCol w:w="34"/>
        <w:gridCol w:w="4646"/>
        <w:gridCol w:w="4680"/>
      </w:tblGrid>
      <w:tr w:rsidR="00B57E2C" w:rsidRPr="00D045B3" w14:paraId="0071CD99" w14:textId="77777777" w:rsidTr="00B57E2C">
        <w:trPr>
          <w:gridBefore w:val="1"/>
          <w:wBefore w:w="34" w:type="dxa"/>
          <w:cantSplit/>
        </w:trPr>
        <w:tc>
          <w:tcPr>
            <w:tcW w:w="4644" w:type="dxa"/>
          </w:tcPr>
          <w:p w14:paraId="4956162F"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België/Belgique/Belgien</w:t>
            </w:r>
          </w:p>
          <w:p w14:paraId="069DE996"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7316D12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IJsland/Islande/Island</w:t>
            </w:r>
          </w:p>
          <w:p w14:paraId="4D6348DE"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Tél/Tel: +354 5503300</w:t>
            </w:r>
          </w:p>
          <w:p w14:paraId="74EF5C37" w14:textId="77777777" w:rsidR="00B57E2C" w:rsidRPr="00D045B3" w:rsidRDefault="00B57E2C" w:rsidP="00B57E2C">
            <w:pPr>
              <w:pStyle w:val="KeinLeerraum"/>
              <w:rPr>
                <w:rFonts w:ascii="Times New Roman" w:hAnsi="Times New Roman"/>
                <w:color w:val="000000" w:themeColor="text1"/>
              </w:rPr>
            </w:pPr>
          </w:p>
        </w:tc>
        <w:tc>
          <w:tcPr>
            <w:tcW w:w="4678" w:type="dxa"/>
          </w:tcPr>
          <w:p w14:paraId="1DB19594"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Lietuva</w:t>
            </w:r>
          </w:p>
          <w:p w14:paraId="40C42250" w14:textId="6B7325E4" w:rsidR="00B57E2C" w:rsidRPr="00D045B3" w:rsidRDefault="00B57E2C" w:rsidP="00B57E2C">
            <w:pPr>
              <w:spacing w:line="240" w:lineRule="auto"/>
              <w:ind w:right="567"/>
              <w:rPr>
                <w:noProof/>
                <w:color w:val="000000" w:themeColor="text1"/>
                <w:szCs w:val="22"/>
                <w:lang w:val="hu-HU"/>
              </w:rPr>
            </w:pPr>
            <w:r w:rsidRPr="00D045B3">
              <w:rPr>
                <w:noProof/>
                <w:color w:val="000000" w:themeColor="text1"/>
                <w:szCs w:val="22"/>
                <w:lang w:val="hu-HU"/>
              </w:rPr>
              <w:t>UAB Teva Baltics</w:t>
            </w:r>
          </w:p>
          <w:p w14:paraId="3F651ED8"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+370 5</w:t>
            </w:r>
            <w:r w:rsidRPr="00D045B3">
              <w:rPr>
                <w:rFonts w:ascii="Times New Roman" w:hAnsi="Times New Roman"/>
                <w:noProof/>
                <w:color w:val="000000" w:themeColor="text1"/>
              </w:rPr>
              <w:t>2660203</w:t>
            </w:r>
          </w:p>
          <w:p w14:paraId="255D1EC2" w14:textId="77777777" w:rsidR="00B57E2C" w:rsidRPr="00D045B3" w:rsidRDefault="00B57E2C" w:rsidP="00B57E2C">
            <w:pPr>
              <w:pStyle w:val="KeinLeerraum"/>
              <w:rPr>
                <w:rFonts w:ascii="Times New Roman" w:hAnsi="Times New Roman"/>
                <w:color w:val="000000" w:themeColor="text1"/>
              </w:rPr>
            </w:pPr>
          </w:p>
        </w:tc>
      </w:tr>
      <w:tr w:rsidR="00B57E2C" w:rsidRPr="00D045B3" w14:paraId="422D846C" w14:textId="77777777" w:rsidTr="00B57E2C">
        <w:trPr>
          <w:gridBefore w:val="1"/>
          <w:wBefore w:w="34" w:type="dxa"/>
          <w:cantSplit/>
        </w:trPr>
        <w:tc>
          <w:tcPr>
            <w:tcW w:w="4644" w:type="dxa"/>
          </w:tcPr>
          <w:p w14:paraId="28E9273F" w14:textId="77777777" w:rsidR="00B57E2C" w:rsidRPr="00D045B3" w:rsidRDefault="00B57E2C" w:rsidP="00B57E2C">
            <w:pPr>
              <w:pStyle w:val="KeinLeerraum"/>
              <w:rPr>
                <w:rFonts w:ascii="Times New Roman" w:hAnsi="Times New Roman"/>
                <w:b/>
                <w:bCs/>
                <w:color w:val="000000" w:themeColor="text1"/>
              </w:rPr>
            </w:pPr>
            <w:r w:rsidRPr="00D045B3">
              <w:rPr>
                <w:rFonts w:ascii="Times New Roman" w:hAnsi="Times New Roman"/>
                <w:b/>
                <w:bCs/>
                <w:color w:val="000000" w:themeColor="text1"/>
              </w:rPr>
              <w:t>България</w:t>
            </w:r>
          </w:p>
          <w:p w14:paraId="13936C5D"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Актавис ЕАД</w:t>
            </w:r>
          </w:p>
          <w:p w14:paraId="19B0EDE9"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Teл: +359 24899585</w:t>
            </w:r>
          </w:p>
          <w:p w14:paraId="33A3D5BB" w14:textId="77777777" w:rsidR="00B57E2C" w:rsidRPr="00D045B3" w:rsidRDefault="00B57E2C" w:rsidP="00B57E2C">
            <w:pPr>
              <w:pStyle w:val="KeinLeerraum"/>
              <w:rPr>
                <w:rFonts w:ascii="Times New Roman" w:hAnsi="Times New Roman"/>
                <w:color w:val="000000" w:themeColor="text1"/>
              </w:rPr>
            </w:pPr>
          </w:p>
        </w:tc>
        <w:tc>
          <w:tcPr>
            <w:tcW w:w="4678" w:type="dxa"/>
          </w:tcPr>
          <w:p w14:paraId="2F4B2D1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Luxembourg/Luxemburg</w:t>
            </w:r>
          </w:p>
          <w:p w14:paraId="720E2F8C"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2543020A"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Islande/Island</w:t>
            </w:r>
          </w:p>
          <w:p w14:paraId="16B1F235"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noProof/>
                <w:color w:val="000000" w:themeColor="text1"/>
              </w:rPr>
              <w:t>Tél/Tel: +354 5503300</w:t>
            </w:r>
          </w:p>
          <w:p w14:paraId="43A5940D" w14:textId="77777777" w:rsidR="00B57E2C" w:rsidRPr="00D045B3" w:rsidRDefault="00B57E2C" w:rsidP="00B57E2C">
            <w:pPr>
              <w:pStyle w:val="KeinLeerraum"/>
              <w:rPr>
                <w:rFonts w:ascii="Times New Roman" w:hAnsi="Times New Roman"/>
                <w:color w:val="000000" w:themeColor="text1"/>
              </w:rPr>
            </w:pPr>
          </w:p>
        </w:tc>
      </w:tr>
      <w:tr w:rsidR="00B57E2C" w:rsidRPr="00D045B3" w14:paraId="0D4C05FA" w14:textId="77777777" w:rsidTr="00B57E2C">
        <w:trPr>
          <w:gridBefore w:val="1"/>
          <w:wBefore w:w="34" w:type="dxa"/>
          <w:cantSplit/>
          <w:trHeight w:val="751"/>
        </w:trPr>
        <w:tc>
          <w:tcPr>
            <w:tcW w:w="4644" w:type="dxa"/>
          </w:tcPr>
          <w:p w14:paraId="673E0AEF"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Česká republika</w:t>
            </w:r>
          </w:p>
          <w:p w14:paraId="52365BA6" w14:textId="77777777" w:rsidR="00B57E2C" w:rsidRPr="00F67173" w:rsidRDefault="00B57E2C" w:rsidP="00B57E2C">
            <w:pPr>
              <w:tabs>
                <w:tab w:val="left" w:pos="-720"/>
              </w:tabs>
              <w:suppressAutoHyphens/>
              <w:spacing w:line="240" w:lineRule="auto"/>
              <w:ind w:right="567"/>
              <w:rPr>
                <w:noProof/>
                <w:color w:val="000000" w:themeColor="text1"/>
                <w:szCs w:val="22"/>
                <w:lang w:val="hu-HU"/>
              </w:rPr>
            </w:pPr>
            <w:r w:rsidRPr="00F67173">
              <w:rPr>
                <w:noProof/>
                <w:color w:val="000000" w:themeColor="text1"/>
                <w:szCs w:val="22"/>
                <w:lang w:val="hu-HU"/>
              </w:rPr>
              <w:t>Teva Pharmaceuticals CR, s.r.o.</w:t>
            </w:r>
          </w:p>
          <w:p w14:paraId="0A66CD91"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+420 251007111</w:t>
            </w:r>
          </w:p>
          <w:p w14:paraId="24E8FA7C" w14:textId="77777777" w:rsidR="00B57E2C" w:rsidRPr="00D045B3" w:rsidRDefault="00B57E2C" w:rsidP="00B57E2C">
            <w:pPr>
              <w:pStyle w:val="KeinLeerraum"/>
              <w:rPr>
                <w:rFonts w:ascii="Times New Roman" w:hAnsi="Times New Roman"/>
                <w:color w:val="000000" w:themeColor="text1"/>
              </w:rPr>
            </w:pPr>
          </w:p>
        </w:tc>
        <w:tc>
          <w:tcPr>
            <w:tcW w:w="4678" w:type="dxa"/>
          </w:tcPr>
          <w:p w14:paraId="18DE337A"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Magyarország</w:t>
            </w:r>
          </w:p>
          <w:p w14:paraId="1F698D4A"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noProof/>
                <w:color w:val="000000" w:themeColor="text1"/>
              </w:rPr>
              <w:t>Teva Gyógyszergyár Zrt.</w:t>
            </w:r>
          </w:p>
          <w:p w14:paraId="2F5E0BAD"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+36 1</w:t>
            </w:r>
            <w:r w:rsidRPr="00D045B3">
              <w:rPr>
                <w:rFonts w:ascii="Times New Roman" w:hAnsi="Times New Roman"/>
                <w:noProof/>
                <w:color w:val="000000" w:themeColor="text1"/>
              </w:rPr>
              <w:t>2886400</w:t>
            </w:r>
          </w:p>
          <w:p w14:paraId="45F2C3BD" w14:textId="77777777" w:rsidR="00B57E2C" w:rsidRPr="00D045B3" w:rsidRDefault="00B57E2C" w:rsidP="00B57E2C">
            <w:pPr>
              <w:pStyle w:val="KeinLeerraum"/>
              <w:rPr>
                <w:rFonts w:ascii="Times New Roman" w:hAnsi="Times New Roman"/>
                <w:color w:val="000000" w:themeColor="text1"/>
              </w:rPr>
            </w:pPr>
          </w:p>
        </w:tc>
      </w:tr>
      <w:tr w:rsidR="00B57E2C" w:rsidRPr="00D045B3" w14:paraId="342565DE" w14:textId="77777777" w:rsidTr="00B57E2C">
        <w:trPr>
          <w:gridBefore w:val="1"/>
          <w:wBefore w:w="34" w:type="dxa"/>
          <w:cantSplit/>
        </w:trPr>
        <w:tc>
          <w:tcPr>
            <w:tcW w:w="4644" w:type="dxa"/>
          </w:tcPr>
          <w:p w14:paraId="388DF2E8"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Danmark</w:t>
            </w:r>
          </w:p>
          <w:p w14:paraId="38AC72C4"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Teva Denmark A/S</w:t>
            </w:r>
          </w:p>
          <w:p w14:paraId="4ABBA3C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Tlf: +45 44985511</w:t>
            </w:r>
          </w:p>
          <w:p w14:paraId="1B876D61" w14:textId="77777777" w:rsidR="00B57E2C" w:rsidRPr="00D045B3" w:rsidRDefault="00B57E2C" w:rsidP="00B57E2C">
            <w:pPr>
              <w:pStyle w:val="KeinLeerraum"/>
              <w:rPr>
                <w:rFonts w:ascii="Times New Roman" w:hAnsi="Times New Roman"/>
                <w:color w:val="000000" w:themeColor="text1"/>
              </w:rPr>
            </w:pPr>
          </w:p>
        </w:tc>
        <w:tc>
          <w:tcPr>
            <w:tcW w:w="4678" w:type="dxa"/>
          </w:tcPr>
          <w:p w14:paraId="357BD26B"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Malta</w:t>
            </w:r>
          </w:p>
          <w:p w14:paraId="6A4424D7"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Ltd.</w:t>
            </w:r>
          </w:p>
          <w:p w14:paraId="5346415E"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+356 21693533</w:t>
            </w:r>
          </w:p>
          <w:p w14:paraId="49469741" w14:textId="77777777" w:rsidR="00B57E2C" w:rsidRPr="00D045B3" w:rsidRDefault="00B57E2C" w:rsidP="00B57E2C">
            <w:pPr>
              <w:pStyle w:val="KeinLeerraum"/>
              <w:rPr>
                <w:rFonts w:ascii="Times New Roman" w:hAnsi="Times New Roman"/>
                <w:color w:val="000000" w:themeColor="text1"/>
              </w:rPr>
            </w:pPr>
          </w:p>
        </w:tc>
      </w:tr>
      <w:tr w:rsidR="00B57E2C" w:rsidRPr="00D045B3" w14:paraId="547C5CE4" w14:textId="77777777" w:rsidTr="00B57E2C">
        <w:trPr>
          <w:gridBefore w:val="1"/>
          <w:wBefore w:w="34" w:type="dxa"/>
          <w:cantSplit/>
        </w:trPr>
        <w:tc>
          <w:tcPr>
            <w:tcW w:w="4644" w:type="dxa"/>
          </w:tcPr>
          <w:p w14:paraId="19C1B38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Deutschland</w:t>
            </w:r>
          </w:p>
          <w:p w14:paraId="37119052" w14:textId="77777777" w:rsidR="00B57E2C" w:rsidRPr="00D045B3" w:rsidRDefault="00B57E2C" w:rsidP="00B57E2C">
            <w:pPr>
              <w:spacing w:line="240" w:lineRule="auto"/>
              <w:rPr>
                <w:color w:val="000000" w:themeColor="text1"/>
                <w:szCs w:val="22"/>
                <w:lang w:val="hu-HU"/>
              </w:rPr>
            </w:pPr>
            <w:r w:rsidRPr="00D045B3">
              <w:rPr>
                <w:color w:val="000000" w:themeColor="text1"/>
                <w:szCs w:val="22"/>
                <w:lang w:val="hu-HU"/>
              </w:rPr>
              <w:t>Actavis Group PTC ehf.</w:t>
            </w:r>
          </w:p>
          <w:p w14:paraId="37DA75CD"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Island</w:t>
            </w:r>
          </w:p>
          <w:p w14:paraId="52E61569"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5FD0321D" w14:textId="77777777" w:rsidR="00B57E2C" w:rsidRPr="00D045B3" w:rsidRDefault="00B57E2C" w:rsidP="00B57E2C">
            <w:pPr>
              <w:pStyle w:val="KeinLeerraum"/>
              <w:rPr>
                <w:rFonts w:ascii="Times New Roman" w:hAnsi="Times New Roman"/>
                <w:color w:val="000000" w:themeColor="text1"/>
              </w:rPr>
            </w:pPr>
          </w:p>
        </w:tc>
        <w:tc>
          <w:tcPr>
            <w:tcW w:w="4678" w:type="dxa"/>
          </w:tcPr>
          <w:p w14:paraId="511F5BA0"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Nederland</w:t>
            </w:r>
          </w:p>
          <w:p w14:paraId="3B0AE1D7" w14:textId="77777777" w:rsidR="00B57E2C" w:rsidRPr="00D045B3" w:rsidRDefault="00B57E2C" w:rsidP="00B57E2C">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2B86D158" w14:textId="77777777" w:rsidR="00B57E2C" w:rsidRPr="00D045B3" w:rsidRDefault="00B57E2C" w:rsidP="00B57E2C">
            <w:pPr>
              <w:pStyle w:val="KeinLeerraum"/>
              <w:rPr>
                <w:rFonts w:ascii="Times New Roman" w:hAnsi="Times New Roman"/>
                <w:iCs/>
                <w:color w:val="000000" w:themeColor="text1"/>
              </w:rPr>
            </w:pPr>
            <w:r w:rsidRPr="00D045B3">
              <w:rPr>
                <w:rFonts w:ascii="Times New Roman" w:hAnsi="Times New Roman"/>
                <w:iCs/>
                <w:color w:val="000000" w:themeColor="text1"/>
              </w:rPr>
              <w:t>IJsland</w:t>
            </w:r>
          </w:p>
          <w:p w14:paraId="6E19E772"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72D0EF61" w14:textId="77777777" w:rsidR="00B57E2C" w:rsidRPr="00D045B3" w:rsidRDefault="00B57E2C" w:rsidP="00B57E2C">
            <w:pPr>
              <w:pStyle w:val="KeinLeerraum"/>
              <w:rPr>
                <w:rFonts w:ascii="Times New Roman" w:hAnsi="Times New Roman"/>
                <w:color w:val="000000" w:themeColor="text1"/>
              </w:rPr>
            </w:pPr>
          </w:p>
        </w:tc>
      </w:tr>
      <w:tr w:rsidR="00B57E2C" w:rsidRPr="00D045B3" w14:paraId="2BD94081" w14:textId="77777777" w:rsidTr="00B57E2C">
        <w:trPr>
          <w:gridBefore w:val="1"/>
          <w:wBefore w:w="34" w:type="dxa"/>
          <w:cantSplit/>
        </w:trPr>
        <w:tc>
          <w:tcPr>
            <w:tcW w:w="4644" w:type="dxa"/>
          </w:tcPr>
          <w:p w14:paraId="42046C06" w14:textId="77777777" w:rsidR="00B57E2C" w:rsidRPr="00D045B3" w:rsidRDefault="00B57E2C" w:rsidP="00B57E2C">
            <w:pPr>
              <w:pStyle w:val="KeinLeerraum"/>
              <w:rPr>
                <w:rFonts w:ascii="Times New Roman" w:hAnsi="Times New Roman"/>
                <w:b/>
                <w:bCs/>
                <w:color w:val="000000" w:themeColor="text1"/>
              </w:rPr>
            </w:pPr>
            <w:r w:rsidRPr="00D045B3">
              <w:rPr>
                <w:rFonts w:ascii="Times New Roman" w:hAnsi="Times New Roman"/>
                <w:b/>
                <w:bCs/>
                <w:color w:val="000000" w:themeColor="text1"/>
              </w:rPr>
              <w:t>Eesti</w:t>
            </w:r>
          </w:p>
          <w:p w14:paraId="3EB0E9D0" w14:textId="74D8E142"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UAB Teva Baltics</w:t>
            </w:r>
            <w:r w:rsidRPr="00D045B3">
              <w:rPr>
                <w:rFonts w:ascii="Times New Roman" w:hAnsi="Times New Roman"/>
                <w:noProof/>
                <w:color w:val="000000" w:themeColor="text1"/>
              </w:rPr>
              <w:t xml:space="preserve"> Eesti filiaal</w:t>
            </w:r>
          </w:p>
          <w:p w14:paraId="24069CE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 xml:space="preserve">Tel: +372 </w:t>
            </w:r>
            <w:r w:rsidRPr="00D045B3">
              <w:rPr>
                <w:rFonts w:ascii="Times New Roman" w:hAnsi="Times New Roman"/>
                <w:noProof/>
                <w:color w:val="000000" w:themeColor="text1"/>
              </w:rPr>
              <w:t>6610801</w:t>
            </w:r>
          </w:p>
          <w:p w14:paraId="2CBE9A5F" w14:textId="77777777" w:rsidR="00B57E2C" w:rsidRPr="00D045B3" w:rsidRDefault="00B57E2C" w:rsidP="00B57E2C">
            <w:pPr>
              <w:pStyle w:val="KeinLeerraum"/>
              <w:rPr>
                <w:rFonts w:ascii="Times New Roman" w:hAnsi="Times New Roman"/>
                <w:color w:val="000000" w:themeColor="text1"/>
              </w:rPr>
            </w:pPr>
          </w:p>
        </w:tc>
        <w:tc>
          <w:tcPr>
            <w:tcW w:w="4678" w:type="dxa"/>
          </w:tcPr>
          <w:p w14:paraId="2734EE6D"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Norge</w:t>
            </w:r>
          </w:p>
          <w:p w14:paraId="34ABA31D" w14:textId="77777777" w:rsidR="00B57E2C" w:rsidRPr="00D045B3" w:rsidRDefault="00B57E2C" w:rsidP="00B57E2C">
            <w:pPr>
              <w:pStyle w:val="KeinLeerraum"/>
              <w:rPr>
                <w:rFonts w:ascii="Times New Roman" w:hAnsi="Times New Roman"/>
                <w:iCs/>
                <w:color w:val="000000" w:themeColor="text1"/>
              </w:rPr>
            </w:pPr>
            <w:r w:rsidRPr="00D045B3">
              <w:rPr>
                <w:rFonts w:ascii="Times New Roman" w:hAnsi="Times New Roman"/>
                <w:iCs/>
                <w:color w:val="000000" w:themeColor="text1"/>
              </w:rPr>
              <w:t>Teva Norway AS</w:t>
            </w:r>
          </w:p>
          <w:p w14:paraId="379D6F5F" w14:textId="77777777" w:rsidR="00B57E2C" w:rsidRPr="00D045B3" w:rsidRDefault="00B57E2C" w:rsidP="00B57E2C">
            <w:pPr>
              <w:pStyle w:val="KeinLeerraum"/>
              <w:rPr>
                <w:rFonts w:ascii="Times New Roman" w:hAnsi="Times New Roman"/>
                <w:iCs/>
                <w:color w:val="000000" w:themeColor="text1"/>
              </w:rPr>
            </w:pPr>
            <w:r w:rsidRPr="00D045B3">
              <w:rPr>
                <w:rFonts w:ascii="Times New Roman" w:hAnsi="Times New Roman"/>
                <w:iCs/>
                <w:color w:val="000000" w:themeColor="text1"/>
              </w:rPr>
              <w:t>Tlf: +47 66775590</w:t>
            </w:r>
          </w:p>
          <w:p w14:paraId="2DC64F34" w14:textId="77777777" w:rsidR="00B57E2C" w:rsidRPr="00D045B3" w:rsidRDefault="00B57E2C" w:rsidP="00B57E2C">
            <w:pPr>
              <w:pStyle w:val="KeinLeerraum"/>
              <w:rPr>
                <w:rFonts w:ascii="Times New Roman" w:hAnsi="Times New Roman"/>
                <w:color w:val="000000" w:themeColor="text1"/>
              </w:rPr>
            </w:pPr>
          </w:p>
        </w:tc>
      </w:tr>
      <w:tr w:rsidR="00B57E2C" w:rsidRPr="00D045B3" w14:paraId="6EE70FE7" w14:textId="77777777" w:rsidTr="00B57E2C">
        <w:trPr>
          <w:gridBefore w:val="1"/>
          <w:wBefore w:w="34" w:type="dxa"/>
          <w:cantSplit/>
        </w:trPr>
        <w:tc>
          <w:tcPr>
            <w:tcW w:w="4644" w:type="dxa"/>
          </w:tcPr>
          <w:p w14:paraId="488C5AB2"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Ελλάδα</w:t>
            </w:r>
          </w:p>
          <w:p w14:paraId="4B804398" w14:textId="77777777" w:rsidR="00B57E2C" w:rsidRPr="00D045B3" w:rsidRDefault="00B57E2C" w:rsidP="00B57E2C">
            <w:pPr>
              <w:pStyle w:val="NormalParagraphStyle"/>
              <w:spacing w:line="240" w:lineRule="auto"/>
              <w:rPr>
                <w:rFonts w:ascii="Times New Roman" w:hAnsi="Times New Roman"/>
                <w:color w:val="000000" w:themeColor="text1"/>
                <w:sz w:val="22"/>
                <w:szCs w:val="22"/>
                <w:lang w:val="hu-HU"/>
              </w:rPr>
            </w:pPr>
            <w:r w:rsidRPr="00F67173">
              <w:rPr>
                <w:rFonts w:ascii="Times New Roman" w:hAnsi="Times New Roman"/>
                <w:color w:val="000000" w:themeColor="text1"/>
                <w:sz w:val="22"/>
                <w:szCs w:val="22"/>
                <w:lang w:val="hu-HU"/>
              </w:rPr>
              <w:t>Specifar A.B.E.E</w:t>
            </w:r>
            <w:r w:rsidRPr="00D045B3">
              <w:rPr>
                <w:rFonts w:ascii="Times New Roman" w:hAnsi="Times New Roman"/>
                <w:color w:val="000000" w:themeColor="text1"/>
                <w:sz w:val="22"/>
                <w:szCs w:val="22"/>
                <w:lang w:val="hu-HU"/>
              </w:rPr>
              <w:t>.</w:t>
            </w:r>
          </w:p>
          <w:p w14:paraId="12ADEB66" w14:textId="3F469B43"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352C5EFA" w14:textId="77777777" w:rsidR="00B57E2C" w:rsidRPr="00D045B3" w:rsidRDefault="00B57E2C" w:rsidP="00B57E2C">
            <w:pPr>
              <w:pStyle w:val="KeinLeerraum"/>
              <w:rPr>
                <w:rFonts w:ascii="Times New Roman" w:hAnsi="Times New Roman"/>
                <w:color w:val="000000" w:themeColor="text1"/>
              </w:rPr>
            </w:pPr>
          </w:p>
        </w:tc>
        <w:tc>
          <w:tcPr>
            <w:tcW w:w="4678" w:type="dxa"/>
          </w:tcPr>
          <w:p w14:paraId="02447C22"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Österreich</w:t>
            </w:r>
          </w:p>
          <w:p w14:paraId="185AD9A1" w14:textId="77777777" w:rsidR="00B57E2C" w:rsidRPr="00D045B3" w:rsidRDefault="00B57E2C" w:rsidP="00B57E2C">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ratiopharm Arzneimittel Vertriebs-GmbH</w:t>
            </w:r>
          </w:p>
          <w:p w14:paraId="705BAE95" w14:textId="77777777" w:rsidR="00B57E2C" w:rsidRPr="00D045B3" w:rsidRDefault="00B57E2C" w:rsidP="00B57E2C">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Tel: +43 1970070</w:t>
            </w:r>
          </w:p>
          <w:p w14:paraId="08458AB6" w14:textId="77777777" w:rsidR="00B57E2C" w:rsidRPr="00D045B3" w:rsidRDefault="00B57E2C" w:rsidP="00B57E2C">
            <w:pPr>
              <w:pStyle w:val="KeinLeerraum"/>
              <w:rPr>
                <w:rFonts w:ascii="Times New Roman" w:hAnsi="Times New Roman"/>
                <w:color w:val="000000" w:themeColor="text1"/>
              </w:rPr>
            </w:pPr>
          </w:p>
        </w:tc>
      </w:tr>
      <w:tr w:rsidR="00B57E2C" w:rsidRPr="00D045B3" w14:paraId="62E0F76C" w14:textId="77777777" w:rsidTr="00B57E2C">
        <w:trPr>
          <w:cantSplit/>
        </w:trPr>
        <w:tc>
          <w:tcPr>
            <w:tcW w:w="4678" w:type="dxa"/>
            <w:gridSpan w:val="2"/>
          </w:tcPr>
          <w:p w14:paraId="3159FC11"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España</w:t>
            </w:r>
          </w:p>
          <w:p w14:paraId="6427E846" w14:textId="77777777" w:rsidR="00B57E2C" w:rsidRPr="00D045B3" w:rsidRDefault="00B57E2C" w:rsidP="00B57E2C">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6A06A5EF"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Islandia</w:t>
            </w:r>
          </w:p>
          <w:p w14:paraId="1C18C03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7C935B51" w14:textId="77777777" w:rsidR="00B57E2C" w:rsidRPr="00D045B3" w:rsidRDefault="00B57E2C" w:rsidP="00B57E2C">
            <w:pPr>
              <w:pStyle w:val="KeinLeerraum"/>
              <w:rPr>
                <w:rFonts w:ascii="Times New Roman" w:hAnsi="Times New Roman"/>
                <w:color w:val="000000" w:themeColor="text1"/>
              </w:rPr>
            </w:pPr>
          </w:p>
        </w:tc>
        <w:tc>
          <w:tcPr>
            <w:tcW w:w="4678" w:type="dxa"/>
          </w:tcPr>
          <w:p w14:paraId="3C2321FF" w14:textId="77777777" w:rsidR="00B57E2C" w:rsidRPr="00D045B3" w:rsidRDefault="00B57E2C" w:rsidP="00B57E2C">
            <w:pPr>
              <w:pStyle w:val="KeinLeerraum"/>
              <w:rPr>
                <w:rFonts w:ascii="Times New Roman" w:hAnsi="Times New Roman"/>
                <w:b/>
                <w:bCs/>
                <w:i/>
                <w:iCs/>
                <w:color w:val="000000" w:themeColor="text1"/>
              </w:rPr>
            </w:pPr>
            <w:r w:rsidRPr="00D045B3">
              <w:rPr>
                <w:rFonts w:ascii="Times New Roman" w:hAnsi="Times New Roman"/>
                <w:b/>
                <w:color w:val="000000" w:themeColor="text1"/>
              </w:rPr>
              <w:t>Polska</w:t>
            </w:r>
          </w:p>
          <w:p w14:paraId="2ADBF8F2" w14:textId="77777777" w:rsidR="00B57E2C" w:rsidRPr="00D045B3" w:rsidRDefault="00B57E2C" w:rsidP="00B57E2C">
            <w:pPr>
              <w:spacing w:line="240" w:lineRule="auto"/>
              <w:rPr>
                <w:color w:val="000000" w:themeColor="text1"/>
                <w:szCs w:val="22"/>
                <w:lang w:val="hu-HU"/>
              </w:rPr>
            </w:pPr>
            <w:r w:rsidRPr="00D045B3">
              <w:rPr>
                <w:color w:val="000000" w:themeColor="text1"/>
                <w:szCs w:val="22"/>
                <w:lang w:val="hu-HU"/>
              </w:rPr>
              <w:t>Teva Pharmaceuticals Polska Sp. z o.o.</w:t>
            </w:r>
          </w:p>
          <w:p w14:paraId="53EA366D" w14:textId="77777777" w:rsidR="00B57E2C" w:rsidRPr="00D045B3" w:rsidRDefault="00B57E2C" w:rsidP="00B57E2C">
            <w:pPr>
              <w:numPr>
                <w:ilvl w:val="12"/>
                <w:numId w:val="0"/>
              </w:numPr>
              <w:spacing w:line="240" w:lineRule="auto"/>
              <w:rPr>
                <w:color w:val="000000" w:themeColor="text1"/>
                <w:szCs w:val="22"/>
                <w:lang w:val="hu-HU" w:eastAsia="is-IS"/>
              </w:rPr>
            </w:pPr>
            <w:r w:rsidRPr="00D045B3">
              <w:rPr>
                <w:color w:val="000000" w:themeColor="text1"/>
                <w:szCs w:val="22"/>
                <w:lang w:val="hu-HU"/>
              </w:rPr>
              <w:t>Tel: +48 223459300</w:t>
            </w:r>
          </w:p>
          <w:p w14:paraId="5B36DD9F" w14:textId="77777777" w:rsidR="00B57E2C" w:rsidRPr="00D045B3" w:rsidRDefault="00B57E2C" w:rsidP="00B57E2C">
            <w:pPr>
              <w:pStyle w:val="KeinLeerraum"/>
              <w:rPr>
                <w:rFonts w:ascii="Times New Roman" w:hAnsi="Times New Roman"/>
                <w:color w:val="000000" w:themeColor="text1"/>
              </w:rPr>
            </w:pPr>
          </w:p>
        </w:tc>
      </w:tr>
      <w:tr w:rsidR="00B57E2C" w:rsidRPr="00D045B3" w14:paraId="3D7B8419" w14:textId="77777777" w:rsidTr="00B57E2C">
        <w:trPr>
          <w:cantSplit/>
        </w:trPr>
        <w:tc>
          <w:tcPr>
            <w:tcW w:w="4678" w:type="dxa"/>
            <w:gridSpan w:val="2"/>
          </w:tcPr>
          <w:p w14:paraId="6B80E231"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France</w:t>
            </w:r>
          </w:p>
          <w:p w14:paraId="4A726A96"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226FCED7"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Islande</w:t>
            </w:r>
          </w:p>
          <w:p w14:paraId="365ED97C"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lang w:eastAsia="en-GB"/>
              </w:rPr>
              <w:t>Tél</w:t>
            </w:r>
            <w:r w:rsidRPr="00D045B3">
              <w:rPr>
                <w:rFonts w:ascii="Times New Roman" w:hAnsi="Times New Roman"/>
                <w:noProof/>
                <w:color w:val="000000" w:themeColor="text1"/>
              </w:rPr>
              <w:t>:</w:t>
            </w:r>
            <w:r w:rsidRPr="00D045B3">
              <w:rPr>
                <w:rFonts w:ascii="Times New Roman" w:hAnsi="Times New Roman"/>
                <w:color w:val="000000" w:themeColor="text1"/>
              </w:rPr>
              <w:t xml:space="preserve"> +354 5503300</w:t>
            </w:r>
          </w:p>
          <w:p w14:paraId="6FCA398B" w14:textId="77777777" w:rsidR="00B57E2C" w:rsidRPr="00D045B3" w:rsidRDefault="00B57E2C" w:rsidP="00B57E2C">
            <w:pPr>
              <w:pStyle w:val="KeinLeerraum"/>
              <w:rPr>
                <w:rFonts w:ascii="Times New Roman" w:hAnsi="Times New Roman"/>
                <w:b/>
                <w:color w:val="000000" w:themeColor="text1"/>
              </w:rPr>
            </w:pPr>
          </w:p>
        </w:tc>
        <w:tc>
          <w:tcPr>
            <w:tcW w:w="4678" w:type="dxa"/>
          </w:tcPr>
          <w:p w14:paraId="3C0E7EFC"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Portugal</w:t>
            </w:r>
          </w:p>
          <w:p w14:paraId="132A5C32" w14:textId="77777777" w:rsidR="00B57E2C" w:rsidRPr="00D045B3" w:rsidRDefault="00B57E2C" w:rsidP="00B57E2C">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5B1FAB0D"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Islândia</w:t>
            </w:r>
          </w:p>
          <w:p w14:paraId="68F1F719"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25A17112" w14:textId="77777777" w:rsidR="00B57E2C" w:rsidRPr="00D045B3" w:rsidRDefault="00B57E2C" w:rsidP="00B57E2C">
            <w:pPr>
              <w:pStyle w:val="KeinLeerraum"/>
              <w:rPr>
                <w:rFonts w:ascii="Times New Roman" w:hAnsi="Times New Roman"/>
                <w:color w:val="000000" w:themeColor="text1"/>
              </w:rPr>
            </w:pPr>
          </w:p>
        </w:tc>
      </w:tr>
      <w:tr w:rsidR="00B57E2C" w:rsidRPr="00D045B3" w14:paraId="079DFA1A" w14:textId="77777777" w:rsidTr="00B57E2C">
        <w:trPr>
          <w:cantSplit/>
        </w:trPr>
        <w:tc>
          <w:tcPr>
            <w:tcW w:w="4678" w:type="dxa"/>
            <w:gridSpan w:val="2"/>
          </w:tcPr>
          <w:p w14:paraId="468794A3" w14:textId="77777777" w:rsidR="00B57E2C" w:rsidRPr="00D045B3" w:rsidRDefault="00B57E2C" w:rsidP="00B57E2C">
            <w:pPr>
              <w:tabs>
                <w:tab w:val="left" w:pos="-720"/>
                <w:tab w:val="left" w:pos="4536"/>
              </w:tabs>
              <w:suppressAutoHyphens/>
              <w:spacing w:line="240" w:lineRule="auto"/>
              <w:ind w:right="567"/>
              <w:rPr>
                <w:b/>
                <w:noProof/>
                <w:color w:val="000000" w:themeColor="text1"/>
                <w:szCs w:val="22"/>
                <w:lang w:val="hu-HU" w:eastAsia="en-US"/>
              </w:rPr>
            </w:pPr>
            <w:r w:rsidRPr="00D045B3">
              <w:rPr>
                <w:color w:val="000000" w:themeColor="text1"/>
                <w:szCs w:val="22"/>
                <w:lang w:val="hu-HU"/>
              </w:rPr>
              <w:br w:type="page"/>
            </w:r>
            <w:r w:rsidRPr="00D045B3">
              <w:rPr>
                <w:b/>
                <w:noProof/>
                <w:color w:val="000000" w:themeColor="text1"/>
                <w:szCs w:val="22"/>
                <w:lang w:val="hu-HU"/>
              </w:rPr>
              <w:t>Hrvatska</w:t>
            </w:r>
          </w:p>
          <w:p w14:paraId="5A5E1E16" w14:textId="77777777" w:rsidR="00B57E2C" w:rsidRPr="00D045B3" w:rsidRDefault="00B57E2C" w:rsidP="00B57E2C">
            <w:pPr>
              <w:tabs>
                <w:tab w:val="left" w:pos="-720"/>
                <w:tab w:val="left" w:pos="4536"/>
              </w:tabs>
              <w:suppressAutoHyphens/>
              <w:spacing w:line="240" w:lineRule="auto"/>
              <w:ind w:right="567"/>
              <w:rPr>
                <w:color w:val="000000" w:themeColor="text1"/>
                <w:szCs w:val="22"/>
                <w:lang w:val="hu-HU"/>
              </w:rPr>
            </w:pPr>
            <w:r w:rsidRPr="00D045B3">
              <w:rPr>
                <w:color w:val="000000" w:themeColor="text1"/>
                <w:szCs w:val="22"/>
                <w:lang w:val="hu-HU"/>
              </w:rPr>
              <w:t>Pliva Hrvatska d.o.o.</w:t>
            </w:r>
          </w:p>
          <w:p w14:paraId="67B508E8"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+385 13720000</w:t>
            </w:r>
          </w:p>
          <w:p w14:paraId="2723A119" w14:textId="77777777" w:rsidR="00B57E2C" w:rsidRPr="00D045B3" w:rsidRDefault="00B57E2C" w:rsidP="00B57E2C">
            <w:pPr>
              <w:pStyle w:val="KeinLeerraum"/>
              <w:rPr>
                <w:rFonts w:ascii="Times New Roman" w:hAnsi="Times New Roman"/>
                <w:color w:val="000000" w:themeColor="text1"/>
              </w:rPr>
            </w:pPr>
          </w:p>
        </w:tc>
        <w:tc>
          <w:tcPr>
            <w:tcW w:w="4678" w:type="dxa"/>
          </w:tcPr>
          <w:p w14:paraId="1CE7F661"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România</w:t>
            </w:r>
          </w:p>
          <w:p w14:paraId="09E3A6DB"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Teva Pharmaceuticals S.R.L.</w:t>
            </w:r>
          </w:p>
          <w:p w14:paraId="7D84DB33"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w:t>
            </w:r>
            <w:r w:rsidRPr="00D045B3">
              <w:rPr>
                <w:rFonts w:ascii="Times New Roman" w:hAnsi="Times New Roman"/>
                <w:noProof/>
                <w:color w:val="000000" w:themeColor="text1"/>
              </w:rPr>
              <w:t>40 212306524</w:t>
            </w:r>
          </w:p>
          <w:p w14:paraId="6CDA23D8" w14:textId="77777777" w:rsidR="00B57E2C" w:rsidRPr="00D045B3" w:rsidRDefault="00B57E2C" w:rsidP="00B57E2C">
            <w:pPr>
              <w:pStyle w:val="KeinLeerraum"/>
              <w:rPr>
                <w:rFonts w:ascii="Times New Roman" w:hAnsi="Times New Roman"/>
                <w:color w:val="000000" w:themeColor="text1"/>
              </w:rPr>
            </w:pPr>
          </w:p>
        </w:tc>
      </w:tr>
      <w:tr w:rsidR="00B57E2C" w:rsidRPr="00D045B3" w14:paraId="4AF80082" w14:textId="77777777" w:rsidTr="00B57E2C">
        <w:trPr>
          <w:cantSplit/>
        </w:trPr>
        <w:tc>
          <w:tcPr>
            <w:tcW w:w="4678" w:type="dxa"/>
            <w:gridSpan w:val="2"/>
          </w:tcPr>
          <w:p w14:paraId="529068D2"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Ireland</w:t>
            </w:r>
          </w:p>
          <w:p w14:paraId="09123508"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Teva Pharmaceuticals Ireland</w:t>
            </w:r>
          </w:p>
          <w:p w14:paraId="1A89273C" w14:textId="48DF62A1"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+353 19127700</w:t>
            </w:r>
          </w:p>
          <w:p w14:paraId="1AB2EC89" w14:textId="77777777" w:rsidR="00B57E2C" w:rsidRPr="00D045B3" w:rsidRDefault="00B57E2C" w:rsidP="00B57E2C">
            <w:pPr>
              <w:pStyle w:val="KeinLeerraum"/>
              <w:rPr>
                <w:rFonts w:ascii="Times New Roman" w:hAnsi="Times New Roman"/>
                <w:color w:val="000000" w:themeColor="text1"/>
              </w:rPr>
            </w:pPr>
          </w:p>
        </w:tc>
        <w:tc>
          <w:tcPr>
            <w:tcW w:w="4678" w:type="dxa"/>
          </w:tcPr>
          <w:p w14:paraId="5D28FF09"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Slovenija</w:t>
            </w:r>
          </w:p>
          <w:p w14:paraId="08CCF01D"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Pliva Ljubljana d.o.o.</w:t>
            </w:r>
          </w:p>
          <w:p w14:paraId="392434F8"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+386 15890390</w:t>
            </w:r>
          </w:p>
          <w:p w14:paraId="3D10DCEB" w14:textId="77777777" w:rsidR="00B57E2C" w:rsidRPr="00D045B3" w:rsidRDefault="00B57E2C" w:rsidP="00B57E2C">
            <w:pPr>
              <w:pStyle w:val="KeinLeerraum"/>
              <w:rPr>
                <w:rFonts w:ascii="Times New Roman" w:hAnsi="Times New Roman"/>
                <w:b/>
                <w:color w:val="000000" w:themeColor="text1"/>
              </w:rPr>
            </w:pPr>
          </w:p>
        </w:tc>
      </w:tr>
      <w:tr w:rsidR="00B57E2C" w:rsidRPr="00D045B3" w14:paraId="01262CF7" w14:textId="77777777" w:rsidTr="00B57E2C">
        <w:trPr>
          <w:cantSplit/>
        </w:trPr>
        <w:tc>
          <w:tcPr>
            <w:tcW w:w="4678" w:type="dxa"/>
            <w:gridSpan w:val="2"/>
          </w:tcPr>
          <w:p w14:paraId="27384C9A"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Ísland</w:t>
            </w:r>
          </w:p>
          <w:p w14:paraId="35DF6D76"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57772693"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Sími: +354 5503300</w:t>
            </w:r>
          </w:p>
          <w:p w14:paraId="110FC606" w14:textId="77777777" w:rsidR="00B57E2C" w:rsidRPr="00D045B3" w:rsidRDefault="00B57E2C" w:rsidP="00B57E2C">
            <w:pPr>
              <w:pStyle w:val="KeinLeerraum"/>
              <w:rPr>
                <w:rFonts w:ascii="Times New Roman" w:hAnsi="Times New Roman"/>
                <w:b/>
                <w:color w:val="000000" w:themeColor="text1"/>
              </w:rPr>
            </w:pPr>
          </w:p>
        </w:tc>
        <w:tc>
          <w:tcPr>
            <w:tcW w:w="4678" w:type="dxa"/>
          </w:tcPr>
          <w:p w14:paraId="252C87E2"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Slovenská republika</w:t>
            </w:r>
          </w:p>
          <w:p w14:paraId="3865A951"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noProof/>
                <w:color w:val="000000" w:themeColor="text1"/>
              </w:rPr>
              <w:t>TEVA Pharmaceuticals Slovakia s.r.o.</w:t>
            </w:r>
          </w:p>
          <w:p w14:paraId="2F1D5574"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+421 2</w:t>
            </w:r>
            <w:r w:rsidRPr="00D045B3">
              <w:rPr>
                <w:rFonts w:ascii="Times New Roman" w:hAnsi="Times New Roman"/>
                <w:noProof/>
                <w:color w:val="000000" w:themeColor="text1"/>
              </w:rPr>
              <w:t>57267911</w:t>
            </w:r>
          </w:p>
          <w:p w14:paraId="1364127E" w14:textId="77777777" w:rsidR="00B57E2C" w:rsidRPr="00D045B3" w:rsidRDefault="00B57E2C" w:rsidP="00B57E2C">
            <w:pPr>
              <w:pStyle w:val="KeinLeerraum"/>
              <w:rPr>
                <w:rFonts w:ascii="Times New Roman" w:hAnsi="Times New Roman"/>
                <w:color w:val="000000" w:themeColor="text1"/>
              </w:rPr>
            </w:pPr>
          </w:p>
        </w:tc>
      </w:tr>
      <w:tr w:rsidR="00B57E2C" w:rsidRPr="00D045B3" w14:paraId="465E55BF" w14:textId="77777777" w:rsidTr="00B57E2C">
        <w:trPr>
          <w:cantSplit/>
        </w:trPr>
        <w:tc>
          <w:tcPr>
            <w:tcW w:w="4678" w:type="dxa"/>
            <w:gridSpan w:val="2"/>
          </w:tcPr>
          <w:p w14:paraId="3097B442"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Italia</w:t>
            </w:r>
          </w:p>
          <w:p w14:paraId="46EB081E"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41A33875"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Islanda</w:t>
            </w:r>
          </w:p>
          <w:p w14:paraId="2DB9C2A9"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4A6DA549" w14:textId="77777777" w:rsidR="00B57E2C" w:rsidRPr="00D045B3" w:rsidRDefault="00B57E2C" w:rsidP="00B57E2C">
            <w:pPr>
              <w:pStyle w:val="KeinLeerraum"/>
              <w:rPr>
                <w:rFonts w:ascii="Times New Roman" w:hAnsi="Times New Roman"/>
                <w:b/>
                <w:color w:val="000000" w:themeColor="text1"/>
              </w:rPr>
            </w:pPr>
          </w:p>
        </w:tc>
        <w:tc>
          <w:tcPr>
            <w:tcW w:w="4678" w:type="dxa"/>
          </w:tcPr>
          <w:p w14:paraId="6B6ABDD4"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b/>
                <w:color w:val="000000" w:themeColor="text1"/>
              </w:rPr>
              <w:t>Suomi/Finland</w:t>
            </w:r>
          </w:p>
          <w:p w14:paraId="790165D3" w14:textId="3CD7917B"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Teva Finland Oy</w:t>
            </w:r>
          </w:p>
          <w:p w14:paraId="45AC3A93"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Puh/Tel: +358 201805900</w:t>
            </w:r>
          </w:p>
          <w:p w14:paraId="7B4FFB08" w14:textId="77777777" w:rsidR="00B57E2C" w:rsidRPr="00D045B3" w:rsidRDefault="00B57E2C" w:rsidP="00B57E2C">
            <w:pPr>
              <w:pStyle w:val="KeinLeerraum"/>
              <w:rPr>
                <w:rFonts w:ascii="Times New Roman" w:hAnsi="Times New Roman"/>
                <w:b/>
                <w:color w:val="000000" w:themeColor="text1"/>
              </w:rPr>
            </w:pPr>
          </w:p>
        </w:tc>
      </w:tr>
      <w:tr w:rsidR="00B57E2C" w:rsidRPr="00D045B3" w14:paraId="147CC15F" w14:textId="77777777" w:rsidTr="00B57E2C">
        <w:trPr>
          <w:cantSplit/>
        </w:trPr>
        <w:tc>
          <w:tcPr>
            <w:tcW w:w="4678" w:type="dxa"/>
            <w:gridSpan w:val="2"/>
          </w:tcPr>
          <w:p w14:paraId="2C0C532F" w14:textId="77777777" w:rsidR="00B57E2C" w:rsidRPr="00D045B3" w:rsidRDefault="00B57E2C" w:rsidP="00B57E2C">
            <w:pPr>
              <w:pStyle w:val="KeinLeerraum"/>
              <w:rPr>
                <w:rFonts w:ascii="Times New Roman" w:hAnsi="Times New Roman"/>
                <w:b/>
                <w:color w:val="000000" w:themeColor="text1"/>
              </w:rPr>
            </w:pPr>
            <w:r w:rsidRPr="00F67173">
              <w:rPr>
                <w:rFonts w:ascii="Times New Roman" w:hAnsi="Times New Roman"/>
                <w:b/>
                <w:color w:val="000000" w:themeColor="text1"/>
              </w:rPr>
              <w:t>Κύπρος</w:t>
            </w:r>
          </w:p>
          <w:p w14:paraId="6FE000E5"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Specifar A.B.E.E.</w:t>
            </w:r>
          </w:p>
          <w:p w14:paraId="7F8F54B0"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Ελλάδα</w:t>
            </w:r>
          </w:p>
          <w:p w14:paraId="38B0DBC0" w14:textId="34F4F11A"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73EB194E" w14:textId="77777777" w:rsidR="00B57E2C" w:rsidRPr="00D045B3" w:rsidRDefault="00B57E2C" w:rsidP="00B57E2C">
            <w:pPr>
              <w:pStyle w:val="KeinLeerraum"/>
              <w:rPr>
                <w:rFonts w:ascii="Times New Roman" w:hAnsi="Times New Roman"/>
                <w:color w:val="000000" w:themeColor="text1"/>
              </w:rPr>
            </w:pPr>
          </w:p>
        </w:tc>
        <w:tc>
          <w:tcPr>
            <w:tcW w:w="4678" w:type="dxa"/>
          </w:tcPr>
          <w:p w14:paraId="1D36CD42"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Sverige</w:t>
            </w:r>
          </w:p>
          <w:p w14:paraId="5A6D237C"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Teva Sweden AB</w:t>
            </w:r>
          </w:p>
          <w:p w14:paraId="27F722F7"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+46 42121100</w:t>
            </w:r>
          </w:p>
          <w:p w14:paraId="4F052C2E" w14:textId="77777777" w:rsidR="00B57E2C" w:rsidRPr="00D045B3" w:rsidRDefault="00B57E2C" w:rsidP="00B57E2C">
            <w:pPr>
              <w:pStyle w:val="KeinLeerraum"/>
              <w:rPr>
                <w:rFonts w:ascii="Times New Roman" w:hAnsi="Times New Roman"/>
                <w:color w:val="000000" w:themeColor="text1"/>
              </w:rPr>
            </w:pPr>
          </w:p>
        </w:tc>
      </w:tr>
      <w:tr w:rsidR="00B57E2C" w:rsidRPr="00D045B3" w14:paraId="4FB9D2C9" w14:textId="77777777" w:rsidTr="00B57E2C">
        <w:trPr>
          <w:cantSplit/>
        </w:trPr>
        <w:tc>
          <w:tcPr>
            <w:tcW w:w="4678" w:type="dxa"/>
            <w:gridSpan w:val="2"/>
          </w:tcPr>
          <w:p w14:paraId="11131921" w14:textId="77777777" w:rsidR="00B57E2C" w:rsidRPr="00D045B3" w:rsidRDefault="00B57E2C" w:rsidP="00B57E2C">
            <w:pPr>
              <w:pStyle w:val="KeinLeerraum"/>
              <w:rPr>
                <w:rFonts w:ascii="Times New Roman" w:hAnsi="Times New Roman"/>
                <w:b/>
                <w:bCs/>
                <w:color w:val="000000" w:themeColor="text1"/>
                <w:lang w:eastAsia="en-GB"/>
              </w:rPr>
            </w:pPr>
            <w:r w:rsidRPr="00D045B3">
              <w:rPr>
                <w:rFonts w:ascii="Times New Roman" w:hAnsi="Times New Roman"/>
                <w:b/>
                <w:bCs/>
                <w:color w:val="000000" w:themeColor="text1"/>
                <w:lang w:eastAsia="en-GB"/>
              </w:rPr>
              <w:t>Latvija</w:t>
            </w:r>
          </w:p>
          <w:p w14:paraId="24B7C2A2" w14:textId="33D24EFC" w:rsidR="00B57E2C" w:rsidRPr="00D045B3" w:rsidRDefault="00B57E2C" w:rsidP="00B57E2C">
            <w:pPr>
              <w:spacing w:line="240" w:lineRule="auto"/>
              <w:rPr>
                <w:color w:val="000000" w:themeColor="text1"/>
                <w:szCs w:val="22"/>
                <w:lang w:val="hu-HU" w:eastAsia="en-GB"/>
              </w:rPr>
            </w:pPr>
            <w:r w:rsidRPr="00D045B3">
              <w:rPr>
                <w:color w:val="000000" w:themeColor="text1"/>
                <w:szCs w:val="22"/>
                <w:lang w:val="hu-HU" w:eastAsia="en-GB"/>
              </w:rPr>
              <w:t>UAB Teva Baltics filiāle Latvijā</w:t>
            </w:r>
          </w:p>
          <w:p w14:paraId="38B28ACE" w14:textId="77777777" w:rsidR="00B57E2C" w:rsidRPr="00D045B3" w:rsidRDefault="00B57E2C" w:rsidP="00B57E2C">
            <w:pPr>
              <w:pStyle w:val="KeinLeerraum"/>
              <w:rPr>
                <w:rFonts w:ascii="Times New Roman" w:hAnsi="Times New Roman"/>
                <w:color w:val="000000" w:themeColor="text1"/>
                <w:lang w:eastAsia="en-GB"/>
              </w:rPr>
            </w:pPr>
            <w:r w:rsidRPr="00D045B3">
              <w:rPr>
                <w:rFonts w:ascii="Times New Roman" w:hAnsi="Times New Roman"/>
                <w:color w:val="000000" w:themeColor="text1"/>
                <w:lang w:eastAsia="en-GB"/>
              </w:rPr>
              <w:t>Tel: +371 67323666</w:t>
            </w:r>
          </w:p>
          <w:p w14:paraId="3483E564" w14:textId="77777777" w:rsidR="00B57E2C" w:rsidRPr="00D045B3" w:rsidRDefault="00B57E2C" w:rsidP="00B57E2C">
            <w:pPr>
              <w:pStyle w:val="KeinLeerraum"/>
              <w:rPr>
                <w:rFonts w:ascii="Times New Roman" w:hAnsi="Times New Roman"/>
                <w:color w:val="000000" w:themeColor="text1"/>
              </w:rPr>
            </w:pPr>
          </w:p>
        </w:tc>
        <w:tc>
          <w:tcPr>
            <w:tcW w:w="4678" w:type="dxa"/>
          </w:tcPr>
          <w:p w14:paraId="4303FE07" w14:textId="77777777" w:rsidR="00B57E2C" w:rsidRPr="00D045B3" w:rsidRDefault="00B57E2C" w:rsidP="00B57E2C">
            <w:pPr>
              <w:pStyle w:val="KeinLeerraum"/>
              <w:rPr>
                <w:rFonts w:ascii="Times New Roman" w:hAnsi="Times New Roman"/>
                <w:b/>
                <w:color w:val="000000" w:themeColor="text1"/>
              </w:rPr>
            </w:pPr>
            <w:r w:rsidRPr="00D045B3">
              <w:rPr>
                <w:rFonts w:ascii="Times New Roman" w:hAnsi="Times New Roman"/>
                <w:b/>
                <w:color w:val="000000" w:themeColor="text1"/>
              </w:rPr>
              <w:t>United Kingdom</w:t>
            </w:r>
          </w:p>
          <w:p w14:paraId="0B351E13"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Actavis UK Limited</w:t>
            </w:r>
          </w:p>
          <w:p w14:paraId="0FCF75FA" w14:textId="77777777" w:rsidR="00B57E2C" w:rsidRPr="00D045B3" w:rsidRDefault="00B57E2C" w:rsidP="00B57E2C">
            <w:pPr>
              <w:pStyle w:val="KeinLeerraum"/>
              <w:rPr>
                <w:rFonts w:ascii="Times New Roman" w:hAnsi="Times New Roman"/>
                <w:color w:val="000000" w:themeColor="text1"/>
              </w:rPr>
            </w:pPr>
            <w:r w:rsidRPr="00D045B3">
              <w:rPr>
                <w:rFonts w:ascii="Times New Roman" w:hAnsi="Times New Roman"/>
                <w:color w:val="000000" w:themeColor="text1"/>
              </w:rPr>
              <w:t>Tel: +44 1271385257</w:t>
            </w:r>
          </w:p>
          <w:p w14:paraId="24EDBEB4" w14:textId="77777777" w:rsidR="00B57E2C" w:rsidRPr="00D045B3" w:rsidRDefault="00B57E2C" w:rsidP="00B57E2C">
            <w:pPr>
              <w:pStyle w:val="KeinLeerraum"/>
              <w:rPr>
                <w:rFonts w:ascii="Times New Roman" w:hAnsi="Times New Roman"/>
                <w:color w:val="000000" w:themeColor="text1"/>
              </w:rPr>
            </w:pPr>
          </w:p>
        </w:tc>
      </w:tr>
    </w:tbl>
    <w:p w14:paraId="26D8493B" w14:textId="77777777" w:rsidR="00B57E2C" w:rsidRPr="00D045B3" w:rsidRDefault="00B57E2C" w:rsidP="00B57E2C">
      <w:pPr>
        <w:spacing w:line="240" w:lineRule="auto"/>
        <w:rPr>
          <w:color w:val="000000" w:themeColor="text1"/>
          <w:szCs w:val="22"/>
          <w:lang w:val="hu-HU" w:eastAsia="en-US"/>
        </w:rPr>
      </w:pPr>
    </w:p>
    <w:p w14:paraId="1E927E57" w14:textId="77777777" w:rsidR="005F32A1" w:rsidRPr="00D045B3" w:rsidRDefault="005F32A1" w:rsidP="005F32A1">
      <w:pPr>
        <w:spacing w:line="240" w:lineRule="auto"/>
        <w:ind w:right="-2"/>
        <w:rPr>
          <w:b/>
          <w:color w:val="000000"/>
          <w:lang w:val="hu-HU"/>
        </w:rPr>
      </w:pPr>
      <w:r w:rsidRPr="00D045B3">
        <w:rPr>
          <w:b/>
          <w:color w:val="000000"/>
          <w:lang w:val="hu-HU"/>
        </w:rPr>
        <w:t xml:space="preserve">A betegtájékoztató </w:t>
      </w:r>
      <w:r w:rsidRPr="00D045B3">
        <w:rPr>
          <w:b/>
          <w:noProof/>
          <w:szCs w:val="24"/>
          <w:lang w:val="hu-HU"/>
        </w:rPr>
        <w:t>legutóbbi felülvizsgálatának</w:t>
      </w:r>
      <w:r w:rsidRPr="00D045B3">
        <w:rPr>
          <w:b/>
          <w:lang w:val="hu-HU"/>
        </w:rPr>
        <w:t xml:space="preserve"> </w:t>
      </w:r>
      <w:r w:rsidRPr="00D045B3">
        <w:rPr>
          <w:b/>
          <w:color w:val="000000"/>
          <w:lang w:val="hu-HU"/>
        </w:rPr>
        <w:t>dátuma</w:t>
      </w:r>
    </w:p>
    <w:p w14:paraId="1E927E58" w14:textId="77777777" w:rsidR="005F32A1" w:rsidRPr="00D045B3" w:rsidRDefault="005F32A1" w:rsidP="005F32A1">
      <w:pPr>
        <w:spacing w:line="240" w:lineRule="auto"/>
        <w:ind w:right="-2"/>
        <w:rPr>
          <w:color w:val="000000"/>
          <w:lang w:val="hu-HU"/>
        </w:rPr>
      </w:pPr>
    </w:p>
    <w:p w14:paraId="1E927E59" w14:textId="77777777" w:rsidR="005F32A1" w:rsidRPr="00D045B3" w:rsidRDefault="005F32A1" w:rsidP="005F32A1">
      <w:pPr>
        <w:rPr>
          <w:b/>
          <w:lang w:val="hu-HU"/>
        </w:rPr>
      </w:pPr>
      <w:r w:rsidRPr="00D045B3">
        <w:rPr>
          <w:b/>
          <w:lang w:val="hu-HU"/>
        </w:rPr>
        <w:t>Egyéb információforrások</w:t>
      </w:r>
    </w:p>
    <w:p w14:paraId="1E927E5A" w14:textId="77777777" w:rsidR="00D723FA" w:rsidRPr="00D045B3" w:rsidRDefault="00D723FA" w:rsidP="005F32A1">
      <w:pPr>
        <w:spacing w:line="240" w:lineRule="auto"/>
        <w:ind w:right="-2"/>
        <w:rPr>
          <w:noProof/>
          <w:color w:val="000000"/>
          <w:lang w:val="hu-HU"/>
        </w:rPr>
      </w:pPr>
    </w:p>
    <w:p w14:paraId="1E927E5B" w14:textId="77777777" w:rsidR="005F32A1" w:rsidRPr="00D045B3" w:rsidRDefault="005F32A1" w:rsidP="00CA41FD">
      <w:pPr>
        <w:autoSpaceDE w:val="0"/>
        <w:autoSpaceDN w:val="0"/>
        <w:adjustRightInd w:val="0"/>
        <w:spacing w:line="240" w:lineRule="auto"/>
        <w:contextualSpacing/>
        <w:rPr>
          <w:rFonts w:eastAsia="Calibri"/>
          <w:snapToGrid/>
          <w:szCs w:val="22"/>
          <w:lang w:val="hu-HU" w:eastAsia="en-US"/>
        </w:rPr>
      </w:pPr>
      <w:r w:rsidRPr="00D045B3">
        <w:rPr>
          <w:noProof/>
          <w:color w:val="000000"/>
          <w:lang w:val="hu-HU"/>
        </w:rPr>
        <w:t>A gyógyszerről részletes információ az Európai Gyógyszerügynökség internetes honlapján (</w:t>
      </w:r>
      <w:hyperlink r:id="rId16" w:history="1">
        <w:r w:rsidR="00704991" w:rsidRPr="00D045B3">
          <w:rPr>
            <w:rFonts w:eastAsia="Calibri"/>
            <w:snapToGrid/>
            <w:color w:val="0000FF"/>
            <w:szCs w:val="22"/>
            <w:u w:val="single"/>
            <w:lang w:val="hu-HU" w:eastAsia="en-US"/>
          </w:rPr>
          <w:t>http://www.ema.europa.eu</w:t>
        </w:r>
      </w:hyperlink>
      <w:r w:rsidRPr="00D045B3">
        <w:rPr>
          <w:iCs/>
          <w:noProof/>
          <w:color w:val="000000"/>
          <w:lang w:val="hu-HU"/>
        </w:rPr>
        <w:t>) található.</w:t>
      </w:r>
    </w:p>
    <w:p w14:paraId="1E927E5C" w14:textId="77777777" w:rsidR="00A052B8" w:rsidRPr="00D045B3" w:rsidRDefault="00A052B8" w:rsidP="00A052B8">
      <w:pPr>
        <w:widowControl w:val="0"/>
        <w:spacing w:line="240" w:lineRule="auto"/>
        <w:jc w:val="center"/>
        <w:rPr>
          <w:color w:val="000000"/>
          <w:szCs w:val="22"/>
          <w:lang w:val="hu-HU"/>
        </w:rPr>
      </w:pPr>
      <w:r w:rsidRPr="00D045B3">
        <w:rPr>
          <w:iCs/>
          <w:noProof/>
          <w:color w:val="000000"/>
          <w:lang w:val="hu-HU"/>
        </w:rPr>
        <w:br w:type="page"/>
      </w:r>
      <w:r w:rsidRPr="00D045B3">
        <w:rPr>
          <w:b/>
          <w:noProof/>
          <w:szCs w:val="24"/>
          <w:lang w:val="hu-HU"/>
        </w:rPr>
        <w:t>Betegtájékoztató: Információk a felhasználó számára</w:t>
      </w:r>
    </w:p>
    <w:p w14:paraId="1E927E5D" w14:textId="77777777" w:rsidR="00A052B8" w:rsidRPr="00D045B3" w:rsidRDefault="00A052B8" w:rsidP="00A052B8">
      <w:pPr>
        <w:widowControl w:val="0"/>
        <w:spacing w:line="240" w:lineRule="auto"/>
        <w:jc w:val="center"/>
        <w:rPr>
          <w:color w:val="000000"/>
          <w:szCs w:val="22"/>
          <w:lang w:val="hu-HU"/>
        </w:rPr>
      </w:pPr>
    </w:p>
    <w:p w14:paraId="1E927E5E" w14:textId="77777777" w:rsidR="00A052B8" w:rsidRPr="00D045B3" w:rsidRDefault="00A052B8" w:rsidP="00A052B8">
      <w:pPr>
        <w:widowControl w:val="0"/>
        <w:spacing w:line="240" w:lineRule="auto"/>
        <w:jc w:val="center"/>
        <w:rPr>
          <w:color w:val="000000"/>
          <w:szCs w:val="22"/>
          <w:lang w:val="hu-HU"/>
        </w:rPr>
      </w:pPr>
      <w:r w:rsidRPr="00D045B3">
        <w:rPr>
          <w:b/>
          <w:color w:val="000000"/>
          <w:szCs w:val="22"/>
          <w:lang w:val="hu-HU"/>
        </w:rPr>
        <w:t>Imatinib Actavis 100 mg kemény kapszula</w:t>
      </w:r>
    </w:p>
    <w:p w14:paraId="1E927E5F" w14:textId="77777777" w:rsidR="00A052B8" w:rsidRPr="00D045B3" w:rsidRDefault="00A052B8" w:rsidP="00A052B8">
      <w:pPr>
        <w:widowControl w:val="0"/>
        <w:spacing w:line="240" w:lineRule="auto"/>
        <w:jc w:val="center"/>
        <w:rPr>
          <w:color w:val="000000"/>
          <w:szCs w:val="22"/>
          <w:lang w:val="hu-HU"/>
        </w:rPr>
      </w:pPr>
      <w:r w:rsidRPr="00D045B3">
        <w:rPr>
          <w:color w:val="000000"/>
          <w:szCs w:val="22"/>
          <w:lang w:val="hu-HU"/>
        </w:rPr>
        <w:t>imatinib</w:t>
      </w:r>
    </w:p>
    <w:p w14:paraId="1E927E60" w14:textId="77777777" w:rsidR="00A052B8" w:rsidRPr="00D045B3" w:rsidRDefault="00A052B8" w:rsidP="00A052B8">
      <w:pPr>
        <w:spacing w:line="240" w:lineRule="auto"/>
        <w:jc w:val="center"/>
        <w:rPr>
          <w:color w:val="000000"/>
          <w:lang w:val="hu-HU"/>
        </w:rPr>
      </w:pPr>
    </w:p>
    <w:p w14:paraId="1E927E61" w14:textId="77777777" w:rsidR="00A052B8" w:rsidRPr="00D045B3" w:rsidRDefault="00A052B8" w:rsidP="00A052B8">
      <w:pPr>
        <w:spacing w:line="240" w:lineRule="auto"/>
        <w:jc w:val="center"/>
        <w:rPr>
          <w:color w:val="000000"/>
          <w:lang w:val="hu-HU"/>
        </w:rPr>
      </w:pPr>
    </w:p>
    <w:p w14:paraId="1E927E62" w14:textId="77777777" w:rsidR="00A052B8" w:rsidRPr="00D045B3" w:rsidRDefault="00A052B8" w:rsidP="00A052B8">
      <w:pPr>
        <w:spacing w:line="240" w:lineRule="auto"/>
        <w:rPr>
          <w:b/>
          <w:color w:val="000000"/>
          <w:lang w:val="hu-HU"/>
        </w:rPr>
      </w:pPr>
      <w:r w:rsidRPr="00D045B3">
        <w:rPr>
          <w:b/>
          <w:color w:val="000000"/>
          <w:lang w:val="hu-HU"/>
        </w:rPr>
        <w:t>Mielőtt elkezdi szedni ezt a gyógyszert, olvassa el figyelmesen az alábbi betegtájékoztatót</w:t>
      </w:r>
      <w:r w:rsidRPr="00D045B3">
        <w:rPr>
          <w:b/>
          <w:noProof/>
          <w:szCs w:val="24"/>
          <w:lang w:val="hu-HU"/>
        </w:rPr>
        <w:t>, me</w:t>
      </w:r>
      <w:r w:rsidR="00D723FA" w:rsidRPr="00D045B3">
        <w:rPr>
          <w:b/>
          <w:noProof/>
          <w:szCs w:val="24"/>
          <w:lang w:val="hu-HU"/>
        </w:rPr>
        <w:t>rt</w:t>
      </w:r>
      <w:r w:rsidRPr="00D045B3">
        <w:rPr>
          <w:b/>
          <w:noProof/>
          <w:szCs w:val="24"/>
          <w:lang w:val="hu-HU"/>
        </w:rPr>
        <w:t xml:space="preserve"> az Ön számára fontos információkat tartalmaz</w:t>
      </w:r>
      <w:r w:rsidRPr="00D045B3">
        <w:rPr>
          <w:b/>
          <w:color w:val="000000"/>
          <w:lang w:val="hu-HU"/>
        </w:rPr>
        <w:t>.</w:t>
      </w:r>
    </w:p>
    <w:p w14:paraId="1E927E63" w14:textId="77777777" w:rsidR="00A052B8" w:rsidRPr="00D045B3" w:rsidRDefault="00A052B8" w:rsidP="00E95370">
      <w:pPr>
        <w:numPr>
          <w:ilvl w:val="0"/>
          <w:numId w:val="8"/>
        </w:numPr>
        <w:tabs>
          <w:tab w:val="clear" w:pos="360"/>
          <w:tab w:val="clear" w:pos="567"/>
        </w:tabs>
        <w:suppressAutoHyphens/>
        <w:spacing w:line="240" w:lineRule="auto"/>
        <w:ind w:left="567" w:hanging="567"/>
        <w:rPr>
          <w:color w:val="000000"/>
          <w:lang w:val="hu-HU"/>
        </w:rPr>
      </w:pPr>
      <w:r w:rsidRPr="00D045B3">
        <w:rPr>
          <w:color w:val="000000"/>
          <w:lang w:val="hu-HU"/>
        </w:rPr>
        <w:t>Tartsa meg a betegtájékoztatót, mert a benne szereplő információkra a későbbiekben is szüksége lehet.</w:t>
      </w:r>
    </w:p>
    <w:p w14:paraId="1E927E64" w14:textId="77777777" w:rsidR="00A052B8" w:rsidRPr="00D045B3" w:rsidRDefault="00A052B8" w:rsidP="00E95370">
      <w:pPr>
        <w:numPr>
          <w:ilvl w:val="0"/>
          <w:numId w:val="8"/>
        </w:numPr>
        <w:tabs>
          <w:tab w:val="clear" w:pos="360"/>
          <w:tab w:val="clear" w:pos="567"/>
        </w:tabs>
        <w:suppressAutoHyphens/>
        <w:spacing w:line="240" w:lineRule="auto"/>
        <w:ind w:left="567" w:hanging="567"/>
        <w:rPr>
          <w:color w:val="000000"/>
          <w:lang w:val="hu-HU"/>
        </w:rPr>
      </w:pPr>
      <w:r w:rsidRPr="00D045B3">
        <w:rPr>
          <w:color w:val="000000"/>
          <w:lang w:val="hu-HU"/>
        </w:rPr>
        <w:t xml:space="preserve">További kérdéseivel forduljon </w:t>
      </w:r>
      <w:r w:rsidRPr="00D045B3">
        <w:rPr>
          <w:noProof/>
          <w:szCs w:val="24"/>
          <w:lang w:val="hu-HU"/>
        </w:rPr>
        <w:t>kezelőorvosához,</w:t>
      </w:r>
      <w:r w:rsidRPr="00D045B3">
        <w:rPr>
          <w:color w:val="000000"/>
          <w:lang w:val="hu-HU"/>
        </w:rPr>
        <w:t xml:space="preserve"> gyógyszerészéhez </w:t>
      </w:r>
      <w:r w:rsidRPr="00D045B3">
        <w:rPr>
          <w:noProof/>
          <w:szCs w:val="24"/>
          <w:lang w:val="hu-HU"/>
        </w:rPr>
        <w:t xml:space="preserve">vagy </w:t>
      </w:r>
      <w:r w:rsidR="00A70DF4" w:rsidRPr="00D045B3">
        <w:rPr>
          <w:noProof/>
          <w:szCs w:val="24"/>
          <w:lang w:val="hu-HU"/>
        </w:rPr>
        <w:t xml:space="preserve">a </w:t>
      </w:r>
      <w:r w:rsidR="00A70DF4" w:rsidRPr="00D045B3">
        <w:rPr>
          <w:lang w:val="hu-HU"/>
        </w:rPr>
        <w:t>gondozását végző egészségügyi szakemberhez</w:t>
      </w:r>
      <w:r w:rsidRPr="00D045B3">
        <w:rPr>
          <w:color w:val="000000"/>
          <w:lang w:val="hu-HU"/>
        </w:rPr>
        <w:t>.</w:t>
      </w:r>
    </w:p>
    <w:p w14:paraId="1E927E65" w14:textId="77777777" w:rsidR="00A052B8" w:rsidRPr="00D045B3" w:rsidRDefault="00A052B8" w:rsidP="00E95370">
      <w:pPr>
        <w:pStyle w:val="WW-NormlWeb"/>
        <w:numPr>
          <w:ilvl w:val="0"/>
          <w:numId w:val="6"/>
        </w:numPr>
        <w:tabs>
          <w:tab w:val="clear" w:pos="360"/>
        </w:tabs>
        <w:spacing w:before="0" w:after="0" w:line="240" w:lineRule="auto"/>
        <w:ind w:left="567" w:hanging="567"/>
        <w:rPr>
          <w:rFonts w:ascii="Times New Roman" w:hAnsi="Times New Roman"/>
          <w:color w:val="000000"/>
          <w:sz w:val="22"/>
        </w:rPr>
      </w:pPr>
      <w:r w:rsidRPr="00D045B3">
        <w:rPr>
          <w:rFonts w:ascii="Times New Roman" w:hAnsi="Times New Roman"/>
          <w:color w:val="000000"/>
          <w:sz w:val="22"/>
        </w:rPr>
        <w:t>Ezt a gyógyszert az orvos kizárólag Önnek írta fel. Ne adja át a készítményt másnak, mert számára ártalmas lehet még abban az esetben is, ha a betegsége tünetei az Önéhez hasonlóak.</w:t>
      </w:r>
    </w:p>
    <w:p w14:paraId="1E927E66" w14:textId="77777777" w:rsidR="00A052B8" w:rsidRPr="00D045B3" w:rsidRDefault="00A052B8" w:rsidP="00E95370">
      <w:pPr>
        <w:widowControl w:val="0"/>
        <w:numPr>
          <w:ilvl w:val="0"/>
          <w:numId w:val="16"/>
        </w:numPr>
        <w:tabs>
          <w:tab w:val="clear" w:pos="567"/>
        </w:tabs>
        <w:spacing w:line="240" w:lineRule="auto"/>
        <w:ind w:left="567" w:right="-2" w:hanging="567"/>
        <w:rPr>
          <w:color w:val="000000"/>
          <w:szCs w:val="22"/>
          <w:lang w:val="hu-HU"/>
        </w:rPr>
      </w:pPr>
      <w:r w:rsidRPr="00D045B3">
        <w:rPr>
          <w:color w:val="000000"/>
          <w:lang w:val="hu-HU"/>
        </w:rPr>
        <w:t xml:space="preserve">Ha Önnél bármilyen mellékhatás jelentkezik, tájékoztassa erről kezelőorvosát, gyógyszerészét vagy </w:t>
      </w:r>
      <w:r w:rsidR="00A70DF4" w:rsidRPr="00D045B3">
        <w:rPr>
          <w:color w:val="000000"/>
          <w:lang w:val="hu-HU"/>
        </w:rPr>
        <w:t xml:space="preserve">a </w:t>
      </w:r>
      <w:r w:rsidR="00A70DF4" w:rsidRPr="00D045B3">
        <w:rPr>
          <w:lang w:val="hu-HU"/>
        </w:rPr>
        <w:t>gondozását végző egészségügyi szakembert</w:t>
      </w:r>
      <w:r w:rsidRPr="00D045B3">
        <w:rPr>
          <w:color w:val="000000"/>
          <w:lang w:val="hu-HU"/>
        </w:rPr>
        <w:t>. Ez a betegtájékoztatóban fel nem sorolt bármilyen lehetséges mellékhatásra is vonatkozik.</w:t>
      </w:r>
      <w:r w:rsidR="00D723FA" w:rsidRPr="00D045B3">
        <w:rPr>
          <w:color w:val="000000"/>
          <w:lang w:val="hu-HU"/>
        </w:rPr>
        <w:t xml:space="preserve"> Lásd 4. pont.</w:t>
      </w:r>
    </w:p>
    <w:p w14:paraId="1E927E67" w14:textId="77777777" w:rsidR="00A052B8" w:rsidRPr="00D045B3" w:rsidRDefault="00A052B8" w:rsidP="00A052B8">
      <w:pPr>
        <w:spacing w:line="240" w:lineRule="auto"/>
        <w:ind w:right="-2"/>
        <w:rPr>
          <w:color w:val="000000"/>
          <w:lang w:val="hu-HU"/>
        </w:rPr>
      </w:pPr>
    </w:p>
    <w:p w14:paraId="1E927E68" w14:textId="77777777" w:rsidR="00A052B8" w:rsidRPr="00D045B3" w:rsidRDefault="00A052B8" w:rsidP="00A052B8">
      <w:pPr>
        <w:keepNext/>
        <w:spacing w:line="240" w:lineRule="auto"/>
        <w:ind w:right="-2"/>
        <w:rPr>
          <w:b/>
          <w:color w:val="000000"/>
          <w:lang w:val="hu-HU"/>
        </w:rPr>
      </w:pPr>
      <w:r w:rsidRPr="00D045B3">
        <w:rPr>
          <w:b/>
          <w:color w:val="000000"/>
          <w:lang w:val="hu-HU"/>
        </w:rPr>
        <w:t>A betegtájékoztató tartalma</w:t>
      </w:r>
      <w:r w:rsidR="001B47B6" w:rsidRPr="00D045B3">
        <w:rPr>
          <w:b/>
          <w:color w:val="000000"/>
          <w:lang w:val="hu-HU"/>
        </w:rPr>
        <w:t>:</w:t>
      </w:r>
    </w:p>
    <w:p w14:paraId="1E927E69" w14:textId="77777777" w:rsidR="0080052A" w:rsidRPr="00D045B3" w:rsidRDefault="0080052A" w:rsidP="00A052B8">
      <w:pPr>
        <w:keepNext/>
        <w:spacing w:line="240" w:lineRule="auto"/>
        <w:ind w:right="-2"/>
        <w:rPr>
          <w:b/>
          <w:color w:val="000000"/>
          <w:lang w:val="hu-HU"/>
        </w:rPr>
      </w:pPr>
    </w:p>
    <w:p w14:paraId="1E927E6A" w14:textId="77777777" w:rsidR="00A052B8" w:rsidRPr="00D045B3" w:rsidRDefault="00A052B8" w:rsidP="00CA41FD">
      <w:pPr>
        <w:spacing w:line="240" w:lineRule="auto"/>
        <w:ind w:right="-28"/>
        <w:rPr>
          <w:color w:val="000000"/>
          <w:lang w:val="hu-HU"/>
        </w:rPr>
      </w:pPr>
      <w:r w:rsidRPr="00D045B3">
        <w:rPr>
          <w:color w:val="000000"/>
          <w:lang w:val="hu-HU"/>
        </w:rPr>
        <w:t>1.</w:t>
      </w:r>
      <w:r w:rsidRPr="00D045B3">
        <w:rPr>
          <w:color w:val="000000"/>
          <w:lang w:val="hu-HU"/>
        </w:rPr>
        <w:tab/>
        <w:t>Milyen típusú gyógyszer az Imatinib Actavis és milyen betegségek esetén alkalmazható?</w:t>
      </w:r>
    </w:p>
    <w:p w14:paraId="1E927E6B" w14:textId="77777777" w:rsidR="00A052B8" w:rsidRPr="00D045B3" w:rsidRDefault="00A052B8" w:rsidP="00A052B8">
      <w:pPr>
        <w:spacing w:line="240" w:lineRule="auto"/>
        <w:ind w:right="-29"/>
        <w:rPr>
          <w:color w:val="000000"/>
          <w:lang w:val="hu-HU"/>
        </w:rPr>
      </w:pPr>
      <w:r w:rsidRPr="00D045B3">
        <w:rPr>
          <w:color w:val="000000"/>
          <w:lang w:val="hu-HU"/>
        </w:rPr>
        <w:t>2.</w:t>
      </w:r>
      <w:r w:rsidRPr="00D045B3">
        <w:rPr>
          <w:color w:val="000000"/>
          <w:lang w:val="hu-HU"/>
        </w:rPr>
        <w:tab/>
        <w:t>Tudnivalók az Imatinib Actavis szedése előtt</w:t>
      </w:r>
    </w:p>
    <w:p w14:paraId="1E927E6C" w14:textId="77777777" w:rsidR="00A052B8" w:rsidRPr="00D045B3" w:rsidRDefault="00A052B8" w:rsidP="00A052B8">
      <w:pPr>
        <w:spacing w:line="240" w:lineRule="auto"/>
        <w:ind w:left="567" w:right="-29" w:hanging="567"/>
        <w:rPr>
          <w:color w:val="000000"/>
          <w:lang w:val="hu-HU"/>
        </w:rPr>
      </w:pPr>
      <w:r w:rsidRPr="00D045B3">
        <w:rPr>
          <w:color w:val="000000"/>
          <w:lang w:val="hu-HU"/>
        </w:rPr>
        <w:t>3.</w:t>
      </w:r>
      <w:r w:rsidRPr="00D045B3">
        <w:rPr>
          <w:color w:val="000000"/>
          <w:lang w:val="hu-HU"/>
        </w:rPr>
        <w:tab/>
        <w:t>Hogyan kell szedni az Imatinib Actavis</w:t>
      </w:r>
      <w:r w:rsidRPr="00D045B3">
        <w:rPr>
          <w:color w:val="000000"/>
          <w:lang w:val="hu-HU"/>
        </w:rPr>
        <w:noBreakHyphen/>
        <w:t>t?</w:t>
      </w:r>
    </w:p>
    <w:p w14:paraId="1E927E6D" w14:textId="77777777" w:rsidR="00A052B8" w:rsidRPr="00D045B3" w:rsidRDefault="00A052B8" w:rsidP="00A052B8">
      <w:pPr>
        <w:spacing w:line="240" w:lineRule="auto"/>
        <w:ind w:left="567" w:right="-29" w:hanging="567"/>
        <w:rPr>
          <w:color w:val="000000"/>
          <w:lang w:val="hu-HU"/>
        </w:rPr>
      </w:pPr>
      <w:r w:rsidRPr="00D045B3">
        <w:rPr>
          <w:color w:val="000000"/>
          <w:lang w:val="hu-HU"/>
        </w:rPr>
        <w:t>4.</w:t>
      </w:r>
      <w:r w:rsidRPr="00D045B3">
        <w:rPr>
          <w:color w:val="000000"/>
          <w:lang w:val="hu-HU"/>
        </w:rPr>
        <w:tab/>
        <w:t>Lehetséges mellékhatások</w:t>
      </w:r>
    </w:p>
    <w:p w14:paraId="1E927E6E" w14:textId="77777777" w:rsidR="00A052B8" w:rsidRPr="00D045B3" w:rsidRDefault="00A052B8" w:rsidP="00A052B8">
      <w:pPr>
        <w:spacing w:line="240" w:lineRule="auto"/>
        <w:ind w:left="567" w:right="-29" w:hanging="567"/>
        <w:rPr>
          <w:color w:val="000000"/>
          <w:lang w:val="hu-HU"/>
        </w:rPr>
      </w:pPr>
      <w:r w:rsidRPr="00D045B3">
        <w:rPr>
          <w:color w:val="000000"/>
          <w:lang w:val="hu-HU"/>
        </w:rPr>
        <w:t>5.</w:t>
      </w:r>
      <w:r w:rsidRPr="00D045B3">
        <w:rPr>
          <w:color w:val="000000"/>
          <w:lang w:val="hu-HU"/>
        </w:rPr>
        <w:tab/>
        <w:t>Hogyan kell az Imatinib Actavis</w:t>
      </w:r>
      <w:r w:rsidRPr="00D045B3">
        <w:rPr>
          <w:color w:val="000000"/>
          <w:lang w:val="hu-HU"/>
        </w:rPr>
        <w:noBreakHyphen/>
        <w:t>t tárolni?</w:t>
      </w:r>
    </w:p>
    <w:p w14:paraId="1E927E6F" w14:textId="77777777" w:rsidR="00A052B8" w:rsidRPr="00D045B3" w:rsidRDefault="00A052B8" w:rsidP="00A052B8">
      <w:pPr>
        <w:spacing w:line="240" w:lineRule="auto"/>
        <w:ind w:left="567" w:right="-29" w:hanging="567"/>
        <w:rPr>
          <w:color w:val="000000"/>
          <w:lang w:val="hu-HU"/>
        </w:rPr>
      </w:pPr>
      <w:r w:rsidRPr="00D045B3">
        <w:rPr>
          <w:color w:val="000000"/>
          <w:lang w:val="hu-HU"/>
        </w:rPr>
        <w:t>6.</w:t>
      </w:r>
      <w:r w:rsidRPr="00D045B3">
        <w:rPr>
          <w:color w:val="000000"/>
          <w:lang w:val="hu-HU"/>
        </w:rPr>
        <w:tab/>
      </w:r>
      <w:r w:rsidRPr="00D045B3">
        <w:rPr>
          <w:noProof/>
          <w:szCs w:val="24"/>
          <w:lang w:val="hu-HU"/>
        </w:rPr>
        <w:t xml:space="preserve">A csomagolás tartalma és egyéb </w:t>
      </w:r>
      <w:r w:rsidRPr="00D045B3">
        <w:rPr>
          <w:color w:val="000000"/>
          <w:lang w:val="hu-HU"/>
        </w:rPr>
        <w:t>információk</w:t>
      </w:r>
    </w:p>
    <w:p w14:paraId="1E927E70" w14:textId="77777777" w:rsidR="00A052B8" w:rsidRPr="00D045B3" w:rsidRDefault="00A052B8" w:rsidP="00A052B8">
      <w:pPr>
        <w:spacing w:line="240" w:lineRule="auto"/>
        <w:ind w:right="-2"/>
        <w:rPr>
          <w:color w:val="000000"/>
          <w:lang w:val="hu-HU"/>
        </w:rPr>
      </w:pPr>
    </w:p>
    <w:p w14:paraId="1E927E71" w14:textId="77777777" w:rsidR="00A052B8" w:rsidRPr="00D045B3" w:rsidRDefault="00A052B8" w:rsidP="00A052B8">
      <w:pPr>
        <w:spacing w:line="240" w:lineRule="auto"/>
        <w:ind w:right="-2"/>
        <w:rPr>
          <w:color w:val="000000"/>
          <w:lang w:val="hu-HU"/>
        </w:rPr>
      </w:pPr>
    </w:p>
    <w:p w14:paraId="1E927E72" w14:textId="77777777" w:rsidR="004E7286" w:rsidRPr="00D045B3" w:rsidRDefault="004E7286" w:rsidP="004E7286">
      <w:pPr>
        <w:keepNext/>
        <w:spacing w:line="240" w:lineRule="auto"/>
        <w:ind w:left="567" w:hanging="567"/>
        <w:rPr>
          <w:b/>
          <w:color w:val="000000"/>
          <w:szCs w:val="22"/>
          <w:lang w:val="hu-HU"/>
        </w:rPr>
      </w:pPr>
      <w:r w:rsidRPr="00D045B3">
        <w:rPr>
          <w:b/>
          <w:color w:val="000000"/>
          <w:szCs w:val="22"/>
          <w:lang w:val="hu-HU"/>
        </w:rPr>
        <w:t>1.</w:t>
      </w:r>
      <w:r w:rsidRPr="00D045B3">
        <w:rPr>
          <w:b/>
          <w:color w:val="000000"/>
          <w:szCs w:val="22"/>
          <w:lang w:val="hu-HU"/>
        </w:rPr>
        <w:tab/>
        <w:t>Milyen típusú gyógyszer az Imatinib Actavis és milyen betegségek esetén alkalmazható?</w:t>
      </w:r>
    </w:p>
    <w:p w14:paraId="1E927E73" w14:textId="77777777" w:rsidR="004E7286" w:rsidRPr="00D045B3" w:rsidRDefault="004E7286" w:rsidP="004E7286">
      <w:pPr>
        <w:keepNext/>
        <w:spacing w:line="240" w:lineRule="auto"/>
        <w:rPr>
          <w:color w:val="000000"/>
          <w:szCs w:val="22"/>
          <w:lang w:val="hu-HU"/>
        </w:rPr>
      </w:pPr>
    </w:p>
    <w:p w14:paraId="1E927E74" w14:textId="21A23B42" w:rsidR="004E7286" w:rsidRPr="00D045B3" w:rsidRDefault="004E7286" w:rsidP="00CA41FD">
      <w:pPr>
        <w:spacing w:line="240" w:lineRule="auto"/>
        <w:rPr>
          <w:color w:val="000000"/>
          <w:szCs w:val="22"/>
          <w:lang w:val="hu-HU"/>
        </w:rPr>
      </w:pPr>
      <w:r w:rsidRPr="00D045B3">
        <w:rPr>
          <w:color w:val="000000"/>
          <w:szCs w:val="22"/>
          <w:lang w:val="hu-HU"/>
        </w:rPr>
        <w:t xml:space="preserve">Az Imatinib Actavis egy imatinib nevű hatóanyagot tartalmazó gyógyszer. Ez a gyógyszer a kóros sejtek szaporodását gátolja az alábbi betegségekben. </w:t>
      </w:r>
      <w:r w:rsidRPr="00D045B3">
        <w:rPr>
          <w:szCs w:val="22"/>
          <w:lang w:val="hu-HU"/>
        </w:rPr>
        <w:t xml:space="preserve">Ezek a </w:t>
      </w:r>
      <w:r w:rsidR="00FD66DE" w:rsidRPr="00D045B3">
        <w:rPr>
          <w:szCs w:val="22"/>
          <w:lang w:val="hu-HU"/>
        </w:rPr>
        <w:t>betegségek bizonyos típusú rákos megbetegedések</w:t>
      </w:r>
      <w:r w:rsidRPr="00D045B3">
        <w:rPr>
          <w:szCs w:val="22"/>
          <w:lang w:val="hu-HU"/>
        </w:rPr>
        <w:t>.</w:t>
      </w:r>
    </w:p>
    <w:p w14:paraId="1E927E75" w14:textId="77777777" w:rsidR="004E7286" w:rsidRPr="00D045B3" w:rsidRDefault="004E7286" w:rsidP="004E7286">
      <w:pPr>
        <w:spacing w:line="240" w:lineRule="auto"/>
        <w:ind w:right="-2"/>
        <w:rPr>
          <w:color w:val="000000"/>
          <w:szCs w:val="22"/>
          <w:lang w:val="hu-HU"/>
        </w:rPr>
      </w:pPr>
    </w:p>
    <w:p w14:paraId="1E927E76" w14:textId="0420CE21" w:rsidR="004E7286" w:rsidRPr="00D045B3" w:rsidRDefault="004E7286" w:rsidP="004E7286">
      <w:pPr>
        <w:keepNext/>
        <w:spacing w:line="240" w:lineRule="auto"/>
        <w:rPr>
          <w:b/>
          <w:color w:val="000000"/>
          <w:szCs w:val="22"/>
          <w:lang w:val="hu-HU"/>
        </w:rPr>
      </w:pPr>
      <w:r w:rsidRPr="00D045B3">
        <w:rPr>
          <w:b/>
          <w:color w:val="000000"/>
          <w:szCs w:val="22"/>
          <w:lang w:val="hu-HU"/>
        </w:rPr>
        <w:t>Az Imatinib Actavis az alábbiak kezelésére alkalmazható:</w:t>
      </w:r>
    </w:p>
    <w:p w14:paraId="1E927E77" w14:textId="77777777" w:rsidR="004516E3" w:rsidRPr="00D045B3" w:rsidRDefault="004516E3" w:rsidP="004E7286">
      <w:pPr>
        <w:keepNext/>
        <w:spacing w:line="240" w:lineRule="auto"/>
        <w:rPr>
          <w:b/>
          <w:color w:val="000000"/>
          <w:szCs w:val="22"/>
          <w:lang w:val="hu-HU"/>
        </w:rPr>
      </w:pPr>
    </w:p>
    <w:p w14:paraId="1E927E78" w14:textId="77777777" w:rsidR="004E7286" w:rsidRPr="00D045B3" w:rsidRDefault="004E7286" w:rsidP="00E95370">
      <w:pPr>
        <w:numPr>
          <w:ilvl w:val="0"/>
          <w:numId w:val="26"/>
        </w:numPr>
        <w:spacing w:line="240" w:lineRule="auto"/>
        <w:ind w:left="567" w:hanging="567"/>
        <w:rPr>
          <w:b/>
          <w:color w:val="000000"/>
          <w:szCs w:val="22"/>
          <w:lang w:val="hu-HU"/>
        </w:rPr>
      </w:pPr>
      <w:r w:rsidRPr="00D045B3">
        <w:rPr>
          <w:b/>
          <w:color w:val="000000"/>
          <w:szCs w:val="22"/>
          <w:lang w:val="hu-HU"/>
        </w:rPr>
        <w:t>krónikus mieloid leukémia (CML).</w:t>
      </w:r>
    </w:p>
    <w:p w14:paraId="1E927E79" w14:textId="77777777" w:rsidR="004E7286" w:rsidRPr="00D045B3" w:rsidRDefault="004E7286" w:rsidP="00CA41FD">
      <w:pPr>
        <w:spacing w:line="240" w:lineRule="auto"/>
        <w:ind w:left="567"/>
        <w:rPr>
          <w:color w:val="000000"/>
          <w:szCs w:val="22"/>
          <w:lang w:val="hu-HU"/>
        </w:rPr>
      </w:pPr>
      <w:r w:rsidRPr="00D045B3">
        <w:rPr>
          <w:color w:val="000000"/>
          <w:szCs w:val="22"/>
          <w:lang w:val="hu-HU"/>
        </w:rPr>
        <w:t>A leukémia a fehérvérsejtek daganatos megbetegedése. Ezek a fehérvérsejtek általában segítik a szervezetet a fertőzések leküzdésében. A krónikus mieloid leukémia a leukémiák azon formája, amelyben egyes kóros fehérvérsejtek (mieloid sejtek) száma szabályozatlanul növekedni kezd.</w:t>
      </w:r>
    </w:p>
    <w:p w14:paraId="1E927E7A" w14:textId="77777777" w:rsidR="004E7286" w:rsidRPr="00D045B3" w:rsidRDefault="004E7286" w:rsidP="004E7286">
      <w:pPr>
        <w:spacing w:line="240" w:lineRule="auto"/>
        <w:ind w:right="-2"/>
        <w:rPr>
          <w:color w:val="000000"/>
          <w:szCs w:val="22"/>
          <w:lang w:val="hu-HU"/>
        </w:rPr>
      </w:pPr>
    </w:p>
    <w:p w14:paraId="1E927E7B" w14:textId="77777777" w:rsidR="004E7286" w:rsidRPr="00D045B3" w:rsidRDefault="004E7286" w:rsidP="004E7286">
      <w:pPr>
        <w:spacing w:line="240" w:lineRule="auto"/>
        <w:rPr>
          <w:color w:val="000000"/>
          <w:szCs w:val="22"/>
          <w:lang w:val="hu-HU"/>
        </w:rPr>
      </w:pPr>
      <w:r w:rsidRPr="00D045B3">
        <w:rPr>
          <w:color w:val="000000"/>
          <w:szCs w:val="22"/>
          <w:lang w:val="hu-HU"/>
        </w:rPr>
        <w:t>Felnőtt betegekné</w:t>
      </w:r>
      <w:r w:rsidR="0078534B" w:rsidRPr="00D045B3">
        <w:rPr>
          <w:color w:val="000000"/>
          <w:szCs w:val="22"/>
          <w:lang w:val="hu-HU"/>
        </w:rPr>
        <w:t>l</w:t>
      </w:r>
      <w:r w:rsidRPr="00D045B3">
        <w:rPr>
          <w:color w:val="000000"/>
          <w:szCs w:val="22"/>
          <w:lang w:val="hu-HU"/>
        </w:rPr>
        <w:t xml:space="preserve"> az Imatinib Actavis a betegség legelőrehaladottabb stádiumának (az úgynevezett blasztos krízisnek) a kezelésére alkalmazható. Az Imatinib Actavis gyermekeknél a betegség különböző stádiumainak (krónikus, akcelerált fázis és blasztos krízis) kezelésére adható. </w:t>
      </w:r>
    </w:p>
    <w:p w14:paraId="1E927E7E" w14:textId="77777777" w:rsidR="004E7286" w:rsidRPr="00D045B3" w:rsidRDefault="004E7286" w:rsidP="00CA41FD">
      <w:pPr>
        <w:pStyle w:val="Default"/>
        <w:keepNext/>
        <w:rPr>
          <w:sz w:val="22"/>
          <w:szCs w:val="22"/>
        </w:rPr>
      </w:pPr>
    </w:p>
    <w:p w14:paraId="1E927E7F" w14:textId="77777777" w:rsidR="004E7286" w:rsidRPr="00D045B3" w:rsidRDefault="004E7286" w:rsidP="00E95370">
      <w:pPr>
        <w:pStyle w:val="Default"/>
        <w:numPr>
          <w:ilvl w:val="0"/>
          <w:numId w:val="26"/>
        </w:numPr>
        <w:ind w:left="567" w:hanging="567"/>
        <w:rPr>
          <w:sz w:val="22"/>
          <w:szCs w:val="22"/>
        </w:rPr>
      </w:pPr>
      <w:r w:rsidRPr="00D045B3">
        <w:rPr>
          <w:b/>
          <w:bCs/>
          <w:sz w:val="22"/>
          <w:szCs w:val="22"/>
        </w:rPr>
        <w:t xml:space="preserve">Filadelfia kromoszóma pozitív akut limfoblasztos leukémia (Ph-pozitív ALL). </w:t>
      </w:r>
      <w:r w:rsidRPr="00D045B3">
        <w:rPr>
          <w:b/>
          <w:bCs/>
          <w:sz w:val="22"/>
          <w:szCs w:val="22"/>
        </w:rPr>
        <w:br/>
      </w:r>
      <w:r w:rsidRPr="00D045B3">
        <w:rPr>
          <w:sz w:val="22"/>
          <w:szCs w:val="22"/>
        </w:rPr>
        <w:t xml:space="preserve">A leukémia a fehérvérsejtek daganatos megbetegedése. Ezek a fehérvérsejtek általában segítik a szervezetet a fertőzések leküzdésében. Az akut limfoblasztos leukémia a leukémiák azon formája, amelyben egyes kóros fehérvérsejtek (úgynevezett limfoblasztok) száma szabályozatlanul növekedni kezd. Az Imatinib Actavis gátolja ezeknek a sejteknek a szaporodását. </w:t>
      </w:r>
    </w:p>
    <w:p w14:paraId="1E927E80" w14:textId="77777777" w:rsidR="00066F38" w:rsidRPr="00D045B3" w:rsidRDefault="00066F38" w:rsidP="008A6837">
      <w:pPr>
        <w:pStyle w:val="Default"/>
        <w:spacing w:after="11"/>
        <w:ind w:left="567" w:hanging="567"/>
        <w:rPr>
          <w:color w:val="auto"/>
          <w:sz w:val="22"/>
          <w:szCs w:val="22"/>
        </w:rPr>
      </w:pPr>
    </w:p>
    <w:p w14:paraId="1E927E81" w14:textId="306057CB" w:rsidR="00EB4B0F" w:rsidRPr="00D045B3" w:rsidRDefault="00EB4B0F" w:rsidP="008A6837">
      <w:pPr>
        <w:pStyle w:val="Default"/>
        <w:spacing w:after="11"/>
        <w:ind w:left="567" w:hanging="567"/>
        <w:rPr>
          <w:b/>
          <w:sz w:val="22"/>
          <w:szCs w:val="22"/>
        </w:rPr>
      </w:pPr>
      <w:r w:rsidRPr="00D045B3">
        <w:rPr>
          <w:b/>
          <w:sz w:val="22"/>
          <w:szCs w:val="22"/>
        </w:rPr>
        <w:t xml:space="preserve">Az Imatinib Actavis </w:t>
      </w:r>
      <w:r w:rsidR="00066F38" w:rsidRPr="00D045B3">
        <w:rPr>
          <w:b/>
          <w:sz w:val="22"/>
          <w:szCs w:val="22"/>
        </w:rPr>
        <w:t xml:space="preserve"> ezenkívül felnőttkorban az alábbi kórkép </w:t>
      </w:r>
      <w:r w:rsidRPr="00D045B3">
        <w:rPr>
          <w:b/>
          <w:sz w:val="22"/>
          <w:szCs w:val="22"/>
        </w:rPr>
        <w:t>kezelésére is szolgál:</w:t>
      </w:r>
    </w:p>
    <w:p w14:paraId="1E927E82" w14:textId="77777777" w:rsidR="00EB4B0F" w:rsidRPr="00D045B3" w:rsidRDefault="00EB4B0F" w:rsidP="008A6837">
      <w:pPr>
        <w:pStyle w:val="Default"/>
        <w:spacing w:after="11"/>
        <w:ind w:left="567" w:hanging="567"/>
        <w:rPr>
          <w:b/>
          <w:sz w:val="22"/>
          <w:szCs w:val="22"/>
        </w:rPr>
      </w:pPr>
    </w:p>
    <w:p w14:paraId="1E927E83" w14:textId="77777777" w:rsidR="004E7286" w:rsidRPr="00D045B3" w:rsidRDefault="004E7286" w:rsidP="00E20638">
      <w:pPr>
        <w:pStyle w:val="Default"/>
        <w:spacing w:after="11"/>
        <w:ind w:left="567"/>
        <w:rPr>
          <w:color w:val="auto"/>
          <w:sz w:val="22"/>
          <w:szCs w:val="22"/>
        </w:rPr>
      </w:pPr>
      <w:r w:rsidRPr="00D045B3">
        <w:rPr>
          <w:b/>
          <w:bCs/>
          <w:color w:val="auto"/>
          <w:sz w:val="22"/>
          <w:szCs w:val="22"/>
        </w:rPr>
        <w:t xml:space="preserve">Mielodiszpláziás/mieloproliferatív betegségek (MDS/MPD). </w:t>
      </w:r>
      <w:r w:rsidRPr="00D045B3">
        <w:rPr>
          <w:color w:val="auto"/>
          <w:sz w:val="22"/>
          <w:szCs w:val="22"/>
        </w:rPr>
        <w:t xml:space="preserve">Ezek a vér betegségeinek olyan csoportjai, amelyekben a vér egyes sejtjeinek száma szabályozatlanul növekedni kezd. Az Imatinib Actavis az ilyen betegségek bizonyos altípusában gátolja ezeknek a sejteknek a szaporodását. </w:t>
      </w:r>
    </w:p>
    <w:p w14:paraId="1E927E84" w14:textId="77777777" w:rsidR="004E7286" w:rsidRPr="00D045B3" w:rsidRDefault="004E7286" w:rsidP="008A6837">
      <w:pPr>
        <w:pStyle w:val="Default"/>
        <w:spacing w:after="11"/>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Hipereozinofília szindróma (HES) és/vagy krónikus eozinofíliás leukémia (CEL). </w:t>
      </w:r>
      <w:r w:rsidRPr="00D045B3">
        <w:rPr>
          <w:color w:val="auto"/>
          <w:sz w:val="22"/>
          <w:szCs w:val="22"/>
        </w:rPr>
        <w:t xml:space="preserve">Ezek a vérképzőrendszer olyan betegségei, amelyekben egyes vérsejtek (eozinofil sejtek) szabályozatlanul szaporodni kezdenek. Az Imatinib Actavis gátolja ezeknek a sejteknek a szaporodását az ilyen betegségek bizonyos altípusában. </w:t>
      </w:r>
    </w:p>
    <w:p w14:paraId="1E927E85" w14:textId="77777777" w:rsidR="004E7286" w:rsidRPr="00D045B3" w:rsidRDefault="004E7286" w:rsidP="008A6837">
      <w:pPr>
        <w:pStyle w:val="Default"/>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Dermatifibroszarkóma protuberánsz (DFSP). </w:t>
      </w:r>
      <w:r w:rsidRPr="00D045B3">
        <w:rPr>
          <w:color w:val="auto"/>
          <w:sz w:val="22"/>
          <w:szCs w:val="22"/>
        </w:rPr>
        <w:t xml:space="preserve">A DFSP a bőr alatti szövet daganatos megbetegedése, melyben egyes sejtek szabályozatlanul szaporodni kezdenek. Az Imatinib Actavis ezeknek a sejteknek a szaporodását gátolja. </w:t>
      </w:r>
    </w:p>
    <w:p w14:paraId="1E927E86" w14:textId="77777777" w:rsidR="004E7286" w:rsidRPr="00D045B3" w:rsidRDefault="004E7286" w:rsidP="004E7286">
      <w:pPr>
        <w:pStyle w:val="Default"/>
        <w:rPr>
          <w:color w:val="auto"/>
          <w:sz w:val="22"/>
          <w:szCs w:val="22"/>
        </w:rPr>
      </w:pPr>
    </w:p>
    <w:p w14:paraId="1E927E87" w14:textId="77777777" w:rsidR="004E7286" w:rsidRPr="00D045B3" w:rsidRDefault="00256940" w:rsidP="004E7286">
      <w:pPr>
        <w:spacing w:line="240" w:lineRule="auto"/>
        <w:rPr>
          <w:color w:val="000000"/>
          <w:szCs w:val="22"/>
          <w:lang w:val="hu-HU"/>
        </w:rPr>
      </w:pPr>
      <w:r w:rsidRPr="00D045B3">
        <w:rPr>
          <w:szCs w:val="22"/>
          <w:lang w:val="hu-HU"/>
        </w:rPr>
        <w:t>A b</w:t>
      </w:r>
      <w:r w:rsidR="004E7286" w:rsidRPr="00D045B3">
        <w:rPr>
          <w:szCs w:val="22"/>
          <w:lang w:val="hu-HU"/>
        </w:rPr>
        <w:t>etegtájékoztató további részeib</w:t>
      </w:r>
      <w:r w:rsidRPr="00D045B3">
        <w:rPr>
          <w:szCs w:val="22"/>
          <w:lang w:val="hu-HU"/>
        </w:rPr>
        <w:t>e</w:t>
      </w:r>
      <w:r w:rsidR="004E7286" w:rsidRPr="00D045B3">
        <w:rPr>
          <w:szCs w:val="22"/>
          <w:lang w:val="hu-HU"/>
        </w:rPr>
        <w:t>n, ezeket a rövidítéseket fogjuk használni, ha ezekről a betegségekről teszünk említést.</w:t>
      </w:r>
    </w:p>
    <w:p w14:paraId="1E927E88" w14:textId="77777777" w:rsidR="004E7286" w:rsidRPr="00D045B3" w:rsidRDefault="004E7286" w:rsidP="008A6837">
      <w:pPr>
        <w:spacing w:line="240" w:lineRule="auto"/>
        <w:rPr>
          <w:color w:val="000000"/>
          <w:szCs w:val="22"/>
          <w:lang w:val="hu-HU"/>
        </w:rPr>
      </w:pPr>
    </w:p>
    <w:p w14:paraId="1E927E89" w14:textId="5BEF4164" w:rsidR="004E7286" w:rsidRPr="00D045B3" w:rsidRDefault="004E7286" w:rsidP="008A6837">
      <w:pPr>
        <w:spacing w:line="240" w:lineRule="auto"/>
        <w:rPr>
          <w:color w:val="000000"/>
          <w:szCs w:val="22"/>
          <w:lang w:val="hu-HU"/>
        </w:rPr>
      </w:pPr>
      <w:r w:rsidRPr="00D045B3">
        <w:rPr>
          <w:color w:val="000000"/>
          <w:szCs w:val="22"/>
          <w:lang w:val="hu-HU"/>
        </w:rPr>
        <w:t>Amennyiben bármilyen kérdése van azzal kapcsolatban, hogy miként hat az Imatinib Actavis, illetve</w:t>
      </w:r>
      <w:r w:rsidR="00FD66DE" w:rsidRPr="00D045B3">
        <w:rPr>
          <w:color w:val="000000"/>
          <w:szCs w:val="22"/>
          <w:lang w:val="hu-HU"/>
        </w:rPr>
        <w:t>, hogy</w:t>
      </w:r>
      <w:r w:rsidRPr="00D045B3">
        <w:rPr>
          <w:color w:val="000000"/>
          <w:szCs w:val="22"/>
          <w:lang w:val="hu-HU"/>
        </w:rPr>
        <w:t xml:space="preserve"> miért írták fel Önnek ezt a gyógyszert, kérdezze meg kezelőorvosát.</w:t>
      </w:r>
    </w:p>
    <w:p w14:paraId="1E927E8A" w14:textId="77777777" w:rsidR="004E7286" w:rsidRPr="00D045B3" w:rsidRDefault="004E7286" w:rsidP="004E7286">
      <w:pPr>
        <w:spacing w:line="240" w:lineRule="auto"/>
        <w:ind w:right="-2"/>
        <w:rPr>
          <w:color w:val="000000"/>
          <w:szCs w:val="22"/>
          <w:lang w:val="hu-HU"/>
        </w:rPr>
      </w:pPr>
    </w:p>
    <w:p w14:paraId="1E927E8B" w14:textId="77777777" w:rsidR="004E7286" w:rsidRPr="00D045B3" w:rsidRDefault="004E7286" w:rsidP="004E7286">
      <w:pPr>
        <w:spacing w:line="240" w:lineRule="auto"/>
        <w:ind w:right="-2"/>
        <w:rPr>
          <w:color w:val="000000"/>
          <w:szCs w:val="22"/>
          <w:lang w:val="hu-HU"/>
        </w:rPr>
      </w:pPr>
    </w:p>
    <w:p w14:paraId="1E927E8C" w14:textId="77777777" w:rsidR="004E7286" w:rsidRPr="00D045B3" w:rsidRDefault="004E7286" w:rsidP="004E7286">
      <w:pPr>
        <w:keepNext/>
        <w:spacing w:line="240" w:lineRule="auto"/>
        <w:ind w:left="567" w:right="-2" w:hanging="567"/>
        <w:rPr>
          <w:b/>
          <w:color w:val="000000"/>
          <w:szCs w:val="22"/>
          <w:lang w:val="hu-HU"/>
        </w:rPr>
      </w:pPr>
      <w:r w:rsidRPr="00D045B3">
        <w:rPr>
          <w:b/>
          <w:color w:val="000000"/>
          <w:szCs w:val="22"/>
          <w:lang w:val="hu-HU"/>
        </w:rPr>
        <w:t>2.</w:t>
      </w:r>
      <w:r w:rsidRPr="00D045B3">
        <w:rPr>
          <w:b/>
          <w:color w:val="000000"/>
          <w:szCs w:val="22"/>
          <w:lang w:val="hu-HU"/>
        </w:rPr>
        <w:tab/>
        <w:t>Tudnivalók az Imatinib Actavis szedése előtt</w:t>
      </w:r>
    </w:p>
    <w:p w14:paraId="1E927E8D" w14:textId="77777777" w:rsidR="004E7286" w:rsidRPr="00D045B3" w:rsidRDefault="004E7286" w:rsidP="004E7286">
      <w:pPr>
        <w:keepNext/>
        <w:spacing w:line="240" w:lineRule="auto"/>
        <w:rPr>
          <w:color w:val="000000"/>
          <w:szCs w:val="22"/>
          <w:lang w:val="hu-HU"/>
        </w:rPr>
      </w:pPr>
    </w:p>
    <w:p w14:paraId="1E927E8E" w14:textId="77777777" w:rsidR="004E7286" w:rsidRPr="00D045B3" w:rsidRDefault="004E7286" w:rsidP="004E7286">
      <w:pPr>
        <w:keepNext/>
        <w:spacing w:line="240" w:lineRule="auto"/>
        <w:rPr>
          <w:color w:val="000000"/>
          <w:szCs w:val="22"/>
          <w:lang w:val="hu-HU"/>
        </w:rPr>
      </w:pPr>
      <w:r w:rsidRPr="00D045B3">
        <w:rPr>
          <w:color w:val="000000"/>
          <w:szCs w:val="22"/>
          <w:lang w:val="hu-HU"/>
        </w:rPr>
        <w:t>Az Imatinib Actavis</w:t>
      </w:r>
      <w:r w:rsidRPr="00D045B3">
        <w:rPr>
          <w:color w:val="000000"/>
          <w:szCs w:val="22"/>
          <w:lang w:val="hu-HU"/>
        </w:rPr>
        <w:noBreakHyphen/>
        <w:t>t kizárólag olyan orvos írhatja fel Önnek, aki tapasztalt a vér daganatos megbetegedéseinek vagy úgynevezett szolid tumoros betegségek kezelésében.</w:t>
      </w:r>
    </w:p>
    <w:p w14:paraId="1E927E8F" w14:textId="77777777" w:rsidR="004E7286" w:rsidRPr="00D045B3" w:rsidRDefault="004E7286" w:rsidP="004E7286">
      <w:pPr>
        <w:spacing w:line="240" w:lineRule="auto"/>
        <w:rPr>
          <w:color w:val="000000"/>
          <w:szCs w:val="22"/>
          <w:lang w:val="hu-HU"/>
        </w:rPr>
      </w:pPr>
    </w:p>
    <w:p w14:paraId="1E927E90" w14:textId="77777777" w:rsidR="004E7286" w:rsidRPr="00D045B3" w:rsidRDefault="004E7286" w:rsidP="004E7286">
      <w:pPr>
        <w:spacing w:line="240" w:lineRule="auto"/>
        <w:rPr>
          <w:color w:val="000000"/>
          <w:szCs w:val="22"/>
          <w:lang w:val="hu-HU"/>
        </w:rPr>
      </w:pPr>
      <w:r w:rsidRPr="00D045B3">
        <w:rPr>
          <w:color w:val="000000"/>
          <w:szCs w:val="22"/>
          <w:lang w:val="hu-HU"/>
        </w:rPr>
        <w:t>Gondosan kövesse orvosa valamennyi utasítását, még akkor is, ha azok eltérnek attól, az ebben a betegtájékoztatóban szereplő általános információktól.</w:t>
      </w:r>
    </w:p>
    <w:p w14:paraId="1E927E91" w14:textId="77777777" w:rsidR="004E7286" w:rsidRPr="00D045B3" w:rsidRDefault="004E7286" w:rsidP="004E7286">
      <w:pPr>
        <w:spacing w:line="240" w:lineRule="auto"/>
        <w:rPr>
          <w:color w:val="000000"/>
          <w:szCs w:val="22"/>
          <w:lang w:val="hu-HU"/>
        </w:rPr>
      </w:pPr>
    </w:p>
    <w:p w14:paraId="1E927E92" w14:textId="77777777" w:rsidR="004E7286" w:rsidRPr="00D045B3" w:rsidRDefault="004E7286" w:rsidP="004E7286">
      <w:pPr>
        <w:keepNext/>
        <w:spacing w:line="240" w:lineRule="auto"/>
        <w:rPr>
          <w:b/>
          <w:color w:val="000000"/>
          <w:szCs w:val="22"/>
          <w:lang w:val="hu-HU"/>
        </w:rPr>
      </w:pPr>
      <w:r w:rsidRPr="00D045B3">
        <w:rPr>
          <w:b/>
          <w:color w:val="000000"/>
          <w:szCs w:val="22"/>
          <w:lang w:val="hu-HU"/>
        </w:rPr>
        <w:t>Ne szedje az Imatinib Actavis</w:t>
      </w:r>
      <w:r w:rsidRPr="00D045B3">
        <w:rPr>
          <w:b/>
          <w:color w:val="000000"/>
          <w:szCs w:val="22"/>
          <w:lang w:val="hu-HU"/>
        </w:rPr>
        <w:noBreakHyphen/>
        <w:t>t</w:t>
      </w:r>
      <w:r w:rsidR="00704991" w:rsidRPr="00D045B3">
        <w:rPr>
          <w:b/>
          <w:color w:val="000000"/>
          <w:szCs w:val="22"/>
          <w:lang w:val="hu-HU"/>
        </w:rPr>
        <w:t>:</w:t>
      </w:r>
    </w:p>
    <w:p w14:paraId="1E927E93" w14:textId="77777777" w:rsidR="004E7286" w:rsidRPr="00D045B3" w:rsidRDefault="004E7286" w:rsidP="00E95370">
      <w:pPr>
        <w:keepNext/>
        <w:numPr>
          <w:ilvl w:val="0"/>
          <w:numId w:val="9"/>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 xml:space="preserve">ha allergiás az imatinibre vagy a </w:t>
      </w:r>
      <w:r w:rsidRPr="00D045B3">
        <w:rPr>
          <w:noProof/>
          <w:szCs w:val="22"/>
          <w:lang w:val="hu-HU"/>
        </w:rPr>
        <w:t xml:space="preserve">gyógyszer (6. pontban felsorolt) </w:t>
      </w:r>
      <w:r w:rsidRPr="00D045B3">
        <w:rPr>
          <w:color w:val="000000"/>
          <w:szCs w:val="22"/>
          <w:lang w:val="hu-HU"/>
        </w:rPr>
        <w:t>egyéb összetevőjére.</w:t>
      </w:r>
    </w:p>
    <w:p w14:paraId="1E927E94" w14:textId="77777777" w:rsidR="004E7286" w:rsidRPr="00D045B3" w:rsidRDefault="004E7286" w:rsidP="004E7286">
      <w:pPr>
        <w:spacing w:line="240" w:lineRule="auto"/>
        <w:rPr>
          <w:color w:val="000000"/>
          <w:szCs w:val="22"/>
          <w:lang w:val="hu-HU"/>
        </w:rPr>
      </w:pPr>
    </w:p>
    <w:p w14:paraId="1E927E95" w14:textId="77777777" w:rsidR="004E7286" w:rsidRPr="00D045B3" w:rsidRDefault="004E7286" w:rsidP="004E7286">
      <w:pPr>
        <w:spacing w:line="240" w:lineRule="auto"/>
        <w:rPr>
          <w:color w:val="000000"/>
          <w:szCs w:val="22"/>
          <w:lang w:val="hu-HU"/>
        </w:rPr>
      </w:pPr>
      <w:r w:rsidRPr="00D045B3">
        <w:rPr>
          <w:color w:val="000000"/>
          <w:szCs w:val="22"/>
          <w:lang w:val="hu-HU"/>
        </w:rPr>
        <w:t xml:space="preserve">Amennyiben ez vonatkozik Önre, </w:t>
      </w:r>
      <w:r w:rsidRPr="00D045B3">
        <w:rPr>
          <w:b/>
          <w:color w:val="000000"/>
          <w:szCs w:val="22"/>
          <w:lang w:val="hu-HU"/>
        </w:rPr>
        <w:t>tájékoztassa erről kezelőorvosát, mielőtt az Imatinib Actavis</w:t>
      </w:r>
      <w:r w:rsidRPr="00D045B3">
        <w:rPr>
          <w:b/>
          <w:color w:val="000000"/>
          <w:szCs w:val="22"/>
          <w:lang w:val="hu-HU"/>
        </w:rPr>
        <w:noBreakHyphen/>
        <w:t>t bevenné.</w:t>
      </w:r>
    </w:p>
    <w:p w14:paraId="1E927E96" w14:textId="77777777" w:rsidR="004E7286" w:rsidRPr="00D045B3" w:rsidRDefault="004E7286" w:rsidP="004E7286">
      <w:pPr>
        <w:spacing w:line="240" w:lineRule="auto"/>
        <w:rPr>
          <w:color w:val="000000"/>
          <w:szCs w:val="22"/>
          <w:lang w:val="hu-HU"/>
        </w:rPr>
      </w:pPr>
    </w:p>
    <w:p w14:paraId="1E927E97" w14:textId="77777777" w:rsidR="004E7286" w:rsidRPr="00D045B3" w:rsidRDefault="004E7286" w:rsidP="004E7286">
      <w:pPr>
        <w:spacing w:line="240" w:lineRule="auto"/>
        <w:rPr>
          <w:color w:val="000000"/>
          <w:szCs w:val="22"/>
          <w:lang w:val="hu-HU"/>
        </w:rPr>
      </w:pPr>
      <w:r w:rsidRPr="00D045B3">
        <w:rPr>
          <w:color w:val="000000"/>
          <w:szCs w:val="22"/>
          <w:lang w:val="hu-HU"/>
        </w:rPr>
        <w:t>Ha Ön úgy véli, hogy allergiás lehet, de nem biztos benne, forduljon orvosához további tanácsért.</w:t>
      </w:r>
    </w:p>
    <w:p w14:paraId="1E927E98" w14:textId="77777777" w:rsidR="004E7286" w:rsidRPr="00D045B3" w:rsidRDefault="004E7286" w:rsidP="004E7286">
      <w:pPr>
        <w:spacing w:line="240" w:lineRule="auto"/>
        <w:rPr>
          <w:color w:val="000000"/>
          <w:szCs w:val="22"/>
          <w:lang w:val="hu-HU"/>
        </w:rPr>
      </w:pPr>
    </w:p>
    <w:p w14:paraId="1E927E99" w14:textId="77777777" w:rsidR="004E7286" w:rsidRPr="00D045B3" w:rsidRDefault="004E7286" w:rsidP="004E7286">
      <w:pPr>
        <w:keepNext/>
        <w:spacing w:line="240" w:lineRule="auto"/>
        <w:ind w:right="-2"/>
        <w:rPr>
          <w:b/>
          <w:color w:val="000000"/>
          <w:szCs w:val="22"/>
          <w:lang w:val="hu-HU"/>
        </w:rPr>
      </w:pPr>
      <w:r w:rsidRPr="00D045B3">
        <w:rPr>
          <w:b/>
          <w:noProof/>
          <w:szCs w:val="22"/>
          <w:lang w:val="hu-HU"/>
        </w:rPr>
        <w:t>Figyelmeztetések és óvintézkedések</w:t>
      </w:r>
    </w:p>
    <w:p w14:paraId="1E927E9A" w14:textId="77777777" w:rsidR="004E7286" w:rsidRPr="00D045B3" w:rsidRDefault="004E7286" w:rsidP="004E7286">
      <w:pPr>
        <w:keepNext/>
        <w:spacing w:line="240" w:lineRule="auto"/>
        <w:rPr>
          <w:color w:val="000000"/>
          <w:szCs w:val="22"/>
          <w:lang w:val="hu-HU"/>
        </w:rPr>
      </w:pPr>
      <w:r w:rsidRPr="00D045B3">
        <w:rPr>
          <w:color w:val="000000"/>
          <w:szCs w:val="22"/>
          <w:lang w:val="hu-HU"/>
        </w:rPr>
        <w:t>Az Imatinib Actavis szedése előtt beszéljen kezelőorvosával:</w:t>
      </w:r>
    </w:p>
    <w:p w14:paraId="1E927E9B" w14:textId="77777777" w:rsidR="004E7286" w:rsidRPr="00D045B3" w:rsidRDefault="004E7286"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máj</w:t>
      </w:r>
      <w:r w:rsidRPr="00D045B3">
        <w:rPr>
          <w:color w:val="000000"/>
          <w:szCs w:val="22"/>
          <w:lang w:val="hu-HU"/>
        </w:rPr>
        <w:noBreakHyphen/>
        <w:t>, vese</w:t>
      </w:r>
      <w:r w:rsidRPr="00D045B3">
        <w:rPr>
          <w:color w:val="000000"/>
          <w:szCs w:val="22"/>
          <w:lang w:val="hu-HU"/>
        </w:rPr>
        <w:noBreakHyphen/>
        <w:t xml:space="preserve"> vagy szívproblémái vannak, vagy korábban bármikor voltak.</w:t>
      </w:r>
    </w:p>
    <w:p w14:paraId="1E927E9C" w14:textId="77777777" w:rsidR="004E7286" w:rsidRPr="00D045B3" w:rsidRDefault="004E7286"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levotiroxin</w:t>
      </w:r>
      <w:r w:rsidRPr="00D045B3">
        <w:rPr>
          <w:color w:val="000000"/>
          <w:szCs w:val="22"/>
          <w:lang w:val="hu-HU"/>
        </w:rPr>
        <w:noBreakHyphen/>
        <w:t>tartalmú gyógyszert szed, mert eltávolították a pajzsmirigyét.</w:t>
      </w:r>
    </w:p>
    <w:p w14:paraId="1E927E9D" w14:textId="06638B27" w:rsidR="000234C7" w:rsidRPr="00D045B3" w:rsidRDefault="000234C7" w:rsidP="00E95370">
      <w:pPr>
        <w:pStyle w:val="KeinLeerraum"/>
        <w:numPr>
          <w:ilvl w:val="0"/>
          <w:numId w:val="10"/>
        </w:numPr>
        <w:tabs>
          <w:tab w:val="clear" w:pos="360"/>
          <w:tab w:val="num" w:pos="567"/>
        </w:tabs>
        <w:ind w:left="567" w:hanging="567"/>
        <w:rPr>
          <w:rFonts w:ascii="Times New Roman" w:hAnsi="Times New Roman"/>
        </w:rPr>
      </w:pPr>
      <w:r w:rsidRPr="00D045B3">
        <w:rPr>
          <w:rFonts w:ascii="Times New Roman" w:hAnsi="Times New Roman"/>
        </w:rPr>
        <w:t xml:space="preserve">ha Önnek valaha hepatitisz B fertőzése volt vagy jelenleg fennáll annak lehetősége. Erre azért van szükség, mert az Imatinib Actavis a hepatitisz B fertőzés kiújulását válthatja ki, ami egyes esetekben halálos lehet. A betegeket kezelőorvosuk gondosan ellenőrizni fogja, hogy nem alakultak-e ki a fertőzés jelei, mielőtt a kezelést elkezdi. </w:t>
      </w:r>
    </w:p>
    <w:p w14:paraId="33DDFB96" w14:textId="04AC86E1" w:rsidR="00207E0C" w:rsidRPr="00D045B3" w:rsidRDefault="00207E0C" w:rsidP="00FE2796">
      <w:pPr>
        <w:numPr>
          <w:ilvl w:val="0"/>
          <w:numId w:val="10"/>
        </w:numPr>
        <w:tabs>
          <w:tab w:val="clear" w:pos="360"/>
          <w:tab w:val="clear" w:pos="567"/>
        </w:tabs>
        <w:suppressAutoHyphens/>
        <w:spacing w:line="240" w:lineRule="auto"/>
        <w:ind w:left="567" w:hanging="567"/>
        <w:rPr>
          <w:lang w:val="hu-HU"/>
        </w:rPr>
      </w:pPr>
      <w:r w:rsidRPr="00D045B3">
        <w:rPr>
          <w:color w:val="000000"/>
          <w:lang w:val="hu-HU"/>
        </w:rPr>
        <w:t>ha az Imatinib Actavis szedése közben véraláfutást, vérzést, lázat, fáradtságot és zavartságot tapasztal, keresse fel kezelőorvosát. Ez a vérerek sérülésének, más néven a trom</w:t>
      </w:r>
      <w:r w:rsidR="00FD66DE" w:rsidRPr="00D045B3">
        <w:rPr>
          <w:color w:val="000000"/>
          <w:lang w:val="hu-HU"/>
        </w:rPr>
        <w:t>b</w:t>
      </w:r>
      <w:r w:rsidRPr="00D045B3">
        <w:rPr>
          <w:color w:val="000000"/>
          <w:lang w:val="hu-HU"/>
        </w:rPr>
        <w:t>otikus mikroangiopátiának (TMA) a jele lehet.</w:t>
      </w:r>
    </w:p>
    <w:p w14:paraId="1E927E9E" w14:textId="77777777" w:rsidR="004E7286" w:rsidRPr="00D045B3" w:rsidRDefault="004E7286" w:rsidP="004E7286">
      <w:pPr>
        <w:tabs>
          <w:tab w:val="left" w:pos="5245"/>
        </w:tabs>
        <w:spacing w:line="240" w:lineRule="auto"/>
        <w:rPr>
          <w:b/>
          <w:color w:val="000000"/>
          <w:szCs w:val="22"/>
          <w:lang w:val="hu-HU"/>
        </w:rPr>
      </w:pPr>
      <w:r w:rsidRPr="00D045B3">
        <w:rPr>
          <w:color w:val="000000"/>
          <w:szCs w:val="22"/>
          <w:lang w:val="hu-HU"/>
        </w:rPr>
        <w:t xml:space="preserve">Ha a fentiek bármelyike vonatkozik Önre, ezt </w:t>
      </w:r>
      <w:r w:rsidRPr="00D045B3">
        <w:rPr>
          <w:b/>
          <w:color w:val="000000"/>
          <w:szCs w:val="22"/>
          <w:lang w:val="hu-HU"/>
        </w:rPr>
        <w:t>még az Imatinib Actavis bevétele előtt közölje kezelőorvosával.</w:t>
      </w:r>
    </w:p>
    <w:p w14:paraId="1E927E9F" w14:textId="77777777" w:rsidR="00EB4B0F" w:rsidRPr="00D045B3" w:rsidRDefault="00EB4B0F" w:rsidP="00EB4B0F">
      <w:pPr>
        <w:pStyle w:val="Endnotentext"/>
        <w:widowControl w:val="0"/>
        <w:tabs>
          <w:tab w:val="left" w:pos="720"/>
        </w:tabs>
        <w:rPr>
          <w:snapToGrid w:val="0"/>
          <w:color w:val="000000"/>
          <w:szCs w:val="22"/>
          <w:lang w:val="hu-HU"/>
        </w:rPr>
      </w:pPr>
    </w:p>
    <w:p w14:paraId="1E927EA0" w14:textId="77777777" w:rsidR="00EB4B0F" w:rsidRPr="00D045B3" w:rsidRDefault="00EB4B0F" w:rsidP="00EB4B0F">
      <w:pPr>
        <w:pStyle w:val="Endnotentext"/>
        <w:widowControl w:val="0"/>
        <w:tabs>
          <w:tab w:val="left" w:pos="720"/>
        </w:tabs>
        <w:rPr>
          <w:snapToGrid w:val="0"/>
          <w:color w:val="000000"/>
          <w:szCs w:val="22"/>
          <w:lang w:val="hu-HU"/>
        </w:rPr>
      </w:pPr>
      <w:r w:rsidRPr="00D045B3">
        <w:rPr>
          <w:snapToGrid w:val="0"/>
          <w:color w:val="000000"/>
          <w:szCs w:val="22"/>
          <w:lang w:val="hu-HU"/>
        </w:rPr>
        <w:t>Az Imatinib Actavis szedése alatt Ön érzékenyebb lehet a napsugárzásra. Fontos, hogy öltözékével takarja a napsütésnek kitett bőrterületeket, valamint, hogy magas fényvédő faktorszámú naptejet használjon. Ezek a szabályok gyermekekre is vonatkoznak.</w:t>
      </w:r>
    </w:p>
    <w:p w14:paraId="1E927EA1" w14:textId="77777777" w:rsidR="004E7286" w:rsidRPr="00D045B3" w:rsidRDefault="004E7286" w:rsidP="004E7286">
      <w:pPr>
        <w:spacing w:line="240" w:lineRule="auto"/>
        <w:ind w:right="-2"/>
        <w:rPr>
          <w:color w:val="000000"/>
          <w:szCs w:val="22"/>
          <w:lang w:val="hu-HU"/>
        </w:rPr>
      </w:pPr>
    </w:p>
    <w:p w14:paraId="1E927EA2" w14:textId="77777777" w:rsidR="004E7286" w:rsidRPr="00D045B3" w:rsidRDefault="004E7286" w:rsidP="00CA41FD">
      <w:pPr>
        <w:spacing w:line="240" w:lineRule="auto"/>
        <w:rPr>
          <w:b/>
          <w:color w:val="000000"/>
          <w:szCs w:val="22"/>
          <w:lang w:val="hu-HU"/>
        </w:rPr>
      </w:pPr>
      <w:r w:rsidRPr="00D045B3">
        <w:rPr>
          <w:b/>
          <w:color w:val="000000"/>
          <w:szCs w:val="22"/>
          <w:lang w:val="hu-HU"/>
        </w:rPr>
        <w:t>Az Imatinib Actavis</w:t>
      </w:r>
      <w:r w:rsidRPr="00D045B3">
        <w:rPr>
          <w:b/>
          <w:color w:val="000000"/>
          <w:szCs w:val="22"/>
          <w:lang w:val="hu-HU"/>
        </w:rPr>
        <w:noBreakHyphen/>
        <w:t>kezelés során azonnal értesítse kezelőorvosát</w:t>
      </w:r>
      <w:r w:rsidRPr="00D045B3">
        <w:rPr>
          <w:color w:val="000000"/>
          <w:szCs w:val="22"/>
          <w:lang w:val="hu-HU"/>
        </w:rPr>
        <w:t>, ha hirtelen testtömeg</w:t>
      </w:r>
      <w:r w:rsidRPr="00D045B3">
        <w:rPr>
          <w:color w:val="000000"/>
          <w:szCs w:val="22"/>
          <w:lang w:val="hu-HU"/>
        </w:rPr>
        <w:noBreakHyphen/>
        <w:t>növekedést észlel. Az Imatinib Actavis az Ön testében a víz visszatartását okozhatja (úgynevezett súlyos folyadékretenció).</w:t>
      </w:r>
    </w:p>
    <w:p w14:paraId="1E927EA3" w14:textId="77777777" w:rsidR="004E7286" w:rsidRPr="00D045B3" w:rsidRDefault="004E7286" w:rsidP="004E7286">
      <w:pPr>
        <w:spacing w:line="240" w:lineRule="auto"/>
        <w:ind w:right="-2"/>
        <w:rPr>
          <w:color w:val="000000"/>
          <w:szCs w:val="22"/>
          <w:lang w:val="hu-HU"/>
        </w:rPr>
      </w:pPr>
    </w:p>
    <w:p w14:paraId="1E927EA4" w14:textId="77777777" w:rsidR="004E7286" w:rsidRPr="00D045B3" w:rsidRDefault="004E7286" w:rsidP="004E7286">
      <w:pPr>
        <w:spacing w:line="240" w:lineRule="auto"/>
        <w:rPr>
          <w:color w:val="000000"/>
          <w:szCs w:val="22"/>
          <w:lang w:val="hu-HU"/>
        </w:rPr>
      </w:pPr>
      <w:r w:rsidRPr="00D045B3">
        <w:rPr>
          <w:color w:val="000000"/>
          <w:szCs w:val="22"/>
          <w:lang w:val="hu-HU"/>
        </w:rPr>
        <w:t>Mialatt Ön szedi az Imatinib Actavis</w:t>
      </w:r>
      <w:r w:rsidRPr="00D045B3">
        <w:rPr>
          <w:color w:val="000000"/>
          <w:szCs w:val="22"/>
          <w:lang w:val="hu-HU"/>
        </w:rPr>
        <w:noBreakHyphen/>
        <w:t>t, kezelőorvosa rendszeresen ellenőrizni fogja, hogy a gyógyszer hat</w:t>
      </w:r>
      <w:r w:rsidRPr="00D045B3">
        <w:rPr>
          <w:color w:val="000000"/>
          <w:szCs w:val="22"/>
          <w:lang w:val="hu-HU"/>
        </w:rPr>
        <w:noBreakHyphen/>
        <w:t>e. Vérképét és testtömegét is rendszeresen ellenőrzik majd.</w:t>
      </w:r>
    </w:p>
    <w:p w14:paraId="1E927EA5" w14:textId="77777777" w:rsidR="004E7286" w:rsidRPr="00D045B3" w:rsidRDefault="004E7286" w:rsidP="004E7286">
      <w:pPr>
        <w:spacing w:line="240" w:lineRule="auto"/>
        <w:rPr>
          <w:color w:val="000000"/>
          <w:szCs w:val="22"/>
          <w:lang w:val="hu-HU"/>
        </w:rPr>
      </w:pPr>
    </w:p>
    <w:p w14:paraId="1E927EA6" w14:textId="77777777" w:rsidR="004E7286" w:rsidRPr="00D045B3" w:rsidRDefault="004E7286" w:rsidP="004E7286">
      <w:pPr>
        <w:keepNext/>
        <w:spacing w:line="240" w:lineRule="auto"/>
        <w:rPr>
          <w:b/>
          <w:noProof/>
          <w:szCs w:val="22"/>
          <w:lang w:val="hu-HU"/>
        </w:rPr>
      </w:pPr>
      <w:r w:rsidRPr="00D045B3">
        <w:rPr>
          <w:b/>
          <w:noProof/>
          <w:szCs w:val="22"/>
          <w:lang w:val="hu-HU"/>
        </w:rPr>
        <w:t>Gyermekek és serdülők</w:t>
      </w:r>
    </w:p>
    <w:p w14:paraId="1E927EA7" w14:textId="698B9C96" w:rsidR="004E7286" w:rsidRPr="00D045B3" w:rsidRDefault="004E7286" w:rsidP="00CA41FD">
      <w:pPr>
        <w:spacing w:line="240" w:lineRule="auto"/>
        <w:rPr>
          <w:color w:val="000000"/>
          <w:szCs w:val="22"/>
          <w:lang w:val="hu-HU"/>
        </w:rPr>
      </w:pPr>
      <w:r w:rsidRPr="00D045B3">
        <w:rPr>
          <w:color w:val="000000"/>
          <w:szCs w:val="22"/>
          <w:lang w:val="hu-HU"/>
        </w:rPr>
        <w:t>Az Imatinib Actavis krónikus mieloid leukémiában (CML</w:t>
      </w:r>
      <w:r w:rsidRPr="00D045B3">
        <w:rPr>
          <w:color w:val="000000"/>
          <w:szCs w:val="22"/>
          <w:lang w:val="hu-HU"/>
        </w:rPr>
        <w:noBreakHyphen/>
        <w:t xml:space="preserve">ben) szenvedő gyermekek kezelésére is alkalmazható. Két éves kor alatti, krónikus mieloid leukémiában szenvedő gyermekekre vonatkozóan nincs tapasztalat. </w:t>
      </w:r>
      <w:r w:rsidRPr="00D045B3">
        <w:rPr>
          <w:szCs w:val="22"/>
          <w:lang w:val="hu-HU"/>
        </w:rPr>
        <w:t>Ph</w:t>
      </w:r>
      <w:r w:rsidRPr="00D045B3">
        <w:rPr>
          <w:szCs w:val="22"/>
          <w:lang w:val="hu-HU"/>
        </w:rPr>
        <w:noBreakHyphen/>
        <w:t>pozitív ALL</w:t>
      </w:r>
      <w:r w:rsidRPr="00D045B3">
        <w:rPr>
          <w:szCs w:val="22"/>
          <w:lang w:val="hu-HU"/>
        </w:rPr>
        <w:noBreakHyphen/>
        <w:t>es gyermekek esetében korlátozott, míg MDS/MPD, DFSP és HES/CEL</w:t>
      </w:r>
      <w:r w:rsidRPr="00D045B3">
        <w:rPr>
          <w:szCs w:val="22"/>
          <w:lang w:val="hu-HU"/>
        </w:rPr>
        <w:noBreakHyphen/>
        <w:t>ben szenvedő gyermekekre vonatkozóan csak nagyon korlátozott mennyiségű tapasztalat áll rendelkezésre.</w:t>
      </w:r>
    </w:p>
    <w:p w14:paraId="1E927EA8" w14:textId="77777777" w:rsidR="004E7286" w:rsidRPr="00D045B3" w:rsidRDefault="004E7286" w:rsidP="004E7286">
      <w:pPr>
        <w:spacing w:line="240" w:lineRule="auto"/>
        <w:ind w:right="-2"/>
        <w:rPr>
          <w:color w:val="000000"/>
          <w:szCs w:val="22"/>
          <w:lang w:val="hu-HU"/>
        </w:rPr>
      </w:pPr>
    </w:p>
    <w:p w14:paraId="1E927EA9" w14:textId="77777777" w:rsidR="004E7286" w:rsidRPr="00D045B3" w:rsidRDefault="004E7286" w:rsidP="004E7286">
      <w:pPr>
        <w:spacing w:line="240" w:lineRule="auto"/>
        <w:ind w:right="-2"/>
        <w:rPr>
          <w:color w:val="000000"/>
          <w:szCs w:val="22"/>
          <w:lang w:val="hu-HU"/>
        </w:rPr>
      </w:pPr>
      <w:r w:rsidRPr="00D045B3">
        <w:rPr>
          <w:color w:val="000000"/>
          <w:szCs w:val="22"/>
          <w:lang w:val="hu-HU"/>
        </w:rPr>
        <w:t>Néhány Imatinib Actavis</w:t>
      </w:r>
      <w:r w:rsidRPr="00D045B3">
        <w:rPr>
          <w:color w:val="000000"/>
          <w:szCs w:val="22"/>
          <w:lang w:val="hu-HU"/>
        </w:rPr>
        <w:noBreakHyphen/>
        <w:t>t szedő gyermek és serdülőkorú növekedése a normálisnál lassabb lehet. Az orvos a rendszeres kontrollvizsgálatok alkalmával ellenőrizni fogja a növekedést.</w:t>
      </w:r>
    </w:p>
    <w:p w14:paraId="1E927EAA" w14:textId="77777777" w:rsidR="004E7286" w:rsidRPr="00D045B3" w:rsidRDefault="004E7286" w:rsidP="004E7286">
      <w:pPr>
        <w:spacing w:line="240" w:lineRule="auto"/>
        <w:rPr>
          <w:color w:val="000000"/>
          <w:szCs w:val="22"/>
          <w:lang w:val="hu-HU"/>
        </w:rPr>
      </w:pPr>
    </w:p>
    <w:p w14:paraId="1E927EAB" w14:textId="77777777" w:rsidR="004E7286" w:rsidRPr="00D045B3" w:rsidRDefault="004E7286" w:rsidP="004E7286">
      <w:pPr>
        <w:keepNext/>
        <w:spacing w:line="240" w:lineRule="auto"/>
        <w:rPr>
          <w:b/>
          <w:color w:val="000000"/>
          <w:szCs w:val="22"/>
          <w:lang w:val="hu-HU"/>
        </w:rPr>
      </w:pPr>
      <w:r w:rsidRPr="00D045B3">
        <w:rPr>
          <w:b/>
          <w:color w:val="000000"/>
          <w:szCs w:val="22"/>
          <w:lang w:val="hu-HU"/>
        </w:rPr>
        <w:t>Egyéb gyógyszerek és az Imatinib Actavis</w:t>
      </w:r>
    </w:p>
    <w:p w14:paraId="1E927EAC" w14:textId="77777777" w:rsidR="004E7286" w:rsidRPr="00D045B3" w:rsidRDefault="004E7286" w:rsidP="00CA41FD">
      <w:pPr>
        <w:spacing w:line="240" w:lineRule="auto"/>
        <w:rPr>
          <w:color w:val="000000"/>
          <w:szCs w:val="22"/>
          <w:lang w:val="hu-HU"/>
        </w:rPr>
      </w:pPr>
      <w:r w:rsidRPr="00D045B3">
        <w:rPr>
          <w:color w:val="000000"/>
          <w:szCs w:val="22"/>
          <w:lang w:val="hu-HU"/>
        </w:rPr>
        <w:t>Feltétlenül tájékoztassa kezelőorvosát vagy gyógyszerészét a jelenleg vagy nemrégiben szedett</w:t>
      </w:r>
      <w:r w:rsidRPr="00D045B3">
        <w:rPr>
          <w:noProof/>
          <w:szCs w:val="22"/>
          <w:lang w:val="hu-HU"/>
        </w:rPr>
        <w:t>, valamint szedni tervezett</w:t>
      </w:r>
      <w:r w:rsidRPr="00D045B3">
        <w:rPr>
          <w:color w:val="000000"/>
          <w:szCs w:val="22"/>
          <w:lang w:val="hu-HU"/>
        </w:rPr>
        <w:t xml:space="preserve"> egyéb gyógyszereiről, beleértve a vény nélkül kapható készítményeket (pl. a paracetamolt) és a gyógynövény készítményeket (pl. az orbáncfüvet) is. Néhány gyógyszer egyidejű alkalmazás esetén befolyásolhatja az Imatinib Actavis hatását. Fokozhatják, illetve csökkenthetik az Imatinib Actavis hatását, ami a mellékhatások előfordulási gyakoriságának növekedéséhez, illetve az Imatinib Actavis hatásosságának csökkenéséhez vezethet. Az Imatinib Actavis ugyanígy hathat néhány más gyógyszerre.</w:t>
      </w:r>
    </w:p>
    <w:p w14:paraId="1E927EAD" w14:textId="77777777" w:rsidR="004E7286" w:rsidRPr="00D045B3" w:rsidRDefault="004E7286" w:rsidP="004E7286">
      <w:pPr>
        <w:spacing w:line="240" w:lineRule="auto"/>
        <w:rPr>
          <w:color w:val="000000"/>
          <w:szCs w:val="22"/>
          <w:lang w:val="hu-HU"/>
        </w:rPr>
      </w:pPr>
    </w:p>
    <w:p w14:paraId="1E927EAE" w14:textId="77777777" w:rsidR="004E7286" w:rsidRPr="00D045B3" w:rsidRDefault="004E7286" w:rsidP="004E7286">
      <w:pPr>
        <w:spacing w:line="240" w:lineRule="auto"/>
        <w:rPr>
          <w:color w:val="000000"/>
          <w:szCs w:val="22"/>
          <w:lang w:val="hu-HU"/>
        </w:rPr>
      </w:pPr>
      <w:r w:rsidRPr="00D045B3">
        <w:rPr>
          <w:color w:val="000000"/>
          <w:szCs w:val="22"/>
          <w:lang w:val="hu-HU"/>
        </w:rPr>
        <w:t>Tájékoztassa kezelőorvosát, ha vérrögképződést gátló gyógyszert alkalmaz.</w:t>
      </w:r>
    </w:p>
    <w:p w14:paraId="1E927EAF" w14:textId="77777777" w:rsidR="004E7286" w:rsidRPr="00D045B3" w:rsidRDefault="004E7286" w:rsidP="004E7286">
      <w:pPr>
        <w:spacing w:line="240" w:lineRule="auto"/>
        <w:ind w:right="-2"/>
        <w:rPr>
          <w:color w:val="000000"/>
          <w:szCs w:val="22"/>
          <w:lang w:val="hu-HU"/>
        </w:rPr>
      </w:pPr>
    </w:p>
    <w:p w14:paraId="1E927EB0" w14:textId="77777777" w:rsidR="004E7286" w:rsidRPr="00D045B3" w:rsidRDefault="004E7286" w:rsidP="004E7286">
      <w:pPr>
        <w:keepNext/>
        <w:ind w:right="-29"/>
        <w:rPr>
          <w:b/>
          <w:color w:val="000000"/>
          <w:szCs w:val="22"/>
          <w:lang w:val="hu-HU"/>
        </w:rPr>
      </w:pPr>
      <w:r w:rsidRPr="00D045B3">
        <w:rPr>
          <w:b/>
          <w:color w:val="000000"/>
          <w:szCs w:val="22"/>
          <w:lang w:val="hu-HU"/>
        </w:rPr>
        <w:t>Terhesség, szoptatás és termékenység</w:t>
      </w:r>
    </w:p>
    <w:p w14:paraId="1E927EB1" w14:textId="77777777" w:rsidR="004E7286" w:rsidRPr="00D045B3" w:rsidRDefault="004E7286" w:rsidP="00E95370">
      <w:pPr>
        <w:widowControl w:val="0"/>
        <w:numPr>
          <w:ilvl w:val="0"/>
          <w:numId w:val="12"/>
        </w:numPr>
        <w:tabs>
          <w:tab w:val="clear" w:pos="0"/>
          <w:tab w:val="clear" w:pos="567"/>
        </w:tabs>
        <w:spacing w:line="240" w:lineRule="auto"/>
        <w:ind w:left="567" w:hanging="567"/>
        <w:rPr>
          <w:color w:val="000000"/>
          <w:szCs w:val="22"/>
          <w:lang w:val="hu-HU"/>
        </w:rPr>
      </w:pPr>
      <w:r w:rsidRPr="00D045B3">
        <w:rPr>
          <w:color w:val="000000"/>
          <w:szCs w:val="22"/>
          <w:lang w:val="hu-HU"/>
        </w:rPr>
        <w:t>Ha Ön terhes vagy szoptat, illetve ha fennáll Önnél a terhesség lehetősége vagy gyermeket szeretne, a gyógyszer alkalmazása előtt beszéljen kezelőorvosával.</w:t>
      </w:r>
    </w:p>
    <w:p w14:paraId="1E927EB2" w14:textId="67C80853" w:rsidR="004E7286" w:rsidRPr="00D045B3" w:rsidRDefault="004E7286" w:rsidP="00283A18">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 xml:space="preserve">Az Imatinib Actavis nem javasolt a terhesség ideje alatt, csak ha az egyértelműen szükséges, mert károsíthatja gyermekét. </w:t>
      </w:r>
      <w:r w:rsidR="00283A18" w:rsidRPr="00D045B3">
        <w:rPr>
          <w:color w:val="000000"/>
          <w:szCs w:val="22"/>
          <w:lang w:val="hu-HU"/>
        </w:rPr>
        <w:t>Kezelőorvosa</w:t>
      </w:r>
      <w:r w:rsidR="00FD66DE" w:rsidRPr="00D045B3">
        <w:rPr>
          <w:color w:val="000000"/>
          <w:szCs w:val="22"/>
          <w:lang w:val="hu-HU"/>
        </w:rPr>
        <w:t xml:space="preserve"> </w:t>
      </w:r>
      <w:r w:rsidRPr="00D045B3">
        <w:rPr>
          <w:color w:val="000000"/>
          <w:szCs w:val="22"/>
          <w:lang w:val="hu-HU"/>
        </w:rPr>
        <w:t>megbeszéli Önnel a terhesség ideje alatti Imatinib Actavis</w:t>
      </w:r>
      <w:r w:rsidRPr="00D045B3">
        <w:rPr>
          <w:color w:val="000000"/>
          <w:szCs w:val="22"/>
          <w:lang w:val="hu-HU"/>
        </w:rPr>
        <w:noBreakHyphen/>
        <w:t>kezelés lehetséges kockázatait.</w:t>
      </w:r>
    </w:p>
    <w:p w14:paraId="1E927EB3" w14:textId="0A3BBD06" w:rsidR="004E7286" w:rsidRPr="00D045B3" w:rsidRDefault="004E7286"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A fogamzóképes életkorú nőknek hatékony fogamzásgátló módszer alkalmazása javasolt a kezelés időtartama alatt</w:t>
      </w:r>
      <w:r w:rsidR="00AC72FB" w:rsidRPr="00D045B3">
        <w:rPr>
          <w:szCs w:val="22"/>
          <w:lang w:val="hu-HU"/>
        </w:rPr>
        <w:t>, és még további 15 </w:t>
      </w:r>
      <w:r w:rsidR="004F2490" w:rsidRPr="00D045B3">
        <w:rPr>
          <w:szCs w:val="22"/>
          <w:lang w:val="hu-HU"/>
        </w:rPr>
        <w:t>napig az Imatinib Actavis-kezelés befejezését követőe</w:t>
      </w:r>
      <w:r w:rsidR="0002361D" w:rsidRPr="00D045B3">
        <w:rPr>
          <w:szCs w:val="22"/>
          <w:lang w:val="hu-HU"/>
        </w:rPr>
        <w:t>n</w:t>
      </w:r>
      <w:r w:rsidRPr="00D045B3">
        <w:rPr>
          <w:color w:val="000000"/>
          <w:szCs w:val="22"/>
          <w:lang w:val="hu-HU"/>
        </w:rPr>
        <w:t>.</w:t>
      </w:r>
    </w:p>
    <w:p w14:paraId="1E927EB4" w14:textId="61BB1F31" w:rsidR="004E7286" w:rsidRPr="00D045B3" w:rsidRDefault="004E7286"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Ne szoptasson az Imatinib Actavis</w:t>
      </w:r>
      <w:r w:rsidRPr="00D045B3">
        <w:rPr>
          <w:color w:val="000000"/>
          <w:szCs w:val="22"/>
          <w:lang w:val="hu-HU"/>
        </w:rPr>
        <w:noBreakHyphen/>
        <w:t>kezelés időtartama alatt</w:t>
      </w:r>
      <w:r w:rsidR="00AC72FB" w:rsidRPr="00D045B3">
        <w:rPr>
          <w:szCs w:val="22"/>
          <w:lang w:val="hu-HU"/>
        </w:rPr>
        <w:t>, és még további 15 </w:t>
      </w:r>
      <w:r w:rsidR="004F2490" w:rsidRPr="00D045B3">
        <w:rPr>
          <w:szCs w:val="22"/>
          <w:lang w:val="hu-HU"/>
        </w:rPr>
        <w:t>napig az Imatinib Actavis-kezelés befejezését követően, mert ez káros hatással lehet csecsemőjére</w:t>
      </w:r>
      <w:r w:rsidRPr="00D045B3">
        <w:rPr>
          <w:color w:val="000000"/>
          <w:szCs w:val="22"/>
          <w:lang w:val="hu-HU"/>
        </w:rPr>
        <w:t>.</w:t>
      </w:r>
    </w:p>
    <w:p w14:paraId="1E927EB5" w14:textId="77777777" w:rsidR="004E7286" w:rsidRPr="00D045B3" w:rsidRDefault="004E7286" w:rsidP="00E95370">
      <w:pPr>
        <w:widowControl w:val="0"/>
        <w:numPr>
          <w:ilvl w:val="0"/>
          <w:numId w:val="17"/>
        </w:numPr>
        <w:tabs>
          <w:tab w:val="clear" w:pos="567"/>
        </w:tabs>
        <w:spacing w:line="240" w:lineRule="auto"/>
        <w:ind w:left="567" w:hanging="567"/>
        <w:rPr>
          <w:color w:val="000000"/>
          <w:szCs w:val="22"/>
          <w:lang w:val="hu-HU"/>
        </w:rPr>
      </w:pPr>
      <w:r w:rsidRPr="00D045B3">
        <w:rPr>
          <w:szCs w:val="22"/>
          <w:lang w:val="hu-HU"/>
        </w:rPr>
        <w:t>Azon betegek, akiket aggasztanak a termékenységükkel kapcsolatos kérdések, az Imatinib Actavis szedése alatt, forduljanak tanácsért kezelőorvosukhoz.</w:t>
      </w:r>
    </w:p>
    <w:p w14:paraId="1E927EB6" w14:textId="77777777" w:rsidR="004E7286" w:rsidRPr="00D045B3" w:rsidRDefault="004E7286" w:rsidP="004E7286">
      <w:pPr>
        <w:spacing w:line="240" w:lineRule="auto"/>
        <w:rPr>
          <w:color w:val="000000"/>
          <w:szCs w:val="22"/>
          <w:lang w:val="hu-HU"/>
        </w:rPr>
      </w:pPr>
    </w:p>
    <w:p w14:paraId="1E927EB7" w14:textId="77777777" w:rsidR="004E7286" w:rsidRPr="00D045B3" w:rsidRDefault="004E7286" w:rsidP="004E7286">
      <w:pPr>
        <w:keepNext/>
        <w:spacing w:line="240" w:lineRule="auto"/>
        <w:ind w:right="-28"/>
        <w:rPr>
          <w:b/>
          <w:color w:val="000000"/>
          <w:szCs w:val="22"/>
          <w:lang w:val="hu-HU"/>
        </w:rPr>
      </w:pPr>
      <w:r w:rsidRPr="00D045B3">
        <w:rPr>
          <w:b/>
          <w:color w:val="000000"/>
          <w:szCs w:val="22"/>
          <w:lang w:val="hu-HU"/>
        </w:rPr>
        <w:t>A készítmény hatásai a gépjárművezetéshez és a gépek kezeléséhez szükséges képességekre</w:t>
      </w:r>
    </w:p>
    <w:p w14:paraId="1E927EB8" w14:textId="77777777" w:rsidR="004E7286" w:rsidRPr="00D045B3" w:rsidRDefault="004E7286" w:rsidP="00CA41FD">
      <w:pPr>
        <w:spacing w:line="240" w:lineRule="auto"/>
        <w:ind w:right="-28"/>
        <w:rPr>
          <w:color w:val="000000"/>
          <w:szCs w:val="22"/>
          <w:lang w:val="hu-HU"/>
        </w:rPr>
      </w:pPr>
      <w:r w:rsidRPr="00D045B3">
        <w:rPr>
          <w:color w:val="000000"/>
          <w:szCs w:val="22"/>
          <w:lang w:val="hu-HU"/>
        </w:rPr>
        <w:t>A gyógyszer szedésének ideje alatt szédülhet vagy látása homályossá válhat. Ilyenkor ne vezessen, illetve ne használjon gépeket, amíg nem érzi ismét jól magát.</w:t>
      </w:r>
    </w:p>
    <w:p w14:paraId="510CD646" w14:textId="77777777" w:rsidR="00FE2796" w:rsidRPr="00D045B3" w:rsidRDefault="00FE2796" w:rsidP="00FE2796">
      <w:pPr>
        <w:spacing w:line="240" w:lineRule="auto"/>
        <w:ind w:right="-28"/>
        <w:rPr>
          <w:color w:val="000000"/>
          <w:szCs w:val="22"/>
          <w:lang w:val="hu-HU"/>
        </w:rPr>
      </w:pPr>
    </w:p>
    <w:p w14:paraId="74851185" w14:textId="77777777" w:rsidR="00FE2796" w:rsidRPr="00D045B3" w:rsidRDefault="00FE2796" w:rsidP="00FE2796">
      <w:pPr>
        <w:spacing w:line="240" w:lineRule="auto"/>
        <w:ind w:right="-28"/>
        <w:rPr>
          <w:b/>
          <w:bCs/>
          <w:color w:val="000000"/>
          <w:szCs w:val="22"/>
          <w:lang w:val="hu-HU"/>
        </w:rPr>
      </w:pPr>
      <w:r w:rsidRPr="00D045B3">
        <w:rPr>
          <w:b/>
          <w:bCs/>
          <w:color w:val="000000"/>
          <w:szCs w:val="22"/>
          <w:lang w:val="hu-HU"/>
        </w:rPr>
        <w:t>Az Imatinib Activis nátriumot tartalmaz</w:t>
      </w:r>
    </w:p>
    <w:p w14:paraId="2FFE1035" w14:textId="77777777" w:rsidR="00FE2796" w:rsidRPr="00D045B3" w:rsidRDefault="00FE2796" w:rsidP="00FE2796">
      <w:pPr>
        <w:rPr>
          <w:b/>
          <w:bCs/>
          <w:color w:val="000000"/>
          <w:szCs w:val="22"/>
          <w:lang w:val="hu-HU"/>
        </w:rPr>
      </w:pPr>
      <w:r w:rsidRPr="00D045B3">
        <w:rPr>
          <w:lang w:val="hu-HU"/>
        </w:rPr>
        <w:t>A készítmény kevesebb, mint 1 mmol (23 mg) nátriumot tartalmaz kemény kapszulánként, azaz gyakorlatilag „nátriummentes”.</w:t>
      </w:r>
    </w:p>
    <w:p w14:paraId="1E927EB9" w14:textId="77777777" w:rsidR="004E7286" w:rsidRPr="00D045B3" w:rsidRDefault="004E7286" w:rsidP="004E7286">
      <w:pPr>
        <w:spacing w:line="240" w:lineRule="auto"/>
        <w:ind w:right="-29"/>
        <w:rPr>
          <w:color w:val="000000"/>
          <w:szCs w:val="22"/>
          <w:lang w:val="hu-HU"/>
        </w:rPr>
      </w:pPr>
    </w:p>
    <w:p w14:paraId="1E927EBA" w14:textId="77777777" w:rsidR="004E7286" w:rsidRPr="00D045B3" w:rsidRDefault="004E7286" w:rsidP="004E7286">
      <w:pPr>
        <w:spacing w:line="240" w:lineRule="auto"/>
        <w:ind w:right="-2"/>
        <w:rPr>
          <w:color w:val="000000"/>
          <w:szCs w:val="22"/>
          <w:lang w:val="hu-HU"/>
        </w:rPr>
      </w:pPr>
    </w:p>
    <w:p w14:paraId="1E927EBB" w14:textId="77777777" w:rsidR="004E7286" w:rsidRPr="00D045B3" w:rsidRDefault="004E7286" w:rsidP="004E7286">
      <w:pPr>
        <w:keepNext/>
        <w:spacing w:line="240" w:lineRule="auto"/>
        <w:ind w:left="567" w:right="-29" w:hanging="567"/>
        <w:rPr>
          <w:b/>
          <w:color w:val="000000"/>
          <w:szCs w:val="22"/>
          <w:lang w:val="hu-HU"/>
        </w:rPr>
      </w:pPr>
      <w:r w:rsidRPr="00D045B3">
        <w:rPr>
          <w:b/>
          <w:color w:val="000000"/>
          <w:szCs w:val="22"/>
          <w:lang w:val="hu-HU"/>
        </w:rPr>
        <w:t>3.</w:t>
      </w:r>
      <w:r w:rsidRPr="00D045B3">
        <w:rPr>
          <w:b/>
          <w:color w:val="000000"/>
          <w:szCs w:val="22"/>
          <w:lang w:val="hu-HU"/>
        </w:rPr>
        <w:tab/>
        <w:t>Hogyan kell szedni az Imatinib Actavis</w:t>
      </w:r>
      <w:r w:rsidRPr="00D045B3">
        <w:rPr>
          <w:b/>
          <w:color w:val="000000"/>
          <w:szCs w:val="22"/>
          <w:lang w:val="hu-HU"/>
        </w:rPr>
        <w:noBreakHyphen/>
        <w:t>t?</w:t>
      </w:r>
    </w:p>
    <w:p w14:paraId="1E927EBC" w14:textId="77777777" w:rsidR="004E7286" w:rsidRPr="00D045B3" w:rsidRDefault="004E7286" w:rsidP="004E7286">
      <w:pPr>
        <w:keepNext/>
        <w:spacing w:line="240" w:lineRule="auto"/>
        <w:ind w:left="567" w:right="-2" w:hanging="567"/>
        <w:rPr>
          <w:color w:val="000000"/>
          <w:szCs w:val="22"/>
          <w:lang w:val="hu-HU"/>
        </w:rPr>
      </w:pPr>
    </w:p>
    <w:p w14:paraId="1E927EBD" w14:textId="77777777" w:rsidR="004E7286" w:rsidRPr="00D045B3" w:rsidRDefault="004E7286" w:rsidP="00CA41FD">
      <w:pPr>
        <w:spacing w:line="240" w:lineRule="auto"/>
        <w:ind w:right="-2"/>
        <w:rPr>
          <w:color w:val="000000"/>
          <w:szCs w:val="22"/>
          <w:lang w:val="hu-HU"/>
        </w:rPr>
      </w:pPr>
      <w:r w:rsidRPr="00D045B3">
        <w:rPr>
          <w:color w:val="000000"/>
          <w:szCs w:val="22"/>
          <w:lang w:val="hu-HU"/>
        </w:rPr>
        <w:t>Kezelőorvosa azért rendelte Önnek az Imatinib Actavis</w:t>
      </w:r>
      <w:r w:rsidRPr="00D045B3">
        <w:rPr>
          <w:color w:val="000000"/>
          <w:szCs w:val="22"/>
          <w:lang w:val="hu-HU"/>
        </w:rPr>
        <w:noBreakHyphen/>
        <w:t>t, mert Ön súlyos betegségben szenved. Az Imatinib Actavis segíthet Önnek a betegséggel szembeni küzdelemben.</w:t>
      </w:r>
    </w:p>
    <w:p w14:paraId="1E927EBE" w14:textId="77777777" w:rsidR="004E7286" w:rsidRPr="00D045B3" w:rsidRDefault="004E7286" w:rsidP="004E7286">
      <w:pPr>
        <w:spacing w:line="240" w:lineRule="auto"/>
        <w:ind w:right="-2"/>
        <w:rPr>
          <w:color w:val="000000"/>
          <w:szCs w:val="22"/>
          <w:lang w:val="hu-HU"/>
        </w:rPr>
      </w:pPr>
    </w:p>
    <w:p w14:paraId="1E927EBF" w14:textId="77777777" w:rsidR="004E7286" w:rsidRPr="00D045B3" w:rsidRDefault="004E7286" w:rsidP="004E7286">
      <w:pPr>
        <w:spacing w:line="240" w:lineRule="auto"/>
        <w:ind w:right="-2"/>
        <w:rPr>
          <w:color w:val="000000"/>
          <w:szCs w:val="22"/>
          <w:lang w:val="hu-HU"/>
        </w:rPr>
      </w:pPr>
      <w:r w:rsidRPr="00D045B3">
        <w:rPr>
          <w:color w:val="000000"/>
          <w:szCs w:val="22"/>
          <w:lang w:val="hu-HU"/>
        </w:rPr>
        <w:t xml:space="preserve">Azonban, </w:t>
      </w:r>
      <w:r w:rsidRPr="00D045B3">
        <w:rPr>
          <w:noProof/>
          <w:color w:val="000000"/>
          <w:szCs w:val="22"/>
          <w:lang w:val="hu-HU"/>
        </w:rPr>
        <w:t xml:space="preserve">a </w:t>
      </w:r>
      <w:r w:rsidRPr="00D045B3">
        <w:rPr>
          <w:noProof/>
          <w:szCs w:val="22"/>
          <w:lang w:val="hu-HU"/>
        </w:rPr>
        <w:t>gyógyszert</w:t>
      </w:r>
      <w:r w:rsidRPr="00D045B3">
        <w:rPr>
          <w:szCs w:val="22"/>
          <w:lang w:val="hu-HU"/>
        </w:rPr>
        <w:t xml:space="preserve"> </w:t>
      </w:r>
      <w:r w:rsidRPr="00D045B3">
        <w:rPr>
          <w:noProof/>
          <w:color w:val="000000"/>
          <w:szCs w:val="22"/>
          <w:lang w:val="hu-HU"/>
        </w:rPr>
        <w:t xml:space="preserve">mindig a </w:t>
      </w:r>
      <w:r w:rsidRPr="00D045B3">
        <w:rPr>
          <w:noProof/>
          <w:szCs w:val="22"/>
          <w:lang w:val="hu-HU"/>
        </w:rPr>
        <w:t>kezelőorvosa vagy gyógyszerésze</w:t>
      </w:r>
      <w:r w:rsidRPr="00D045B3">
        <w:rPr>
          <w:noProof/>
          <w:color w:val="000000"/>
          <w:szCs w:val="22"/>
          <w:lang w:val="hu-HU"/>
        </w:rPr>
        <w:t xml:space="preserve"> által elmondottaknak megfelelően szedje. Fontos, hogy ezt mindaddig tegye, amíg kezelőorvosa előírja. </w:t>
      </w:r>
      <w:r w:rsidRPr="00D045B3">
        <w:rPr>
          <w:color w:val="000000"/>
          <w:szCs w:val="22"/>
          <w:lang w:val="hu-HU"/>
        </w:rPr>
        <w:t xml:space="preserve">Amennyiben nem biztos az adagolást illetően, kérdezze meg </w:t>
      </w:r>
      <w:r w:rsidRPr="00D045B3">
        <w:rPr>
          <w:noProof/>
          <w:szCs w:val="22"/>
          <w:lang w:val="hu-HU"/>
        </w:rPr>
        <w:t xml:space="preserve">kezelőorvosát </w:t>
      </w:r>
      <w:r w:rsidRPr="00D045B3">
        <w:rPr>
          <w:color w:val="000000"/>
          <w:szCs w:val="22"/>
          <w:lang w:val="hu-HU"/>
        </w:rPr>
        <w:t>vagy gyógyszerészét.</w:t>
      </w:r>
    </w:p>
    <w:p w14:paraId="1E927EC0" w14:textId="77777777" w:rsidR="004E7286" w:rsidRPr="00D045B3" w:rsidRDefault="004E7286" w:rsidP="004E7286">
      <w:pPr>
        <w:spacing w:line="240" w:lineRule="auto"/>
        <w:ind w:right="-2"/>
        <w:rPr>
          <w:color w:val="000000"/>
          <w:szCs w:val="22"/>
          <w:lang w:val="hu-HU"/>
        </w:rPr>
      </w:pPr>
    </w:p>
    <w:p w14:paraId="1E927EC1" w14:textId="7FF43E93" w:rsidR="004E7286" w:rsidRPr="00D045B3" w:rsidRDefault="004E7286" w:rsidP="004E7286">
      <w:pPr>
        <w:spacing w:line="240" w:lineRule="auto"/>
        <w:ind w:right="-2"/>
        <w:rPr>
          <w:color w:val="000000"/>
          <w:szCs w:val="22"/>
          <w:lang w:val="hu-HU"/>
        </w:rPr>
      </w:pPr>
      <w:r w:rsidRPr="00D045B3">
        <w:rPr>
          <w:color w:val="000000"/>
          <w:szCs w:val="22"/>
          <w:lang w:val="hu-HU"/>
        </w:rPr>
        <w:t xml:space="preserve">Ne hagyja abba az Imatinib Actavis szedését, csak akkor, ha </w:t>
      </w:r>
      <w:r w:rsidR="00FD66DE" w:rsidRPr="00D045B3">
        <w:rPr>
          <w:color w:val="000000"/>
          <w:szCs w:val="22"/>
          <w:lang w:val="hu-HU"/>
        </w:rPr>
        <w:t>kezelő</w:t>
      </w:r>
      <w:r w:rsidRPr="00D045B3">
        <w:rPr>
          <w:color w:val="000000"/>
          <w:szCs w:val="22"/>
          <w:lang w:val="hu-HU"/>
        </w:rPr>
        <w:t xml:space="preserve">orvosa </w:t>
      </w:r>
      <w:r w:rsidR="00FD66DE" w:rsidRPr="00D045B3">
        <w:rPr>
          <w:color w:val="000000"/>
          <w:szCs w:val="22"/>
          <w:lang w:val="hu-HU"/>
        </w:rPr>
        <w:t>úgy rendelkezik</w:t>
      </w:r>
      <w:r w:rsidRPr="00D045B3">
        <w:rPr>
          <w:color w:val="000000"/>
          <w:szCs w:val="22"/>
          <w:lang w:val="hu-HU"/>
        </w:rPr>
        <w:t xml:space="preserve"> Önnek. Amennyiben nem tudja a gyógyszert az orvos által előírtaknak megfelelően szedni, vagy ha úgy érzi, hogy már nincs rá szüksége, azonnal forduljon kezelőorvosához.</w:t>
      </w:r>
    </w:p>
    <w:p w14:paraId="1E927EC2" w14:textId="77777777" w:rsidR="004E7286" w:rsidRPr="00D045B3" w:rsidRDefault="004E7286" w:rsidP="004E7286">
      <w:pPr>
        <w:spacing w:line="240" w:lineRule="auto"/>
        <w:ind w:right="-2"/>
        <w:rPr>
          <w:color w:val="000000"/>
          <w:szCs w:val="22"/>
          <w:lang w:val="hu-HU"/>
        </w:rPr>
      </w:pPr>
    </w:p>
    <w:p w14:paraId="1E927EC3" w14:textId="77777777" w:rsidR="004E7286" w:rsidRPr="00D045B3" w:rsidRDefault="004E7286" w:rsidP="004E7286">
      <w:pPr>
        <w:keepNext/>
        <w:spacing w:line="240" w:lineRule="auto"/>
        <w:rPr>
          <w:b/>
          <w:color w:val="000000"/>
          <w:szCs w:val="22"/>
          <w:lang w:val="hu-HU"/>
        </w:rPr>
      </w:pPr>
      <w:r w:rsidRPr="00D045B3">
        <w:rPr>
          <w:b/>
          <w:color w:val="000000"/>
          <w:szCs w:val="22"/>
          <w:lang w:val="hu-HU"/>
        </w:rPr>
        <w:t>Mennyi Imatinib Actavis</w:t>
      </w:r>
      <w:r w:rsidRPr="00D045B3">
        <w:rPr>
          <w:b/>
          <w:color w:val="000000"/>
          <w:szCs w:val="22"/>
          <w:lang w:val="hu-HU"/>
        </w:rPr>
        <w:noBreakHyphen/>
        <w:t>t kell bevennie?</w:t>
      </w:r>
    </w:p>
    <w:p w14:paraId="1E927EC4" w14:textId="77777777" w:rsidR="004E7286" w:rsidRPr="00D045B3" w:rsidRDefault="004E7286" w:rsidP="004E7286">
      <w:pPr>
        <w:keepNext/>
        <w:spacing w:line="240" w:lineRule="auto"/>
        <w:rPr>
          <w:color w:val="000000"/>
          <w:szCs w:val="22"/>
          <w:lang w:val="hu-HU"/>
        </w:rPr>
      </w:pPr>
    </w:p>
    <w:p w14:paraId="1E927EC5" w14:textId="77777777" w:rsidR="004E7286" w:rsidRPr="00D045B3" w:rsidRDefault="004E7286" w:rsidP="004E7286">
      <w:pPr>
        <w:keepNext/>
        <w:spacing w:line="240" w:lineRule="auto"/>
        <w:rPr>
          <w:b/>
          <w:color w:val="000000"/>
          <w:szCs w:val="22"/>
          <w:lang w:val="hu-HU"/>
        </w:rPr>
      </w:pPr>
      <w:r w:rsidRPr="00D045B3">
        <w:rPr>
          <w:b/>
          <w:color w:val="000000"/>
          <w:szCs w:val="22"/>
          <w:lang w:val="hu-HU"/>
        </w:rPr>
        <w:t>Alkalmazása felnőtteknél</w:t>
      </w:r>
    </w:p>
    <w:p w14:paraId="1E927EC6" w14:textId="77777777" w:rsidR="004E7286" w:rsidRPr="00D045B3" w:rsidRDefault="004E7286" w:rsidP="00CA41FD">
      <w:pPr>
        <w:spacing w:line="240" w:lineRule="auto"/>
        <w:rPr>
          <w:color w:val="000000"/>
          <w:szCs w:val="22"/>
          <w:lang w:val="hu-HU"/>
        </w:rPr>
      </w:pPr>
      <w:r w:rsidRPr="00D045B3">
        <w:rPr>
          <w:color w:val="000000"/>
          <w:szCs w:val="22"/>
          <w:lang w:val="hu-HU"/>
        </w:rPr>
        <w:t>Kezelőorvosa megmondja, hogy pontosan hány Imatinib Actavis kapszulát kell bevennie.</w:t>
      </w:r>
    </w:p>
    <w:p w14:paraId="1E927EC7" w14:textId="77777777" w:rsidR="004E7286" w:rsidRPr="00D045B3" w:rsidRDefault="004E7286" w:rsidP="00CA41FD">
      <w:pPr>
        <w:spacing w:line="240" w:lineRule="auto"/>
        <w:rPr>
          <w:color w:val="000000"/>
          <w:szCs w:val="22"/>
          <w:lang w:val="hu-HU"/>
        </w:rPr>
      </w:pPr>
    </w:p>
    <w:p w14:paraId="1E927EC8" w14:textId="77777777" w:rsidR="004E7286" w:rsidRPr="00D045B3" w:rsidRDefault="004E7286" w:rsidP="00E95370">
      <w:pPr>
        <w:numPr>
          <w:ilvl w:val="0"/>
          <w:numId w:val="27"/>
        </w:numPr>
        <w:spacing w:line="240" w:lineRule="auto"/>
        <w:ind w:left="567" w:right="-2" w:hanging="567"/>
        <w:rPr>
          <w:b/>
          <w:color w:val="000000"/>
          <w:szCs w:val="22"/>
          <w:lang w:val="hu-HU"/>
        </w:rPr>
      </w:pPr>
      <w:r w:rsidRPr="00D045B3">
        <w:rPr>
          <w:b/>
          <w:color w:val="000000"/>
          <w:szCs w:val="22"/>
          <w:lang w:val="hu-HU"/>
        </w:rPr>
        <w:t>Ha CML miatt kezelik:</w:t>
      </w:r>
    </w:p>
    <w:p w14:paraId="1E927ECC" w14:textId="58119938" w:rsidR="004E7286" w:rsidRPr="00D045B3" w:rsidRDefault="004E7286" w:rsidP="008A6837">
      <w:pPr>
        <w:spacing w:line="240" w:lineRule="auto"/>
        <w:ind w:left="567" w:right="-2"/>
        <w:rPr>
          <w:b/>
          <w:color w:val="000000"/>
          <w:szCs w:val="22"/>
          <w:lang w:val="hu-HU"/>
        </w:rPr>
      </w:pPr>
      <w:r w:rsidRPr="00D045B3">
        <w:rPr>
          <w:color w:val="000000"/>
          <w:szCs w:val="22"/>
          <w:lang w:val="hu-HU"/>
        </w:rPr>
        <w:t xml:space="preserve">A szokásos kezdőadag 600 mg, amit naponta </w:t>
      </w:r>
      <w:r w:rsidRPr="00D045B3">
        <w:rPr>
          <w:b/>
          <w:color w:val="000000"/>
          <w:szCs w:val="22"/>
          <w:lang w:val="hu-HU"/>
        </w:rPr>
        <w:t xml:space="preserve">egyszer, </w:t>
      </w:r>
      <w:r w:rsidR="006E664B" w:rsidRPr="00D045B3">
        <w:rPr>
          <w:color w:val="000000"/>
          <w:szCs w:val="22"/>
          <w:lang w:val="hu-HU"/>
        </w:rPr>
        <w:t>6</w:t>
      </w:r>
      <w:r w:rsidRPr="00D045B3">
        <w:rPr>
          <w:color w:val="000000"/>
          <w:szCs w:val="22"/>
          <w:lang w:val="hu-HU"/>
        </w:rPr>
        <w:t> db kapszula formájában kell bevennie</w:t>
      </w:r>
      <w:r w:rsidRPr="00D045B3">
        <w:rPr>
          <w:b/>
          <w:color w:val="000000"/>
          <w:szCs w:val="22"/>
          <w:lang w:val="hu-HU"/>
        </w:rPr>
        <w:t>.</w:t>
      </w:r>
    </w:p>
    <w:p w14:paraId="1E927ECD" w14:textId="77777777" w:rsidR="004E7286" w:rsidRPr="00D045B3" w:rsidRDefault="004E7286" w:rsidP="004E7286">
      <w:pPr>
        <w:spacing w:line="240" w:lineRule="auto"/>
        <w:ind w:right="-2"/>
        <w:rPr>
          <w:color w:val="000000"/>
          <w:szCs w:val="22"/>
          <w:lang w:val="hu-HU"/>
        </w:rPr>
      </w:pPr>
    </w:p>
    <w:p w14:paraId="1E927ECE" w14:textId="77777777" w:rsidR="004E7286" w:rsidRPr="00D045B3" w:rsidRDefault="004E7286" w:rsidP="004E7286">
      <w:pPr>
        <w:spacing w:line="240" w:lineRule="auto"/>
        <w:ind w:right="-2"/>
        <w:rPr>
          <w:color w:val="000000"/>
          <w:szCs w:val="22"/>
          <w:lang w:val="hu-HU"/>
        </w:rPr>
      </w:pPr>
      <w:r w:rsidRPr="00D045B3">
        <w:rPr>
          <w:color w:val="000000"/>
          <w:szCs w:val="22"/>
          <w:lang w:val="hu-HU"/>
        </w:rPr>
        <w:t xml:space="preserve">Kezelőorvosa nagyobb vagy kisebb adagokat írhat elő, attól függően, hogy Ön miként reagál a kezelésre. </w:t>
      </w:r>
    </w:p>
    <w:p w14:paraId="1E927ECF" w14:textId="77777777" w:rsidR="004E7286" w:rsidRPr="00D045B3" w:rsidRDefault="004E7286" w:rsidP="004E7286">
      <w:pPr>
        <w:spacing w:line="240" w:lineRule="auto"/>
        <w:ind w:right="-2"/>
        <w:rPr>
          <w:color w:val="000000"/>
          <w:szCs w:val="22"/>
          <w:lang w:val="hu-HU"/>
        </w:rPr>
      </w:pPr>
      <w:r w:rsidRPr="00D045B3">
        <w:rPr>
          <w:color w:val="000000"/>
          <w:szCs w:val="22"/>
          <w:lang w:val="hu-HU"/>
        </w:rPr>
        <w:t>Ha az Ön napi adagja 800 mg (</w:t>
      </w:r>
      <w:r w:rsidR="006E664B" w:rsidRPr="00D045B3">
        <w:rPr>
          <w:color w:val="000000"/>
          <w:szCs w:val="22"/>
          <w:lang w:val="hu-HU"/>
        </w:rPr>
        <w:t>8</w:t>
      </w:r>
      <w:r w:rsidRPr="00D045B3">
        <w:rPr>
          <w:color w:val="000000"/>
          <w:szCs w:val="22"/>
          <w:lang w:val="hu-HU"/>
        </w:rPr>
        <w:t xml:space="preserve"> kapszula), akkor </w:t>
      </w:r>
      <w:r w:rsidR="006E664B" w:rsidRPr="00D045B3">
        <w:rPr>
          <w:color w:val="000000"/>
          <w:szCs w:val="22"/>
          <w:lang w:val="hu-HU"/>
        </w:rPr>
        <w:t>4</w:t>
      </w:r>
      <w:r w:rsidRPr="00D045B3">
        <w:rPr>
          <w:color w:val="000000"/>
          <w:szCs w:val="22"/>
          <w:lang w:val="hu-HU"/>
        </w:rPr>
        <w:t xml:space="preserve"> kapszulát kell bevennie reggel és </w:t>
      </w:r>
      <w:r w:rsidR="006E664B" w:rsidRPr="00D045B3">
        <w:rPr>
          <w:color w:val="000000"/>
          <w:szCs w:val="22"/>
          <w:lang w:val="hu-HU"/>
        </w:rPr>
        <w:t>4</w:t>
      </w:r>
      <w:r w:rsidRPr="00D045B3">
        <w:rPr>
          <w:color w:val="000000"/>
          <w:szCs w:val="22"/>
          <w:lang w:val="hu-HU"/>
        </w:rPr>
        <w:t> kapszulát este.</w:t>
      </w:r>
    </w:p>
    <w:p w14:paraId="1E927ED0" w14:textId="77777777" w:rsidR="004E7286" w:rsidRPr="00D045B3" w:rsidRDefault="004E7286" w:rsidP="004E7286">
      <w:pPr>
        <w:spacing w:line="240" w:lineRule="auto"/>
        <w:ind w:right="-2"/>
        <w:rPr>
          <w:color w:val="000000"/>
          <w:szCs w:val="22"/>
          <w:lang w:val="hu-HU"/>
        </w:rPr>
      </w:pPr>
    </w:p>
    <w:p w14:paraId="1E927ED1" w14:textId="77777777" w:rsidR="004E7286" w:rsidRPr="00D045B3" w:rsidRDefault="004E7286" w:rsidP="00E95370">
      <w:pPr>
        <w:pStyle w:val="Default"/>
        <w:keepNext/>
        <w:numPr>
          <w:ilvl w:val="0"/>
          <w:numId w:val="27"/>
        </w:numPr>
        <w:ind w:left="567" w:hanging="567"/>
        <w:rPr>
          <w:sz w:val="22"/>
          <w:szCs w:val="22"/>
        </w:rPr>
      </w:pPr>
      <w:r w:rsidRPr="00D045B3">
        <w:rPr>
          <w:b/>
          <w:bCs/>
          <w:sz w:val="22"/>
          <w:szCs w:val="22"/>
        </w:rPr>
        <w:t xml:space="preserve">Ha Önt Ph-pozitív ALL miatt kezelik: </w:t>
      </w:r>
    </w:p>
    <w:p w14:paraId="1E927ED2" w14:textId="362FD0F0" w:rsidR="004E7286" w:rsidRPr="00D045B3" w:rsidRDefault="004E7286" w:rsidP="008A6837">
      <w:pPr>
        <w:pStyle w:val="Default"/>
        <w:keepNext/>
        <w:ind w:left="567"/>
        <w:rPr>
          <w:sz w:val="22"/>
          <w:szCs w:val="22"/>
        </w:rPr>
      </w:pPr>
      <w:r w:rsidRPr="00D045B3">
        <w:rPr>
          <w:sz w:val="22"/>
          <w:szCs w:val="22"/>
        </w:rPr>
        <w:t>A kezdőadag 600 mg, amit</w:t>
      </w:r>
      <w:r w:rsidR="006E664B" w:rsidRPr="00D045B3">
        <w:rPr>
          <w:sz w:val="22"/>
          <w:szCs w:val="22"/>
        </w:rPr>
        <w:t xml:space="preserve"> 6</w:t>
      </w:r>
      <w:r w:rsidRPr="00D045B3">
        <w:rPr>
          <w:sz w:val="22"/>
          <w:szCs w:val="22"/>
        </w:rPr>
        <w:t xml:space="preserve"> db kapszula formájában, naponta </w:t>
      </w:r>
      <w:r w:rsidRPr="00D045B3">
        <w:rPr>
          <w:b/>
          <w:bCs/>
          <w:sz w:val="22"/>
          <w:szCs w:val="22"/>
        </w:rPr>
        <w:t xml:space="preserve">egy alkalommal </w:t>
      </w:r>
      <w:r w:rsidRPr="00D045B3">
        <w:rPr>
          <w:sz w:val="22"/>
          <w:szCs w:val="22"/>
        </w:rPr>
        <w:t xml:space="preserve">kell bevennie. </w:t>
      </w:r>
    </w:p>
    <w:p w14:paraId="1E927ED3" w14:textId="77777777" w:rsidR="004E7286" w:rsidRPr="00D045B3" w:rsidRDefault="004E7286" w:rsidP="00CA41FD">
      <w:pPr>
        <w:pStyle w:val="Default"/>
        <w:rPr>
          <w:sz w:val="22"/>
          <w:szCs w:val="22"/>
        </w:rPr>
      </w:pPr>
    </w:p>
    <w:p w14:paraId="1E927ED4" w14:textId="77777777" w:rsidR="004E7286" w:rsidRPr="00D045B3" w:rsidRDefault="004E7286"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MDS/MPD miatt kezelik: </w:t>
      </w:r>
    </w:p>
    <w:p w14:paraId="1E927ED5" w14:textId="77777777" w:rsidR="004E7286" w:rsidRPr="00D045B3" w:rsidRDefault="004E7286" w:rsidP="008A6837">
      <w:pPr>
        <w:pStyle w:val="Default"/>
        <w:ind w:left="567"/>
        <w:rPr>
          <w:sz w:val="22"/>
          <w:szCs w:val="22"/>
        </w:rPr>
      </w:pPr>
      <w:r w:rsidRPr="00D045B3">
        <w:rPr>
          <w:sz w:val="22"/>
          <w:szCs w:val="22"/>
        </w:rPr>
        <w:t xml:space="preserve">A kezdő adag 400 mg, amit </w:t>
      </w:r>
      <w:r w:rsidR="006E664B" w:rsidRPr="00D045B3">
        <w:rPr>
          <w:sz w:val="22"/>
          <w:szCs w:val="22"/>
        </w:rPr>
        <w:t>4</w:t>
      </w:r>
      <w:r w:rsidRPr="00D045B3">
        <w:rPr>
          <w:sz w:val="22"/>
          <w:szCs w:val="22"/>
        </w:rPr>
        <w:t xml:space="preserve"> db kapszula formájában, naponta </w:t>
      </w:r>
      <w:r w:rsidRPr="00D045B3">
        <w:rPr>
          <w:b/>
          <w:bCs/>
          <w:sz w:val="22"/>
          <w:szCs w:val="22"/>
        </w:rPr>
        <w:t xml:space="preserve">egy alkalommal </w:t>
      </w:r>
      <w:r w:rsidRPr="00D045B3">
        <w:rPr>
          <w:sz w:val="22"/>
          <w:szCs w:val="22"/>
        </w:rPr>
        <w:t>kell bevennie.</w:t>
      </w:r>
    </w:p>
    <w:p w14:paraId="1E927ED6" w14:textId="77777777" w:rsidR="004E7286" w:rsidRPr="00D045B3" w:rsidRDefault="004E7286" w:rsidP="008A6837">
      <w:pPr>
        <w:pStyle w:val="Default"/>
        <w:ind w:left="567"/>
        <w:rPr>
          <w:sz w:val="22"/>
          <w:szCs w:val="22"/>
        </w:rPr>
      </w:pPr>
    </w:p>
    <w:p w14:paraId="1E927ED7" w14:textId="77777777" w:rsidR="004E7286" w:rsidRPr="00D045B3" w:rsidRDefault="004E7286"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HES/CEL miatt kezelik: </w:t>
      </w:r>
    </w:p>
    <w:p w14:paraId="1E927ED8" w14:textId="636F47A0" w:rsidR="004E7286" w:rsidRPr="00D045B3" w:rsidRDefault="004E7286" w:rsidP="008A6837">
      <w:pPr>
        <w:pStyle w:val="Default"/>
        <w:ind w:left="567"/>
        <w:rPr>
          <w:sz w:val="22"/>
          <w:szCs w:val="22"/>
        </w:rPr>
      </w:pPr>
      <w:r w:rsidRPr="00D045B3">
        <w:rPr>
          <w:sz w:val="22"/>
          <w:szCs w:val="22"/>
        </w:rPr>
        <w:t xml:space="preserve">A kezdőadag 100 mg, amit </w:t>
      </w:r>
      <w:r w:rsidR="006E664B" w:rsidRPr="00D045B3">
        <w:rPr>
          <w:sz w:val="22"/>
          <w:szCs w:val="22"/>
        </w:rPr>
        <w:t>egy</w:t>
      </w:r>
      <w:r w:rsidRPr="00D045B3">
        <w:rPr>
          <w:sz w:val="22"/>
          <w:szCs w:val="22"/>
        </w:rPr>
        <w:t xml:space="preserve"> db kapszula formájában, naponta </w:t>
      </w:r>
      <w:r w:rsidRPr="00D045B3">
        <w:rPr>
          <w:b/>
          <w:bCs/>
          <w:sz w:val="22"/>
          <w:szCs w:val="22"/>
        </w:rPr>
        <w:t xml:space="preserve">egy alkalommal </w:t>
      </w:r>
      <w:r w:rsidRPr="00D045B3">
        <w:rPr>
          <w:sz w:val="22"/>
          <w:szCs w:val="22"/>
        </w:rPr>
        <w:t>kell bevennie. Attól függően, hogy betegsége miként reagál a kezelésre, orvosa 400 mg</w:t>
      </w:r>
      <w:r w:rsidRPr="00D045B3">
        <w:rPr>
          <w:sz w:val="22"/>
          <w:szCs w:val="22"/>
        </w:rPr>
        <w:noBreakHyphen/>
        <w:t xml:space="preserve">ra növelheti az adagot, melyet </w:t>
      </w:r>
      <w:r w:rsidR="006E664B" w:rsidRPr="00D045B3">
        <w:rPr>
          <w:sz w:val="22"/>
          <w:szCs w:val="22"/>
        </w:rPr>
        <w:t>4</w:t>
      </w:r>
      <w:r w:rsidRPr="00D045B3">
        <w:rPr>
          <w:sz w:val="22"/>
          <w:szCs w:val="22"/>
        </w:rPr>
        <w:t xml:space="preserve"> db kapszula formájában, naponta </w:t>
      </w:r>
      <w:r w:rsidRPr="00D045B3">
        <w:rPr>
          <w:b/>
          <w:bCs/>
          <w:sz w:val="22"/>
          <w:szCs w:val="22"/>
        </w:rPr>
        <w:t xml:space="preserve">egy alkalommal </w:t>
      </w:r>
      <w:r w:rsidRPr="00D045B3">
        <w:rPr>
          <w:sz w:val="22"/>
          <w:szCs w:val="22"/>
        </w:rPr>
        <w:t>kell bevennie.</w:t>
      </w:r>
    </w:p>
    <w:p w14:paraId="1E927ED9" w14:textId="77777777" w:rsidR="004E7286" w:rsidRPr="00D045B3" w:rsidRDefault="004E7286" w:rsidP="008A6837">
      <w:pPr>
        <w:pStyle w:val="Default"/>
        <w:ind w:left="708"/>
        <w:rPr>
          <w:sz w:val="22"/>
          <w:szCs w:val="22"/>
        </w:rPr>
      </w:pPr>
    </w:p>
    <w:p w14:paraId="1E927EDA" w14:textId="77777777" w:rsidR="004E7286" w:rsidRPr="00D045B3" w:rsidRDefault="004E7286"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DFSP miatt kezelik: </w:t>
      </w:r>
    </w:p>
    <w:p w14:paraId="1E927EDB" w14:textId="77777777" w:rsidR="004E7286" w:rsidRPr="00D045B3" w:rsidRDefault="004E7286" w:rsidP="008A6837">
      <w:pPr>
        <w:spacing w:line="240" w:lineRule="auto"/>
        <w:ind w:left="567" w:right="-2"/>
        <w:rPr>
          <w:szCs w:val="22"/>
          <w:lang w:val="hu-HU"/>
        </w:rPr>
      </w:pPr>
      <w:r w:rsidRPr="00D045B3">
        <w:rPr>
          <w:szCs w:val="22"/>
          <w:lang w:val="hu-HU"/>
        </w:rPr>
        <w:t>Az adag napi 800 </w:t>
      </w:r>
      <w:r w:rsidR="006E664B" w:rsidRPr="00D045B3">
        <w:rPr>
          <w:szCs w:val="22"/>
          <w:lang w:val="hu-HU"/>
        </w:rPr>
        <w:t>mg (8</w:t>
      </w:r>
      <w:r w:rsidRPr="00D045B3">
        <w:rPr>
          <w:szCs w:val="22"/>
          <w:lang w:val="hu-HU"/>
        </w:rPr>
        <w:t xml:space="preserve"> kapszula), amit reggel </w:t>
      </w:r>
      <w:r w:rsidR="006E664B" w:rsidRPr="00D045B3">
        <w:rPr>
          <w:szCs w:val="22"/>
          <w:lang w:val="hu-HU"/>
        </w:rPr>
        <w:t>4</w:t>
      </w:r>
      <w:r w:rsidRPr="00D045B3">
        <w:rPr>
          <w:szCs w:val="22"/>
          <w:lang w:val="hu-HU"/>
        </w:rPr>
        <w:t xml:space="preserve"> db kapszula és este </w:t>
      </w:r>
      <w:r w:rsidR="006E664B" w:rsidRPr="00D045B3">
        <w:rPr>
          <w:szCs w:val="22"/>
          <w:lang w:val="hu-HU"/>
        </w:rPr>
        <w:t>4</w:t>
      </w:r>
      <w:r w:rsidRPr="00D045B3">
        <w:rPr>
          <w:szCs w:val="22"/>
          <w:lang w:val="hu-HU"/>
        </w:rPr>
        <w:t xml:space="preserve"> db kapszula formájában kell bevennie.</w:t>
      </w:r>
    </w:p>
    <w:p w14:paraId="1E927EDC" w14:textId="77777777" w:rsidR="004E7286" w:rsidRPr="00D045B3" w:rsidRDefault="004E7286" w:rsidP="004E7286">
      <w:pPr>
        <w:spacing w:line="240" w:lineRule="auto"/>
        <w:ind w:right="-2"/>
        <w:rPr>
          <w:color w:val="000000"/>
          <w:szCs w:val="22"/>
          <w:lang w:val="hu-HU"/>
        </w:rPr>
      </w:pPr>
    </w:p>
    <w:p w14:paraId="1E927EDD" w14:textId="77777777" w:rsidR="004E7286" w:rsidRPr="00D045B3" w:rsidRDefault="004E7286" w:rsidP="004E7286">
      <w:pPr>
        <w:keepNext/>
        <w:spacing w:line="240" w:lineRule="auto"/>
        <w:rPr>
          <w:b/>
          <w:color w:val="000000"/>
          <w:szCs w:val="22"/>
          <w:lang w:val="hu-HU"/>
        </w:rPr>
      </w:pPr>
      <w:r w:rsidRPr="00D045B3">
        <w:rPr>
          <w:b/>
          <w:color w:val="000000"/>
          <w:szCs w:val="22"/>
          <w:lang w:val="hu-HU"/>
        </w:rPr>
        <w:t>Alkalmazása gyermekeknél és serdülőknél</w:t>
      </w:r>
    </w:p>
    <w:p w14:paraId="1E927EDE" w14:textId="3F1BA70F" w:rsidR="007C4FF3" w:rsidRPr="00D045B3" w:rsidRDefault="004E7286" w:rsidP="00CA41FD">
      <w:pPr>
        <w:spacing w:line="240" w:lineRule="auto"/>
        <w:rPr>
          <w:color w:val="000000"/>
          <w:szCs w:val="22"/>
          <w:lang w:val="hu-HU"/>
        </w:rPr>
      </w:pPr>
      <w:r w:rsidRPr="00D045B3">
        <w:rPr>
          <w:color w:val="000000"/>
          <w:szCs w:val="22"/>
          <w:lang w:val="hu-HU"/>
        </w:rPr>
        <w:t xml:space="preserve">A </w:t>
      </w:r>
      <w:r w:rsidR="00FD66DE" w:rsidRPr="00D045B3">
        <w:rPr>
          <w:color w:val="000000"/>
          <w:szCs w:val="22"/>
          <w:lang w:val="hu-HU"/>
        </w:rPr>
        <w:t>kezelő</w:t>
      </w:r>
      <w:r w:rsidRPr="00D045B3">
        <w:rPr>
          <w:color w:val="000000"/>
          <w:szCs w:val="22"/>
          <w:lang w:val="hu-HU"/>
        </w:rPr>
        <w:t xml:space="preserve">orvos megmondja, hogy mennyi Imatinib Actavis kapszulát kell adnia gyermekének. Az alkalmazandó Imatinib Actavis mennyiség gyermeke állapotától, testtömegétől és testmagasságától függ. </w:t>
      </w:r>
    </w:p>
    <w:p w14:paraId="1E927EE0" w14:textId="2C03189C" w:rsidR="004E7286" w:rsidRPr="00D045B3" w:rsidRDefault="004E7286" w:rsidP="00CA41FD">
      <w:pPr>
        <w:spacing w:line="240" w:lineRule="auto"/>
        <w:rPr>
          <w:color w:val="000000"/>
          <w:szCs w:val="22"/>
          <w:lang w:val="hu-HU"/>
        </w:rPr>
      </w:pPr>
      <w:r w:rsidRPr="00D045B3">
        <w:rPr>
          <w:color w:val="000000"/>
          <w:szCs w:val="22"/>
          <w:lang w:val="hu-HU"/>
        </w:rPr>
        <w:t xml:space="preserve">A gyermekeknek beadandó teljes napi adag </w:t>
      </w:r>
      <w:r w:rsidR="007C4FF3" w:rsidRPr="00D045B3">
        <w:rPr>
          <w:color w:val="000000"/>
          <w:szCs w:val="22"/>
          <w:lang w:val="hu-HU"/>
        </w:rPr>
        <w:t xml:space="preserve">CML esetében </w:t>
      </w:r>
      <w:r w:rsidRPr="00D045B3">
        <w:rPr>
          <w:color w:val="000000"/>
          <w:szCs w:val="22"/>
          <w:lang w:val="hu-HU"/>
        </w:rPr>
        <w:t>nem lépheti túl a 800 mg</w:t>
      </w:r>
      <w:r w:rsidRPr="00D045B3">
        <w:rPr>
          <w:color w:val="000000"/>
          <w:szCs w:val="22"/>
          <w:lang w:val="hu-HU"/>
        </w:rPr>
        <w:noBreakHyphen/>
        <w:t>ot</w:t>
      </w:r>
      <w:r w:rsidR="00EB4B0F" w:rsidRPr="00D045B3">
        <w:rPr>
          <w:color w:val="000000"/>
          <w:lang w:val="hu-HU"/>
        </w:rPr>
        <w:t xml:space="preserve"> és 600 mg-ot Ph+ALL esetén</w:t>
      </w:r>
      <w:r w:rsidRPr="00D045B3">
        <w:rPr>
          <w:color w:val="000000"/>
          <w:szCs w:val="22"/>
          <w:lang w:val="hu-HU"/>
        </w:rPr>
        <w:t>. A napi adagot egyszerre vagy két részre elosztva is be lehet venni (felét reggel, másik felét este).</w:t>
      </w:r>
    </w:p>
    <w:p w14:paraId="1E927EE1" w14:textId="77777777" w:rsidR="004E7286" w:rsidRPr="00D045B3" w:rsidRDefault="004E7286" w:rsidP="004E7286">
      <w:pPr>
        <w:spacing w:line="240" w:lineRule="auto"/>
        <w:ind w:right="-2"/>
        <w:rPr>
          <w:color w:val="000000"/>
          <w:szCs w:val="22"/>
          <w:lang w:val="hu-HU"/>
        </w:rPr>
      </w:pPr>
    </w:p>
    <w:p w14:paraId="1E927EE2" w14:textId="77777777" w:rsidR="004E7286" w:rsidRPr="00D045B3" w:rsidRDefault="004E7286" w:rsidP="004E7286">
      <w:pPr>
        <w:keepNext/>
        <w:spacing w:line="240" w:lineRule="auto"/>
        <w:ind w:right="-2"/>
        <w:rPr>
          <w:b/>
          <w:color w:val="000000"/>
          <w:lang w:val="hu-HU"/>
        </w:rPr>
      </w:pPr>
      <w:r w:rsidRPr="00D045B3">
        <w:rPr>
          <w:b/>
          <w:color w:val="000000"/>
          <w:lang w:val="hu-HU"/>
        </w:rPr>
        <w:t>Mikor és hogyan kell szedni az Imatinib Actavis</w:t>
      </w:r>
      <w:r w:rsidRPr="00D045B3">
        <w:rPr>
          <w:b/>
          <w:color w:val="000000"/>
          <w:lang w:val="hu-HU"/>
        </w:rPr>
        <w:noBreakHyphen/>
        <w:t>t?</w:t>
      </w:r>
    </w:p>
    <w:p w14:paraId="1E927EE3" w14:textId="77777777" w:rsidR="004E7286" w:rsidRPr="00D045B3" w:rsidRDefault="004E7286" w:rsidP="00E95370">
      <w:pPr>
        <w:numPr>
          <w:ilvl w:val="0"/>
          <w:numId w:val="13"/>
        </w:numPr>
        <w:suppressAutoHyphens/>
        <w:rPr>
          <w:color w:val="000000"/>
          <w:lang w:val="hu-HU"/>
        </w:rPr>
      </w:pPr>
      <w:r w:rsidRPr="00D045B3">
        <w:rPr>
          <w:b/>
          <w:color w:val="000000"/>
          <w:lang w:val="hu-HU"/>
        </w:rPr>
        <w:t>Az Imatinib Actavis</w:t>
      </w:r>
      <w:r w:rsidRPr="00D045B3">
        <w:rPr>
          <w:b/>
          <w:color w:val="000000"/>
          <w:lang w:val="hu-HU"/>
        </w:rPr>
        <w:noBreakHyphen/>
        <w:t xml:space="preserve">t étkezés közben vegye be. </w:t>
      </w:r>
      <w:r w:rsidRPr="00D045B3">
        <w:rPr>
          <w:color w:val="000000"/>
          <w:lang w:val="hu-HU"/>
        </w:rPr>
        <w:t>Ez segít elkerülni az Imatinib Actavis szedése alatt jelentkező gyomorpanaszokat.</w:t>
      </w:r>
    </w:p>
    <w:p w14:paraId="1E927EE4" w14:textId="77777777" w:rsidR="004E7286" w:rsidRPr="00D045B3" w:rsidRDefault="004E7286" w:rsidP="00E95370">
      <w:pPr>
        <w:numPr>
          <w:ilvl w:val="0"/>
          <w:numId w:val="13"/>
        </w:numPr>
        <w:suppressAutoHyphens/>
        <w:rPr>
          <w:color w:val="000000"/>
          <w:lang w:val="hu-HU"/>
        </w:rPr>
      </w:pPr>
      <w:r w:rsidRPr="00D045B3">
        <w:rPr>
          <w:b/>
          <w:color w:val="000000"/>
          <w:lang w:val="hu-HU"/>
        </w:rPr>
        <w:t>A kapszulát egészben, egy nagy pohárnyi vízzel kell lenyelni.</w:t>
      </w:r>
      <w:r w:rsidRPr="00D045B3">
        <w:rPr>
          <w:color w:val="000000"/>
          <w:lang w:val="hu-HU"/>
        </w:rPr>
        <w:t xml:space="preserve"> Ne nyissa ki és ne törje össze a kapszulát, csak abban az esetben, ha a beteg (pl. gyermek) nem tudja a kapszulákat lenyelni.</w:t>
      </w:r>
    </w:p>
    <w:p w14:paraId="1E927EE5" w14:textId="77777777" w:rsidR="004E7286" w:rsidRPr="00D045B3" w:rsidRDefault="004E7286" w:rsidP="00E95370">
      <w:pPr>
        <w:numPr>
          <w:ilvl w:val="0"/>
          <w:numId w:val="13"/>
        </w:numPr>
        <w:suppressAutoHyphens/>
        <w:rPr>
          <w:color w:val="000000"/>
          <w:lang w:val="hu-HU"/>
        </w:rPr>
      </w:pPr>
      <w:r w:rsidRPr="00D045B3">
        <w:rPr>
          <w:color w:val="000000"/>
          <w:lang w:val="hu-HU"/>
        </w:rPr>
        <w:t>Ha Ön nem tudja lenyelni a kapszulát, felnyithatja azokat, és a port beleöntheti egy pohár tiszta vízbe vagy almalébe.</w:t>
      </w:r>
    </w:p>
    <w:p w14:paraId="1E927EE6" w14:textId="77777777" w:rsidR="004E7286" w:rsidRPr="00D045B3" w:rsidRDefault="004E7286" w:rsidP="00E95370">
      <w:pPr>
        <w:numPr>
          <w:ilvl w:val="0"/>
          <w:numId w:val="13"/>
        </w:numPr>
        <w:suppressAutoHyphens/>
        <w:rPr>
          <w:color w:val="000000"/>
          <w:lang w:val="hu-HU"/>
        </w:rPr>
      </w:pPr>
      <w:r w:rsidRPr="00D045B3">
        <w:rPr>
          <w:color w:val="000000"/>
          <w:lang w:val="hu-HU"/>
        </w:rPr>
        <w:t>Ha Ön terhes, vagy fogamzóképes korú és megpróbálja felnyitni a kapszulát, kezelje óvatosan annak tartalmát, nehogy a por a szemébe vagy a bőrére kerüljön, illetve hogy elkerülje annak belégzését. A kapszula felnyitása után azonnal mosson alaposan kezet.</w:t>
      </w:r>
    </w:p>
    <w:p w14:paraId="1E927EE7" w14:textId="77777777" w:rsidR="004E7286" w:rsidRPr="00D045B3" w:rsidRDefault="004E7286" w:rsidP="004E7286">
      <w:pPr>
        <w:spacing w:line="240" w:lineRule="auto"/>
        <w:ind w:right="-2"/>
        <w:rPr>
          <w:color w:val="000000"/>
          <w:lang w:val="hu-HU"/>
        </w:rPr>
      </w:pPr>
    </w:p>
    <w:p w14:paraId="1E927EE8" w14:textId="77777777" w:rsidR="004E7286" w:rsidRPr="00D045B3" w:rsidRDefault="004E7286" w:rsidP="004E7286">
      <w:pPr>
        <w:keepNext/>
        <w:spacing w:line="240" w:lineRule="auto"/>
        <w:rPr>
          <w:b/>
          <w:color w:val="000000"/>
          <w:lang w:val="hu-HU"/>
        </w:rPr>
      </w:pPr>
      <w:r w:rsidRPr="00D045B3">
        <w:rPr>
          <w:b/>
          <w:color w:val="000000"/>
          <w:lang w:val="hu-HU"/>
        </w:rPr>
        <w:t>Mennyi ideig kell szednie az Imatinib Actavis</w:t>
      </w:r>
      <w:r w:rsidRPr="00D045B3">
        <w:rPr>
          <w:b/>
          <w:color w:val="000000"/>
          <w:lang w:val="hu-HU"/>
        </w:rPr>
        <w:noBreakHyphen/>
        <w:t>t?</w:t>
      </w:r>
    </w:p>
    <w:p w14:paraId="1E927EE9" w14:textId="77777777" w:rsidR="004E7286" w:rsidRPr="00D045B3" w:rsidRDefault="004E7286" w:rsidP="00CA41FD">
      <w:pPr>
        <w:rPr>
          <w:color w:val="000000"/>
          <w:lang w:val="hu-HU"/>
        </w:rPr>
      </w:pPr>
      <w:r w:rsidRPr="00D045B3">
        <w:rPr>
          <w:color w:val="000000"/>
          <w:lang w:val="hu-HU"/>
        </w:rPr>
        <w:t>Az Imatinib Actavis</w:t>
      </w:r>
      <w:r w:rsidRPr="00D045B3">
        <w:rPr>
          <w:color w:val="000000"/>
          <w:lang w:val="hu-HU"/>
        </w:rPr>
        <w:noBreakHyphen/>
        <w:t>t naponta szedje mindaddig, amíg kezelőorvosa előírja.</w:t>
      </w:r>
    </w:p>
    <w:p w14:paraId="1E927EEA" w14:textId="77777777" w:rsidR="004E7286" w:rsidRPr="00D045B3" w:rsidRDefault="004E7286" w:rsidP="004E7286">
      <w:pPr>
        <w:spacing w:line="240" w:lineRule="auto"/>
        <w:ind w:right="-2"/>
        <w:rPr>
          <w:color w:val="000000"/>
          <w:lang w:val="hu-HU"/>
        </w:rPr>
      </w:pPr>
    </w:p>
    <w:p w14:paraId="1E927EEB" w14:textId="77777777" w:rsidR="004E7286" w:rsidRPr="00D045B3" w:rsidRDefault="004E7286" w:rsidP="004E7286">
      <w:pPr>
        <w:keepNext/>
        <w:spacing w:line="240" w:lineRule="auto"/>
        <w:rPr>
          <w:b/>
          <w:color w:val="000000"/>
          <w:lang w:val="hu-HU"/>
        </w:rPr>
      </w:pPr>
      <w:r w:rsidRPr="00D045B3">
        <w:rPr>
          <w:b/>
          <w:color w:val="000000"/>
          <w:lang w:val="hu-HU"/>
        </w:rPr>
        <w:t>Ha az előírtnál több Imatinib Actavis</w:t>
      </w:r>
      <w:r w:rsidRPr="00D045B3">
        <w:rPr>
          <w:b/>
          <w:color w:val="000000"/>
          <w:lang w:val="hu-HU"/>
        </w:rPr>
        <w:noBreakHyphen/>
        <w:t>t vett be</w:t>
      </w:r>
    </w:p>
    <w:p w14:paraId="1E927EEC" w14:textId="77777777" w:rsidR="004E7286" w:rsidRPr="00D045B3" w:rsidRDefault="004E7286" w:rsidP="00CA41FD">
      <w:pPr>
        <w:spacing w:line="240" w:lineRule="auto"/>
        <w:rPr>
          <w:color w:val="000000"/>
          <w:lang w:val="hu-HU"/>
        </w:rPr>
      </w:pPr>
      <w:r w:rsidRPr="00D045B3">
        <w:rPr>
          <w:color w:val="000000"/>
          <w:lang w:val="hu-HU"/>
        </w:rPr>
        <w:t xml:space="preserve">Ha véletlenül az előírtnál több kapszulát vett be, </w:t>
      </w:r>
      <w:r w:rsidRPr="00D045B3">
        <w:rPr>
          <w:b/>
          <w:color w:val="000000"/>
          <w:lang w:val="hu-HU"/>
        </w:rPr>
        <w:t>azonnal</w:t>
      </w:r>
      <w:r w:rsidRPr="00D045B3">
        <w:rPr>
          <w:color w:val="000000"/>
          <w:lang w:val="hu-HU"/>
        </w:rPr>
        <w:t xml:space="preserve"> forduljon kezelőorvosához. Orvosi megfigyelésre lehet szüksége. A gyógyszer csomagolását vigye magával.</w:t>
      </w:r>
    </w:p>
    <w:p w14:paraId="1E927EED" w14:textId="77777777" w:rsidR="004E7286" w:rsidRPr="00D045B3" w:rsidRDefault="004E7286" w:rsidP="004E7286">
      <w:pPr>
        <w:spacing w:line="240" w:lineRule="auto"/>
        <w:ind w:right="-2"/>
        <w:rPr>
          <w:color w:val="000000"/>
          <w:lang w:val="hu-HU"/>
        </w:rPr>
      </w:pPr>
    </w:p>
    <w:p w14:paraId="1E927EEE" w14:textId="77777777" w:rsidR="004E7286" w:rsidRPr="00D045B3" w:rsidRDefault="004E7286" w:rsidP="004E7286">
      <w:pPr>
        <w:keepNext/>
        <w:spacing w:line="240" w:lineRule="auto"/>
        <w:rPr>
          <w:b/>
          <w:color w:val="000000"/>
          <w:lang w:val="hu-HU"/>
        </w:rPr>
      </w:pPr>
      <w:r w:rsidRPr="00D045B3">
        <w:rPr>
          <w:b/>
          <w:color w:val="000000"/>
          <w:lang w:val="hu-HU"/>
        </w:rPr>
        <w:t>Ha elfelejtette bevenni az Imatinib Actavis</w:t>
      </w:r>
      <w:r w:rsidRPr="00D045B3">
        <w:rPr>
          <w:b/>
          <w:color w:val="000000"/>
          <w:lang w:val="hu-HU"/>
        </w:rPr>
        <w:noBreakHyphen/>
        <w:t>t</w:t>
      </w:r>
    </w:p>
    <w:p w14:paraId="1E927EEF" w14:textId="77777777" w:rsidR="004E7286" w:rsidRPr="00D045B3" w:rsidRDefault="004E7286" w:rsidP="00E95370">
      <w:pPr>
        <w:numPr>
          <w:ilvl w:val="0"/>
          <w:numId w:val="14"/>
        </w:numPr>
        <w:suppressAutoHyphens/>
        <w:spacing w:line="240" w:lineRule="auto"/>
        <w:rPr>
          <w:color w:val="000000"/>
          <w:lang w:val="hu-HU"/>
        </w:rPr>
      </w:pPr>
      <w:r w:rsidRPr="00D045B3">
        <w:rPr>
          <w:color w:val="000000"/>
          <w:lang w:val="hu-HU"/>
        </w:rPr>
        <w:t>Ha elfelejtett egy adagot, vegye be, amint eszébe jut. Azonban, ha ez már majdnem a következő esedékes adag idejében történik, hagyja ki az elfelejtett adagot.</w:t>
      </w:r>
    </w:p>
    <w:p w14:paraId="1E927EF0" w14:textId="77777777" w:rsidR="004E7286" w:rsidRPr="00D045B3" w:rsidRDefault="004E7286" w:rsidP="00E95370">
      <w:pPr>
        <w:numPr>
          <w:ilvl w:val="0"/>
          <w:numId w:val="14"/>
        </w:numPr>
        <w:suppressAutoHyphens/>
        <w:spacing w:line="240" w:lineRule="auto"/>
        <w:ind w:right="-2"/>
        <w:rPr>
          <w:color w:val="000000"/>
          <w:lang w:val="hu-HU"/>
        </w:rPr>
      </w:pPr>
      <w:r w:rsidRPr="00D045B3">
        <w:rPr>
          <w:color w:val="000000"/>
          <w:lang w:val="hu-HU"/>
        </w:rPr>
        <w:t>Ezután folytassa a gyógyszer szedését</w:t>
      </w:r>
      <w:r w:rsidRPr="00D045B3" w:rsidDel="003509F8">
        <w:rPr>
          <w:color w:val="000000"/>
          <w:lang w:val="hu-HU"/>
        </w:rPr>
        <w:t xml:space="preserve"> </w:t>
      </w:r>
      <w:r w:rsidRPr="00D045B3">
        <w:rPr>
          <w:color w:val="000000"/>
          <w:lang w:val="hu-HU"/>
        </w:rPr>
        <w:t>a szokásos menetrend szerint.</w:t>
      </w:r>
    </w:p>
    <w:p w14:paraId="1E927EF1" w14:textId="77777777" w:rsidR="004E7286" w:rsidRPr="00D045B3" w:rsidRDefault="004E7286" w:rsidP="00E95370">
      <w:pPr>
        <w:numPr>
          <w:ilvl w:val="0"/>
          <w:numId w:val="14"/>
        </w:numPr>
        <w:suppressAutoHyphens/>
        <w:spacing w:line="240" w:lineRule="auto"/>
        <w:ind w:right="-2"/>
        <w:rPr>
          <w:color w:val="000000"/>
          <w:lang w:val="hu-HU"/>
        </w:rPr>
      </w:pPr>
      <w:r w:rsidRPr="00D045B3">
        <w:rPr>
          <w:noProof/>
          <w:color w:val="000000"/>
          <w:lang w:val="hu-HU"/>
        </w:rPr>
        <w:t>Ne vegyen be kétszeres adagot a kihagyott adag pótlására.</w:t>
      </w:r>
    </w:p>
    <w:p w14:paraId="1E927EF2" w14:textId="77777777" w:rsidR="004E7286" w:rsidRPr="00D045B3" w:rsidRDefault="004E7286" w:rsidP="004E7286">
      <w:pPr>
        <w:spacing w:line="240" w:lineRule="auto"/>
        <w:ind w:right="-2"/>
        <w:rPr>
          <w:color w:val="000000"/>
          <w:lang w:val="hu-HU"/>
        </w:rPr>
      </w:pPr>
    </w:p>
    <w:p w14:paraId="1E927EF3" w14:textId="77777777" w:rsidR="004E7286" w:rsidRPr="00D045B3" w:rsidRDefault="004E7286" w:rsidP="004E7286">
      <w:pPr>
        <w:spacing w:line="240" w:lineRule="auto"/>
        <w:ind w:right="-2"/>
        <w:rPr>
          <w:color w:val="000000"/>
          <w:lang w:val="hu-HU"/>
        </w:rPr>
      </w:pPr>
      <w:r w:rsidRPr="00D045B3">
        <w:rPr>
          <w:color w:val="000000"/>
          <w:lang w:val="hu-HU"/>
        </w:rPr>
        <w:t xml:space="preserve">Ha bármilyen további kérdése van a gyógyszer alkalmazásával kapcsolatban, kérdezze meg kezelőorvosát, gyógyszerészét vagy a </w:t>
      </w:r>
      <w:r w:rsidRPr="00D045B3">
        <w:rPr>
          <w:noProof/>
          <w:szCs w:val="24"/>
          <w:lang w:val="hu-HU"/>
        </w:rPr>
        <w:t>gondozását végző egészségügyi szakembert</w:t>
      </w:r>
      <w:r w:rsidRPr="00D045B3">
        <w:rPr>
          <w:color w:val="000000"/>
          <w:lang w:val="hu-HU"/>
        </w:rPr>
        <w:t>.</w:t>
      </w:r>
    </w:p>
    <w:p w14:paraId="1E927EF4" w14:textId="77777777" w:rsidR="004E7286" w:rsidRPr="00D045B3" w:rsidRDefault="004E7286" w:rsidP="004E7286">
      <w:pPr>
        <w:spacing w:line="240" w:lineRule="auto"/>
        <w:ind w:right="-2"/>
        <w:rPr>
          <w:color w:val="000000"/>
          <w:lang w:val="hu-HU"/>
        </w:rPr>
      </w:pPr>
    </w:p>
    <w:p w14:paraId="1E927EF5" w14:textId="77777777" w:rsidR="004E7286" w:rsidRPr="00D045B3" w:rsidRDefault="004E7286" w:rsidP="004E7286">
      <w:pPr>
        <w:spacing w:line="240" w:lineRule="auto"/>
        <w:ind w:right="-2"/>
        <w:rPr>
          <w:color w:val="000000"/>
          <w:lang w:val="hu-HU"/>
        </w:rPr>
      </w:pPr>
    </w:p>
    <w:p w14:paraId="1E927EF6" w14:textId="77777777" w:rsidR="004E7286" w:rsidRPr="00D045B3" w:rsidRDefault="004E7286" w:rsidP="004E7286">
      <w:pPr>
        <w:keepNext/>
        <w:spacing w:line="240" w:lineRule="auto"/>
        <w:ind w:left="567" w:right="-2" w:hanging="567"/>
        <w:rPr>
          <w:b/>
          <w:color w:val="000000"/>
          <w:lang w:val="hu-HU"/>
        </w:rPr>
      </w:pPr>
      <w:r w:rsidRPr="00D045B3">
        <w:rPr>
          <w:b/>
          <w:color w:val="000000"/>
          <w:lang w:val="hu-HU"/>
        </w:rPr>
        <w:t>4.</w:t>
      </w:r>
      <w:r w:rsidRPr="00D045B3">
        <w:rPr>
          <w:b/>
          <w:color w:val="000000"/>
          <w:lang w:val="hu-HU"/>
        </w:rPr>
        <w:tab/>
        <w:t>Lehetséges mellékhatások</w:t>
      </w:r>
    </w:p>
    <w:p w14:paraId="1E927EF7" w14:textId="77777777" w:rsidR="004E7286" w:rsidRPr="00D045B3" w:rsidRDefault="004E7286" w:rsidP="004E7286">
      <w:pPr>
        <w:keepNext/>
        <w:spacing w:line="240" w:lineRule="auto"/>
        <w:ind w:right="-29"/>
        <w:rPr>
          <w:color w:val="000000"/>
          <w:lang w:val="hu-HU"/>
        </w:rPr>
      </w:pPr>
    </w:p>
    <w:p w14:paraId="1E927EF8" w14:textId="77777777" w:rsidR="004E7286" w:rsidRPr="00D045B3" w:rsidRDefault="004E7286" w:rsidP="004E7286">
      <w:pPr>
        <w:keepNext/>
        <w:ind w:right="-29"/>
        <w:rPr>
          <w:color w:val="000000"/>
          <w:lang w:val="hu-HU"/>
        </w:rPr>
      </w:pPr>
      <w:r w:rsidRPr="00D045B3">
        <w:rPr>
          <w:color w:val="000000"/>
          <w:lang w:val="hu-HU"/>
        </w:rPr>
        <w:t xml:space="preserve">Mint minden gyógyszer, így </w:t>
      </w:r>
      <w:r w:rsidRPr="00D045B3">
        <w:rPr>
          <w:noProof/>
          <w:szCs w:val="24"/>
          <w:lang w:val="hu-HU"/>
        </w:rPr>
        <w:t>ez a gyógyszer</w:t>
      </w:r>
      <w:r w:rsidRPr="00D045B3">
        <w:rPr>
          <w:lang w:val="hu-HU"/>
        </w:rPr>
        <w:t xml:space="preserve"> </w:t>
      </w:r>
      <w:r w:rsidRPr="00D045B3">
        <w:rPr>
          <w:color w:val="000000"/>
          <w:lang w:val="hu-HU"/>
        </w:rPr>
        <w:t>is okozhat mellékhatásokat, amelyek azonban nem mindenkinél jelentkeznek. A mellékhatások rendszerint enyhék vagy mérsékeltek.</w:t>
      </w:r>
    </w:p>
    <w:p w14:paraId="1E927EF9" w14:textId="77777777" w:rsidR="004E7286" w:rsidRPr="00D045B3" w:rsidRDefault="004E7286" w:rsidP="004E7286">
      <w:pPr>
        <w:ind w:right="-29"/>
        <w:rPr>
          <w:color w:val="000000"/>
          <w:lang w:val="hu-HU"/>
        </w:rPr>
      </w:pPr>
    </w:p>
    <w:p w14:paraId="1E927EFA" w14:textId="77777777" w:rsidR="004E7286" w:rsidRPr="00D045B3" w:rsidRDefault="004E7286" w:rsidP="00CA41FD">
      <w:pPr>
        <w:spacing w:line="240" w:lineRule="auto"/>
        <w:rPr>
          <w:b/>
          <w:color w:val="000000"/>
          <w:lang w:val="hu-HU"/>
        </w:rPr>
      </w:pPr>
      <w:r w:rsidRPr="00D045B3">
        <w:rPr>
          <w:b/>
          <w:color w:val="000000"/>
          <w:lang w:val="hu-HU"/>
        </w:rPr>
        <w:t>Néhány mellékhatás súlyos lehet. Azonnal forduljon kezelőorvosához, ha az alábbiak közül bármelyiket észleli:</w:t>
      </w:r>
    </w:p>
    <w:p w14:paraId="1E927EFB" w14:textId="77777777" w:rsidR="004E7286" w:rsidRPr="00D045B3" w:rsidRDefault="004E7286" w:rsidP="00CA41FD">
      <w:pPr>
        <w:spacing w:line="240" w:lineRule="auto"/>
        <w:rPr>
          <w:iCs/>
          <w:color w:val="000000"/>
          <w:lang w:val="hu-HU"/>
        </w:rPr>
      </w:pPr>
    </w:p>
    <w:p w14:paraId="1E927EFC" w14:textId="14F79531" w:rsidR="004E7286" w:rsidRPr="00D045B3" w:rsidRDefault="004E7286" w:rsidP="004E7286">
      <w:pPr>
        <w:keepNext/>
        <w:spacing w:line="240" w:lineRule="auto"/>
        <w:rPr>
          <w:b/>
          <w:bCs/>
          <w:iCs/>
          <w:color w:val="000000"/>
          <w:lang w:val="hu-HU"/>
        </w:rPr>
      </w:pPr>
      <w:r w:rsidRPr="00D045B3">
        <w:rPr>
          <w:b/>
          <w:bCs/>
          <w:iCs/>
          <w:color w:val="000000"/>
          <w:lang w:val="hu-HU"/>
        </w:rPr>
        <w:t>Nagyon gyakori</w:t>
      </w:r>
      <w:r w:rsidR="00EA1A66" w:rsidRPr="00D045B3">
        <w:rPr>
          <w:b/>
          <w:bCs/>
          <w:iCs/>
          <w:color w:val="000000"/>
          <w:lang w:val="hu-HU"/>
        </w:rPr>
        <w:t xml:space="preserve"> </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bCs/>
          <w:iCs/>
          <w:color w:val="000000"/>
          <w:lang w:val="hu-HU"/>
        </w:rPr>
        <w:t xml:space="preserve"> vagy gyakori</w:t>
      </w:r>
      <w:r w:rsidR="00606619" w:rsidRPr="00D045B3">
        <w:rPr>
          <w:b/>
          <w:bCs/>
          <w:iCs/>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bCs/>
          <w:iCs/>
          <w:color w:val="000000"/>
          <w:lang w:val="hu-HU"/>
        </w:rPr>
        <w:t>:</w:t>
      </w:r>
    </w:p>
    <w:p w14:paraId="1E927EFD" w14:textId="77777777" w:rsidR="004E7286" w:rsidRPr="00D045B3" w:rsidRDefault="004E7286" w:rsidP="00E95370">
      <w:pPr>
        <w:keepNext/>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Gyors testtömeg</w:t>
      </w:r>
      <w:r w:rsidRPr="00D045B3">
        <w:rPr>
          <w:color w:val="000000"/>
          <w:lang w:val="hu-HU"/>
        </w:rPr>
        <w:noBreakHyphen/>
        <w:t>gyarapodás. Az Imatinib Actavis hatására szervezete vizet tarthat vissza (úgynevezett súlyos folyadékretenció).</w:t>
      </w:r>
    </w:p>
    <w:p w14:paraId="1E927EFE" w14:textId="77777777" w:rsidR="004E7286" w:rsidRPr="00D045B3" w:rsidRDefault="004E7286"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Fertőzésre utaló jelek, pl. láz, nagyfokú hidegrázás, torokfájás, szájfekélyek. Az Imatinib Actavis csökkentheti a vérben a fehérvérsejtek számát, ezáltal Ön könnyebben kapja el a fertőzéseket.</w:t>
      </w:r>
    </w:p>
    <w:p w14:paraId="1E927EFF" w14:textId="77777777" w:rsidR="004E7286" w:rsidRPr="00D045B3" w:rsidRDefault="004E7286"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Váratlan vérzés vagy véraláfutás (olyankor, amikor nem sértette meg magát).</w:t>
      </w:r>
    </w:p>
    <w:p w14:paraId="1E927F00" w14:textId="77777777" w:rsidR="004E7286" w:rsidRPr="00D045B3" w:rsidRDefault="004E7286" w:rsidP="004E7286">
      <w:pPr>
        <w:spacing w:line="240" w:lineRule="auto"/>
        <w:rPr>
          <w:color w:val="000000"/>
          <w:lang w:val="hu-HU"/>
        </w:rPr>
      </w:pPr>
    </w:p>
    <w:p w14:paraId="1E927F01" w14:textId="549A5AA5" w:rsidR="004E7286" w:rsidRPr="00D045B3" w:rsidRDefault="004E7286" w:rsidP="004E7286">
      <w:pPr>
        <w:keepNext/>
        <w:spacing w:line="240" w:lineRule="auto"/>
        <w:rPr>
          <w:b/>
          <w:bCs/>
          <w:iCs/>
          <w:color w:val="000000"/>
          <w:lang w:val="hu-HU"/>
        </w:rPr>
      </w:pPr>
      <w:r w:rsidRPr="00D045B3">
        <w:rPr>
          <w:b/>
          <w:bCs/>
          <w:iCs/>
          <w:color w:val="000000"/>
          <w:lang w:val="hu-HU"/>
        </w:rPr>
        <w:t>Nem gyakori</w:t>
      </w:r>
      <w:r w:rsidR="0038118C" w:rsidRPr="00D045B3">
        <w:rPr>
          <w:b/>
          <w:bCs/>
          <w:iCs/>
          <w:color w:val="000000"/>
          <w:lang w:val="hu-HU"/>
        </w:rPr>
        <w:t xml:space="preserve"> </w:t>
      </w:r>
      <w:r w:rsidRPr="00D045B3">
        <w:rPr>
          <w:bCs/>
          <w:iCs/>
          <w:color w:val="000000"/>
          <w:lang w:val="hu-HU"/>
        </w:rPr>
        <w:t>(100</w:t>
      </w:r>
      <w:r w:rsidRPr="00D045B3">
        <w:rPr>
          <w:bCs/>
          <w:iCs/>
          <w:color w:val="000000"/>
          <w:lang w:val="hu-HU"/>
        </w:rPr>
        <w:noBreakHyphen/>
        <w:t xml:space="preserve">ból legfeljebb1 beteget érinthetnek) </w:t>
      </w:r>
      <w:r w:rsidRPr="00D045B3">
        <w:rPr>
          <w:b/>
          <w:bCs/>
          <w:iCs/>
          <w:color w:val="000000"/>
          <w:lang w:val="hu-HU"/>
        </w:rPr>
        <w:t>vagy ritka</w:t>
      </w:r>
      <w:r w:rsidR="00606619" w:rsidRPr="00D045B3">
        <w:rPr>
          <w:b/>
          <w:bCs/>
          <w:iCs/>
          <w:color w:val="000000"/>
          <w:lang w:val="hu-HU"/>
        </w:rPr>
        <w:t xml:space="preserve"> </w:t>
      </w:r>
      <w:r w:rsidRPr="00D045B3">
        <w:rPr>
          <w:bCs/>
          <w:iCs/>
          <w:color w:val="000000"/>
          <w:lang w:val="hu-HU"/>
        </w:rPr>
        <w:t>(1000</w:t>
      </w:r>
      <w:r w:rsidRPr="00D045B3">
        <w:rPr>
          <w:bCs/>
          <w:iCs/>
          <w:color w:val="000000"/>
          <w:lang w:val="hu-HU"/>
        </w:rPr>
        <w:noBreakHyphen/>
        <w:t>ből legfeljebb1 beteget érinthetnek)</w:t>
      </w:r>
      <w:r w:rsidRPr="00D045B3">
        <w:rPr>
          <w:b/>
          <w:bCs/>
          <w:iCs/>
          <w:color w:val="000000"/>
          <w:lang w:val="hu-HU"/>
        </w:rPr>
        <w:t>:</w:t>
      </w:r>
    </w:p>
    <w:p w14:paraId="1E927F02" w14:textId="77777777" w:rsidR="004E7286" w:rsidRPr="00D045B3" w:rsidRDefault="004E7286" w:rsidP="00E95370">
      <w:pPr>
        <w:keepNext/>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Mellkasi fájdalom, szabálytalan szívverés (szívproblémákra utaló jelek).</w:t>
      </w:r>
    </w:p>
    <w:p w14:paraId="1E927F03"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Köhögés, légszomj vagy fájdalmas légzés (tüdőproblémákra utaló jelek).</w:t>
      </w:r>
    </w:p>
    <w:p w14:paraId="1E927F04"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Kábultság, szédülés vagy ájulás közeli érzés (alacsony vérnyomásra utaló jelek).</w:t>
      </w:r>
    </w:p>
    <w:p w14:paraId="1E927F05"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étvágytalansággal, sötét színű vizelettel vagy a bőr, illetve a szemfehérje besárgulásával (májrendellenességre utaló jelek).</w:t>
      </w:r>
    </w:p>
    <w:p w14:paraId="1E927F06"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Bőrkiütés, bőrpír, hólyagokkal az ajkakon, szemeken, bőrön vagy a szájban, a bőr hámlása, láz, a bőr felszínéből kiemelkedő vörös vagy lila foltok, viszketés, égő érzés, gennyes hólyagokkal jelentkező bőrkiütés (bőrproblémákra utaló jelek).</w:t>
      </w:r>
    </w:p>
    <w:p w14:paraId="1E927F07"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hasi fájdalom, vér a hányadékban, a székletben vagy a vizeletben, fekete széklet (gyomor-bélrendszeri problémákra utaló jelek).</w:t>
      </w:r>
    </w:p>
    <w:p w14:paraId="1E927F08"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vizelet mennyiségének nagymértékű csökkenése, szomjúság érzés (veseproblémákra utaló jelek).</w:t>
      </w:r>
    </w:p>
    <w:p w14:paraId="1E927F09"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hasmenéssel és hányással, hasfájás vagy láz (bélrendellenességre utaló jelek).</w:t>
      </w:r>
    </w:p>
    <w:p w14:paraId="1E927F0A" w14:textId="440580E3"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fejfájás, a végtagok vagy az arc</w:t>
      </w:r>
      <w:r w:rsidR="00BC7CD9" w:rsidRPr="00D045B3">
        <w:rPr>
          <w:color w:val="000000"/>
          <w:lang w:val="hu-HU"/>
        </w:rPr>
        <w:t>izmok</w:t>
      </w:r>
      <w:r w:rsidRPr="00D045B3">
        <w:rPr>
          <w:color w:val="000000"/>
          <w:lang w:val="hu-HU"/>
        </w:rPr>
        <w:t xml:space="preserve"> gyengesége vagy bénulása, nehezített beszéd, hirtelen eszméletvesztés (idegrendszeri problémákra, mint például a koponyán belüli vagy az agyban kialakuló vérzésre vagy vizenyőre utaló jelek).</w:t>
      </w:r>
    </w:p>
    <w:p w14:paraId="1E927F0B"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Sápadt bőr, fáradtság és légszomj, valamint sötét vizelet (alacsony vörösvértestszámra utaló jelek).</w:t>
      </w:r>
    </w:p>
    <w:p w14:paraId="1E927F0C"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Szemfájdalom vagy a látás romlása, szemen belüli vérzés.</w:t>
      </w:r>
    </w:p>
    <w:p w14:paraId="1E927F0D"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Csípőfájdalom vagy a járás nehezítettsége.</w:t>
      </w:r>
    </w:p>
    <w:p w14:paraId="1E927F0E"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láb- és kézujjak zsibbadása vagy hidegsége (Raynaud-szindrómára utaló jelek).</w:t>
      </w:r>
    </w:p>
    <w:p w14:paraId="1E927F0F"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bőr hirtelen duzzadása és vörössége (cellulitisz nevű bőrfertőzésre utaló jelek).</w:t>
      </w:r>
    </w:p>
    <w:p w14:paraId="1E927F10"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Halláscsökkenés.</w:t>
      </w:r>
    </w:p>
    <w:p w14:paraId="1E927F11"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Izomgyengeség és izomgörcsök szívritmuszavarral (a vérben lévő kálium</w:t>
      </w:r>
      <w:r w:rsidRPr="00D045B3">
        <w:rPr>
          <w:color w:val="000000"/>
          <w:lang w:val="hu-HU"/>
        </w:rPr>
        <w:noBreakHyphen/>
        <w:t>mennyiség változásának jelei).</w:t>
      </w:r>
    </w:p>
    <w:p w14:paraId="1E927F12"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Véraláfutás.</w:t>
      </w:r>
    </w:p>
    <w:p w14:paraId="1E927F13"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Gyomorfájdalom émelygéssel (hányingerrel).</w:t>
      </w:r>
    </w:p>
    <w:p w14:paraId="1E927F14"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Izomgörcsök lázzal, vöröses-barna színű vizelettel, izomfájdalommal vagy izomgyengeséggel (izomproblémákra utaló jelek).</w:t>
      </w:r>
    </w:p>
    <w:p w14:paraId="1E927F15" w14:textId="77777777" w:rsidR="004E7286" w:rsidRPr="00D045B3" w:rsidRDefault="004E728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Kismedencei fájdalom, néha hányingerrel és hányással, váratlan hüvelyi vérzéssel, szédüléssel vagy ájulás közeli érzéssel, mely az alacsony vérnyomásnak tulajdonítható (petefészek- vagy méhproblémákra utaló jelek).</w:t>
      </w:r>
    </w:p>
    <w:p w14:paraId="1E927F16" w14:textId="0DFA4D49" w:rsidR="007E4228" w:rsidRPr="00D045B3" w:rsidRDefault="007E4228"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Kóros laboratóriumi vizsgálati eredményekkel (pl. magas kálium-, húgysav- és kalciumszint, valamint alacsony foszforszint, a vérben) összefüggő hányinger, légszomj, rendszertelen szívverés, zavaros vizelet, fáradtság és/vagy ízületi fájdalom.</w:t>
      </w:r>
    </w:p>
    <w:p w14:paraId="56739BF2" w14:textId="212FEFC0" w:rsidR="000E7C9E" w:rsidRPr="00D045B3" w:rsidRDefault="000E7C9E" w:rsidP="001511DA">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Vérrögök a kis vérerekben (trombotikus mikroangiopátia).</w:t>
      </w:r>
    </w:p>
    <w:p w14:paraId="1E927F17" w14:textId="77777777" w:rsidR="007E4228" w:rsidRPr="00D045B3" w:rsidRDefault="007E4228" w:rsidP="007E4228">
      <w:pPr>
        <w:tabs>
          <w:tab w:val="clear" w:pos="567"/>
        </w:tabs>
        <w:suppressAutoHyphens/>
        <w:spacing w:line="240" w:lineRule="auto"/>
        <w:rPr>
          <w:color w:val="000000"/>
          <w:lang w:val="hu-HU"/>
        </w:rPr>
      </w:pPr>
    </w:p>
    <w:p w14:paraId="1E927F18" w14:textId="77777777" w:rsidR="007E4228" w:rsidRPr="00D045B3" w:rsidRDefault="007E4228" w:rsidP="007E4228">
      <w:pPr>
        <w:pStyle w:val="Default"/>
        <w:rPr>
          <w:sz w:val="22"/>
          <w:szCs w:val="22"/>
        </w:rPr>
      </w:pPr>
      <w:r w:rsidRPr="00D045B3">
        <w:rPr>
          <w:b/>
          <w:bCs/>
          <w:sz w:val="22"/>
          <w:szCs w:val="22"/>
        </w:rPr>
        <w:t xml:space="preserve">Nem ismert </w:t>
      </w:r>
      <w:r w:rsidRPr="00D045B3">
        <w:rPr>
          <w:sz w:val="22"/>
          <w:szCs w:val="22"/>
        </w:rPr>
        <w:t xml:space="preserve">(a gyakoriság a rendelkezésre álló adatokból nem állapítható meg): </w:t>
      </w:r>
    </w:p>
    <w:p w14:paraId="1E927F19" w14:textId="77777777" w:rsidR="007E4228" w:rsidRPr="00D045B3" w:rsidRDefault="007E4228" w:rsidP="00E95370">
      <w:pPr>
        <w:pStyle w:val="Default"/>
        <w:numPr>
          <w:ilvl w:val="0"/>
          <w:numId w:val="29"/>
        </w:numPr>
        <w:ind w:left="567" w:hanging="567"/>
        <w:rPr>
          <w:sz w:val="22"/>
          <w:szCs w:val="22"/>
        </w:rPr>
      </w:pPr>
      <w:r w:rsidRPr="00D045B3">
        <w:rPr>
          <w:sz w:val="22"/>
          <w:szCs w:val="22"/>
        </w:rPr>
        <w:t xml:space="preserve">Kiterjedt, súlyos bőrkiütés, hányinger, láz, bizonyos fehérvérsejtek magas számának vagy a bőr, illetve a szemfehérje besárgulásának (sárgaság tünetei) kombinációja, légszomjjal, mellkasi fájdalommal/kellemetlen érzéssel, nagymértékben csökkent vizeletürítéssel és szomjúsággal stb. (ezek a kezeléssel összefüggő allergiás reakció jelei). </w:t>
      </w:r>
    </w:p>
    <w:p w14:paraId="1E927F1A" w14:textId="16D23277" w:rsidR="00860891" w:rsidRPr="00D045B3" w:rsidRDefault="00066F38" w:rsidP="008157F6">
      <w:pPr>
        <w:numPr>
          <w:ilvl w:val="0"/>
          <w:numId w:val="29"/>
        </w:numPr>
        <w:tabs>
          <w:tab w:val="clear" w:pos="567"/>
        </w:tabs>
        <w:suppressAutoHyphens/>
        <w:spacing w:line="240" w:lineRule="auto"/>
        <w:ind w:hanging="720"/>
        <w:rPr>
          <w:color w:val="000000"/>
          <w:lang w:val="hu-HU"/>
        </w:rPr>
      </w:pPr>
      <w:r w:rsidRPr="00D045B3">
        <w:rPr>
          <w:szCs w:val="22"/>
          <w:lang w:val="hu-HU"/>
        </w:rPr>
        <w:t>K</w:t>
      </w:r>
      <w:r w:rsidR="00576401" w:rsidRPr="00D045B3">
        <w:rPr>
          <w:szCs w:val="22"/>
          <w:lang w:val="hu-HU"/>
        </w:rPr>
        <w:t>rónikus veseelégtelenség</w:t>
      </w:r>
      <w:r w:rsidRPr="00D045B3">
        <w:rPr>
          <w:szCs w:val="22"/>
          <w:lang w:val="hu-HU"/>
        </w:rPr>
        <w:t>.</w:t>
      </w:r>
    </w:p>
    <w:p w14:paraId="1E927F1B" w14:textId="77777777" w:rsidR="00576401" w:rsidRPr="00D045B3" w:rsidRDefault="00860891" w:rsidP="009A0CF7">
      <w:pPr>
        <w:numPr>
          <w:ilvl w:val="0"/>
          <w:numId w:val="29"/>
        </w:numPr>
        <w:tabs>
          <w:tab w:val="clear" w:pos="567"/>
        </w:tabs>
        <w:suppressAutoHyphens/>
        <w:spacing w:line="240" w:lineRule="auto"/>
        <w:ind w:hanging="720"/>
        <w:rPr>
          <w:color w:val="000000"/>
          <w:lang w:val="hu-HU"/>
        </w:rPr>
      </w:pPr>
      <w:r w:rsidRPr="00D045B3">
        <w:rPr>
          <w:color w:val="000000"/>
          <w:lang w:val="hu-HU"/>
        </w:rPr>
        <w:t>A hepatitisz B fertőzés kiújulása (reaktiválódása), ha Önnek korábban hepatitisz B fertőzése (egy májfertőzés) volt.</w:t>
      </w:r>
    </w:p>
    <w:p w14:paraId="1E927F1C" w14:textId="77777777" w:rsidR="007E4228" w:rsidRPr="00D045B3" w:rsidRDefault="007E4228" w:rsidP="007E4228">
      <w:pPr>
        <w:pStyle w:val="Default"/>
        <w:rPr>
          <w:sz w:val="22"/>
          <w:szCs w:val="22"/>
        </w:rPr>
      </w:pPr>
    </w:p>
    <w:p w14:paraId="1E927F1D" w14:textId="77777777" w:rsidR="004E7286" w:rsidRPr="00D045B3" w:rsidRDefault="004E7286" w:rsidP="004E7286">
      <w:pPr>
        <w:spacing w:line="240" w:lineRule="auto"/>
        <w:rPr>
          <w:color w:val="000000"/>
          <w:lang w:val="hu-HU"/>
        </w:rPr>
      </w:pPr>
      <w:r w:rsidRPr="00D045B3">
        <w:rPr>
          <w:b/>
          <w:color w:val="000000"/>
          <w:lang w:val="hu-HU"/>
        </w:rPr>
        <w:t xml:space="preserve">Azonnal forduljon kezelőorvosához, </w:t>
      </w:r>
      <w:r w:rsidRPr="00D045B3">
        <w:rPr>
          <w:color w:val="000000"/>
          <w:lang w:val="hu-HU"/>
        </w:rPr>
        <w:t>ha a fentiek közül bármelyiket észleli!</w:t>
      </w:r>
    </w:p>
    <w:p w14:paraId="1E927F1E" w14:textId="77777777" w:rsidR="004E7286" w:rsidRPr="00D045B3" w:rsidRDefault="004E7286" w:rsidP="004E7286">
      <w:pPr>
        <w:spacing w:line="240" w:lineRule="auto"/>
        <w:rPr>
          <w:color w:val="000000"/>
          <w:lang w:val="hu-HU"/>
        </w:rPr>
      </w:pPr>
    </w:p>
    <w:p w14:paraId="1E927F1F" w14:textId="77777777" w:rsidR="004E7286" w:rsidRPr="00D045B3" w:rsidRDefault="004E7286" w:rsidP="004E7286">
      <w:pPr>
        <w:keepNext/>
        <w:spacing w:line="240" w:lineRule="auto"/>
        <w:rPr>
          <w:b/>
          <w:color w:val="000000"/>
          <w:lang w:val="hu-HU"/>
        </w:rPr>
      </w:pPr>
      <w:r w:rsidRPr="00D045B3">
        <w:rPr>
          <w:b/>
          <w:color w:val="000000"/>
          <w:lang w:val="hu-HU"/>
        </w:rPr>
        <w:t>További lehetséges mellékhatások:</w:t>
      </w:r>
    </w:p>
    <w:p w14:paraId="1E927F20" w14:textId="77777777" w:rsidR="004E7286" w:rsidRPr="00D045B3" w:rsidRDefault="004E7286" w:rsidP="004E7286">
      <w:pPr>
        <w:keepNext/>
        <w:spacing w:line="240" w:lineRule="auto"/>
        <w:rPr>
          <w:color w:val="000000"/>
          <w:lang w:val="hu-HU"/>
        </w:rPr>
      </w:pPr>
    </w:p>
    <w:p w14:paraId="1E927F21" w14:textId="18E6B45B" w:rsidR="004E7286" w:rsidRPr="00D045B3" w:rsidRDefault="004E7286" w:rsidP="004E7286">
      <w:pPr>
        <w:keepNext/>
        <w:spacing w:line="240" w:lineRule="auto"/>
        <w:rPr>
          <w:b/>
          <w:color w:val="000000"/>
          <w:lang w:val="hu-HU"/>
        </w:rPr>
      </w:pPr>
      <w:r w:rsidRPr="00D045B3">
        <w:rPr>
          <w:b/>
          <w:color w:val="000000"/>
          <w:lang w:val="hu-HU"/>
        </w:rPr>
        <w:t>Nagyon gyakori</w:t>
      </w:r>
      <w:r w:rsidR="009A0CF7" w:rsidRPr="00D045B3">
        <w:rPr>
          <w:b/>
          <w:color w:val="000000"/>
          <w:lang w:val="hu-HU"/>
        </w:rPr>
        <w:t xml:space="preserve"> </w:t>
      </w:r>
      <w:r w:rsidRPr="00D045B3">
        <w:rPr>
          <w:color w:val="000000"/>
          <w:lang w:val="hu-HU"/>
        </w:rPr>
        <w:t>(</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color w:val="000000"/>
          <w:lang w:val="hu-HU"/>
        </w:rPr>
        <w:t>:</w:t>
      </w:r>
    </w:p>
    <w:p w14:paraId="1E927F22" w14:textId="77777777" w:rsidR="004E7286" w:rsidRPr="00D045B3" w:rsidRDefault="004E7286"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Fejfájás vagy fáradtság.</w:t>
      </w:r>
    </w:p>
    <w:p w14:paraId="1E927F23" w14:textId="77777777" w:rsidR="004E7286" w:rsidRPr="00D045B3" w:rsidRDefault="004E7286"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Hányinger, hányás, hasmenés vagy emésztési zavarok.</w:t>
      </w:r>
    </w:p>
    <w:p w14:paraId="1E927F24" w14:textId="77777777" w:rsidR="004E7286" w:rsidRPr="00D045B3" w:rsidRDefault="004E7286"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Bőrkiütés.</w:t>
      </w:r>
    </w:p>
    <w:p w14:paraId="1E927F25" w14:textId="77777777" w:rsidR="004A4DEE" w:rsidRPr="00D045B3" w:rsidRDefault="004E7286" w:rsidP="00E95370">
      <w:pPr>
        <w:numPr>
          <w:ilvl w:val="0"/>
          <w:numId w:val="15"/>
        </w:numPr>
        <w:tabs>
          <w:tab w:val="clear" w:pos="360"/>
          <w:tab w:val="clear" w:pos="567"/>
          <w:tab w:val="num" w:pos="600"/>
        </w:tabs>
        <w:suppressAutoHyphens/>
        <w:spacing w:line="240" w:lineRule="auto"/>
        <w:ind w:left="600" w:hanging="600"/>
        <w:rPr>
          <w:color w:val="000000"/>
          <w:lang w:val="hu-HU"/>
        </w:rPr>
      </w:pPr>
      <w:r w:rsidRPr="00D045B3">
        <w:rPr>
          <w:color w:val="000000"/>
          <w:lang w:val="hu-HU"/>
        </w:rPr>
        <w:t>Izomgörcsök, vagy ízületi-, izom</w:t>
      </w:r>
      <w:r w:rsidRPr="00D045B3">
        <w:rPr>
          <w:color w:val="000000"/>
          <w:lang w:val="hu-HU"/>
        </w:rPr>
        <w:noBreakHyphen/>
        <w:t xml:space="preserve"> vagy csontfájdalmak</w:t>
      </w:r>
      <w:r w:rsidR="004A4DEE" w:rsidRPr="00D045B3">
        <w:rPr>
          <w:color w:val="000000"/>
          <w:lang w:val="hu-HU"/>
        </w:rPr>
        <w:t>, az imatinib</w:t>
      </w:r>
      <w:r w:rsidR="004A4DEE" w:rsidRPr="00D045B3">
        <w:rPr>
          <w:color w:val="000000"/>
          <w:lang w:val="hu-HU"/>
        </w:rPr>
        <w:noBreakHyphen/>
        <w:t>kezelés alatt, vagy az imatinib szedésének abbahagyását követően.</w:t>
      </w:r>
    </w:p>
    <w:p w14:paraId="1E927F26" w14:textId="22E4AD70" w:rsidR="004E7286" w:rsidRPr="00D045B3" w:rsidRDefault="004E7286"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Duzzanat, mint a bokaduzzanat és a szem</w:t>
      </w:r>
      <w:r w:rsidR="00CB2CF7" w:rsidRPr="00D045B3">
        <w:rPr>
          <w:color w:val="000000"/>
          <w:lang w:val="hu-HU"/>
        </w:rPr>
        <w:t>tájé</w:t>
      </w:r>
      <w:r w:rsidRPr="00D045B3">
        <w:rPr>
          <w:color w:val="000000"/>
          <w:lang w:val="hu-HU"/>
        </w:rPr>
        <w:t>k duzzanata.</w:t>
      </w:r>
    </w:p>
    <w:p w14:paraId="1E927F27" w14:textId="77777777" w:rsidR="004E7286" w:rsidRPr="00D045B3" w:rsidRDefault="004E7286"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Testtömeg</w:t>
      </w:r>
      <w:r w:rsidRPr="00D045B3">
        <w:rPr>
          <w:color w:val="000000"/>
          <w:lang w:val="hu-HU"/>
        </w:rPr>
        <w:noBreakHyphen/>
        <w:t>gyarapodás.</w:t>
      </w:r>
    </w:p>
    <w:p w14:paraId="1E927F28" w14:textId="77777777" w:rsidR="004E7286" w:rsidRPr="00D045B3" w:rsidRDefault="004E7286" w:rsidP="004E7286">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7F29" w14:textId="77777777" w:rsidR="004E7286" w:rsidRPr="00D045B3" w:rsidRDefault="004E7286" w:rsidP="004E7286">
      <w:pPr>
        <w:spacing w:line="240" w:lineRule="auto"/>
        <w:rPr>
          <w:color w:val="000000"/>
          <w:lang w:val="hu-HU"/>
        </w:rPr>
      </w:pPr>
    </w:p>
    <w:p w14:paraId="1E927F2A" w14:textId="65A1D894" w:rsidR="004E7286" w:rsidRPr="00D045B3" w:rsidRDefault="004E7286" w:rsidP="008A6837">
      <w:pPr>
        <w:keepNext/>
        <w:spacing w:line="240" w:lineRule="auto"/>
        <w:rPr>
          <w:b/>
          <w:color w:val="000000"/>
          <w:lang w:val="hu-HU"/>
        </w:rPr>
      </w:pPr>
      <w:r w:rsidRPr="00D045B3">
        <w:rPr>
          <w:b/>
          <w:color w:val="000000"/>
          <w:lang w:val="hu-HU"/>
        </w:rPr>
        <w:t>Gyakori</w:t>
      </w:r>
      <w:r w:rsidR="009A0CF7" w:rsidRPr="00D045B3">
        <w:rPr>
          <w:b/>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color w:val="000000"/>
          <w:lang w:val="hu-HU"/>
        </w:rPr>
        <w:t>:</w:t>
      </w:r>
    </w:p>
    <w:p w14:paraId="1E927F2B"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Étvágytalanság, testtömeg</w:t>
      </w:r>
      <w:r w:rsidRPr="00D045B3">
        <w:rPr>
          <w:color w:val="000000"/>
          <w:lang w:val="hu-HU"/>
        </w:rPr>
        <w:noBreakHyphen/>
        <w:t>csökkenés vagy ízérzési zavarok.</w:t>
      </w:r>
    </w:p>
    <w:p w14:paraId="1E927F2C"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Szédülés vagy gyengeség.</w:t>
      </w:r>
    </w:p>
    <w:p w14:paraId="1E927F2D"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Álmatlanság (inszomnia).</w:t>
      </w:r>
    </w:p>
    <w:p w14:paraId="1E927F2E"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Szemváladékozás viszketéssel, vörösséggel és duzzanattal (kötőhártya gyulladás), fokozott könnyfolyás vagy homályos látás.</w:t>
      </w:r>
    </w:p>
    <w:p w14:paraId="1E927F2F"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Orrvérzés.</w:t>
      </w:r>
    </w:p>
    <w:p w14:paraId="1E927F30"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Hasi fájdalom vagy haspuffadás, fokozott bélgáztermelődés, gyomorégés vagy székrekedés.</w:t>
      </w:r>
    </w:p>
    <w:p w14:paraId="1E927F31"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Viszketés.</w:t>
      </w:r>
    </w:p>
    <w:p w14:paraId="1E927F32"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Szokatlan hajhullás vagy hajritkulás.</w:t>
      </w:r>
    </w:p>
    <w:p w14:paraId="1E927F33"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Kéz</w:t>
      </w:r>
      <w:r w:rsidRPr="00D045B3">
        <w:rPr>
          <w:color w:val="000000"/>
          <w:lang w:val="hu-HU"/>
        </w:rPr>
        <w:noBreakHyphen/>
        <w:t xml:space="preserve"> és lábfejzsibbadás.</w:t>
      </w:r>
    </w:p>
    <w:p w14:paraId="1E927F34"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Szájfekély.</w:t>
      </w:r>
    </w:p>
    <w:p w14:paraId="1E927F35"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Ízületi fájdalom, duzzadással.</w:t>
      </w:r>
    </w:p>
    <w:p w14:paraId="1E927F36"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Szájszárazság, bőrszárazság vagy szemszárazság.</w:t>
      </w:r>
    </w:p>
    <w:p w14:paraId="1E927F37"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A bőr érzékenységének csökkenése vagy fokozódása.</w:t>
      </w:r>
    </w:p>
    <w:p w14:paraId="1E927F38" w14:textId="77777777" w:rsidR="004E7286" w:rsidRPr="00D045B3" w:rsidRDefault="004E7286"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Hőhullámok, hidegrázás vagy éjszakai izzadás.</w:t>
      </w:r>
    </w:p>
    <w:p w14:paraId="1E927F3A" w14:textId="77777777" w:rsidR="004E7286" w:rsidRPr="00D045B3" w:rsidRDefault="004E7286" w:rsidP="00C51567">
      <w:pPr>
        <w:tabs>
          <w:tab w:val="clear" w:pos="567"/>
        </w:tabs>
        <w:suppressAutoHyphens/>
        <w:spacing w:line="240" w:lineRule="auto"/>
        <w:rPr>
          <w:color w:val="000000"/>
          <w:lang w:val="hu-HU"/>
        </w:rPr>
      </w:pPr>
      <w:r w:rsidRPr="00D045B3">
        <w:rPr>
          <w:b/>
          <w:bCs/>
          <w:color w:val="000000"/>
          <w:lang w:val="hu-HU"/>
        </w:rPr>
        <w:t>Forduljon kezelőorvosához</w:t>
      </w:r>
      <w:r w:rsidRPr="00D045B3">
        <w:rPr>
          <w:color w:val="000000"/>
          <w:lang w:val="hu-HU"/>
        </w:rPr>
        <w:t>, ha a fent felsorolt mellékhatások súlyos formában jelentkeznek.</w:t>
      </w:r>
    </w:p>
    <w:p w14:paraId="1E927F3B" w14:textId="77777777" w:rsidR="004E7286" w:rsidRPr="00D045B3" w:rsidRDefault="004E7286" w:rsidP="004E7286">
      <w:pPr>
        <w:spacing w:line="240" w:lineRule="auto"/>
        <w:rPr>
          <w:color w:val="000000"/>
          <w:lang w:val="hu-HU"/>
        </w:rPr>
      </w:pPr>
    </w:p>
    <w:p w14:paraId="1E927F3C" w14:textId="1E0A0599" w:rsidR="004E7286" w:rsidRPr="00D045B3" w:rsidRDefault="004E7286" w:rsidP="004E7286">
      <w:pPr>
        <w:keepNext/>
        <w:spacing w:line="240" w:lineRule="auto"/>
        <w:rPr>
          <w:b/>
          <w:color w:val="000000"/>
          <w:lang w:val="hu-HU"/>
        </w:rPr>
      </w:pPr>
      <w:r w:rsidRPr="00D045B3">
        <w:rPr>
          <w:b/>
          <w:color w:val="000000"/>
          <w:lang w:val="hu-HU"/>
        </w:rPr>
        <w:t xml:space="preserve">Nem ismert </w:t>
      </w:r>
      <w:r w:rsidRPr="00D045B3">
        <w:rPr>
          <w:color w:val="000000"/>
          <w:lang w:val="hu-HU"/>
        </w:rPr>
        <w:t>(a gyakoriság a rendelkezésre álló adatokból nem állapítható meg):</w:t>
      </w:r>
    </w:p>
    <w:p w14:paraId="1E927F3D" w14:textId="77777777" w:rsidR="004E7286" w:rsidRPr="00D045B3" w:rsidRDefault="004E7286"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A tenyér és a talp kivörösödése és/vagy duzzadása, mely zsibbadással és égő érzéssel járhat.</w:t>
      </w:r>
    </w:p>
    <w:p w14:paraId="1E927F3E" w14:textId="77777777" w:rsidR="00860891" w:rsidRPr="00D045B3" w:rsidRDefault="00860891"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Fájdalmas és/vagy hólyagos bőrelváltozások.</w:t>
      </w:r>
    </w:p>
    <w:p w14:paraId="1E927F3F" w14:textId="77777777" w:rsidR="004E7286" w:rsidRPr="00D045B3" w:rsidRDefault="004E7286"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Lassabb növekedés gyermekeknél és serdülőkorúaknál.</w:t>
      </w:r>
    </w:p>
    <w:p w14:paraId="1E927F40" w14:textId="77777777" w:rsidR="004E7286" w:rsidRPr="00D045B3" w:rsidRDefault="004E7286" w:rsidP="004E7286">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súlyosan érintik Önt.</w:t>
      </w:r>
    </w:p>
    <w:p w14:paraId="1E927F41" w14:textId="77777777" w:rsidR="004E7286" w:rsidRPr="00D045B3" w:rsidRDefault="004E7286" w:rsidP="004E7286">
      <w:pPr>
        <w:spacing w:line="240" w:lineRule="auto"/>
        <w:ind w:right="-2"/>
        <w:rPr>
          <w:color w:val="000000"/>
          <w:lang w:val="hu-HU"/>
        </w:rPr>
      </w:pPr>
    </w:p>
    <w:p w14:paraId="1E927F42" w14:textId="77777777" w:rsidR="004E7286" w:rsidRPr="00D045B3" w:rsidRDefault="004E7286" w:rsidP="004E7286">
      <w:pPr>
        <w:keepNext/>
        <w:rPr>
          <w:u w:val="single"/>
          <w:lang w:val="hu-HU"/>
        </w:rPr>
      </w:pPr>
      <w:r w:rsidRPr="00D045B3">
        <w:rPr>
          <w:u w:val="single"/>
          <w:lang w:val="hu-HU"/>
        </w:rPr>
        <w:t>Mellékhatások bejelentése</w:t>
      </w:r>
    </w:p>
    <w:p w14:paraId="1E927F43" w14:textId="77777777" w:rsidR="004E7286" w:rsidRPr="00D045B3" w:rsidRDefault="004E7286" w:rsidP="008A6837">
      <w:pPr>
        <w:tabs>
          <w:tab w:val="left" w:pos="9214"/>
        </w:tabs>
        <w:rPr>
          <w:b/>
          <w:bCs/>
          <w:color w:val="000000"/>
          <w:lang w:val="hu-HU" w:eastAsia="hu-HU"/>
        </w:rPr>
      </w:pPr>
      <w:r w:rsidRPr="00D045B3">
        <w:rPr>
          <w:color w:val="000000"/>
          <w:lang w:val="hu-HU"/>
        </w:rPr>
        <w:t xml:space="preserve">Ha Önnél bármilyen mellékhatás jelentkezik, tájékoztassa kezelőorvosát, gyógyszerészét vagy </w:t>
      </w:r>
      <w:r w:rsidRPr="00D045B3">
        <w:rPr>
          <w:noProof/>
          <w:szCs w:val="24"/>
          <w:lang w:val="hu-HU"/>
        </w:rPr>
        <w:t>a gondozását végző egészségügyi szakembert</w:t>
      </w:r>
      <w:r w:rsidRPr="00D045B3">
        <w:rPr>
          <w:color w:val="000000"/>
          <w:lang w:val="hu-HU"/>
        </w:rPr>
        <w:t xml:space="preserve">. Ez a betegtájékoztatóban fel nem sorolt bármilyen lehetséges mellékhatásra is vonatkozik. </w:t>
      </w:r>
      <w:r w:rsidRPr="00D045B3">
        <w:rPr>
          <w:lang w:val="hu-HU"/>
        </w:rPr>
        <w:t xml:space="preserve">A mellékhatásokat közvetlenül a hatóság részére is bejelentheti az </w:t>
      </w:r>
      <w:hyperlink r:id="rId17" w:history="1">
        <w:r w:rsidR="004A4DEE" w:rsidRPr="00D045B3">
          <w:rPr>
            <w:rStyle w:val="Hyperlink"/>
            <w:highlight w:val="lightGray"/>
            <w:shd w:val="pct15" w:color="auto" w:fill="FFFFFF"/>
            <w:lang w:val="hu-HU"/>
          </w:rPr>
          <w:t>V. függelékben</w:t>
        </w:r>
      </w:hyperlink>
      <w:r w:rsidRPr="00D045B3">
        <w:rPr>
          <w:highlight w:val="lightGray"/>
          <w:lang w:val="hu-HU"/>
        </w:rPr>
        <w:t xml:space="preserve"> található</w:t>
      </w:r>
      <w:r w:rsidRPr="00D045B3">
        <w:rPr>
          <w:lang w:val="hu-HU"/>
        </w:rPr>
        <w:t xml:space="preserve"> elérhetőségeken keresztül. A mellékhatások bejelentésével Ön is hozzájárulhat ahhoz, hogy minél több információ álljon rendelkezésre a gyógyszer biztonságos alkalmazásával kapcsolatban.</w:t>
      </w:r>
    </w:p>
    <w:p w14:paraId="1E927F44" w14:textId="77777777" w:rsidR="004E7286" w:rsidRPr="00D045B3" w:rsidRDefault="004E7286" w:rsidP="004E7286">
      <w:pPr>
        <w:spacing w:line="240" w:lineRule="auto"/>
        <w:ind w:right="-2"/>
        <w:rPr>
          <w:color w:val="000000"/>
          <w:lang w:val="hu-HU"/>
        </w:rPr>
      </w:pPr>
    </w:p>
    <w:p w14:paraId="1E927F45" w14:textId="77777777" w:rsidR="004E7286" w:rsidRPr="00D045B3" w:rsidRDefault="004E7286" w:rsidP="004E7286">
      <w:pPr>
        <w:keepNext/>
        <w:spacing w:line="240" w:lineRule="auto"/>
        <w:rPr>
          <w:color w:val="000000"/>
          <w:lang w:val="hu-HU"/>
        </w:rPr>
      </w:pPr>
    </w:p>
    <w:p w14:paraId="1E927F46" w14:textId="77777777" w:rsidR="004E7286" w:rsidRPr="00D045B3" w:rsidRDefault="004E7286" w:rsidP="004E7286">
      <w:pPr>
        <w:keepNext/>
        <w:spacing w:line="240" w:lineRule="auto"/>
        <w:ind w:left="567" w:hanging="567"/>
        <w:rPr>
          <w:b/>
          <w:color w:val="000000"/>
          <w:lang w:val="hu-HU"/>
        </w:rPr>
      </w:pPr>
      <w:r w:rsidRPr="00D045B3">
        <w:rPr>
          <w:b/>
          <w:color w:val="000000"/>
          <w:lang w:val="hu-HU"/>
        </w:rPr>
        <w:t>5.</w:t>
      </w:r>
      <w:r w:rsidRPr="00D045B3">
        <w:rPr>
          <w:b/>
          <w:color w:val="000000"/>
          <w:lang w:val="hu-HU"/>
        </w:rPr>
        <w:tab/>
        <w:t>Hogyan kell az Imatinib Actavis</w:t>
      </w:r>
      <w:r w:rsidRPr="00D045B3">
        <w:rPr>
          <w:b/>
          <w:color w:val="000000"/>
          <w:lang w:val="hu-HU"/>
        </w:rPr>
        <w:noBreakHyphen/>
        <w:t>t tárolni?</w:t>
      </w:r>
    </w:p>
    <w:p w14:paraId="1E927F47" w14:textId="77777777" w:rsidR="004E7286" w:rsidRPr="00D045B3" w:rsidRDefault="004E7286" w:rsidP="004E7286">
      <w:pPr>
        <w:keepNext/>
        <w:spacing w:line="240" w:lineRule="auto"/>
        <w:rPr>
          <w:color w:val="000000"/>
          <w:lang w:val="hu-HU"/>
        </w:rPr>
      </w:pPr>
    </w:p>
    <w:p w14:paraId="1E927F48" w14:textId="77777777" w:rsidR="004E7286" w:rsidRPr="00D045B3" w:rsidRDefault="004E7286" w:rsidP="004E7286">
      <w:pPr>
        <w:keepNext/>
        <w:tabs>
          <w:tab w:val="clear" w:pos="567"/>
        </w:tabs>
        <w:suppressAutoHyphens/>
        <w:spacing w:line="240" w:lineRule="auto"/>
        <w:rPr>
          <w:color w:val="000000"/>
          <w:lang w:val="hu-HU"/>
        </w:rPr>
      </w:pPr>
      <w:r w:rsidRPr="00D045B3">
        <w:rPr>
          <w:color w:val="000000"/>
          <w:lang w:val="hu-HU"/>
        </w:rPr>
        <w:t>A gyógyszer gyermekektől elzárva tartandó!</w:t>
      </w:r>
    </w:p>
    <w:p w14:paraId="1E927F49" w14:textId="77777777" w:rsidR="004E7286" w:rsidRPr="00D045B3" w:rsidRDefault="004E7286" w:rsidP="004E7286">
      <w:pPr>
        <w:pStyle w:val="KeinLeerraum"/>
        <w:rPr>
          <w:rFonts w:ascii="Times New Roman" w:hAnsi="Times New Roman"/>
        </w:rPr>
      </w:pPr>
      <w:r w:rsidRPr="00D045B3">
        <w:rPr>
          <w:rFonts w:ascii="Times New Roman" w:hAnsi="Times New Roman"/>
          <w:color w:val="000000"/>
        </w:rPr>
        <w:t xml:space="preserve">A dobozon </w:t>
      </w:r>
      <w:r w:rsidR="00066F38" w:rsidRPr="00D045B3">
        <w:rPr>
          <w:rFonts w:ascii="Times New Roman" w:hAnsi="Times New Roman"/>
          <w:color w:val="000000"/>
        </w:rPr>
        <w:t xml:space="preserve">és a buborékcsomagoláson </w:t>
      </w:r>
      <w:r w:rsidRPr="00D045B3">
        <w:rPr>
          <w:rFonts w:ascii="Times New Roman" w:hAnsi="Times New Roman"/>
          <w:color w:val="000000"/>
        </w:rPr>
        <w:t>feltüntetett lejárati idő</w:t>
      </w:r>
      <w:r w:rsidR="00860891" w:rsidRPr="00D045B3">
        <w:rPr>
          <w:rFonts w:ascii="Times New Roman" w:hAnsi="Times New Roman"/>
          <w:color w:val="000000"/>
        </w:rPr>
        <w:t xml:space="preserve"> (EXP)</w:t>
      </w:r>
      <w:r w:rsidRPr="00D045B3">
        <w:rPr>
          <w:rFonts w:ascii="Times New Roman" w:hAnsi="Times New Roman"/>
          <w:color w:val="000000"/>
        </w:rPr>
        <w:t xml:space="preserve"> után ne alkalmazza ezt </w:t>
      </w:r>
      <w:r w:rsidRPr="00D045B3">
        <w:rPr>
          <w:rFonts w:ascii="Times New Roman" w:hAnsi="Times New Roman"/>
          <w:noProof/>
          <w:szCs w:val="24"/>
        </w:rPr>
        <w:t>a gyógyszert</w:t>
      </w:r>
      <w:r w:rsidRPr="00D045B3">
        <w:rPr>
          <w:rFonts w:ascii="Times New Roman" w:hAnsi="Times New Roman"/>
          <w:color w:val="000000"/>
        </w:rPr>
        <w:t xml:space="preserve">. </w:t>
      </w:r>
      <w:r w:rsidRPr="00D045B3">
        <w:rPr>
          <w:rFonts w:ascii="Times New Roman" w:hAnsi="Times New Roman"/>
        </w:rPr>
        <w:t xml:space="preserve">A lejárati idő az adott hónap utolsó napjára vonatkozik </w:t>
      </w:r>
    </w:p>
    <w:p w14:paraId="1E927F4A" w14:textId="77777777" w:rsidR="004E7286" w:rsidRPr="00D045B3" w:rsidRDefault="004E7286" w:rsidP="004E7286">
      <w:pPr>
        <w:tabs>
          <w:tab w:val="clear" w:pos="567"/>
        </w:tabs>
        <w:suppressAutoHyphens/>
        <w:ind w:right="-2"/>
        <w:rPr>
          <w:color w:val="000000"/>
          <w:lang w:val="hu-HU"/>
        </w:rPr>
      </w:pPr>
      <w:r w:rsidRPr="00D045B3">
        <w:rPr>
          <w:color w:val="000000"/>
          <w:lang w:val="hu-HU"/>
        </w:rPr>
        <w:t>Legfeljebb 25</w:t>
      </w:r>
      <w:r w:rsidRPr="00D045B3">
        <w:rPr>
          <w:color w:val="000000"/>
          <w:lang w:val="hu-HU"/>
        </w:rPr>
        <w:sym w:font="Symbol" w:char="F0B0"/>
      </w:r>
      <w:r w:rsidRPr="00D045B3">
        <w:rPr>
          <w:color w:val="000000"/>
          <w:lang w:val="hu-HU"/>
        </w:rPr>
        <w:t>C</w:t>
      </w:r>
      <w:r w:rsidRPr="00D045B3">
        <w:rPr>
          <w:color w:val="000000"/>
          <w:lang w:val="hu-HU"/>
        </w:rPr>
        <w:noBreakHyphen/>
        <w:t>on tárolandó. A nedvességtől való védelem érdekében az eredeti csomagolásban tárolandó.</w:t>
      </w:r>
    </w:p>
    <w:p w14:paraId="1E927F4B" w14:textId="77777777" w:rsidR="004E7286" w:rsidRPr="00D045B3" w:rsidRDefault="004E7286" w:rsidP="004E7286">
      <w:pPr>
        <w:tabs>
          <w:tab w:val="clear" w:pos="567"/>
        </w:tabs>
        <w:suppressAutoHyphens/>
        <w:spacing w:line="240" w:lineRule="auto"/>
        <w:ind w:right="-2"/>
        <w:rPr>
          <w:color w:val="000000"/>
          <w:lang w:val="hu-HU"/>
        </w:rPr>
      </w:pPr>
      <w:r w:rsidRPr="00D045B3">
        <w:rPr>
          <w:color w:val="000000"/>
          <w:lang w:val="hu-HU"/>
        </w:rPr>
        <w:t>Ne használja fel azt a gyógyszercsomagot, melynek csomagolása sérült, vagy amelyen bármilyen előzetes felnyitásra utaló jel észlelhető.</w:t>
      </w:r>
    </w:p>
    <w:p w14:paraId="1E927F4C" w14:textId="77777777" w:rsidR="00A052B8" w:rsidRPr="00D045B3" w:rsidRDefault="004E7286" w:rsidP="004E7286">
      <w:pPr>
        <w:ind w:right="-2"/>
        <w:rPr>
          <w:color w:val="000000"/>
          <w:lang w:val="hu-HU"/>
        </w:rPr>
      </w:pPr>
      <w:r w:rsidRPr="00D045B3">
        <w:rPr>
          <w:noProof/>
          <w:szCs w:val="24"/>
          <w:lang w:val="hu-HU"/>
        </w:rPr>
        <w:t xml:space="preserve">Semmilyen gyógyszert ne dobjon a szennyvízbe </w:t>
      </w:r>
      <w:r w:rsidRPr="00D045B3">
        <w:rPr>
          <w:lang w:val="hu-HU"/>
        </w:rPr>
        <w:t xml:space="preserve">vagy a háztartási </w:t>
      </w:r>
      <w:r w:rsidRPr="00D045B3">
        <w:rPr>
          <w:noProof/>
          <w:szCs w:val="24"/>
          <w:lang w:val="hu-HU"/>
        </w:rPr>
        <w:t>hulladékba.</w:t>
      </w:r>
      <w:r w:rsidRPr="00D045B3">
        <w:rPr>
          <w:lang w:val="hu-HU"/>
        </w:rPr>
        <w:t xml:space="preserve"> Kérdezze meg gyógyszerészét, hogy mit tegyen </w:t>
      </w:r>
      <w:r w:rsidRPr="00D045B3">
        <w:rPr>
          <w:noProof/>
          <w:szCs w:val="24"/>
          <w:lang w:val="hu-HU"/>
        </w:rPr>
        <w:t>a már nem használt</w:t>
      </w:r>
      <w:r w:rsidRPr="00D045B3">
        <w:rPr>
          <w:lang w:val="hu-HU"/>
        </w:rPr>
        <w:t xml:space="preserve"> gyógyszereivel. Ezek az intézkedések elősegítik a környezet védelmét.</w:t>
      </w:r>
    </w:p>
    <w:p w14:paraId="1E927F4D" w14:textId="77777777" w:rsidR="00A052B8" w:rsidRPr="00D045B3" w:rsidRDefault="00A052B8" w:rsidP="00A052B8">
      <w:pPr>
        <w:ind w:right="-2"/>
        <w:rPr>
          <w:color w:val="000000"/>
          <w:lang w:val="hu-HU"/>
        </w:rPr>
      </w:pPr>
    </w:p>
    <w:p w14:paraId="1E927F4E" w14:textId="77777777" w:rsidR="00A052B8" w:rsidRPr="00D045B3" w:rsidRDefault="00A052B8" w:rsidP="00A052B8">
      <w:pPr>
        <w:ind w:right="-2"/>
        <w:rPr>
          <w:color w:val="000000"/>
          <w:lang w:val="hu-HU"/>
        </w:rPr>
      </w:pPr>
    </w:p>
    <w:p w14:paraId="1E927F4F" w14:textId="77777777" w:rsidR="00A052B8" w:rsidRPr="00D045B3" w:rsidRDefault="00A052B8" w:rsidP="00A052B8">
      <w:pPr>
        <w:keepNext/>
        <w:spacing w:line="240" w:lineRule="auto"/>
        <w:ind w:left="567" w:right="-2" w:hanging="567"/>
        <w:rPr>
          <w:b/>
          <w:color w:val="000000"/>
          <w:lang w:val="hu-HU"/>
        </w:rPr>
      </w:pPr>
      <w:r w:rsidRPr="00D045B3">
        <w:rPr>
          <w:b/>
          <w:color w:val="000000"/>
          <w:lang w:val="hu-HU"/>
        </w:rPr>
        <w:t>6.</w:t>
      </w:r>
      <w:r w:rsidRPr="00D045B3">
        <w:rPr>
          <w:b/>
          <w:color w:val="000000"/>
          <w:lang w:val="hu-HU"/>
        </w:rPr>
        <w:tab/>
      </w:r>
      <w:r w:rsidRPr="00D045B3">
        <w:rPr>
          <w:b/>
          <w:noProof/>
          <w:szCs w:val="24"/>
          <w:lang w:val="hu-HU"/>
        </w:rPr>
        <w:t>A csomagolás tartalma és egyéb információk</w:t>
      </w:r>
    </w:p>
    <w:p w14:paraId="1E927F50" w14:textId="77777777" w:rsidR="00A052B8" w:rsidRPr="00D045B3" w:rsidRDefault="00A052B8" w:rsidP="00A052B8">
      <w:pPr>
        <w:keepNext/>
        <w:spacing w:line="240" w:lineRule="auto"/>
        <w:rPr>
          <w:color w:val="000000"/>
          <w:lang w:val="hu-HU"/>
        </w:rPr>
      </w:pPr>
    </w:p>
    <w:p w14:paraId="1E927F51" w14:textId="77777777" w:rsidR="00256940" w:rsidRPr="00D045B3" w:rsidRDefault="00256940" w:rsidP="00A052B8">
      <w:pPr>
        <w:keepNext/>
        <w:spacing w:line="240" w:lineRule="auto"/>
        <w:rPr>
          <w:b/>
          <w:color w:val="000000"/>
          <w:lang w:val="hu-HU"/>
        </w:rPr>
      </w:pPr>
      <w:r w:rsidRPr="00D045B3">
        <w:rPr>
          <w:b/>
          <w:color w:val="000000"/>
          <w:lang w:val="hu-HU"/>
        </w:rPr>
        <w:t>Mit tartalmaz az Imatinib Actavis</w:t>
      </w:r>
      <w:r w:rsidR="004A4DEE" w:rsidRPr="00D045B3">
        <w:rPr>
          <w:b/>
          <w:color w:val="000000"/>
          <w:lang w:val="hu-HU"/>
        </w:rPr>
        <w:t>?</w:t>
      </w:r>
    </w:p>
    <w:p w14:paraId="1E927F52" w14:textId="77777777" w:rsidR="00A052B8" w:rsidRPr="00D045B3" w:rsidRDefault="00A052B8" w:rsidP="00E95370">
      <w:pPr>
        <w:keepNext/>
        <w:numPr>
          <w:ilvl w:val="0"/>
          <w:numId w:val="7"/>
        </w:numPr>
        <w:tabs>
          <w:tab w:val="clear" w:pos="360"/>
          <w:tab w:val="clear" w:pos="567"/>
        </w:tabs>
        <w:suppressAutoHyphens/>
        <w:spacing w:line="240" w:lineRule="auto"/>
        <w:ind w:left="567" w:right="-2" w:hanging="567"/>
        <w:rPr>
          <w:color w:val="000000"/>
          <w:lang w:val="hu-HU"/>
        </w:rPr>
      </w:pPr>
      <w:r w:rsidRPr="00D045B3">
        <w:rPr>
          <w:color w:val="000000"/>
          <w:lang w:val="hu-HU"/>
        </w:rPr>
        <w:t>A készítmény hatóanyaga az imatinib (mezilát formájában).</w:t>
      </w:r>
      <w:r w:rsidRPr="00D045B3">
        <w:rPr>
          <w:color w:val="000000"/>
          <w:szCs w:val="22"/>
          <w:lang w:val="hu-HU"/>
        </w:rPr>
        <w:t xml:space="preserve"> Minden egyes Imatinib Actavis kapszula 100 mg imatinibet tartalmaz </w:t>
      </w:r>
      <w:r w:rsidRPr="00D045B3">
        <w:rPr>
          <w:color w:val="000000"/>
          <w:lang w:val="hu-HU"/>
        </w:rPr>
        <w:t>(mezilát formájában)</w:t>
      </w:r>
      <w:r w:rsidRPr="00D045B3">
        <w:rPr>
          <w:color w:val="000000"/>
          <w:szCs w:val="22"/>
          <w:lang w:val="hu-HU"/>
        </w:rPr>
        <w:t>.</w:t>
      </w:r>
    </w:p>
    <w:p w14:paraId="1E927F53" w14:textId="77777777" w:rsidR="00A052B8" w:rsidRPr="00D045B3" w:rsidRDefault="00A052B8" w:rsidP="00E95370">
      <w:pPr>
        <w:pStyle w:val="WW-BodyText3"/>
        <w:numPr>
          <w:ilvl w:val="0"/>
          <w:numId w:val="11"/>
        </w:numPr>
        <w:tabs>
          <w:tab w:val="clear" w:pos="360"/>
          <w:tab w:val="num" w:pos="567"/>
        </w:tabs>
        <w:ind w:left="567" w:hanging="567"/>
        <w:rPr>
          <w:color w:val="000000"/>
          <w:sz w:val="22"/>
        </w:rPr>
      </w:pPr>
      <w:r w:rsidRPr="00D045B3">
        <w:rPr>
          <w:color w:val="000000"/>
          <w:sz w:val="22"/>
        </w:rPr>
        <w:t>Egyéb összetevők: kapszulatartalom: mikrokristályos cellulóz, kopovidon, kroszpovidon, nátrium</w:t>
      </w:r>
      <w:r w:rsidRPr="00D045B3">
        <w:rPr>
          <w:color w:val="000000"/>
          <w:sz w:val="22"/>
        </w:rPr>
        <w:noBreakHyphen/>
        <w:t>sztearil</w:t>
      </w:r>
      <w:r w:rsidRPr="00D045B3">
        <w:rPr>
          <w:color w:val="000000"/>
          <w:sz w:val="22"/>
        </w:rPr>
        <w:noBreakHyphen/>
        <w:t>fumarát, (kolloid hidrofób és kolloid vízmentes) szilícium</w:t>
      </w:r>
      <w:r w:rsidRPr="00D045B3">
        <w:rPr>
          <w:color w:val="000000"/>
          <w:sz w:val="22"/>
        </w:rPr>
        <w:noBreakHyphen/>
        <w:t>dioxid. Kapszulahéj: hipromellóz, titán</w:t>
      </w:r>
      <w:r w:rsidRPr="00D045B3">
        <w:rPr>
          <w:color w:val="000000"/>
          <w:sz w:val="22"/>
        </w:rPr>
        <w:noBreakHyphen/>
        <w:t>dioxid (E171), sárga vas</w:t>
      </w:r>
      <w:r w:rsidRPr="00D045B3">
        <w:rPr>
          <w:color w:val="000000"/>
          <w:sz w:val="22"/>
        </w:rPr>
        <w:noBreakHyphen/>
        <w:t>oxid (E172), vörös vas</w:t>
      </w:r>
      <w:r w:rsidRPr="00D045B3">
        <w:rPr>
          <w:color w:val="000000"/>
          <w:sz w:val="22"/>
        </w:rPr>
        <w:noBreakHyphen/>
        <w:t>oxid (E172). Jelölőfesték: shellack, fekete vas</w:t>
      </w:r>
      <w:r w:rsidRPr="00D045B3">
        <w:rPr>
          <w:color w:val="000000"/>
          <w:sz w:val="22"/>
        </w:rPr>
        <w:noBreakHyphen/>
        <w:t>oxid (E172), propilén</w:t>
      </w:r>
      <w:r w:rsidRPr="00D045B3">
        <w:rPr>
          <w:color w:val="000000"/>
          <w:sz w:val="22"/>
        </w:rPr>
        <w:noBreakHyphen/>
        <w:t>glikol, ammónia oldat, kálium</w:t>
      </w:r>
      <w:r w:rsidRPr="00D045B3">
        <w:rPr>
          <w:color w:val="000000"/>
          <w:sz w:val="22"/>
        </w:rPr>
        <w:noBreakHyphen/>
        <w:t>hidroxid.</w:t>
      </w:r>
    </w:p>
    <w:p w14:paraId="1E927F54" w14:textId="77777777" w:rsidR="00A052B8" w:rsidRPr="00D045B3" w:rsidRDefault="00A052B8" w:rsidP="00A052B8">
      <w:pPr>
        <w:spacing w:line="240" w:lineRule="auto"/>
        <w:ind w:right="-2"/>
        <w:rPr>
          <w:color w:val="000000"/>
          <w:lang w:val="hu-HU"/>
        </w:rPr>
      </w:pPr>
    </w:p>
    <w:p w14:paraId="1E927F55" w14:textId="77777777" w:rsidR="00A052B8" w:rsidRPr="00D045B3" w:rsidRDefault="00A052B8" w:rsidP="00256940">
      <w:pPr>
        <w:keepNext/>
        <w:spacing w:line="240" w:lineRule="auto"/>
        <w:ind w:right="-2"/>
        <w:rPr>
          <w:b/>
          <w:color w:val="000000"/>
          <w:lang w:val="hu-HU"/>
        </w:rPr>
      </w:pPr>
      <w:r w:rsidRPr="00D045B3">
        <w:rPr>
          <w:b/>
          <w:color w:val="000000"/>
          <w:lang w:val="hu-HU"/>
        </w:rPr>
        <w:t>Milyen az Imatinib Actavis külleme és mit tartalmaz a csomagolás</w:t>
      </w:r>
      <w:r w:rsidR="004A4DEE" w:rsidRPr="00D045B3">
        <w:rPr>
          <w:b/>
          <w:color w:val="000000"/>
          <w:lang w:val="hu-HU"/>
        </w:rPr>
        <w:t>?</w:t>
      </w:r>
    </w:p>
    <w:p w14:paraId="1E927F56" w14:textId="77777777" w:rsidR="00A052B8" w:rsidRPr="00D045B3" w:rsidRDefault="00A052B8" w:rsidP="00CA41FD">
      <w:pPr>
        <w:pStyle w:val="KeinLeerraum"/>
        <w:rPr>
          <w:rFonts w:ascii="Times New Roman" w:eastAsia="Times New Roman" w:hAnsi="Times New Roman"/>
        </w:rPr>
      </w:pPr>
      <w:r w:rsidRPr="00D045B3">
        <w:rPr>
          <w:rFonts w:ascii="Times New Roman" w:eastAsia="Times New Roman" w:hAnsi="Times New Roman"/>
        </w:rPr>
        <w:t>Kemény kapszula, világos narancssárga kapszulatetővel és ugyancsak világos narancssárga kapszulatesttel, a kapszulatesten fekete „100 mg” felirattal.</w:t>
      </w:r>
    </w:p>
    <w:p w14:paraId="1E927F57" w14:textId="77777777" w:rsidR="00A052B8" w:rsidRPr="00D045B3" w:rsidRDefault="00A052B8" w:rsidP="00A052B8">
      <w:pPr>
        <w:pStyle w:val="KeinLeerraum"/>
        <w:rPr>
          <w:rFonts w:ascii="Times New Roman" w:eastAsia="Times New Roman" w:hAnsi="Times New Roman"/>
        </w:rPr>
      </w:pPr>
      <w:r w:rsidRPr="00D045B3">
        <w:rPr>
          <w:rFonts w:ascii="Times New Roman" w:eastAsia="Times New Roman" w:hAnsi="Times New Roman"/>
        </w:rPr>
        <w:t>A kapszula világossárga port tartalmaz.</w:t>
      </w:r>
    </w:p>
    <w:p w14:paraId="1E927F58" w14:textId="77777777" w:rsidR="00A052B8" w:rsidRPr="00D045B3" w:rsidRDefault="00A052B8" w:rsidP="00A052B8">
      <w:pPr>
        <w:spacing w:line="240" w:lineRule="auto"/>
        <w:ind w:right="-2"/>
        <w:rPr>
          <w:color w:val="000000"/>
          <w:lang w:val="hu-HU"/>
        </w:rPr>
      </w:pPr>
    </w:p>
    <w:p w14:paraId="1E927F59" w14:textId="77777777" w:rsidR="00D15132" w:rsidRPr="00D045B3" w:rsidRDefault="00D15132" w:rsidP="00256940">
      <w:pPr>
        <w:keepNext/>
        <w:spacing w:line="240" w:lineRule="auto"/>
        <w:rPr>
          <w:i/>
          <w:color w:val="000000"/>
          <w:lang w:val="hu-HU"/>
        </w:rPr>
      </w:pPr>
      <w:r w:rsidRPr="00D045B3">
        <w:rPr>
          <w:i/>
          <w:color w:val="000000"/>
          <w:lang w:val="hu-HU"/>
        </w:rPr>
        <w:t>Kiszerelések:</w:t>
      </w:r>
    </w:p>
    <w:p w14:paraId="1E927F5A" w14:textId="77777777" w:rsidR="00D15132" w:rsidRPr="00D045B3" w:rsidRDefault="007E4228" w:rsidP="00CA41FD">
      <w:pPr>
        <w:spacing w:line="240" w:lineRule="auto"/>
        <w:rPr>
          <w:color w:val="000000"/>
          <w:lang w:val="hu-HU"/>
        </w:rPr>
      </w:pPr>
      <w:r w:rsidRPr="00D045B3">
        <w:rPr>
          <w:color w:val="000000"/>
          <w:lang w:val="hu-HU"/>
        </w:rPr>
        <w:t xml:space="preserve">A kapszulák </w:t>
      </w:r>
      <w:r w:rsidR="00D15132" w:rsidRPr="00D045B3">
        <w:rPr>
          <w:color w:val="000000"/>
          <w:lang w:val="hu-HU"/>
        </w:rPr>
        <w:t xml:space="preserve">24, 48, </w:t>
      </w:r>
      <w:r w:rsidR="00E70B52" w:rsidRPr="00D045B3">
        <w:rPr>
          <w:color w:val="000000"/>
          <w:lang w:val="hu-HU"/>
        </w:rPr>
        <w:t xml:space="preserve">60, </w:t>
      </w:r>
      <w:r w:rsidR="00D15132" w:rsidRPr="00D045B3">
        <w:rPr>
          <w:color w:val="000000"/>
          <w:lang w:val="hu-HU"/>
        </w:rPr>
        <w:t xml:space="preserve">96, 120 vagy 180 kapszulát tartalmazó </w:t>
      </w:r>
      <w:r w:rsidRPr="00D045B3">
        <w:rPr>
          <w:color w:val="000000"/>
          <w:lang w:val="hu-HU"/>
        </w:rPr>
        <w:t>alumínium buborék</w:t>
      </w:r>
      <w:r w:rsidR="00D15132" w:rsidRPr="00D045B3">
        <w:rPr>
          <w:color w:val="000000"/>
          <w:lang w:val="hu-HU"/>
        </w:rPr>
        <w:t>csomagolásban kerül</w:t>
      </w:r>
      <w:r w:rsidRPr="00D045B3">
        <w:rPr>
          <w:color w:val="000000"/>
          <w:lang w:val="hu-HU"/>
        </w:rPr>
        <w:t>nek</w:t>
      </w:r>
      <w:r w:rsidR="00D15132" w:rsidRPr="00D045B3">
        <w:rPr>
          <w:color w:val="000000"/>
          <w:lang w:val="hu-HU"/>
        </w:rPr>
        <w:t xml:space="preserve"> forgalomba.</w:t>
      </w:r>
    </w:p>
    <w:p w14:paraId="1E927F5B" w14:textId="77777777" w:rsidR="007E4228" w:rsidRPr="00D045B3" w:rsidRDefault="007E4228" w:rsidP="00CA41FD">
      <w:pPr>
        <w:spacing w:line="240" w:lineRule="auto"/>
        <w:rPr>
          <w:color w:val="000000"/>
          <w:lang w:val="hu-HU"/>
        </w:rPr>
      </w:pPr>
    </w:p>
    <w:p w14:paraId="1E927F5C" w14:textId="77777777" w:rsidR="00A052B8" w:rsidRPr="00D045B3" w:rsidRDefault="00A052B8" w:rsidP="00A052B8">
      <w:pPr>
        <w:pStyle w:val="KeinLeerraum"/>
        <w:rPr>
          <w:rFonts w:ascii="Times New Roman" w:hAnsi="Times New Roman"/>
        </w:rPr>
      </w:pPr>
      <w:r w:rsidRPr="00D045B3">
        <w:rPr>
          <w:rFonts w:ascii="Times New Roman" w:hAnsi="Times New Roman"/>
        </w:rPr>
        <w:t xml:space="preserve">Nem feltétlenül mindegyik kiszerelés kerül kereskedelmi forgalomba. </w:t>
      </w:r>
    </w:p>
    <w:p w14:paraId="1E927F5D" w14:textId="77777777" w:rsidR="00A052B8" w:rsidRPr="00D045B3" w:rsidRDefault="00A052B8" w:rsidP="00A052B8">
      <w:pPr>
        <w:spacing w:line="240" w:lineRule="auto"/>
        <w:ind w:right="-2"/>
        <w:rPr>
          <w:color w:val="000000"/>
          <w:lang w:val="hu-HU"/>
        </w:rPr>
      </w:pPr>
    </w:p>
    <w:p w14:paraId="1E927F5E" w14:textId="77777777" w:rsidR="00A052B8" w:rsidRPr="00D045B3" w:rsidRDefault="00A052B8" w:rsidP="00256940">
      <w:pPr>
        <w:keepNext/>
        <w:spacing w:line="240" w:lineRule="auto"/>
        <w:ind w:right="-2"/>
        <w:rPr>
          <w:b/>
          <w:color w:val="000000"/>
          <w:lang w:val="hu-HU"/>
        </w:rPr>
      </w:pPr>
      <w:r w:rsidRPr="00D045B3">
        <w:rPr>
          <w:b/>
          <w:color w:val="000000"/>
          <w:lang w:val="hu-HU"/>
        </w:rPr>
        <w:t>A forgalomba hozatali engedély jogosultja</w:t>
      </w:r>
    </w:p>
    <w:p w14:paraId="1E927F5F" w14:textId="77777777" w:rsidR="00A052B8" w:rsidRPr="00D045B3" w:rsidRDefault="00A052B8" w:rsidP="00CA41FD">
      <w:pPr>
        <w:autoSpaceDE w:val="0"/>
        <w:autoSpaceDN w:val="0"/>
        <w:adjustRightInd w:val="0"/>
        <w:spacing w:line="240" w:lineRule="auto"/>
        <w:rPr>
          <w:lang w:val="hu-HU"/>
        </w:rPr>
      </w:pPr>
      <w:r w:rsidRPr="00D045B3">
        <w:rPr>
          <w:lang w:val="hu-HU"/>
        </w:rPr>
        <w:t>Actavis Group PTC ehf.</w:t>
      </w:r>
    </w:p>
    <w:p w14:paraId="1E927F60" w14:textId="77777777" w:rsidR="00A052B8" w:rsidRPr="00D045B3" w:rsidRDefault="00A052B8" w:rsidP="00A052B8">
      <w:pPr>
        <w:autoSpaceDE w:val="0"/>
        <w:autoSpaceDN w:val="0"/>
        <w:adjustRightInd w:val="0"/>
        <w:spacing w:line="240" w:lineRule="auto"/>
        <w:rPr>
          <w:lang w:val="hu-HU"/>
        </w:rPr>
      </w:pPr>
      <w:r w:rsidRPr="00D045B3">
        <w:rPr>
          <w:lang w:val="hu-HU"/>
        </w:rPr>
        <w:t>Reykjavíkurvegur 76-78,</w:t>
      </w:r>
    </w:p>
    <w:p w14:paraId="1E927F61" w14:textId="77777777" w:rsidR="00A052B8" w:rsidRPr="00D045B3" w:rsidRDefault="00A052B8" w:rsidP="00A052B8">
      <w:pPr>
        <w:autoSpaceDE w:val="0"/>
        <w:autoSpaceDN w:val="0"/>
        <w:adjustRightInd w:val="0"/>
        <w:spacing w:line="240" w:lineRule="auto"/>
        <w:rPr>
          <w:lang w:val="hu-HU"/>
        </w:rPr>
      </w:pPr>
      <w:r w:rsidRPr="00D045B3">
        <w:rPr>
          <w:lang w:val="hu-HU"/>
        </w:rPr>
        <w:t>Hafnarfjörður</w:t>
      </w:r>
    </w:p>
    <w:p w14:paraId="1E927F62" w14:textId="77777777" w:rsidR="00A052B8" w:rsidRPr="00D045B3" w:rsidRDefault="00A052B8" w:rsidP="00A052B8">
      <w:pPr>
        <w:spacing w:line="240" w:lineRule="auto"/>
        <w:ind w:right="-2"/>
        <w:rPr>
          <w:color w:val="000000"/>
          <w:lang w:val="hu-HU"/>
        </w:rPr>
      </w:pPr>
      <w:r w:rsidRPr="00D045B3">
        <w:rPr>
          <w:lang w:val="hu-HU"/>
        </w:rPr>
        <w:t>Izland</w:t>
      </w:r>
    </w:p>
    <w:p w14:paraId="1E927F63" w14:textId="77777777" w:rsidR="00A052B8" w:rsidRPr="00D045B3" w:rsidRDefault="00A052B8" w:rsidP="00A052B8">
      <w:pPr>
        <w:spacing w:line="240" w:lineRule="auto"/>
        <w:ind w:right="-2"/>
        <w:rPr>
          <w:b/>
          <w:color w:val="000000"/>
          <w:lang w:val="hu-HU"/>
        </w:rPr>
      </w:pPr>
    </w:p>
    <w:p w14:paraId="1E927F64" w14:textId="77777777" w:rsidR="00A052B8" w:rsidRPr="00D045B3" w:rsidRDefault="00A052B8" w:rsidP="00A052B8">
      <w:pPr>
        <w:keepNext/>
        <w:spacing w:line="240" w:lineRule="auto"/>
        <w:ind w:right="-2"/>
        <w:rPr>
          <w:b/>
          <w:color w:val="000000"/>
          <w:lang w:val="hu-HU"/>
        </w:rPr>
      </w:pPr>
      <w:r w:rsidRPr="00D045B3">
        <w:rPr>
          <w:b/>
          <w:color w:val="000000"/>
          <w:lang w:val="hu-HU"/>
        </w:rPr>
        <w:t>Gyártó</w:t>
      </w:r>
    </w:p>
    <w:p w14:paraId="1E927F65" w14:textId="77777777" w:rsidR="00A052B8" w:rsidRPr="00D045B3" w:rsidRDefault="00A052B8" w:rsidP="00CA41FD">
      <w:pPr>
        <w:pStyle w:val="KeinLeerraum"/>
        <w:rPr>
          <w:rFonts w:ascii="Times New Roman" w:hAnsi="Times New Roman"/>
        </w:rPr>
      </w:pPr>
      <w:r w:rsidRPr="00D045B3">
        <w:rPr>
          <w:rFonts w:ascii="Times New Roman" w:hAnsi="Times New Roman"/>
        </w:rPr>
        <w:t>S.C. Sindan</w:t>
      </w:r>
      <w:r w:rsidRPr="00D045B3">
        <w:rPr>
          <w:rFonts w:ascii="Times New Roman" w:hAnsi="Times New Roman"/>
        </w:rPr>
        <w:noBreakHyphen/>
        <w:t>Pharma S.R.L.</w:t>
      </w:r>
    </w:p>
    <w:p w14:paraId="1E927F66" w14:textId="77777777" w:rsidR="00A052B8" w:rsidRPr="00D045B3" w:rsidRDefault="00A052B8" w:rsidP="00A052B8">
      <w:pPr>
        <w:pStyle w:val="KeinLeerraum"/>
        <w:rPr>
          <w:rFonts w:ascii="Times New Roman" w:hAnsi="Times New Roman"/>
        </w:rPr>
      </w:pPr>
      <w:r w:rsidRPr="00D045B3">
        <w:rPr>
          <w:rFonts w:ascii="Times New Roman" w:hAnsi="Times New Roman"/>
        </w:rPr>
        <w:t>11 Ion Mihalache Blvd</w:t>
      </w:r>
    </w:p>
    <w:p w14:paraId="1E927F67" w14:textId="77777777" w:rsidR="00A052B8" w:rsidRPr="00D045B3" w:rsidRDefault="00A052B8" w:rsidP="00A052B8">
      <w:pPr>
        <w:pStyle w:val="KeinLeerraum"/>
        <w:rPr>
          <w:rFonts w:ascii="Times New Roman" w:hAnsi="Times New Roman"/>
        </w:rPr>
      </w:pPr>
      <w:r w:rsidRPr="00D045B3">
        <w:rPr>
          <w:rFonts w:ascii="Times New Roman" w:hAnsi="Times New Roman"/>
        </w:rPr>
        <w:t>Bucharest</w:t>
      </w:r>
    </w:p>
    <w:p w14:paraId="1E927F68" w14:textId="77777777" w:rsidR="00A052B8" w:rsidRPr="00D045B3" w:rsidRDefault="00A052B8" w:rsidP="00A052B8">
      <w:pPr>
        <w:pStyle w:val="KeinLeerraum"/>
        <w:rPr>
          <w:rFonts w:ascii="Times New Roman" w:hAnsi="Times New Roman"/>
        </w:rPr>
      </w:pPr>
      <w:r w:rsidRPr="00D045B3">
        <w:rPr>
          <w:rFonts w:ascii="Times New Roman" w:hAnsi="Times New Roman"/>
        </w:rPr>
        <w:t>Románia</w:t>
      </w:r>
    </w:p>
    <w:p w14:paraId="1E927F69" w14:textId="77777777" w:rsidR="00A052B8" w:rsidRPr="00D045B3" w:rsidRDefault="00A052B8" w:rsidP="00A052B8">
      <w:pPr>
        <w:spacing w:line="240" w:lineRule="auto"/>
        <w:ind w:right="-2"/>
        <w:rPr>
          <w:color w:val="000000"/>
          <w:lang w:val="hu-HU"/>
        </w:rPr>
      </w:pPr>
    </w:p>
    <w:p w14:paraId="1E927F6A" w14:textId="77777777" w:rsidR="00A052B8" w:rsidRPr="00D045B3" w:rsidRDefault="00A052B8" w:rsidP="00A052B8">
      <w:pPr>
        <w:spacing w:line="240" w:lineRule="auto"/>
        <w:rPr>
          <w:color w:val="000000"/>
          <w:lang w:val="hu-HU"/>
        </w:rPr>
      </w:pPr>
      <w:r w:rsidRPr="00D045B3">
        <w:rPr>
          <w:color w:val="000000"/>
          <w:lang w:val="hu-HU"/>
        </w:rPr>
        <w:t>A készítményhez kapcsolódó további kérdéseivel forduljon a forgalomba hozatali engedély jogosultjának helyi képviseletéhez:</w:t>
      </w:r>
    </w:p>
    <w:p w14:paraId="78B4E56A" w14:textId="77777777" w:rsidR="002A52DC" w:rsidRPr="00F67173" w:rsidRDefault="002A52DC" w:rsidP="002A52DC">
      <w:pPr>
        <w:autoSpaceDE w:val="0"/>
        <w:autoSpaceDN w:val="0"/>
        <w:adjustRightInd w:val="0"/>
        <w:spacing w:line="240" w:lineRule="auto"/>
        <w:rPr>
          <w:color w:val="000000" w:themeColor="text1"/>
          <w:szCs w:val="22"/>
          <w:lang w:val="hu-HU"/>
        </w:rPr>
      </w:pPr>
    </w:p>
    <w:tbl>
      <w:tblPr>
        <w:tblW w:w="9360" w:type="dxa"/>
        <w:tblInd w:w="-34" w:type="dxa"/>
        <w:tblLayout w:type="fixed"/>
        <w:tblLook w:val="04A0" w:firstRow="1" w:lastRow="0" w:firstColumn="1" w:lastColumn="0" w:noHBand="0" w:noVBand="1"/>
      </w:tblPr>
      <w:tblGrid>
        <w:gridCol w:w="34"/>
        <w:gridCol w:w="4646"/>
        <w:gridCol w:w="4680"/>
      </w:tblGrid>
      <w:tr w:rsidR="002A52DC" w:rsidRPr="00D045B3" w14:paraId="5E112093" w14:textId="77777777" w:rsidTr="006B2245">
        <w:trPr>
          <w:gridBefore w:val="1"/>
          <w:wBefore w:w="34" w:type="dxa"/>
          <w:cantSplit/>
        </w:trPr>
        <w:tc>
          <w:tcPr>
            <w:tcW w:w="4644" w:type="dxa"/>
          </w:tcPr>
          <w:p w14:paraId="4ED219B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België/Belgique/Belgien</w:t>
            </w:r>
          </w:p>
          <w:p w14:paraId="6D30F48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0A215BE6"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IJsland/Islande/Island</w:t>
            </w:r>
          </w:p>
          <w:p w14:paraId="3CCF484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Tél/Tel: +354 5503300</w:t>
            </w:r>
          </w:p>
          <w:p w14:paraId="77143E01" w14:textId="77777777" w:rsidR="002A52DC" w:rsidRPr="00D045B3" w:rsidRDefault="002A52DC" w:rsidP="006B2245">
            <w:pPr>
              <w:pStyle w:val="KeinLeerraum"/>
              <w:rPr>
                <w:rFonts w:ascii="Times New Roman" w:hAnsi="Times New Roman"/>
                <w:color w:val="000000" w:themeColor="text1"/>
              </w:rPr>
            </w:pPr>
          </w:p>
        </w:tc>
        <w:tc>
          <w:tcPr>
            <w:tcW w:w="4678" w:type="dxa"/>
          </w:tcPr>
          <w:p w14:paraId="5E9B9C61"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Lietuva</w:t>
            </w:r>
          </w:p>
          <w:p w14:paraId="12CB245C" w14:textId="39DE6400" w:rsidR="002A52DC" w:rsidRPr="00D045B3" w:rsidRDefault="002A52DC" w:rsidP="006B2245">
            <w:pPr>
              <w:spacing w:line="240" w:lineRule="auto"/>
              <w:ind w:right="567"/>
              <w:rPr>
                <w:noProof/>
                <w:color w:val="000000" w:themeColor="text1"/>
                <w:szCs w:val="22"/>
                <w:lang w:val="hu-HU"/>
              </w:rPr>
            </w:pPr>
            <w:r w:rsidRPr="00D045B3">
              <w:rPr>
                <w:noProof/>
                <w:color w:val="000000" w:themeColor="text1"/>
                <w:szCs w:val="22"/>
                <w:lang w:val="hu-HU"/>
              </w:rPr>
              <w:t>UAB Teva Baltics</w:t>
            </w:r>
          </w:p>
          <w:p w14:paraId="163E9F36"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+370 5</w:t>
            </w:r>
            <w:r w:rsidRPr="00D045B3">
              <w:rPr>
                <w:rFonts w:ascii="Times New Roman" w:hAnsi="Times New Roman"/>
                <w:noProof/>
                <w:color w:val="000000" w:themeColor="text1"/>
              </w:rPr>
              <w:t>2660203</w:t>
            </w:r>
          </w:p>
          <w:p w14:paraId="7B6EA086" w14:textId="77777777" w:rsidR="002A52DC" w:rsidRPr="00D045B3" w:rsidRDefault="002A52DC" w:rsidP="006B2245">
            <w:pPr>
              <w:pStyle w:val="KeinLeerraum"/>
              <w:rPr>
                <w:rFonts w:ascii="Times New Roman" w:hAnsi="Times New Roman"/>
                <w:color w:val="000000" w:themeColor="text1"/>
              </w:rPr>
            </w:pPr>
          </w:p>
        </w:tc>
      </w:tr>
      <w:tr w:rsidR="002A52DC" w:rsidRPr="00D045B3" w14:paraId="3BB948DE" w14:textId="77777777" w:rsidTr="006B2245">
        <w:trPr>
          <w:gridBefore w:val="1"/>
          <w:wBefore w:w="34" w:type="dxa"/>
          <w:cantSplit/>
        </w:trPr>
        <w:tc>
          <w:tcPr>
            <w:tcW w:w="4644" w:type="dxa"/>
          </w:tcPr>
          <w:p w14:paraId="521B96D2" w14:textId="77777777" w:rsidR="002A52DC" w:rsidRPr="00D045B3" w:rsidRDefault="002A52D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България</w:t>
            </w:r>
          </w:p>
          <w:p w14:paraId="0775D3F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Актавис ЕАД</w:t>
            </w:r>
          </w:p>
          <w:p w14:paraId="4E50ED10"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Teл: +359 24899585</w:t>
            </w:r>
          </w:p>
          <w:p w14:paraId="11A36C36" w14:textId="77777777" w:rsidR="002A52DC" w:rsidRPr="00D045B3" w:rsidRDefault="002A52DC" w:rsidP="006B2245">
            <w:pPr>
              <w:pStyle w:val="KeinLeerraum"/>
              <w:rPr>
                <w:rFonts w:ascii="Times New Roman" w:hAnsi="Times New Roman"/>
                <w:color w:val="000000" w:themeColor="text1"/>
              </w:rPr>
            </w:pPr>
          </w:p>
        </w:tc>
        <w:tc>
          <w:tcPr>
            <w:tcW w:w="4678" w:type="dxa"/>
          </w:tcPr>
          <w:p w14:paraId="457B0E96"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Luxembourg/Luxemburg</w:t>
            </w:r>
          </w:p>
          <w:p w14:paraId="1CEB6876"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0E1333CA"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Islande/Island</w:t>
            </w:r>
          </w:p>
          <w:p w14:paraId="11B67359"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noProof/>
                <w:color w:val="000000" w:themeColor="text1"/>
              </w:rPr>
              <w:t>Tél/Tel: +354 5503300</w:t>
            </w:r>
          </w:p>
          <w:p w14:paraId="1F73E232" w14:textId="77777777" w:rsidR="002A52DC" w:rsidRPr="00D045B3" w:rsidRDefault="002A52DC" w:rsidP="006B2245">
            <w:pPr>
              <w:pStyle w:val="KeinLeerraum"/>
              <w:rPr>
                <w:rFonts w:ascii="Times New Roman" w:hAnsi="Times New Roman"/>
                <w:color w:val="000000" w:themeColor="text1"/>
              </w:rPr>
            </w:pPr>
          </w:p>
        </w:tc>
      </w:tr>
      <w:tr w:rsidR="002A52DC" w:rsidRPr="00D045B3" w14:paraId="2CC9162A" w14:textId="77777777" w:rsidTr="006B2245">
        <w:trPr>
          <w:gridBefore w:val="1"/>
          <w:wBefore w:w="34" w:type="dxa"/>
          <w:cantSplit/>
          <w:trHeight w:val="751"/>
        </w:trPr>
        <w:tc>
          <w:tcPr>
            <w:tcW w:w="4644" w:type="dxa"/>
          </w:tcPr>
          <w:p w14:paraId="4E2D4909"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Česká republika</w:t>
            </w:r>
          </w:p>
          <w:p w14:paraId="3A57B6B0" w14:textId="77777777" w:rsidR="002A52DC" w:rsidRPr="00F67173" w:rsidRDefault="002A52DC" w:rsidP="006B2245">
            <w:pPr>
              <w:tabs>
                <w:tab w:val="left" w:pos="-720"/>
              </w:tabs>
              <w:suppressAutoHyphens/>
              <w:spacing w:line="240" w:lineRule="auto"/>
              <w:ind w:right="567"/>
              <w:rPr>
                <w:noProof/>
                <w:color w:val="000000" w:themeColor="text1"/>
                <w:szCs w:val="22"/>
                <w:lang w:val="hu-HU"/>
              </w:rPr>
            </w:pPr>
            <w:r w:rsidRPr="00F67173">
              <w:rPr>
                <w:noProof/>
                <w:color w:val="000000" w:themeColor="text1"/>
                <w:szCs w:val="22"/>
                <w:lang w:val="hu-HU"/>
              </w:rPr>
              <w:t>Teva Pharmaceuticals CR, s.r.o.</w:t>
            </w:r>
          </w:p>
          <w:p w14:paraId="52083E4D"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+420 251007111</w:t>
            </w:r>
          </w:p>
          <w:p w14:paraId="214AEAF0" w14:textId="77777777" w:rsidR="002A52DC" w:rsidRPr="00D045B3" w:rsidRDefault="002A52DC" w:rsidP="006B2245">
            <w:pPr>
              <w:pStyle w:val="KeinLeerraum"/>
              <w:rPr>
                <w:rFonts w:ascii="Times New Roman" w:hAnsi="Times New Roman"/>
                <w:color w:val="000000" w:themeColor="text1"/>
              </w:rPr>
            </w:pPr>
          </w:p>
        </w:tc>
        <w:tc>
          <w:tcPr>
            <w:tcW w:w="4678" w:type="dxa"/>
          </w:tcPr>
          <w:p w14:paraId="5223C04B"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Magyarország</w:t>
            </w:r>
          </w:p>
          <w:p w14:paraId="4094E58C"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Gyógyszergyár Zrt.</w:t>
            </w:r>
          </w:p>
          <w:p w14:paraId="2B36FFB5"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+36 1</w:t>
            </w:r>
            <w:r w:rsidRPr="00D045B3">
              <w:rPr>
                <w:rFonts w:ascii="Times New Roman" w:hAnsi="Times New Roman"/>
                <w:noProof/>
                <w:color w:val="000000" w:themeColor="text1"/>
              </w:rPr>
              <w:t>2886400</w:t>
            </w:r>
          </w:p>
          <w:p w14:paraId="77FC800B" w14:textId="77777777" w:rsidR="002A52DC" w:rsidRPr="00D045B3" w:rsidRDefault="002A52DC" w:rsidP="006B2245">
            <w:pPr>
              <w:pStyle w:val="KeinLeerraum"/>
              <w:rPr>
                <w:rFonts w:ascii="Times New Roman" w:hAnsi="Times New Roman"/>
                <w:color w:val="000000" w:themeColor="text1"/>
              </w:rPr>
            </w:pPr>
          </w:p>
        </w:tc>
      </w:tr>
      <w:tr w:rsidR="002A52DC" w:rsidRPr="00D045B3" w14:paraId="3F153BA3" w14:textId="77777777" w:rsidTr="006B2245">
        <w:trPr>
          <w:gridBefore w:val="1"/>
          <w:wBefore w:w="34" w:type="dxa"/>
          <w:cantSplit/>
        </w:trPr>
        <w:tc>
          <w:tcPr>
            <w:tcW w:w="4644" w:type="dxa"/>
          </w:tcPr>
          <w:p w14:paraId="39641FF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Danmark</w:t>
            </w:r>
          </w:p>
          <w:p w14:paraId="512A8D2F"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Teva Denmark A/S</w:t>
            </w:r>
          </w:p>
          <w:p w14:paraId="68773118"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Tlf: +45 44985511</w:t>
            </w:r>
          </w:p>
          <w:p w14:paraId="3FA34A93" w14:textId="77777777" w:rsidR="002A52DC" w:rsidRPr="00D045B3" w:rsidRDefault="002A52DC" w:rsidP="006B2245">
            <w:pPr>
              <w:pStyle w:val="KeinLeerraum"/>
              <w:rPr>
                <w:rFonts w:ascii="Times New Roman" w:hAnsi="Times New Roman"/>
                <w:color w:val="000000" w:themeColor="text1"/>
              </w:rPr>
            </w:pPr>
          </w:p>
        </w:tc>
        <w:tc>
          <w:tcPr>
            <w:tcW w:w="4678" w:type="dxa"/>
          </w:tcPr>
          <w:p w14:paraId="7670AF9B"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Malta</w:t>
            </w:r>
          </w:p>
          <w:p w14:paraId="5C0DD51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Ltd.</w:t>
            </w:r>
          </w:p>
          <w:p w14:paraId="19B43F3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+356 21693533</w:t>
            </w:r>
          </w:p>
          <w:p w14:paraId="32E966B0" w14:textId="77777777" w:rsidR="002A52DC" w:rsidRPr="00D045B3" w:rsidRDefault="002A52DC" w:rsidP="006B2245">
            <w:pPr>
              <w:pStyle w:val="KeinLeerraum"/>
              <w:rPr>
                <w:rFonts w:ascii="Times New Roman" w:hAnsi="Times New Roman"/>
                <w:color w:val="000000" w:themeColor="text1"/>
              </w:rPr>
            </w:pPr>
          </w:p>
        </w:tc>
      </w:tr>
      <w:tr w:rsidR="002A52DC" w:rsidRPr="00D045B3" w14:paraId="3E6FD8FF" w14:textId="77777777" w:rsidTr="006B2245">
        <w:trPr>
          <w:gridBefore w:val="1"/>
          <w:wBefore w:w="34" w:type="dxa"/>
          <w:cantSplit/>
        </w:trPr>
        <w:tc>
          <w:tcPr>
            <w:tcW w:w="4644" w:type="dxa"/>
          </w:tcPr>
          <w:p w14:paraId="2C9DC3EB"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Deutschland</w:t>
            </w:r>
          </w:p>
          <w:p w14:paraId="3B71D0D5" w14:textId="77777777" w:rsidR="002A52DC" w:rsidRPr="00D045B3" w:rsidRDefault="002A52DC" w:rsidP="006B2245">
            <w:pPr>
              <w:spacing w:line="240" w:lineRule="auto"/>
              <w:rPr>
                <w:color w:val="000000" w:themeColor="text1"/>
                <w:szCs w:val="22"/>
                <w:lang w:val="hu-HU"/>
              </w:rPr>
            </w:pPr>
            <w:r w:rsidRPr="00D045B3">
              <w:rPr>
                <w:color w:val="000000" w:themeColor="text1"/>
                <w:szCs w:val="22"/>
                <w:lang w:val="hu-HU"/>
              </w:rPr>
              <w:t>Actavis Group PTC ehf.</w:t>
            </w:r>
          </w:p>
          <w:p w14:paraId="186559A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Island</w:t>
            </w:r>
          </w:p>
          <w:p w14:paraId="032CAF64"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64513564" w14:textId="77777777" w:rsidR="002A52DC" w:rsidRPr="00D045B3" w:rsidRDefault="002A52DC" w:rsidP="006B2245">
            <w:pPr>
              <w:pStyle w:val="KeinLeerraum"/>
              <w:rPr>
                <w:rFonts w:ascii="Times New Roman" w:hAnsi="Times New Roman"/>
                <w:color w:val="000000" w:themeColor="text1"/>
              </w:rPr>
            </w:pPr>
          </w:p>
        </w:tc>
        <w:tc>
          <w:tcPr>
            <w:tcW w:w="4678" w:type="dxa"/>
          </w:tcPr>
          <w:p w14:paraId="1A7A21A9"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Nederland</w:t>
            </w:r>
          </w:p>
          <w:p w14:paraId="5A6A2330" w14:textId="77777777" w:rsidR="002A52DC" w:rsidRPr="00D045B3" w:rsidRDefault="002A52D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34D4DDA0" w14:textId="77777777" w:rsidR="002A52DC" w:rsidRPr="00D045B3" w:rsidRDefault="002A52DC" w:rsidP="006B2245">
            <w:pPr>
              <w:pStyle w:val="KeinLeerraum"/>
              <w:rPr>
                <w:rFonts w:ascii="Times New Roman" w:hAnsi="Times New Roman"/>
                <w:iCs/>
                <w:color w:val="000000" w:themeColor="text1"/>
              </w:rPr>
            </w:pPr>
            <w:r w:rsidRPr="00D045B3">
              <w:rPr>
                <w:rFonts w:ascii="Times New Roman" w:hAnsi="Times New Roman"/>
                <w:iCs/>
                <w:color w:val="000000" w:themeColor="text1"/>
              </w:rPr>
              <w:t>IJsland</w:t>
            </w:r>
          </w:p>
          <w:p w14:paraId="65472042"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74AD7BB6" w14:textId="77777777" w:rsidR="002A52DC" w:rsidRPr="00D045B3" w:rsidRDefault="002A52DC" w:rsidP="006B2245">
            <w:pPr>
              <w:pStyle w:val="KeinLeerraum"/>
              <w:rPr>
                <w:rFonts w:ascii="Times New Roman" w:hAnsi="Times New Roman"/>
                <w:color w:val="000000" w:themeColor="text1"/>
              </w:rPr>
            </w:pPr>
          </w:p>
        </w:tc>
      </w:tr>
      <w:tr w:rsidR="002A52DC" w:rsidRPr="00D045B3" w14:paraId="1448C7CF" w14:textId="77777777" w:rsidTr="006B2245">
        <w:trPr>
          <w:gridBefore w:val="1"/>
          <w:wBefore w:w="34" w:type="dxa"/>
          <w:cantSplit/>
        </w:trPr>
        <w:tc>
          <w:tcPr>
            <w:tcW w:w="4644" w:type="dxa"/>
          </w:tcPr>
          <w:p w14:paraId="63E48D6B" w14:textId="77777777" w:rsidR="002A52DC" w:rsidRPr="00D045B3" w:rsidRDefault="002A52D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Eesti</w:t>
            </w:r>
          </w:p>
          <w:p w14:paraId="52123975" w14:textId="11115334"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UAB Teva Baltics</w:t>
            </w:r>
            <w:r w:rsidRPr="00D045B3">
              <w:rPr>
                <w:rFonts w:ascii="Times New Roman" w:hAnsi="Times New Roman"/>
                <w:noProof/>
                <w:color w:val="000000" w:themeColor="text1"/>
              </w:rPr>
              <w:t xml:space="preserve"> Eesti filiaal</w:t>
            </w:r>
          </w:p>
          <w:p w14:paraId="2033137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 xml:space="preserve">Tel: +372 </w:t>
            </w:r>
            <w:r w:rsidRPr="00D045B3">
              <w:rPr>
                <w:rFonts w:ascii="Times New Roman" w:hAnsi="Times New Roman"/>
                <w:noProof/>
                <w:color w:val="000000" w:themeColor="text1"/>
              </w:rPr>
              <w:t>6610801</w:t>
            </w:r>
          </w:p>
          <w:p w14:paraId="627DE35D" w14:textId="77777777" w:rsidR="002A52DC" w:rsidRPr="00D045B3" w:rsidRDefault="002A52DC" w:rsidP="006B2245">
            <w:pPr>
              <w:pStyle w:val="KeinLeerraum"/>
              <w:rPr>
                <w:rFonts w:ascii="Times New Roman" w:hAnsi="Times New Roman"/>
                <w:color w:val="000000" w:themeColor="text1"/>
              </w:rPr>
            </w:pPr>
          </w:p>
        </w:tc>
        <w:tc>
          <w:tcPr>
            <w:tcW w:w="4678" w:type="dxa"/>
          </w:tcPr>
          <w:p w14:paraId="128856A8"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Norge</w:t>
            </w:r>
          </w:p>
          <w:p w14:paraId="137125C7" w14:textId="77777777" w:rsidR="002A52DC" w:rsidRPr="00D045B3" w:rsidRDefault="002A52DC" w:rsidP="006B2245">
            <w:pPr>
              <w:pStyle w:val="KeinLeerraum"/>
              <w:rPr>
                <w:rFonts w:ascii="Times New Roman" w:hAnsi="Times New Roman"/>
                <w:iCs/>
                <w:color w:val="000000" w:themeColor="text1"/>
              </w:rPr>
            </w:pPr>
            <w:r w:rsidRPr="00D045B3">
              <w:rPr>
                <w:rFonts w:ascii="Times New Roman" w:hAnsi="Times New Roman"/>
                <w:iCs/>
                <w:color w:val="000000" w:themeColor="text1"/>
              </w:rPr>
              <w:t>Teva Norway AS</w:t>
            </w:r>
          </w:p>
          <w:p w14:paraId="76C3065A" w14:textId="77777777" w:rsidR="002A52DC" w:rsidRPr="00D045B3" w:rsidRDefault="002A52DC" w:rsidP="006B2245">
            <w:pPr>
              <w:pStyle w:val="KeinLeerraum"/>
              <w:rPr>
                <w:rFonts w:ascii="Times New Roman" w:hAnsi="Times New Roman"/>
                <w:iCs/>
                <w:color w:val="000000" w:themeColor="text1"/>
              </w:rPr>
            </w:pPr>
            <w:r w:rsidRPr="00D045B3">
              <w:rPr>
                <w:rFonts w:ascii="Times New Roman" w:hAnsi="Times New Roman"/>
                <w:iCs/>
                <w:color w:val="000000" w:themeColor="text1"/>
              </w:rPr>
              <w:t>Tlf: +47 66775590</w:t>
            </w:r>
          </w:p>
          <w:p w14:paraId="32D79A57" w14:textId="77777777" w:rsidR="002A52DC" w:rsidRPr="00D045B3" w:rsidRDefault="002A52DC" w:rsidP="006B2245">
            <w:pPr>
              <w:pStyle w:val="KeinLeerraum"/>
              <w:rPr>
                <w:rFonts w:ascii="Times New Roman" w:hAnsi="Times New Roman"/>
                <w:color w:val="000000" w:themeColor="text1"/>
              </w:rPr>
            </w:pPr>
          </w:p>
        </w:tc>
      </w:tr>
      <w:tr w:rsidR="002A52DC" w:rsidRPr="00D045B3" w14:paraId="798CDED0" w14:textId="77777777" w:rsidTr="006B2245">
        <w:trPr>
          <w:gridBefore w:val="1"/>
          <w:wBefore w:w="34" w:type="dxa"/>
          <w:cantSplit/>
        </w:trPr>
        <w:tc>
          <w:tcPr>
            <w:tcW w:w="4644" w:type="dxa"/>
          </w:tcPr>
          <w:p w14:paraId="47261FA0"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Ελλάδα</w:t>
            </w:r>
          </w:p>
          <w:p w14:paraId="1C980549" w14:textId="77777777" w:rsidR="002A52DC" w:rsidRPr="00D045B3" w:rsidRDefault="002A52DC" w:rsidP="006B2245">
            <w:pPr>
              <w:pStyle w:val="NormalParagraphStyle"/>
              <w:spacing w:line="240" w:lineRule="auto"/>
              <w:rPr>
                <w:rFonts w:ascii="Times New Roman" w:hAnsi="Times New Roman"/>
                <w:color w:val="000000" w:themeColor="text1"/>
                <w:sz w:val="22"/>
                <w:szCs w:val="22"/>
                <w:lang w:val="hu-HU"/>
              </w:rPr>
            </w:pPr>
            <w:r w:rsidRPr="00F67173">
              <w:rPr>
                <w:rFonts w:ascii="Times New Roman" w:hAnsi="Times New Roman"/>
                <w:color w:val="000000" w:themeColor="text1"/>
                <w:sz w:val="22"/>
                <w:szCs w:val="22"/>
                <w:lang w:val="hu-HU"/>
              </w:rPr>
              <w:t>Specifar A.B.E.E</w:t>
            </w:r>
            <w:r w:rsidRPr="00D045B3">
              <w:rPr>
                <w:rFonts w:ascii="Times New Roman" w:hAnsi="Times New Roman"/>
                <w:color w:val="000000" w:themeColor="text1"/>
                <w:sz w:val="22"/>
                <w:szCs w:val="22"/>
                <w:lang w:val="hu-HU"/>
              </w:rPr>
              <w:t>.</w:t>
            </w:r>
          </w:p>
          <w:p w14:paraId="0F0F71ED" w14:textId="60B1BD91"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5E92519C" w14:textId="77777777" w:rsidR="002A52DC" w:rsidRPr="00D045B3" w:rsidRDefault="002A52DC" w:rsidP="006B2245">
            <w:pPr>
              <w:pStyle w:val="KeinLeerraum"/>
              <w:rPr>
                <w:rFonts w:ascii="Times New Roman" w:hAnsi="Times New Roman"/>
                <w:color w:val="000000" w:themeColor="text1"/>
              </w:rPr>
            </w:pPr>
          </w:p>
        </w:tc>
        <w:tc>
          <w:tcPr>
            <w:tcW w:w="4678" w:type="dxa"/>
          </w:tcPr>
          <w:p w14:paraId="2E51B69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Österreich</w:t>
            </w:r>
          </w:p>
          <w:p w14:paraId="0FD5E445" w14:textId="77777777" w:rsidR="002A52DC" w:rsidRPr="00D045B3" w:rsidRDefault="002A52D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ratiopharm Arzneimittel Vertriebs-GmbH</w:t>
            </w:r>
          </w:p>
          <w:p w14:paraId="1BA2EDC1" w14:textId="77777777" w:rsidR="002A52DC" w:rsidRPr="00D045B3" w:rsidRDefault="002A52D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Tel: +43 1970070</w:t>
            </w:r>
          </w:p>
          <w:p w14:paraId="5487D1EA" w14:textId="77777777" w:rsidR="002A52DC" w:rsidRPr="00D045B3" w:rsidRDefault="002A52DC" w:rsidP="006B2245">
            <w:pPr>
              <w:pStyle w:val="KeinLeerraum"/>
              <w:rPr>
                <w:rFonts w:ascii="Times New Roman" w:hAnsi="Times New Roman"/>
                <w:color w:val="000000" w:themeColor="text1"/>
              </w:rPr>
            </w:pPr>
          </w:p>
        </w:tc>
      </w:tr>
      <w:tr w:rsidR="002A52DC" w:rsidRPr="00D045B3" w14:paraId="0973596A" w14:textId="77777777" w:rsidTr="006B2245">
        <w:trPr>
          <w:cantSplit/>
        </w:trPr>
        <w:tc>
          <w:tcPr>
            <w:tcW w:w="4678" w:type="dxa"/>
            <w:gridSpan w:val="2"/>
          </w:tcPr>
          <w:p w14:paraId="2C4CC57A"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España</w:t>
            </w:r>
          </w:p>
          <w:p w14:paraId="1840B329" w14:textId="77777777" w:rsidR="002A52DC" w:rsidRPr="00D045B3" w:rsidRDefault="002A52D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0525FD92"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Islandia</w:t>
            </w:r>
          </w:p>
          <w:p w14:paraId="1D7D7D11"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7233C366" w14:textId="77777777" w:rsidR="002A52DC" w:rsidRPr="00D045B3" w:rsidRDefault="002A52DC" w:rsidP="006B2245">
            <w:pPr>
              <w:pStyle w:val="KeinLeerraum"/>
              <w:rPr>
                <w:rFonts w:ascii="Times New Roman" w:hAnsi="Times New Roman"/>
                <w:color w:val="000000" w:themeColor="text1"/>
              </w:rPr>
            </w:pPr>
          </w:p>
        </w:tc>
        <w:tc>
          <w:tcPr>
            <w:tcW w:w="4678" w:type="dxa"/>
          </w:tcPr>
          <w:p w14:paraId="46DC122C" w14:textId="77777777" w:rsidR="002A52DC" w:rsidRPr="00D045B3" w:rsidRDefault="002A52DC" w:rsidP="006B2245">
            <w:pPr>
              <w:pStyle w:val="KeinLeerraum"/>
              <w:rPr>
                <w:rFonts w:ascii="Times New Roman" w:hAnsi="Times New Roman"/>
                <w:b/>
                <w:bCs/>
                <w:i/>
                <w:iCs/>
                <w:color w:val="000000" w:themeColor="text1"/>
              </w:rPr>
            </w:pPr>
            <w:r w:rsidRPr="00D045B3">
              <w:rPr>
                <w:rFonts w:ascii="Times New Roman" w:hAnsi="Times New Roman"/>
                <w:b/>
                <w:color w:val="000000" w:themeColor="text1"/>
              </w:rPr>
              <w:t>Polska</w:t>
            </w:r>
          </w:p>
          <w:p w14:paraId="03B1EE0A" w14:textId="77777777" w:rsidR="002A52DC" w:rsidRPr="00D045B3" w:rsidRDefault="002A52DC" w:rsidP="006B2245">
            <w:pPr>
              <w:spacing w:line="240" w:lineRule="auto"/>
              <w:rPr>
                <w:color w:val="000000" w:themeColor="text1"/>
                <w:szCs w:val="22"/>
                <w:lang w:val="hu-HU"/>
              </w:rPr>
            </w:pPr>
            <w:r w:rsidRPr="00D045B3">
              <w:rPr>
                <w:color w:val="000000" w:themeColor="text1"/>
                <w:szCs w:val="22"/>
                <w:lang w:val="hu-HU"/>
              </w:rPr>
              <w:t>Teva Pharmaceuticals Polska Sp. z o.o.</w:t>
            </w:r>
          </w:p>
          <w:p w14:paraId="5C05B71E" w14:textId="77777777" w:rsidR="002A52DC" w:rsidRPr="00D045B3" w:rsidRDefault="002A52DC" w:rsidP="006B2245">
            <w:pPr>
              <w:numPr>
                <w:ilvl w:val="12"/>
                <w:numId w:val="0"/>
              </w:numPr>
              <w:spacing w:line="240" w:lineRule="auto"/>
              <w:rPr>
                <w:color w:val="000000" w:themeColor="text1"/>
                <w:szCs w:val="22"/>
                <w:lang w:val="hu-HU" w:eastAsia="is-IS"/>
              </w:rPr>
            </w:pPr>
            <w:r w:rsidRPr="00D045B3">
              <w:rPr>
                <w:color w:val="000000" w:themeColor="text1"/>
                <w:szCs w:val="22"/>
                <w:lang w:val="hu-HU"/>
              </w:rPr>
              <w:t>Tel: +48 223459300</w:t>
            </w:r>
          </w:p>
          <w:p w14:paraId="624EF0A8" w14:textId="77777777" w:rsidR="002A52DC" w:rsidRPr="00D045B3" w:rsidRDefault="002A52DC" w:rsidP="006B2245">
            <w:pPr>
              <w:pStyle w:val="KeinLeerraum"/>
              <w:rPr>
                <w:rFonts w:ascii="Times New Roman" w:hAnsi="Times New Roman"/>
                <w:color w:val="000000" w:themeColor="text1"/>
              </w:rPr>
            </w:pPr>
          </w:p>
        </w:tc>
      </w:tr>
      <w:tr w:rsidR="002A52DC" w:rsidRPr="00D045B3" w14:paraId="74DEEE53" w14:textId="77777777" w:rsidTr="006B2245">
        <w:trPr>
          <w:cantSplit/>
        </w:trPr>
        <w:tc>
          <w:tcPr>
            <w:tcW w:w="4678" w:type="dxa"/>
            <w:gridSpan w:val="2"/>
          </w:tcPr>
          <w:p w14:paraId="2939FF11"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France</w:t>
            </w:r>
          </w:p>
          <w:p w14:paraId="30FAF490"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2684F36F"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Islande</w:t>
            </w:r>
          </w:p>
          <w:p w14:paraId="557BA8DD"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lang w:eastAsia="en-GB"/>
              </w:rPr>
              <w:t>Tél</w:t>
            </w:r>
            <w:r w:rsidRPr="00D045B3">
              <w:rPr>
                <w:rFonts w:ascii="Times New Roman" w:hAnsi="Times New Roman"/>
                <w:noProof/>
                <w:color w:val="000000" w:themeColor="text1"/>
              </w:rPr>
              <w:t>:</w:t>
            </w:r>
            <w:r w:rsidRPr="00D045B3">
              <w:rPr>
                <w:rFonts w:ascii="Times New Roman" w:hAnsi="Times New Roman"/>
                <w:color w:val="000000" w:themeColor="text1"/>
              </w:rPr>
              <w:t xml:space="preserve"> +354 5503300</w:t>
            </w:r>
          </w:p>
          <w:p w14:paraId="040A0154" w14:textId="77777777" w:rsidR="002A52DC" w:rsidRPr="00D045B3" w:rsidRDefault="002A52DC" w:rsidP="006B2245">
            <w:pPr>
              <w:pStyle w:val="KeinLeerraum"/>
              <w:rPr>
                <w:rFonts w:ascii="Times New Roman" w:hAnsi="Times New Roman"/>
                <w:b/>
                <w:color w:val="000000" w:themeColor="text1"/>
              </w:rPr>
            </w:pPr>
          </w:p>
        </w:tc>
        <w:tc>
          <w:tcPr>
            <w:tcW w:w="4678" w:type="dxa"/>
          </w:tcPr>
          <w:p w14:paraId="0EE19B3B"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Portugal</w:t>
            </w:r>
          </w:p>
          <w:p w14:paraId="000CE441" w14:textId="77777777" w:rsidR="002A52DC" w:rsidRPr="00D045B3" w:rsidRDefault="002A52D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099D3F79"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Islândia</w:t>
            </w:r>
          </w:p>
          <w:p w14:paraId="7098BEBA"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2ED9CECA" w14:textId="77777777" w:rsidR="002A52DC" w:rsidRPr="00D045B3" w:rsidRDefault="002A52DC" w:rsidP="006B2245">
            <w:pPr>
              <w:pStyle w:val="KeinLeerraum"/>
              <w:rPr>
                <w:rFonts w:ascii="Times New Roman" w:hAnsi="Times New Roman"/>
                <w:color w:val="000000" w:themeColor="text1"/>
              </w:rPr>
            </w:pPr>
          </w:p>
        </w:tc>
      </w:tr>
      <w:tr w:rsidR="002A52DC" w:rsidRPr="00D045B3" w14:paraId="5111D7AA" w14:textId="77777777" w:rsidTr="006B2245">
        <w:trPr>
          <w:cantSplit/>
        </w:trPr>
        <w:tc>
          <w:tcPr>
            <w:tcW w:w="4678" w:type="dxa"/>
            <w:gridSpan w:val="2"/>
          </w:tcPr>
          <w:p w14:paraId="2769E947" w14:textId="77777777" w:rsidR="002A52DC" w:rsidRPr="00D045B3" w:rsidRDefault="002A52DC" w:rsidP="006B2245">
            <w:pPr>
              <w:tabs>
                <w:tab w:val="left" w:pos="-720"/>
                <w:tab w:val="left" w:pos="4536"/>
              </w:tabs>
              <w:suppressAutoHyphens/>
              <w:spacing w:line="240" w:lineRule="auto"/>
              <w:ind w:right="567"/>
              <w:rPr>
                <w:b/>
                <w:noProof/>
                <w:color w:val="000000" w:themeColor="text1"/>
                <w:szCs w:val="22"/>
                <w:lang w:val="hu-HU" w:eastAsia="en-US"/>
              </w:rPr>
            </w:pPr>
            <w:r w:rsidRPr="00D045B3">
              <w:rPr>
                <w:color w:val="000000" w:themeColor="text1"/>
                <w:szCs w:val="22"/>
                <w:lang w:val="hu-HU"/>
              </w:rPr>
              <w:br w:type="page"/>
            </w:r>
            <w:r w:rsidRPr="00D045B3">
              <w:rPr>
                <w:b/>
                <w:noProof/>
                <w:color w:val="000000" w:themeColor="text1"/>
                <w:szCs w:val="22"/>
                <w:lang w:val="hu-HU"/>
              </w:rPr>
              <w:t>Hrvatska</w:t>
            </w:r>
          </w:p>
          <w:p w14:paraId="25271DB0" w14:textId="77777777" w:rsidR="002A52DC" w:rsidRPr="00D045B3" w:rsidRDefault="002A52DC" w:rsidP="006B2245">
            <w:pPr>
              <w:tabs>
                <w:tab w:val="left" w:pos="-720"/>
                <w:tab w:val="left" w:pos="4536"/>
              </w:tabs>
              <w:suppressAutoHyphens/>
              <w:spacing w:line="240" w:lineRule="auto"/>
              <w:ind w:right="567"/>
              <w:rPr>
                <w:color w:val="000000" w:themeColor="text1"/>
                <w:szCs w:val="22"/>
                <w:lang w:val="hu-HU"/>
              </w:rPr>
            </w:pPr>
            <w:r w:rsidRPr="00D045B3">
              <w:rPr>
                <w:color w:val="000000" w:themeColor="text1"/>
                <w:szCs w:val="22"/>
                <w:lang w:val="hu-HU"/>
              </w:rPr>
              <w:t>Pliva Hrvatska d.o.o.</w:t>
            </w:r>
          </w:p>
          <w:p w14:paraId="68AABB0F"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+385 13720000</w:t>
            </w:r>
          </w:p>
          <w:p w14:paraId="78D70B48" w14:textId="77777777" w:rsidR="002A52DC" w:rsidRPr="00D045B3" w:rsidRDefault="002A52DC" w:rsidP="006B2245">
            <w:pPr>
              <w:pStyle w:val="KeinLeerraum"/>
              <w:rPr>
                <w:rFonts w:ascii="Times New Roman" w:hAnsi="Times New Roman"/>
                <w:color w:val="000000" w:themeColor="text1"/>
              </w:rPr>
            </w:pPr>
          </w:p>
        </w:tc>
        <w:tc>
          <w:tcPr>
            <w:tcW w:w="4678" w:type="dxa"/>
          </w:tcPr>
          <w:p w14:paraId="6CD8CB61"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România</w:t>
            </w:r>
          </w:p>
          <w:p w14:paraId="53FF3C9A"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S.R.L.</w:t>
            </w:r>
          </w:p>
          <w:p w14:paraId="01C4BD3C"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w:t>
            </w:r>
            <w:r w:rsidRPr="00D045B3">
              <w:rPr>
                <w:rFonts w:ascii="Times New Roman" w:hAnsi="Times New Roman"/>
                <w:noProof/>
                <w:color w:val="000000" w:themeColor="text1"/>
              </w:rPr>
              <w:t>40 212306524</w:t>
            </w:r>
          </w:p>
          <w:p w14:paraId="739C5FBD" w14:textId="77777777" w:rsidR="002A52DC" w:rsidRPr="00D045B3" w:rsidRDefault="002A52DC" w:rsidP="006B2245">
            <w:pPr>
              <w:pStyle w:val="KeinLeerraum"/>
              <w:rPr>
                <w:rFonts w:ascii="Times New Roman" w:hAnsi="Times New Roman"/>
                <w:color w:val="000000" w:themeColor="text1"/>
              </w:rPr>
            </w:pPr>
          </w:p>
        </w:tc>
      </w:tr>
      <w:tr w:rsidR="002A52DC" w:rsidRPr="00D045B3" w14:paraId="3D5D0935" w14:textId="77777777" w:rsidTr="006B2245">
        <w:trPr>
          <w:cantSplit/>
        </w:trPr>
        <w:tc>
          <w:tcPr>
            <w:tcW w:w="4678" w:type="dxa"/>
            <w:gridSpan w:val="2"/>
          </w:tcPr>
          <w:p w14:paraId="348B64DB"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Ireland</w:t>
            </w:r>
          </w:p>
          <w:p w14:paraId="62A90610"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Ireland</w:t>
            </w:r>
          </w:p>
          <w:p w14:paraId="095A9238" w14:textId="425F645D"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+353 19127700</w:t>
            </w:r>
          </w:p>
          <w:p w14:paraId="72A8323A" w14:textId="77777777" w:rsidR="002A52DC" w:rsidRPr="00D045B3" w:rsidRDefault="002A52DC" w:rsidP="006B2245">
            <w:pPr>
              <w:pStyle w:val="KeinLeerraum"/>
              <w:rPr>
                <w:rFonts w:ascii="Times New Roman" w:hAnsi="Times New Roman"/>
                <w:color w:val="000000" w:themeColor="text1"/>
              </w:rPr>
            </w:pPr>
          </w:p>
        </w:tc>
        <w:tc>
          <w:tcPr>
            <w:tcW w:w="4678" w:type="dxa"/>
          </w:tcPr>
          <w:p w14:paraId="399BCAA4"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Slovenija</w:t>
            </w:r>
          </w:p>
          <w:p w14:paraId="28B9BAE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Pliva Ljubljana d.o.o.</w:t>
            </w:r>
          </w:p>
          <w:p w14:paraId="784370FA"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+386 15890390</w:t>
            </w:r>
          </w:p>
          <w:p w14:paraId="4E5210D8" w14:textId="77777777" w:rsidR="002A52DC" w:rsidRPr="00D045B3" w:rsidRDefault="002A52DC" w:rsidP="006B2245">
            <w:pPr>
              <w:pStyle w:val="KeinLeerraum"/>
              <w:rPr>
                <w:rFonts w:ascii="Times New Roman" w:hAnsi="Times New Roman"/>
                <w:b/>
                <w:color w:val="000000" w:themeColor="text1"/>
              </w:rPr>
            </w:pPr>
          </w:p>
        </w:tc>
      </w:tr>
      <w:tr w:rsidR="002A52DC" w:rsidRPr="00D045B3" w14:paraId="440DB853" w14:textId="77777777" w:rsidTr="006B2245">
        <w:trPr>
          <w:cantSplit/>
        </w:trPr>
        <w:tc>
          <w:tcPr>
            <w:tcW w:w="4678" w:type="dxa"/>
            <w:gridSpan w:val="2"/>
          </w:tcPr>
          <w:p w14:paraId="35370ED2"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Ísland</w:t>
            </w:r>
          </w:p>
          <w:p w14:paraId="1C405C97"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6C2CDF9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Sími: +354 5503300</w:t>
            </w:r>
          </w:p>
          <w:p w14:paraId="1089F8A0" w14:textId="77777777" w:rsidR="002A52DC" w:rsidRPr="00D045B3" w:rsidRDefault="002A52DC" w:rsidP="006B2245">
            <w:pPr>
              <w:pStyle w:val="KeinLeerraum"/>
              <w:rPr>
                <w:rFonts w:ascii="Times New Roman" w:hAnsi="Times New Roman"/>
                <w:b/>
                <w:color w:val="000000" w:themeColor="text1"/>
              </w:rPr>
            </w:pPr>
          </w:p>
        </w:tc>
        <w:tc>
          <w:tcPr>
            <w:tcW w:w="4678" w:type="dxa"/>
          </w:tcPr>
          <w:p w14:paraId="1813CD19"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Slovenská republika</w:t>
            </w:r>
          </w:p>
          <w:p w14:paraId="4AAFE9AF"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Pharmaceuticals Slovakia s.r.o.</w:t>
            </w:r>
          </w:p>
          <w:p w14:paraId="59A4C1DA"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+421 2</w:t>
            </w:r>
            <w:r w:rsidRPr="00D045B3">
              <w:rPr>
                <w:rFonts w:ascii="Times New Roman" w:hAnsi="Times New Roman"/>
                <w:noProof/>
                <w:color w:val="000000" w:themeColor="text1"/>
              </w:rPr>
              <w:t>57267911</w:t>
            </w:r>
          </w:p>
          <w:p w14:paraId="20ADBBE3" w14:textId="77777777" w:rsidR="002A52DC" w:rsidRPr="00D045B3" w:rsidRDefault="002A52DC" w:rsidP="006B2245">
            <w:pPr>
              <w:pStyle w:val="KeinLeerraum"/>
              <w:rPr>
                <w:rFonts w:ascii="Times New Roman" w:hAnsi="Times New Roman"/>
                <w:color w:val="000000" w:themeColor="text1"/>
              </w:rPr>
            </w:pPr>
          </w:p>
        </w:tc>
      </w:tr>
      <w:tr w:rsidR="002A52DC" w:rsidRPr="00D045B3" w14:paraId="2854301C" w14:textId="77777777" w:rsidTr="006B2245">
        <w:trPr>
          <w:cantSplit/>
        </w:trPr>
        <w:tc>
          <w:tcPr>
            <w:tcW w:w="4678" w:type="dxa"/>
            <w:gridSpan w:val="2"/>
          </w:tcPr>
          <w:p w14:paraId="5D651F38"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Italia</w:t>
            </w:r>
          </w:p>
          <w:p w14:paraId="0B6B83BC"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36A9755A"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Islanda</w:t>
            </w:r>
          </w:p>
          <w:p w14:paraId="1E07BE10"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2A13206A" w14:textId="77777777" w:rsidR="002A52DC" w:rsidRPr="00D045B3" w:rsidRDefault="002A52DC" w:rsidP="006B2245">
            <w:pPr>
              <w:pStyle w:val="KeinLeerraum"/>
              <w:rPr>
                <w:rFonts w:ascii="Times New Roman" w:hAnsi="Times New Roman"/>
                <w:b/>
                <w:color w:val="000000" w:themeColor="text1"/>
              </w:rPr>
            </w:pPr>
          </w:p>
        </w:tc>
        <w:tc>
          <w:tcPr>
            <w:tcW w:w="4678" w:type="dxa"/>
          </w:tcPr>
          <w:p w14:paraId="3ACF499E"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b/>
                <w:color w:val="000000" w:themeColor="text1"/>
              </w:rPr>
              <w:t>Suomi/Finland</w:t>
            </w:r>
          </w:p>
          <w:p w14:paraId="3D47F456" w14:textId="609A17EE"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Teva Finland Oy</w:t>
            </w:r>
          </w:p>
          <w:p w14:paraId="0C755B17"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Puh/Tel: +358 201805900</w:t>
            </w:r>
          </w:p>
          <w:p w14:paraId="0D343EA6" w14:textId="77777777" w:rsidR="002A52DC" w:rsidRPr="00D045B3" w:rsidRDefault="002A52DC" w:rsidP="006B2245">
            <w:pPr>
              <w:pStyle w:val="KeinLeerraum"/>
              <w:rPr>
                <w:rFonts w:ascii="Times New Roman" w:hAnsi="Times New Roman"/>
                <w:b/>
                <w:color w:val="000000" w:themeColor="text1"/>
              </w:rPr>
            </w:pPr>
          </w:p>
        </w:tc>
      </w:tr>
      <w:tr w:rsidR="002A52DC" w:rsidRPr="00D045B3" w14:paraId="242051B3" w14:textId="77777777" w:rsidTr="006B2245">
        <w:trPr>
          <w:cantSplit/>
        </w:trPr>
        <w:tc>
          <w:tcPr>
            <w:tcW w:w="4678" w:type="dxa"/>
            <w:gridSpan w:val="2"/>
          </w:tcPr>
          <w:p w14:paraId="40C678CA" w14:textId="77777777" w:rsidR="002A52DC" w:rsidRPr="00D045B3" w:rsidRDefault="002A52DC" w:rsidP="006B2245">
            <w:pPr>
              <w:pStyle w:val="KeinLeerraum"/>
              <w:rPr>
                <w:rFonts w:ascii="Times New Roman" w:hAnsi="Times New Roman"/>
                <w:b/>
                <w:color w:val="000000" w:themeColor="text1"/>
              </w:rPr>
            </w:pPr>
            <w:r w:rsidRPr="00F67173">
              <w:rPr>
                <w:rFonts w:ascii="Times New Roman" w:hAnsi="Times New Roman"/>
                <w:b/>
                <w:color w:val="000000" w:themeColor="text1"/>
              </w:rPr>
              <w:t>Κύπρος</w:t>
            </w:r>
          </w:p>
          <w:p w14:paraId="1914B65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Specifar A.B.E.E.</w:t>
            </w:r>
          </w:p>
          <w:p w14:paraId="4AA358EE"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Ελλάδα</w:t>
            </w:r>
          </w:p>
          <w:p w14:paraId="779786F0" w14:textId="1294DEA1"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0B209549" w14:textId="77777777" w:rsidR="002A52DC" w:rsidRPr="00D045B3" w:rsidRDefault="002A52DC" w:rsidP="006B2245">
            <w:pPr>
              <w:pStyle w:val="KeinLeerraum"/>
              <w:rPr>
                <w:rFonts w:ascii="Times New Roman" w:hAnsi="Times New Roman"/>
                <w:color w:val="000000" w:themeColor="text1"/>
              </w:rPr>
            </w:pPr>
          </w:p>
        </w:tc>
        <w:tc>
          <w:tcPr>
            <w:tcW w:w="4678" w:type="dxa"/>
          </w:tcPr>
          <w:p w14:paraId="7C0BBACD"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Sverige</w:t>
            </w:r>
          </w:p>
          <w:p w14:paraId="690A4DE5"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Teva Sweden AB</w:t>
            </w:r>
          </w:p>
          <w:p w14:paraId="4B5B3AF5"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+46 42121100</w:t>
            </w:r>
          </w:p>
          <w:p w14:paraId="05F1B102" w14:textId="77777777" w:rsidR="002A52DC" w:rsidRPr="00D045B3" w:rsidRDefault="002A52DC" w:rsidP="006B2245">
            <w:pPr>
              <w:pStyle w:val="KeinLeerraum"/>
              <w:rPr>
                <w:rFonts w:ascii="Times New Roman" w:hAnsi="Times New Roman"/>
                <w:color w:val="000000" w:themeColor="text1"/>
              </w:rPr>
            </w:pPr>
          </w:p>
        </w:tc>
      </w:tr>
      <w:tr w:rsidR="002A52DC" w:rsidRPr="00D045B3" w14:paraId="265D19E0" w14:textId="77777777" w:rsidTr="006B2245">
        <w:trPr>
          <w:cantSplit/>
        </w:trPr>
        <w:tc>
          <w:tcPr>
            <w:tcW w:w="4678" w:type="dxa"/>
            <w:gridSpan w:val="2"/>
          </w:tcPr>
          <w:p w14:paraId="06EB0DCF" w14:textId="77777777" w:rsidR="002A52DC" w:rsidRPr="00D045B3" w:rsidRDefault="002A52DC" w:rsidP="006B2245">
            <w:pPr>
              <w:pStyle w:val="KeinLeerraum"/>
              <w:rPr>
                <w:rFonts w:ascii="Times New Roman" w:hAnsi="Times New Roman"/>
                <w:b/>
                <w:bCs/>
                <w:color w:val="000000" w:themeColor="text1"/>
                <w:lang w:eastAsia="en-GB"/>
              </w:rPr>
            </w:pPr>
            <w:r w:rsidRPr="00D045B3">
              <w:rPr>
                <w:rFonts w:ascii="Times New Roman" w:hAnsi="Times New Roman"/>
                <w:b/>
                <w:bCs/>
                <w:color w:val="000000" w:themeColor="text1"/>
                <w:lang w:eastAsia="en-GB"/>
              </w:rPr>
              <w:t>Latvija</w:t>
            </w:r>
          </w:p>
          <w:p w14:paraId="027D6025" w14:textId="742D7FCE" w:rsidR="002A52DC" w:rsidRPr="00D045B3" w:rsidRDefault="002A52DC" w:rsidP="006B2245">
            <w:pPr>
              <w:spacing w:line="240" w:lineRule="auto"/>
              <w:rPr>
                <w:color w:val="000000" w:themeColor="text1"/>
                <w:szCs w:val="22"/>
                <w:lang w:val="hu-HU" w:eastAsia="en-GB"/>
              </w:rPr>
            </w:pPr>
            <w:r w:rsidRPr="00D045B3">
              <w:rPr>
                <w:color w:val="000000" w:themeColor="text1"/>
                <w:szCs w:val="22"/>
                <w:lang w:val="hu-HU" w:eastAsia="en-GB"/>
              </w:rPr>
              <w:t>UAB Teva Baltics filiāle Latvijā</w:t>
            </w:r>
          </w:p>
          <w:p w14:paraId="1EDE29C9" w14:textId="77777777" w:rsidR="002A52DC" w:rsidRPr="00D045B3" w:rsidRDefault="002A52DC" w:rsidP="006B2245">
            <w:pPr>
              <w:pStyle w:val="KeinLeerraum"/>
              <w:rPr>
                <w:rFonts w:ascii="Times New Roman" w:hAnsi="Times New Roman"/>
                <w:color w:val="000000" w:themeColor="text1"/>
                <w:lang w:eastAsia="en-GB"/>
              </w:rPr>
            </w:pPr>
            <w:r w:rsidRPr="00D045B3">
              <w:rPr>
                <w:rFonts w:ascii="Times New Roman" w:hAnsi="Times New Roman"/>
                <w:color w:val="000000" w:themeColor="text1"/>
                <w:lang w:eastAsia="en-GB"/>
              </w:rPr>
              <w:t>Tel: +371 67323666</w:t>
            </w:r>
          </w:p>
          <w:p w14:paraId="4BF5BC4B" w14:textId="77777777" w:rsidR="002A52DC" w:rsidRPr="00D045B3" w:rsidRDefault="002A52DC" w:rsidP="006B2245">
            <w:pPr>
              <w:pStyle w:val="KeinLeerraum"/>
              <w:rPr>
                <w:rFonts w:ascii="Times New Roman" w:hAnsi="Times New Roman"/>
                <w:color w:val="000000" w:themeColor="text1"/>
              </w:rPr>
            </w:pPr>
          </w:p>
        </w:tc>
        <w:tc>
          <w:tcPr>
            <w:tcW w:w="4678" w:type="dxa"/>
          </w:tcPr>
          <w:p w14:paraId="2D456389" w14:textId="77777777" w:rsidR="002A52DC" w:rsidRPr="00D045B3" w:rsidRDefault="002A52DC" w:rsidP="006B2245">
            <w:pPr>
              <w:pStyle w:val="KeinLeerraum"/>
              <w:rPr>
                <w:rFonts w:ascii="Times New Roman" w:hAnsi="Times New Roman"/>
                <w:b/>
                <w:color w:val="000000" w:themeColor="text1"/>
              </w:rPr>
            </w:pPr>
            <w:r w:rsidRPr="00D045B3">
              <w:rPr>
                <w:rFonts w:ascii="Times New Roman" w:hAnsi="Times New Roman"/>
                <w:b/>
                <w:color w:val="000000" w:themeColor="text1"/>
              </w:rPr>
              <w:t>United Kingdom</w:t>
            </w:r>
          </w:p>
          <w:p w14:paraId="5A0853E3"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Actavis UK Limited</w:t>
            </w:r>
          </w:p>
          <w:p w14:paraId="0C87127F" w14:textId="77777777" w:rsidR="002A52DC" w:rsidRPr="00D045B3" w:rsidRDefault="002A52DC" w:rsidP="006B2245">
            <w:pPr>
              <w:pStyle w:val="KeinLeerraum"/>
              <w:rPr>
                <w:rFonts w:ascii="Times New Roman" w:hAnsi="Times New Roman"/>
                <w:color w:val="000000" w:themeColor="text1"/>
              </w:rPr>
            </w:pPr>
            <w:r w:rsidRPr="00D045B3">
              <w:rPr>
                <w:rFonts w:ascii="Times New Roman" w:hAnsi="Times New Roman"/>
                <w:color w:val="000000" w:themeColor="text1"/>
              </w:rPr>
              <w:t>Tel: +44 1271385257</w:t>
            </w:r>
          </w:p>
          <w:p w14:paraId="34DD3C3F" w14:textId="77777777" w:rsidR="002A52DC" w:rsidRPr="00D045B3" w:rsidRDefault="002A52DC" w:rsidP="006B2245">
            <w:pPr>
              <w:pStyle w:val="KeinLeerraum"/>
              <w:rPr>
                <w:rFonts w:ascii="Times New Roman" w:hAnsi="Times New Roman"/>
                <w:color w:val="000000" w:themeColor="text1"/>
              </w:rPr>
            </w:pPr>
          </w:p>
        </w:tc>
      </w:tr>
    </w:tbl>
    <w:p w14:paraId="5CB669CF" w14:textId="77777777" w:rsidR="002A52DC" w:rsidRPr="00D045B3" w:rsidRDefault="002A52DC" w:rsidP="002A52DC">
      <w:pPr>
        <w:spacing w:line="240" w:lineRule="auto"/>
        <w:rPr>
          <w:color w:val="000000" w:themeColor="text1"/>
          <w:szCs w:val="22"/>
          <w:lang w:val="hu-HU" w:eastAsia="en-US"/>
        </w:rPr>
      </w:pPr>
    </w:p>
    <w:p w14:paraId="1E927FFE" w14:textId="77777777" w:rsidR="00A052B8" w:rsidRPr="00D045B3" w:rsidRDefault="00A052B8" w:rsidP="00A052B8">
      <w:pPr>
        <w:spacing w:line="240" w:lineRule="auto"/>
        <w:ind w:right="-2"/>
        <w:rPr>
          <w:b/>
          <w:color w:val="000000"/>
          <w:lang w:val="hu-HU"/>
        </w:rPr>
      </w:pPr>
      <w:r w:rsidRPr="00D045B3">
        <w:rPr>
          <w:b/>
          <w:color w:val="000000"/>
          <w:lang w:val="hu-HU"/>
        </w:rPr>
        <w:t xml:space="preserve">A betegtájékoztató </w:t>
      </w:r>
      <w:r w:rsidRPr="00D045B3">
        <w:rPr>
          <w:b/>
          <w:noProof/>
          <w:szCs w:val="24"/>
          <w:lang w:val="hu-HU"/>
        </w:rPr>
        <w:t>legutóbbi felülvizsgálatának</w:t>
      </w:r>
      <w:r w:rsidRPr="00D045B3">
        <w:rPr>
          <w:b/>
          <w:lang w:val="hu-HU"/>
        </w:rPr>
        <w:t xml:space="preserve"> </w:t>
      </w:r>
      <w:r w:rsidRPr="00D045B3">
        <w:rPr>
          <w:b/>
          <w:color w:val="000000"/>
          <w:lang w:val="hu-HU"/>
        </w:rPr>
        <w:t>dátuma</w:t>
      </w:r>
    </w:p>
    <w:p w14:paraId="1E927FFF" w14:textId="77777777" w:rsidR="00A052B8" w:rsidRPr="00D045B3" w:rsidRDefault="00A052B8" w:rsidP="00A052B8">
      <w:pPr>
        <w:spacing w:line="240" w:lineRule="auto"/>
        <w:ind w:right="-2"/>
        <w:rPr>
          <w:color w:val="000000"/>
          <w:lang w:val="hu-HU"/>
        </w:rPr>
      </w:pPr>
    </w:p>
    <w:p w14:paraId="1E928000" w14:textId="77777777" w:rsidR="00A052B8" w:rsidRPr="00D045B3" w:rsidRDefault="00A052B8" w:rsidP="00A052B8">
      <w:pPr>
        <w:rPr>
          <w:b/>
          <w:lang w:val="hu-HU"/>
        </w:rPr>
      </w:pPr>
      <w:r w:rsidRPr="00D045B3">
        <w:rPr>
          <w:b/>
          <w:lang w:val="hu-HU"/>
        </w:rPr>
        <w:t>Egyéb információforrások</w:t>
      </w:r>
    </w:p>
    <w:p w14:paraId="1E928001" w14:textId="77777777" w:rsidR="00C24E5F" w:rsidRPr="00D045B3" w:rsidRDefault="00C24E5F" w:rsidP="00A052B8">
      <w:pPr>
        <w:spacing w:line="240" w:lineRule="auto"/>
        <w:ind w:right="-2"/>
        <w:rPr>
          <w:noProof/>
          <w:color w:val="000000"/>
          <w:lang w:val="hu-HU"/>
        </w:rPr>
      </w:pPr>
    </w:p>
    <w:p w14:paraId="1E928002" w14:textId="77777777" w:rsidR="00A052B8" w:rsidRPr="00D045B3" w:rsidRDefault="00A052B8" w:rsidP="00CA41FD">
      <w:pPr>
        <w:autoSpaceDE w:val="0"/>
        <w:autoSpaceDN w:val="0"/>
        <w:adjustRightInd w:val="0"/>
        <w:spacing w:line="240" w:lineRule="auto"/>
        <w:contextualSpacing/>
        <w:rPr>
          <w:rFonts w:eastAsia="Calibri"/>
          <w:snapToGrid/>
          <w:szCs w:val="22"/>
          <w:lang w:val="hu-HU" w:eastAsia="en-US"/>
        </w:rPr>
      </w:pPr>
      <w:r w:rsidRPr="00D045B3">
        <w:rPr>
          <w:noProof/>
          <w:color w:val="000000"/>
          <w:lang w:val="hu-HU"/>
        </w:rPr>
        <w:t>A gyógyszerről részletes információ az Európai Gyógyszerügynökség internetes honlapján (</w:t>
      </w:r>
      <w:hyperlink r:id="rId18" w:history="1">
        <w:r w:rsidR="004A4DEE" w:rsidRPr="00D045B3">
          <w:rPr>
            <w:rFonts w:eastAsia="Calibri"/>
            <w:snapToGrid/>
            <w:color w:val="0000FF"/>
            <w:szCs w:val="22"/>
            <w:u w:val="single"/>
            <w:lang w:val="hu-HU" w:eastAsia="en-US"/>
          </w:rPr>
          <w:t>http://www.ema.europa.eu</w:t>
        </w:r>
      </w:hyperlink>
      <w:r w:rsidRPr="00D045B3">
        <w:rPr>
          <w:iCs/>
          <w:noProof/>
          <w:color w:val="000000"/>
          <w:lang w:val="hu-HU"/>
        </w:rPr>
        <w:t>) található.</w:t>
      </w:r>
    </w:p>
    <w:p w14:paraId="1E928003" w14:textId="77777777" w:rsidR="00A052B8" w:rsidRPr="00D045B3" w:rsidRDefault="00A052B8" w:rsidP="005F32A1">
      <w:pPr>
        <w:spacing w:line="240" w:lineRule="auto"/>
        <w:ind w:right="-2"/>
        <w:rPr>
          <w:color w:val="000000"/>
          <w:lang w:val="hu-HU"/>
        </w:rPr>
      </w:pPr>
    </w:p>
    <w:p w14:paraId="1E928004" w14:textId="77777777" w:rsidR="00407B2F" w:rsidRPr="00D045B3" w:rsidRDefault="00C70216" w:rsidP="008A6837">
      <w:pPr>
        <w:widowControl w:val="0"/>
        <w:spacing w:line="240" w:lineRule="auto"/>
        <w:jc w:val="center"/>
        <w:rPr>
          <w:color w:val="000000"/>
          <w:szCs w:val="22"/>
          <w:lang w:val="hu-HU"/>
        </w:rPr>
      </w:pPr>
      <w:r w:rsidRPr="00D045B3">
        <w:rPr>
          <w:lang w:val="hu-HU"/>
        </w:rPr>
        <w:br w:type="page"/>
      </w:r>
      <w:r w:rsidR="00407B2F" w:rsidRPr="00D045B3">
        <w:rPr>
          <w:b/>
          <w:noProof/>
          <w:szCs w:val="22"/>
          <w:lang w:val="hu-HU"/>
        </w:rPr>
        <w:t>Betegtájékoztató: Információk a felhasználó számára</w:t>
      </w:r>
    </w:p>
    <w:p w14:paraId="1E928005" w14:textId="77777777" w:rsidR="00407B2F" w:rsidRPr="00D045B3" w:rsidRDefault="00407B2F" w:rsidP="00407B2F">
      <w:pPr>
        <w:widowControl w:val="0"/>
        <w:spacing w:line="240" w:lineRule="auto"/>
        <w:jc w:val="center"/>
        <w:rPr>
          <w:color w:val="000000"/>
          <w:szCs w:val="22"/>
          <w:lang w:val="hu-HU"/>
        </w:rPr>
      </w:pPr>
    </w:p>
    <w:p w14:paraId="1E928006" w14:textId="77777777" w:rsidR="00407B2F" w:rsidRPr="00D045B3" w:rsidRDefault="00407B2F" w:rsidP="00407B2F">
      <w:pPr>
        <w:widowControl w:val="0"/>
        <w:spacing w:line="240" w:lineRule="auto"/>
        <w:jc w:val="center"/>
        <w:rPr>
          <w:color w:val="000000"/>
          <w:szCs w:val="22"/>
          <w:lang w:val="hu-HU"/>
        </w:rPr>
      </w:pPr>
      <w:r w:rsidRPr="00D045B3">
        <w:rPr>
          <w:b/>
          <w:color w:val="000000"/>
          <w:szCs w:val="22"/>
          <w:lang w:val="hu-HU"/>
        </w:rPr>
        <w:t>Imatinib Actavis 400 mg kemény kapszula</w:t>
      </w:r>
    </w:p>
    <w:p w14:paraId="1E928007" w14:textId="77777777" w:rsidR="00407B2F" w:rsidRPr="00D045B3" w:rsidRDefault="00407B2F" w:rsidP="00407B2F">
      <w:pPr>
        <w:widowControl w:val="0"/>
        <w:spacing w:line="240" w:lineRule="auto"/>
        <w:jc w:val="center"/>
        <w:rPr>
          <w:color w:val="000000"/>
          <w:szCs w:val="22"/>
          <w:lang w:val="hu-HU"/>
        </w:rPr>
      </w:pPr>
      <w:r w:rsidRPr="00D045B3">
        <w:rPr>
          <w:color w:val="000000"/>
          <w:szCs w:val="22"/>
          <w:lang w:val="hu-HU"/>
        </w:rPr>
        <w:t>imatinib</w:t>
      </w:r>
    </w:p>
    <w:p w14:paraId="1E928008" w14:textId="77777777" w:rsidR="00407B2F" w:rsidRPr="00D045B3" w:rsidRDefault="00407B2F" w:rsidP="00407B2F">
      <w:pPr>
        <w:spacing w:line="240" w:lineRule="auto"/>
        <w:jc w:val="center"/>
        <w:rPr>
          <w:color w:val="000000"/>
          <w:szCs w:val="22"/>
          <w:lang w:val="hu-HU"/>
        </w:rPr>
      </w:pPr>
    </w:p>
    <w:p w14:paraId="1E928009" w14:textId="77777777" w:rsidR="00407B2F" w:rsidRPr="00D045B3" w:rsidRDefault="00407B2F" w:rsidP="00407B2F">
      <w:pPr>
        <w:spacing w:line="240" w:lineRule="auto"/>
        <w:jc w:val="center"/>
        <w:rPr>
          <w:color w:val="000000"/>
          <w:szCs w:val="22"/>
          <w:lang w:val="hu-HU"/>
        </w:rPr>
      </w:pPr>
    </w:p>
    <w:p w14:paraId="1E92800A" w14:textId="77777777" w:rsidR="00407B2F" w:rsidRPr="00D045B3" w:rsidRDefault="00407B2F" w:rsidP="00407B2F">
      <w:pPr>
        <w:spacing w:line="240" w:lineRule="auto"/>
        <w:rPr>
          <w:b/>
          <w:color w:val="000000"/>
          <w:szCs w:val="22"/>
          <w:lang w:val="hu-HU"/>
        </w:rPr>
      </w:pPr>
      <w:r w:rsidRPr="00D045B3">
        <w:rPr>
          <w:b/>
          <w:color w:val="000000"/>
          <w:szCs w:val="22"/>
          <w:lang w:val="hu-HU"/>
        </w:rPr>
        <w:t>Mielőtt elkezdi szedni ezt a gyógyszert, olvassa el figyelmesen az alábbi betegtájékoztatót</w:t>
      </w:r>
      <w:r w:rsidRPr="00D045B3">
        <w:rPr>
          <w:b/>
          <w:noProof/>
          <w:szCs w:val="22"/>
          <w:lang w:val="hu-HU"/>
        </w:rPr>
        <w:t>, mert az Ön számára fontos információkat tartalmaz</w:t>
      </w:r>
      <w:r w:rsidRPr="00D045B3">
        <w:rPr>
          <w:b/>
          <w:color w:val="000000"/>
          <w:szCs w:val="22"/>
          <w:lang w:val="hu-HU"/>
        </w:rPr>
        <w:t>.</w:t>
      </w:r>
    </w:p>
    <w:p w14:paraId="1E92800B" w14:textId="77777777" w:rsidR="00407B2F" w:rsidRPr="00D045B3" w:rsidRDefault="00407B2F" w:rsidP="00E95370">
      <w:pPr>
        <w:numPr>
          <w:ilvl w:val="0"/>
          <w:numId w:val="8"/>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Tartsa meg a betegtájékoztatót, mert a benne szereplő információkra a későbbiekben is szüksége lehet.</w:t>
      </w:r>
    </w:p>
    <w:p w14:paraId="1E92800C" w14:textId="77777777" w:rsidR="00407B2F" w:rsidRPr="00D045B3" w:rsidRDefault="00407B2F" w:rsidP="00E95370">
      <w:pPr>
        <w:numPr>
          <w:ilvl w:val="0"/>
          <w:numId w:val="8"/>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 xml:space="preserve">További kérdéseivel forduljon </w:t>
      </w:r>
      <w:r w:rsidRPr="00D045B3">
        <w:rPr>
          <w:noProof/>
          <w:szCs w:val="22"/>
          <w:lang w:val="hu-HU"/>
        </w:rPr>
        <w:t>kezelőorvosához,</w:t>
      </w:r>
      <w:r w:rsidRPr="00D045B3">
        <w:rPr>
          <w:color w:val="000000"/>
          <w:szCs w:val="22"/>
          <w:lang w:val="hu-HU"/>
        </w:rPr>
        <w:t xml:space="preserve"> gyógyszerészéhez </w:t>
      </w:r>
      <w:r w:rsidRPr="00D045B3">
        <w:rPr>
          <w:noProof/>
          <w:szCs w:val="22"/>
          <w:lang w:val="hu-HU"/>
        </w:rPr>
        <w:t>vagy a gondozását végző egészségügyi szakemberhez</w:t>
      </w:r>
      <w:r w:rsidRPr="00D045B3">
        <w:rPr>
          <w:color w:val="000000"/>
          <w:szCs w:val="22"/>
          <w:lang w:val="hu-HU"/>
        </w:rPr>
        <w:t>.</w:t>
      </w:r>
    </w:p>
    <w:p w14:paraId="1E92800D" w14:textId="77777777" w:rsidR="00407B2F" w:rsidRPr="00D045B3" w:rsidRDefault="00407B2F" w:rsidP="00E95370">
      <w:pPr>
        <w:pStyle w:val="WW-NormlWeb"/>
        <w:numPr>
          <w:ilvl w:val="0"/>
          <w:numId w:val="6"/>
        </w:numPr>
        <w:tabs>
          <w:tab w:val="clear" w:pos="360"/>
        </w:tabs>
        <w:spacing w:before="0" w:after="0" w:line="240" w:lineRule="auto"/>
        <w:ind w:left="567" w:hanging="567"/>
        <w:rPr>
          <w:rFonts w:ascii="Times New Roman" w:hAnsi="Times New Roman" w:cs="Times New Roman"/>
          <w:color w:val="000000"/>
          <w:sz w:val="22"/>
          <w:szCs w:val="22"/>
        </w:rPr>
      </w:pPr>
      <w:r w:rsidRPr="00D045B3">
        <w:rPr>
          <w:rFonts w:ascii="Times New Roman" w:hAnsi="Times New Roman" w:cs="Times New Roman"/>
          <w:color w:val="000000"/>
          <w:sz w:val="22"/>
          <w:szCs w:val="22"/>
        </w:rPr>
        <w:t>Ezt a gyógyszert az orvos kizárólag Önnek írta fel. Ne adja át a készítményt másnak, mert számára ártalmas lehet még abban az esetben is, ha a betegsége tünetei az Önéhez hasonlóak.</w:t>
      </w:r>
    </w:p>
    <w:p w14:paraId="1E92800E" w14:textId="77777777" w:rsidR="00407B2F" w:rsidRPr="00D045B3" w:rsidRDefault="00407B2F" w:rsidP="00E95370">
      <w:pPr>
        <w:widowControl w:val="0"/>
        <w:numPr>
          <w:ilvl w:val="0"/>
          <w:numId w:val="16"/>
        </w:numPr>
        <w:tabs>
          <w:tab w:val="clear" w:pos="567"/>
        </w:tabs>
        <w:spacing w:line="240" w:lineRule="auto"/>
        <w:ind w:left="567" w:right="-2" w:hanging="567"/>
        <w:rPr>
          <w:color w:val="000000"/>
          <w:szCs w:val="22"/>
          <w:lang w:val="hu-HU"/>
        </w:rPr>
      </w:pPr>
      <w:r w:rsidRPr="00D045B3">
        <w:rPr>
          <w:color w:val="000000"/>
          <w:szCs w:val="22"/>
          <w:lang w:val="hu-HU"/>
        </w:rPr>
        <w:t xml:space="preserve">Ha Önnél bármilyen mellékhatás jelentkezik, tájékoztassa erről kezelőorvosát, gyógyszerészét vagy </w:t>
      </w:r>
      <w:r w:rsidRPr="00D045B3">
        <w:rPr>
          <w:noProof/>
          <w:szCs w:val="22"/>
          <w:lang w:val="hu-HU"/>
        </w:rPr>
        <w:t>a gondozását végző egészségügyi szakembert</w:t>
      </w:r>
      <w:r w:rsidRPr="00D045B3">
        <w:rPr>
          <w:color w:val="000000"/>
          <w:szCs w:val="22"/>
          <w:lang w:val="hu-HU"/>
        </w:rPr>
        <w:t>. Ez a betegtájékoztatóban fel nem sorolt bármilyen lehetséges mellékhatásra is vonatkozik. Lásd 4. pont.</w:t>
      </w:r>
    </w:p>
    <w:p w14:paraId="1E92800F" w14:textId="77777777" w:rsidR="00407B2F" w:rsidRPr="00D045B3" w:rsidRDefault="00407B2F" w:rsidP="00407B2F">
      <w:pPr>
        <w:spacing w:line="240" w:lineRule="auto"/>
        <w:ind w:right="-2"/>
        <w:rPr>
          <w:color w:val="000000"/>
          <w:szCs w:val="22"/>
          <w:lang w:val="hu-HU"/>
        </w:rPr>
      </w:pPr>
    </w:p>
    <w:p w14:paraId="1E928010" w14:textId="77777777" w:rsidR="00407B2F" w:rsidRPr="00D045B3" w:rsidRDefault="00407B2F" w:rsidP="00407B2F">
      <w:pPr>
        <w:keepNext/>
        <w:spacing w:line="240" w:lineRule="auto"/>
        <w:ind w:right="-2"/>
        <w:rPr>
          <w:b/>
          <w:color w:val="000000"/>
          <w:szCs w:val="22"/>
          <w:lang w:val="hu-HU"/>
        </w:rPr>
      </w:pPr>
      <w:r w:rsidRPr="00D045B3">
        <w:rPr>
          <w:b/>
          <w:color w:val="000000"/>
          <w:szCs w:val="22"/>
          <w:lang w:val="hu-HU"/>
        </w:rPr>
        <w:t>A betegtájékoztató tartalma</w:t>
      </w:r>
      <w:r w:rsidR="001B47B6" w:rsidRPr="00D045B3">
        <w:rPr>
          <w:b/>
          <w:color w:val="000000"/>
          <w:szCs w:val="22"/>
          <w:lang w:val="hu-HU"/>
        </w:rPr>
        <w:t>:</w:t>
      </w:r>
    </w:p>
    <w:p w14:paraId="1E928011" w14:textId="77777777" w:rsidR="0080052A" w:rsidRPr="00D045B3" w:rsidRDefault="0080052A" w:rsidP="00407B2F">
      <w:pPr>
        <w:keepNext/>
        <w:spacing w:line="240" w:lineRule="auto"/>
        <w:ind w:right="-2"/>
        <w:rPr>
          <w:b/>
          <w:color w:val="000000"/>
          <w:szCs w:val="22"/>
          <w:lang w:val="hu-HU"/>
        </w:rPr>
      </w:pPr>
    </w:p>
    <w:p w14:paraId="1E928012" w14:textId="77777777" w:rsidR="00407B2F" w:rsidRPr="00D045B3" w:rsidRDefault="00407B2F" w:rsidP="00407B2F">
      <w:pPr>
        <w:keepNext/>
        <w:spacing w:line="240" w:lineRule="auto"/>
        <w:ind w:right="-29"/>
        <w:rPr>
          <w:color w:val="000000"/>
          <w:szCs w:val="22"/>
          <w:lang w:val="hu-HU"/>
        </w:rPr>
      </w:pPr>
      <w:r w:rsidRPr="00D045B3">
        <w:rPr>
          <w:color w:val="000000"/>
          <w:szCs w:val="22"/>
          <w:lang w:val="hu-HU"/>
        </w:rPr>
        <w:t>1.</w:t>
      </w:r>
      <w:r w:rsidRPr="00D045B3">
        <w:rPr>
          <w:color w:val="000000"/>
          <w:szCs w:val="22"/>
          <w:lang w:val="hu-HU"/>
        </w:rPr>
        <w:tab/>
        <w:t>Milyen típusú gyógyszer az Imatinib Actavis és milyen betegségek esetén alkalmazható?</w:t>
      </w:r>
    </w:p>
    <w:p w14:paraId="1E928013" w14:textId="77777777" w:rsidR="00407B2F" w:rsidRPr="00D045B3" w:rsidRDefault="00407B2F" w:rsidP="00407B2F">
      <w:pPr>
        <w:spacing w:line="240" w:lineRule="auto"/>
        <w:ind w:right="-29"/>
        <w:rPr>
          <w:color w:val="000000"/>
          <w:szCs w:val="22"/>
          <w:lang w:val="hu-HU"/>
        </w:rPr>
      </w:pPr>
      <w:r w:rsidRPr="00D045B3">
        <w:rPr>
          <w:color w:val="000000"/>
          <w:szCs w:val="22"/>
          <w:lang w:val="hu-HU"/>
        </w:rPr>
        <w:t>2.</w:t>
      </w:r>
      <w:r w:rsidRPr="00D045B3">
        <w:rPr>
          <w:color w:val="000000"/>
          <w:szCs w:val="22"/>
          <w:lang w:val="hu-HU"/>
        </w:rPr>
        <w:tab/>
        <w:t>Tudnivalók az Imatinib Actavis szedése előtt</w:t>
      </w:r>
    </w:p>
    <w:p w14:paraId="1E928014" w14:textId="77777777" w:rsidR="00407B2F" w:rsidRPr="00D045B3" w:rsidRDefault="00407B2F" w:rsidP="00407B2F">
      <w:pPr>
        <w:spacing w:line="240" w:lineRule="auto"/>
        <w:ind w:left="567" w:right="-29" w:hanging="567"/>
        <w:rPr>
          <w:color w:val="000000"/>
          <w:szCs w:val="22"/>
          <w:lang w:val="hu-HU"/>
        </w:rPr>
      </w:pPr>
      <w:r w:rsidRPr="00D045B3">
        <w:rPr>
          <w:color w:val="000000"/>
          <w:szCs w:val="22"/>
          <w:lang w:val="hu-HU"/>
        </w:rPr>
        <w:t>3.</w:t>
      </w:r>
      <w:r w:rsidRPr="00D045B3">
        <w:rPr>
          <w:color w:val="000000"/>
          <w:szCs w:val="22"/>
          <w:lang w:val="hu-HU"/>
        </w:rPr>
        <w:tab/>
        <w:t>Hogyan kell szedni az Imatinib Actavis</w:t>
      </w:r>
      <w:r w:rsidRPr="00D045B3">
        <w:rPr>
          <w:color w:val="000000"/>
          <w:szCs w:val="22"/>
          <w:lang w:val="hu-HU"/>
        </w:rPr>
        <w:noBreakHyphen/>
        <w:t>t?</w:t>
      </w:r>
    </w:p>
    <w:p w14:paraId="1E928015" w14:textId="77777777" w:rsidR="00407B2F" w:rsidRPr="00D045B3" w:rsidRDefault="00407B2F" w:rsidP="00407B2F">
      <w:pPr>
        <w:spacing w:line="240" w:lineRule="auto"/>
        <w:ind w:left="567" w:right="-29" w:hanging="567"/>
        <w:rPr>
          <w:color w:val="000000"/>
          <w:szCs w:val="22"/>
          <w:lang w:val="hu-HU"/>
        </w:rPr>
      </w:pPr>
      <w:r w:rsidRPr="00D045B3">
        <w:rPr>
          <w:color w:val="000000"/>
          <w:szCs w:val="22"/>
          <w:lang w:val="hu-HU"/>
        </w:rPr>
        <w:t>4.</w:t>
      </w:r>
      <w:r w:rsidRPr="00D045B3">
        <w:rPr>
          <w:color w:val="000000"/>
          <w:szCs w:val="22"/>
          <w:lang w:val="hu-HU"/>
        </w:rPr>
        <w:tab/>
        <w:t>Lehetséges mellékhatások</w:t>
      </w:r>
    </w:p>
    <w:p w14:paraId="1E928016" w14:textId="77777777" w:rsidR="00407B2F" w:rsidRPr="00D045B3" w:rsidRDefault="00407B2F" w:rsidP="00407B2F">
      <w:pPr>
        <w:spacing w:line="240" w:lineRule="auto"/>
        <w:ind w:left="567" w:right="-29" w:hanging="567"/>
        <w:rPr>
          <w:color w:val="000000"/>
          <w:szCs w:val="22"/>
          <w:lang w:val="hu-HU"/>
        </w:rPr>
      </w:pPr>
      <w:r w:rsidRPr="00D045B3">
        <w:rPr>
          <w:color w:val="000000"/>
          <w:szCs w:val="22"/>
          <w:lang w:val="hu-HU"/>
        </w:rPr>
        <w:t>5.</w:t>
      </w:r>
      <w:r w:rsidRPr="00D045B3">
        <w:rPr>
          <w:color w:val="000000"/>
          <w:szCs w:val="22"/>
          <w:lang w:val="hu-HU"/>
        </w:rPr>
        <w:tab/>
        <w:t>Hogyan kell az Imatinib Actavis</w:t>
      </w:r>
      <w:r w:rsidRPr="00D045B3">
        <w:rPr>
          <w:color w:val="000000"/>
          <w:szCs w:val="22"/>
          <w:lang w:val="hu-HU"/>
        </w:rPr>
        <w:noBreakHyphen/>
        <w:t>t tárolni?</w:t>
      </w:r>
    </w:p>
    <w:p w14:paraId="1E928017" w14:textId="77777777" w:rsidR="00407B2F" w:rsidRPr="00D045B3" w:rsidRDefault="00407B2F" w:rsidP="00407B2F">
      <w:pPr>
        <w:spacing w:line="240" w:lineRule="auto"/>
        <w:ind w:left="567" w:right="-29" w:hanging="567"/>
        <w:rPr>
          <w:color w:val="000000"/>
          <w:szCs w:val="22"/>
          <w:lang w:val="hu-HU"/>
        </w:rPr>
      </w:pPr>
      <w:r w:rsidRPr="00D045B3">
        <w:rPr>
          <w:color w:val="000000"/>
          <w:szCs w:val="22"/>
          <w:lang w:val="hu-HU"/>
        </w:rPr>
        <w:t>6.</w:t>
      </w:r>
      <w:r w:rsidRPr="00D045B3">
        <w:rPr>
          <w:color w:val="000000"/>
          <w:szCs w:val="22"/>
          <w:lang w:val="hu-HU"/>
        </w:rPr>
        <w:tab/>
      </w:r>
      <w:r w:rsidRPr="00D045B3">
        <w:rPr>
          <w:noProof/>
          <w:szCs w:val="22"/>
          <w:lang w:val="hu-HU"/>
        </w:rPr>
        <w:t xml:space="preserve">A csomagolás tartalma és egyéb </w:t>
      </w:r>
      <w:r w:rsidRPr="00D045B3">
        <w:rPr>
          <w:color w:val="000000"/>
          <w:szCs w:val="22"/>
          <w:lang w:val="hu-HU"/>
        </w:rPr>
        <w:t>információk</w:t>
      </w:r>
    </w:p>
    <w:p w14:paraId="1E928018" w14:textId="77777777" w:rsidR="00407B2F" w:rsidRPr="00D045B3" w:rsidRDefault="00407B2F" w:rsidP="00407B2F">
      <w:pPr>
        <w:spacing w:line="240" w:lineRule="auto"/>
        <w:ind w:right="-2"/>
        <w:rPr>
          <w:color w:val="000000"/>
          <w:szCs w:val="22"/>
          <w:lang w:val="hu-HU"/>
        </w:rPr>
      </w:pPr>
    </w:p>
    <w:p w14:paraId="1E928019" w14:textId="77777777" w:rsidR="00407B2F" w:rsidRPr="00D045B3" w:rsidRDefault="00407B2F" w:rsidP="00407B2F">
      <w:pPr>
        <w:spacing w:line="240" w:lineRule="auto"/>
        <w:ind w:right="-2"/>
        <w:rPr>
          <w:color w:val="000000"/>
          <w:szCs w:val="22"/>
          <w:lang w:val="hu-HU"/>
        </w:rPr>
      </w:pPr>
    </w:p>
    <w:p w14:paraId="1E92801A" w14:textId="77777777" w:rsidR="00407B2F" w:rsidRPr="00D045B3" w:rsidRDefault="00407B2F" w:rsidP="00407B2F">
      <w:pPr>
        <w:keepNext/>
        <w:spacing w:line="240" w:lineRule="auto"/>
        <w:ind w:left="567" w:hanging="567"/>
        <w:rPr>
          <w:b/>
          <w:color w:val="000000"/>
          <w:szCs w:val="22"/>
          <w:lang w:val="hu-HU"/>
        </w:rPr>
      </w:pPr>
      <w:r w:rsidRPr="00D045B3">
        <w:rPr>
          <w:b/>
          <w:color w:val="000000"/>
          <w:szCs w:val="22"/>
          <w:lang w:val="hu-HU"/>
        </w:rPr>
        <w:t>1.</w:t>
      </w:r>
      <w:r w:rsidRPr="00D045B3">
        <w:rPr>
          <w:b/>
          <w:color w:val="000000"/>
          <w:szCs w:val="22"/>
          <w:lang w:val="hu-HU"/>
        </w:rPr>
        <w:tab/>
        <w:t>Milyen típusú gyógyszer az Imatinib Actavis és milyen betegségek esetén alkalmazható?</w:t>
      </w:r>
    </w:p>
    <w:p w14:paraId="1E92801B" w14:textId="77777777" w:rsidR="00407B2F" w:rsidRPr="00D045B3" w:rsidRDefault="00407B2F" w:rsidP="00407B2F">
      <w:pPr>
        <w:keepNext/>
        <w:spacing w:line="240" w:lineRule="auto"/>
        <w:rPr>
          <w:color w:val="000000"/>
          <w:szCs w:val="22"/>
          <w:lang w:val="hu-HU"/>
        </w:rPr>
      </w:pPr>
    </w:p>
    <w:p w14:paraId="1E92801C" w14:textId="0C51EE48" w:rsidR="00407B2F" w:rsidRPr="00D045B3" w:rsidRDefault="00407B2F" w:rsidP="000157E9">
      <w:pPr>
        <w:spacing w:line="240" w:lineRule="auto"/>
        <w:rPr>
          <w:color w:val="000000"/>
          <w:szCs w:val="22"/>
          <w:lang w:val="hu-HU"/>
        </w:rPr>
      </w:pPr>
      <w:r w:rsidRPr="00D045B3">
        <w:rPr>
          <w:color w:val="000000"/>
          <w:szCs w:val="22"/>
          <w:lang w:val="hu-HU"/>
        </w:rPr>
        <w:t xml:space="preserve">Az Imatinib Actavis egy imatinib nevű hatóanyagot tartalmazó gyógyszer. Ez a gyógyszer a kóros sejtek szaporodását gátolja az alábbi betegségekben. </w:t>
      </w:r>
      <w:r w:rsidRPr="00D045B3">
        <w:rPr>
          <w:szCs w:val="22"/>
          <w:lang w:val="hu-HU"/>
        </w:rPr>
        <w:t xml:space="preserve">Ezek a </w:t>
      </w:r>
      <w:r w:rsidR="000157E9" w:rsidRPr="00D045B3">
        <w:rPr>
          <w:szCs w:val="22"/>
          <w:lang w:val="hu-HU"/>
        </w:rPr>
        <w:t>betegségek bizonyos típusú rákos megbetegedések</w:t>
      </w:r>
      <w:r w:rsidRPr="00D045B3">
        <w:rPr>
          <w:szCs w:val="22"/>
          <w:lang w:val="hu-HU"/>
        </w:rPr>
        <w:t>.</w:t>
      </w:r>
    </w:p>
    <w:p w14:paraId="1E92801D" w14:textId="77777777" w:rsidR="00407B2F" w:rsidRPr="00D045B3" w:rsidRDefault="00407B2F" w:rsidP="00407B2F">
      <w:pPr>
        <w:spacing w:line="240" w:lineRule="auto"/>
        <w:ind w:right="-2"/>
        <w:rPr>
          <w:color w:val="000000"/>
          <w:szCs w:val="22"/>
          <w:lang w:val="hu-HU"/>
        </w:rPr>
      </w:pPr>
    </w:p>
    <w:p w14:paraId="1E92801E" w14:textId="00DC6C29" w:rsidR="00407B2F" w:rsidRPr="00D045B3" w:rsidRDefault="00407B2F" w:rsidP="00407B2F">
      <w:pPr>
        <w:keepNext/>
        <w:spacing w:line="240" w:lineRule="auto"/>
        <w:rPr>
          <w:b/>
          <w:color w:val="000000"/>
          <w:szCs w:val="22"/>
          <w:lang w:val="hu-HU"/>
        </w:rPr>
      </w:pPr>
      <w:r w:rsidRPr="00D045B3">
        <w:rPr>
          <w:b/>
          <w:color w:val="000000"/>
          <w:szCs w:val="22"/>
          <w:lang w:val="hu-HU"/>
        </w:rPr>
        <w:t>Az Imatinib Actavis az alábbiak kezelésére alkalmazható:</w:t>
      </w:r>
    </w:p>
    <w:p w14:paraId="1E92801F" w14:textId="77777777" w:rsidR="00F92646" w:rsidRPr="00D045B3" w:rsidRDefault="00F92646" w:rsidP="00407B2F">
      <w:pPr>
        <w:keepNext/>
        <w:spacing w:line="240" w:lineRule="auto"/>
        <w:rPr>
          <w:b/>
          <w:color w:val="000000"/>
          <w:szCs w:val="22"/>
          <w:lang w:val="hu-HU"/>
        </w:rPr>
      </w:pPr>
    </w:p>
    <w:p w14:paraId="1E928020" w14:textId="77777777" w:rsidR="00407B2F" w:rsidRPr="00D045B3" w:rsidRDefault="00407B2F" w:rsidP="00E95370">
      <w:pPr>
        <w:numPr>
          <w:ilvl w:val="0"/>
          <w:numId w:val="26"/>
        </w:numPr>
        <w:spacing w:line="240" w:lineRule="auto"/>
        <w:ind w:left="567" w:hanging="567"/>
        <w:rPr>
          <w:b/>
          <w:color w:val="000000"/>
          <w:szCs w:val="22"/>
          <w:lang w:val="hu-HU"/>
        </w:rPr>
      </w:pPr>
      <w:r w:rsidRPr="00D045B3">
        <w:rPr>
          <w:b/>
          <w:color w:val="000000"/>
          <w:szCs w:val="22"/>
          <w:lang w:val="hu-HU"/>
        </w:rPr>
        <w:t>krónikus mieloid leukémia (CML).</w:t>
      </w:r>
    </w:p>
    <w:p w14:paraId="1E928021" w14:textId="77777777" w:rsidR="00407B2F" w:rsidRPr="00D045B3" w:rsidRDefault="00407B2F" w:rsidP="00CA41FD">
      <w:pPr>
        <w:spacing w:line="240" w:lineRule="auto"/>
        <w:ind w:left="567"/>
        <w:rPr>
          <w:color w:val="000000"/>
          <w:szCs w:val="22"/>
          <w:lang w:val="hu-HU"/>
        </w:rPr>
      </w:pPr>
      <w:r w:rsidRPr="00D045B3">
        <w:rPr>
          <w:color w:val="000000"/>
          <w:szCs w:val="22"/>
          <w:lang w:val="hu-HU"/>
        </w:rPr>
        <w:t>A leukémia a fehérvérsejtek daganatos megbetegedése. Ezek a fehérvérsejtek általában segítik a szervezetet a fertőzések leküzdésében. A krónikus mieloid leukémia a leukémiák azon formája, amelyben egyes kóros fehérvérsejtek (mieloid sejtek) száma szabályozatlanul növekedni kezd.</w:t>
      </w:r>
    </w:p>
    <w:p w14:paraId="1E928022" w14:textId="77777777" w:rsidR="00407B2F" w:rsidRPr="00D045B3" w:rsidRDefault="00407B2F" w:rsidP="00407B2F">
      <w:pPr>
        <w:spacing w:line="240" w:lineRule="auto"/>
        <w:ind w:right="-2"/>
        <w:rPr>
          <w:color w:val="000000"/>
          <w:szCs w:val="22"/>
          <w:lang w:val="hu-HU"/>
        </w:rPr>
      </w:pPr>
    </w:p>
    <w:p w14:paraId="1E928023" w14:textId="77777777" w:rsidR="00407B2F" w:rsidRPr="00D045B3" w:rsidRDefault="00407B2F" w:rsidP="00407B2F">
      <w:pPr>
        <w:spacing w:line="240" w:lineRule="auto"/>
        <w:rPr>
          <w:color w:val="000000"/>
          <w:szCs w:val="22"/>
          <w:lang w:val="hu-HU"/>
        </w:rPr>
      </w:pPr>
      <w:r w:rsidRPr="00D045B3">
        <w:rPr>
          <w:color w:val="000000"/>
          <w:szCs w:val="22"/>
          <w:lang w:val="hu-HU"/>
        </w:rPr>
        <w:t>Felnőtt betegekné</w:t>
      </w:r>
      <w:r w:rsidR="0078534B" w:rsidRPr="00D045B3">
        <w:rPr>
          <w:color w:val="000000"/>
          <w:szCs w:val="22"/>
          <w:lang w:val="hu-HU"/>
        </w:rPr>
        <w:t>l</w:t>
      </w:r>
      <w:r w:rsidRPr="00D045B3">
        <w:rPr>
          <w:color w:val="000000"/>
          <w:szCs w:val="22"/>
          <w:lang w:val="hu-HU"/>
        </w:rPr>
        <w:t xml:space="preserve"> az Imatinib Actavis a betegség legelőrehaladottabb stádiumának (az úgynevezett blasztos krízisnek) a kezelésére alkalmazható. Az Imatinib Actavis gyermekeknél a betegség különböző stádiumainak (krónikus, akcelerált fázis és blasztos krízis) kezelésére adható. </w:t>
      </w:r>
    </w:p>
    <w:p w14:paraId="1E928026" w14:textId="77777777" w:rsidR="00407B2F" w:rsidRPr="00D045B3" w:rsidRDefault="00407B2F" w:rsidP="00CA41FD">
      <w:pPr>
        <w:pStyle w:val="Default"/>
        <w:keepNext/>
        <w:rPr>
          <w:sz w:val="22"/>
          <w:szCs w:val="22"/>
        </w:rPr>
      </w:pPr>
    </w:p>
    <w:p w14:paraId="1E928027" w14:textId="77777777" w:rsidR="00407B2F" w:rsidRPr="00D045B3" w:rsidRDefault="00407B2F" w:rsidP="00E95370">
      <w:pPr>
        <w:pStyle w:val="Default"/>
        <w:numPr>
          <w:ilvl w:val="0"/>
          <w:numId w:val="26"/>
        </w:numPr>
        <w:ind w:left="567" w:hanging="567"/>
        <w:rPr>
          <w:sz w:val="22"/>
          <w:szCs w:val="22"/>
        </w:rPr>
      </w:pPr>
      <w:r w:rsidRPr="00D045B3">
        <w:rPr>
          <w:b/>
          <w:bCs/>
          <w:sz w:val="22"/>
          <w:szCs w:val="22"/>
        </w:rPr>
        <w:t xml:space="preserve">Filadelfia kromoszóma pozitív akut limfoblasztos leukémia (Ph-pozitív ALL). </w:t>
      </w:r>
      <w:r w:rsidRPr="00D045B3">
        <w:rPr>
          <w:b/>
          <w:bCs/>
          <w:sz w:val="22"/>
          <w:szCs w:val="22"/>
        </w:rPr>
        <w:br/>
      </w:r>
      <w:r w:rsidRPr="00D045B3">
        <w:rPr>
          <w:sz w:val="22"/>
          <w:szCs w:val="22"/>
        </w:rPr>
        <w:t xml:space="preserve">A leukémia a fehérvérsejtek daganatos megbetegedése. Ezek a fehérvérsejtek általában segítik a szervezetet a fertőzések leküzdésében. Az akut limfoblasztos leukémia a leukémiák azon formája, amelyben egyes kóros fehérvérsejtek (úgynevezett limfoblasztok) száma szabályozatlanul növekedni kezd. Az Imatinib Actavis gátolja ezeknek a sejteknek a szaporodását. </w:t>
      </w:r>
    </w:p>
    <w:p w14:paraId="1E928028" w14:textId="226C0151" w:rsidR="00F7257C" w:rsidRPr="00D045B3" w:rsidRDefault="00F7257C" w:rsidP="00F7257C">
      <w:pPr>
        <w:pStyle w:val="Default"/>
        <w:rPr>
          <w:sz w:val="22"/>
          <w:szCs w:val="22"/>
        </w:rPr>
      </w:pPr>
    </w:p>
    <w:p w14:paraId="1E928029" w14:textId="247B3C72" w:rsidR="00F7257C" w:rsidRPr="00D045B3" w:rsidRDefault="00F7257C" w:rsidP="00F7257C">
      <w:pPr>
        <w:pStyle w:val="Default"/>
        <w:keepNext/>
        <w:rPr>
          <w:b/>
          <w:sz w:val="22"/>
          <w:szCs w:val="22"/>
        </w:rPr>
      </w:pPr>
      <w:r w:rsidRPr="00D045B3">
        <w:rPr>
          <w:b/>
          <w:sz w:val="22"/>
          <w:szCs w:val="22"/>
        </w:rPr>
        <w:t xml:space="preserve">Az Imatinib Actavis </w:t>
      </w:r>
      <w:r w:rsidR="008E401F" w:rsidRPr="00D045B3">
        <w:rPr>
          <w:b/>
          <w:sz w:val="22"/>
          <w:szCs w:val="22"/>
        </w:rPr>
        <w:t xml:space="preserve">ezenkívül felnőttkorban az alábbi kórkép </w:t>
      </w:r>
      <w:r w:rsidRPr="00D045B3">
        <w:rPr>
          <w:b/>
          <w:sz w:val="22"/>
          <w:szCs w:val="22"/>
        </w:rPr>
        <w:t>kezelésére is szolgál:</w:t>
      </w:r>
    </w:p>
    <w:p w14:paraId="1E92802A" w14:textId="77777777" w:rsidR="00F7257C" w:rsidRPr="00D045B3" w:rsidRDefault="00F7257C" w:rsidP="00F7257C">
      <w:pPr>
        <w:pStyle w:val="Default"/>
        <w:keepNext/>
        <w:rPr>
          <w:sz w:val="22"/>
          <w:szCs w:val="22"/>
        </w:rPr>
      </w:pPr>
    </w:p>
    <w:p w14:paraId="1E92802B" w14:textId="77777777" w:rsidR="00407B2F" w:rsidRPr="00D045B3" w:rsidRDefault="00407B2F" w:rsidP="00E20638">
      <w:pPr>
        <w:pStyle w:val="Default"/>
        <w:spacing w:after="11"/>
        <w:ind w:left="567"/>
        <w:rPr>
          <w:color w:val="auto"/>
          <w:sz w:val="22"/>
          <w:szCs w:val="22"/>
        </w:rPr>
      </w:pPr>
      <w:r w:rsidRPr="00D045B3">
        <w:rPr>
          <w:b/>
          <w:bCs/>
          <w:color w:val="auto"/>
          <w:sz w:val="22"/>
          <w:szCs w:val="22"/>
        </w:rPr>
        <w:t xml:space="preserve">Mielodiszpláziás/mieloproliferatív betegségek (MDS/MPD). </w:t>
      </w:r>
      <w:r w:rsidRPr="00D045B3">
        <w:rPr>
          <w:color w:val="auto"/>
          <w:sz w:val="22"/>
          <w:szCs w:val="22"/>
        </w:rPr>
        <w:t xml:space="preserve">Ezek a vér betegségeinek olyan csoportjai, amelyekben a vér egyes sejtjeinek száma szabályozatlanul növekedni kezd. Az Imatinib Actavis az ilyen betegségek bizonyos altípusában gátolja ezeknek a sejteknek a szaporodását. </w:t>
      </w:r>
    </w:p>
    <w:p w14:paraId="1E92802C" w14:textId="77777777" w:rsidR="00407B2F" w:rsidRPr="00D045B3" w:rsidRDefault="00407B2F" w:rsidP="00407B2F">
      <w:pPr>
        <w:pStyle w:val="Default"/>
        <w:spacing w:after="11"/>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Hipereozinofília szindróma (HES) és/vagy krónikus eozinofíliás leukémia (CEL). </w:t>
      </w:r>
      <w:r w:rsidRPr="00D045B3">
        <w:rPr>
          <w:color w:val="auto"/>
          <w:sz w:val="22"/>
          <w:szCs w:val="22"/>
        </w:rPr>
        <w:t xml:space="preserve">Ezek a vérképzőrendszer olyan betegségei, amelyekben egyes vérsejtek (eozinofil sejtek) szabályozatlanul szaporodni kezdenek. Az Imatinib Actavis gátolja ezeknek a sejteknek a szaporodását az ilyen betegségek bizonyos altípusában. </w:t>
      </w:r>
    </w:p>
    <w:p w14:paraId="1E92802D" w14:textId="77777777" w:rsidR="00407B2F" w:rsidRPr="00D045B3" w:rsidRDefault="00407B2F" w:rsidP="00407B2F">
      <w:pPr>
        <w:pStyle w:val="Default"/>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Dermatifibroszarkóma protuberánsz (DFSP). </w:t>
      </w:r>
      <w:r w:rsidRPr="00D045B3">
        <w:rPr>
          <w:color w:val="auto"/>
          <w:sz w:val="22"/>
          <w:szCs w:val="22"/>
        </w:rPr>
        <w:t xml:space="preserve">A DFSP a bőr alatti szövet daganatos megbetegedése, melyben egyes sejtek szabályozatlanul szaporodni kezdenek. Az Imatinib Actavis ezeknek a sejteknek a szaporodását gátolja. </w:t>
      </w:r>
    </w:p>
    <w:p w14:paraId="1E92802E" w14:textId="77777777" w:rsidR="00407B2F" w:rsidRPr="00D045B3" w:rsidRDefault="00407B2F" w:rsidP="00407B2F">
      <w:pPr>
        <w:pStyle w:val="Default"/>
        <w:rPr>
          <w:color w:val="auto"/>
          <w:sz w:val="22"/>
          <w:szCs w:val="22"/>
        </w:rPr>
      </w:pPr>
    </w:p>
    <w:p w14:paraId="1E92802F" w14:textId="77777777" w:rsidR="00407B2F" w:rsidRPr="00D045B3" w:rsidRDefault="00407B2F" w:rsidP="00407B2F">
      <w:pPr>
        <w:spacing w:line="240" w:lineRule="auto"/>
        <w:rPr>
          <w:color w:val="000000"/>
          <w:szCs w:val="22"/>
          <w:lang w:val="hu-HU"/>
        </w:rPr>
      </w:pPr>
      <w:r w:rsidRPr="00D045B3">
        <w:rPr>
          <w:szCs w:val="22"/>
          <w:lang w:val="hu-HU"/>
        </w:rPr>
        <w:t>A betegtájékoztató további részeiben, ezeket a rövidítéseket fogjuk használni, ha ezekről a betegségekről teszünk említést.</w:t>
      </w:r>
    </w:p>
    <w:p w14:paraId="1E928030" w14:textId="77777777" w:rsidR="00407B2F" w:rsidRPr="00D045B3" w:rsidRDefault="00407B2F" w:rsidP="00407B2F">
      <w:pPr>
        <w:spacing w:line="240" w:lineRule="auto"/>
        <w:rPr>
          <w:color w:val="000000"/>
          <w:szCs w:val="22"/>
          <w:lang w:val="hu-HU"/>
        </w:rPr>
      </w:pPr>
    </w:p>
    <w:p w14:paraId="1E928031" w14:textId="72AE5738" w:rsidR="00407B2F" w:rsidRPr="00D045B3" w:rsidRDefault="00407B2F" w:rsidP="00407B2F">
      <w:pPr>
        <w:spacing w:line="240" w:lineRule="auto"/>
        <w:rPr>
          <w:color w:val="000000"/>
          <w:szCs w:val="22"/>
          <w:lang w:val="hu-HU"/>
        </w:rPr>
      </w:pPr>
      <w:r w:rsidRPr="00D045B3">
        <w:rPr>
          <w:color w:val="000000"/>
          <w:szCs w:val="22"/>
          <w:lang w:val="hu-HU"/>
        </w:rPr>
        <w:t>Amennyiben bármilyen kérdése van azzal kapcsolatban, hogy miként hat az Imatinib Actavis, illetve</w:t>
      </w:r>
      <w:r w:rsidR="005A06F3" w:rsidRPr="00D045B3">
        <w:rPr>
          <w:color w:val="000000"/>
          <w:szCs w:val="22"/>
          <w:lang w:val="hu-HU"/>
        </w:rPr>
        <w:t>, hogy</w:t>
      </w:r>
      <w:r w:rsidRPr="00D045B3">
        <w:rPr>
          <w:color w:val="000000"/>
          <w:szCs w:val="22"/>
          <w:lang w:val="hu-HU"/>
        </w:rPr>
        <w:t xml:space="preserve"> miért írták fel Önnek ezt a gyógyszert, kérdezze meg kezelőorvosát.</w:t>
      </w:r>
    </w:p>
    <w:p w14:paraId="1E928032" w14:textId="77777777" w:rsidR="00407B2F" w:rsidRPr="00D045B3" w:rsidRDefault="00407B2F" w:rsidP="00407B2F">
      <w:pPr>
        <w:spacing w:line="240" w:lineRule="auto"/>
        <w:ind w:right="-2"/>
        <w:rPr>
          <w:color w:val="000000"/>
          <w:szCs w:val="22"/>
          <w:lang w:val="hu-HU"/>
        </w:rPr>
      </w:pPr>
    </w:p>
    <w:p w14:paraId="1E928033" w14:textId="77777777" w:rsidR="00407B2F" w:rsidRPr="00D045B3" w:rsidRDefault="00407B2F" w:rsidP="00407B2F">
      <w:pPr>
        <w:spacing w:line="240" w:lineRule="auto"/>
        <w:ind w:right="-2"/>
        <w:rPr>
          <w:color w:val="000000"/>
          <w:szCs w:val="22"/>
          <w:lang w:val="hu-HU"/>
        </w:rPr>
      </w:pPr>
    </w:p>
    <w:p w14:paraId="1E928034" w14:textId="77777777" w:rsidR="00407B2F" w:rsidRPr="00D045B3" w:rsidRDefault="00407B2F" w:rsidP="00407B2F">
      <w:pPr>
        <w:keepNext/>
        <w:spacing w:line="240" w:lineRule="auto"/>
        <w:ind w:left="567" w:right="-2" w:hanging="567"/>
        <w:rPr>
          <w:b/>
          <w:color w:val="000000"/>
          <w:szCs w:val="22"/>
          <w:lang w:val="hu-HU"/>
        </w:rPr>
      </w:pPr>
      <w:r w:rsidRPr="00D045B3">
        <w:rPr>
          <w:b/>
          <w:color w:val="000000"/>
          <w:szCs w:val="22"/>
          <w:lang w:val="hu-HU"/>
        </w:rPr>
        <w:t>2.</w:t>
      </w:r>
      <w:r w:rsidRPr="00D045B3">
        <w:rPr>
          <w:b/>
          <w:color w:val="000000"/>
          <w:szCs w:val="22"/>
          <w:lang w:val="hu-HU"/>
        </w:rPr>
        <w:tab/>
        <w:t>Tudnivalók az Imatinib Actavis szedése előtt</w:t>
      </w:r>
    </w:p>
    <w:p w14:paraId="1E928035" w14:textId="77777777" w:rsidR="00407B2F" w:rsidRPr="00D045B3" w:rsidRDefault="00407B2F" w:rsidP="00407B2F">
      <w:pPr>
        <w:keepNext/>
        <w:spacing w:line="240" w:lineRule="auto"/>
        <w:rPr>
          <w:color w:val="000000"/>
          <w:szCs w:val="22"/>
          <w:lang w:val="hu-HU"/>
        </w:rPr>
      </w:pPr>
    </w:p>
    <w:p w14:paraId="1E928036" w14:textId="77777777" w:rsidR="00407B2F" w:rsidRPr="00D045B3" w:rsidRDefault="00407B2F" w:rsidP="00407B2F">
      <w:pPr>
        <w:keepNext/>
        <w:spacing w:line="240" w:lineRule="auto"/>
        <w:rPr>
          <w:color w:val="000000"/>
          <w:szCs w:val="22"/>
          <w:lang w:val="hu-HU"/>
        </w:rPr>
      </w:pPr>
      <w:r w:rsidRPr="00D045B3">
        <w:rPr>
          <w:color w:val="000000"/>
          <w:szCs w:val="22"/>
          <w:lang w:val="hu-HU"/>
        </w:rPr>
        <w:t>Az Imatinib Actavis</w:t>
      </w:r>
      <w:r w:rsidRPr="00D045B3">
        <w:rPr>
          <w:color w:val="000000"/>
          <w:szCs w:val="22"/>
          <w:lang w:val="hu-HU"/>
        </w:rPr>
        <w:noBreakHyphen/>
        <w:t>t kizárólag olyan orvos írhatja fel Önnek, aki tapasztalt a vér daganatos megbetegedéseinek vagy úgynevezett szolid tumoros betegségek kezelésében.</w:t>
      </w:r>
    </w:p>
    <w:p w14:paraId="1E928037" w14:textId="77777777" w:rsidR="00407B2F" w:rsidRPr="00D045B3" w:rsidRDefault="00407B2F" w:rsidP="00407B2F">
      <w:pPr>
        <w:spacing w:line="240" w:lineRule="auto"/>
        <w:rPr>
          <w:color w:val="000000"/>
          <w:szCs w:val="22"/>
          <w:lang w:val="hu-HU"/>
        </w:rPr>
      </w:pPr>
    </w:p>
    <w:p w14:paraId="1E928038" w14:textId="77777777" w:rsidR="00407B2F" w:rsidRPr="00D045B3" w:rsidRDefault="00407B2F" w:rsidP="00407B2F">
      <w:pPr>
        <w:spacing w:line="240" w:lineRule="auto"/>
        <w:rPr>
          <w:color w:val="000000"/>
          <w:szCs w:val="22"/>
          <w:lang w:val="hu-HU"/>
        </w:rPr>
      </w:pPr>
      <w:r w:rsidRPr="00D045B3">
        <w:rPr>
          <w:color w:val="000000"/>
          <w:szCs w:val="22"/>
          <w:lang w:val="hu-HU"/>
        </w:rPr>
        <w:t>Gondosan kövesse orvosa valamennyi utasítását, még akkor is, ha azok eltérnek attól, az ebben a betegtájékoztatóban szereplő általános információktól.</w:t>
      </w:r>
    </w:p>
    <w:p w14:paraId="1E928039" w14:textId="77777777" w:rsidR="00407B2F" w:rsidRPr="00D045B3" w:rsidRDefault="00407B2F" w:rsidP="00407B2F">
      <w:pPr>
        <w:spacing w:line="240" w:lineRule="auto"/>
        <w:rPr>
          <w:color w:val="000000"/>
          <w:szCs w:val="22"/>
          <w:lang w:val="hu-HU"/>
        </w:rPr>
      </w:pPr>
    </w:p>
    <w:p w14:paraId="1E92803A" w14:textId="77777777" w:rsidR="00407B2F" w:rsidRPr="00D045B3" w:rsidRDefault="00407B2F" w:rsidP="00407B2F">
      <w:pPr>
        <w:keepNext/>
        <w:spacing w:line="240" w:lineRule="auto"/>
        <w:rPr>
          <w:b/>
          <w:color w:val="000000"/>
          <w:szCs w:val="22"/>
          <w:lang w:val="hu-HU"/>
        </w:rPr>
      </w:pPr>
      <w:r w:rsidRPr="00D045B3">
        <w:rPr>
          <w:b/>
          <w:color w:val="000000"/>
          <w:szCs w:val="22"/>
          <w:lang w:val="hu-HU"/>
        </w:rPr>
        <w:t>Ne szedje az Imatinib Actavis</w:t>
      </w:r>
      <w:r w:rsidRPr="00D045B3">
        <w:rPr>
          <w:b/>
          <w:color w:val="000000"/>
          <w:szCs w:val="22"/>
          <w:lang w:val="hu-HU"/>
        </w:rPr>
        <w:noBreakHyphen/>
        <w:t>t</w:t>
      </w:r>
      <w:r w:rsidR="00F92646" w:rsidRPr="00D045B3">
        <w:rPr>
          <w:b/>
          <w:color w:val="000000"/>
          <w:szCs w:val="22"/>
          <w:lang w:val="hu-HU"/>
        </w:rPr>
        <w:t>:</w:t>
      </w:r>
    </w:p>
    <w:p w14:paraId="1E92803B" w14:textId="77777777" w:rsidR="00407B2F" w:rsidRPr="00D045B3" w:rsidRDefault="00407B2F" w:rsidP="00E95370">
      <w:pPr>
        <w:keepNext/>
        <w:numPr>
          <w:ilvl w:val="0"/>
          <w:numId w:val="9"/>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 xml:space="preserve">ha allergiás az imatinibre vagy a </w:t>
      </w:r>
      <w:r w:rsidRPr="00D045B3">
        <w:rPr>
          <w:noProof/>
          <w:szCs w:val="22"/>
          <w:lang w:val="hu-HU"/>
        </w:rPr>
        <w:t xml:space="preserve">gyógyszer (6. pontban felsorolt) </w:t>
      </w:r>
      <w:r w:rsidRPr="00D045B3">
        <w:rPr>
          <w:color w:val="000000"/>
          <w:szCs w:val="22"/>
          <w:lang w:val="hu-HU"/>
        </w:rPr>
        <w:t>egyéb összetevőjére.</w:t>
      </w:r>
    </w:p>
    <w:p w14:paraId="1E92803C" w14:textId="77777777" w:rsidR="00407B2F" w:rsidRPr="00D045B3" w:rsidRDefault="00407B2F" w:rsidP="00407B2F">
      <w:pPr>
        <w:spacing w:line="240" w:lineRule="auto"/>
        <w:rPr>
          <w:color w:val="000000"/>
          <w:szCs w:val="22"/>
          <w:lang w:val="hu-HU"/>
        </w:rPr>
      </w:pPr>
    </w:p>
    <w:p w14:paraId="1E92803D" w14:textId="77777777" w:rsidR="00407B2F" w:rsidRPr="00D045B3" w:rsidRDefault="00407B2F" w:rsidP="00407B2F">
      <w:pPr>
        <w:spacing w:line="240" w:lineRule="auto"/>
        <w:rPr>
          <w:color w:val="000000"/>
          <w:szCs w:val="22"/>
          <w:lang w:val="hu-HU"/>
        </w:rPr>
      </w:pPr>
      <w:r w:rsidRPr="00D045B3">
        <w:rPr>
          <w:color w:val="000000"/>
          <w:szCs w:val="22"/>
          <w:lang w:val="hu-HU"/>
        </w:rPr>
        <w:t xml:space="preserve">Amennyiben ez vonatkozik Önre, </w:t>
      </w:r>
      <w:r w:rsidRPr="00D045B3">
        <w:rPr>
          <w:b/>
          <w:color w:val="000000"/>
          <w:szCs w:val="22"/>
          <w:lang w:val="hu-HU"/>
        </w:rPr>
        <w:t>tájékoztassa erről kezelőorvosát, mielőtt az Imatinib Actavis</w:t>
      </w:r>
      <w:r w:rsidRPr="00D045B3">
        <w:rPr>
          <w:b/>
          <w:color w:val="000000"/>
          <w:szCs w:val="22"/>
          <w:lang w:val="hu-HU"/>
        </w:rPr>
        <w:noBreakHyphen/>
        <w:t>t bevenné.</w:t>
      </w:r>
    </w:p>
    <w:p w14:paraId="1E92803E" w14:textId="77777777" w:rsidR="00407B2F" w:rsidRPr="00D045B3" w:rsidRDefault="00407B2F" w:rsidP="00407B2F">
      <w:pPr>
        <w:spacing w:line="240" w:lineRule="auto"/>
        <w:rPr>
          <w:color w:val="000000"/>
          <w:szCs w:val="22"/>
          <w:lang w:val="hu-HU"/>
        </w:rPr>
      </w:pPr>
    </w:p>
    <w:p w14:paraId="1E92803F" w14:textId="77777777" w:rsidR="00407B2F" w:rsidRPr="00D045B3" w:rsidRDefault="00407B2F" w:rsidP="00407B2F">
      <w:pPr>
        <w:spacing w:line="240" w:lineRule="auto"/>
        <w:rPr>
          <w:color w:val="000000"/>
          <w:szCs w:val="22"/>
          <w:lang w:val="hu-HU"/>
        </w:rPr>
      </w:pPr>
      <w:r w:rsidRPr="00D045B3">
        <w:rPr>
          <w:color w:val="000000"/>
          <w:szCs w:val="22"/>
          <w:lang w:val="hu-HU"/>
        </w:rPr>
        <w:t>Ha Ön úgy véli, hogy allergiás lehet, de nem biztos benne, forduljon orvosához további tanácsért.</w:t>
      </w:r>
    </w:p>
    <w:p w14:paraId="1E928040" w14:textId="77777777" w:rsidR="00407B2F" w:rsidRPr="00D045B3" w:rsidRDefault="00407B2F" w:rsidP="00407B2F">
      <w:pPr>
        <w:spacing w:line="240" w:lineRule="auto"/>
        <w:rPr>
          <w:color w:val="000000"/>
          <w:szCs w:val="22"/>
          <w:lang w:val="hu-HU"/>
        </w:rPr>
      </w:pPr>
    </w:p>
    <w:p w14:paraId="1E928041" w14:textId="77777777" w:rsidR="00407B2F" w:rsidRPr="00D045B3" w:rsidRDefault="00407B2F" w:rsidP="00407B2F">
      <w:pPr>
        <w:keepNext/>
        <w:spacing w:line="240" w:lineRule="auto"/>
        <w:ind w:right="-2"/>
        <w:rPr>
          <w:b/>
          <w:color w:val="000000"/>
          <w:szCs w:val="22"/>
          <w:lang w:val="hu-HU"/>
        </w:rPr>
      </w:pPr>
      <w:r w:rsidRPr="00D045B3">
        <w:rPr>
          <w:b/>
          <w:noProof/>
          <w:szCs w:val="22"/>
          <w:lang w:val="hu-HU"/>
        </w:rPr>
        <w:t>Figyelmeztetések és óvintézkedések</w:t>
      </w:r>
    </w:p>
    <w:p w14:paraId="1E928042" w14:textId="77777777" w:rsidR="00407B2F" w:rsidRPr="00D045B3" w:rsidRDefault="00407B2F" w:rsidP="00CA41FD">
      <w:pPr>
        <w:spacing w:line="240" w:lineRule="auto"/>
        <w:rPr>
          <w:color w:val="000000"/>
          <w:szCs w:val="22"/>
          <w:lang w:val="hu-HU"/>
        </w:rPr>
      </w:pPr>
      <w:r w:rsidRPr="00D045B3">
        <w:rPr>
          <w:color w:val="000000"/>
          <w:szCs w:val="22"/>
          <w:lang w:val="hu-HU"/>
        </w:rPr>
        <w:t>Az Imatinib Actavis szedése előtt beszéljen kezelőorvosával:</w:t>
      </w:r>
    </w:p>
    <w:p w14:paraId="1E928043" w14:textId="77777777" w:rsidR="00407B2F" w:rsidRPr="00D045B3" w:rsidRDefault="00407B2F"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máj</w:t>
      </w:r>
      <w:r w:rsidRPr="00D045B3">
        <w:rPr>
          <w:color w:val="000000"/>
          <w:szCs w:val="22"/>
          <w:lang w:val="hu-HU"/>
        </w:rPr>
        <w:noBreakHyphen/>
        <w:t>, vese</w:t>
      </w:r>
      <w:r w:rsidRPr="00D045B3">
        <w:rPr>
          <w:color w:val="000000"/>
          <w:szCs w:val="22"/>
          <w:lang w:val="hu-HU"/>
        </w:rPr>
        <w:noBreakHyphen/>
        <w:t xml:space="preserve"> vagy szívproblémái vannak, vagy korábban bármikor voltak.</w:t>
      </w:r>
    </w:p>
    <w:p w14:paraId="1E928044" w14:textId="77777777" w:rsidR="00407B2F" w:rsidRPr="00D045B3" w:rsidRDefault="00407B2F"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levotiroxin</w:t>
      </w:r>
      <w:r w:rsidRPr="00D045B3">
        <w:rPr>
          <w:color w:val="000000"/>
          <w:szCs w:val="22"/>
          <w:lang w:val="hu-HU"/>
        </w:rPr>
        <w:noBreakHyphen/>
        <w:t>tartalmú gyógyszert szed, mert eltávolították a pajzsmirigyét.</w:t>
      </w:r>
    </w:p>
    <w:p w14:paraId="31D0E16E" w14:textId="77777777" w:rsidR="00C72DFA" w:rsidRPr="00D045B3" w:rsidRDefault="000234C7" w:rsidP="00C72DFA">
      <w:pPr>
        <w:numPr>
          <w:ilvl w:val="0"/>
          <w:numId w:val="10"/>
        </w:numPr>
        <w:tabs>
          <w:tab w:val="clear" w:pos="360"/>
          <w:tab w:val="clear" w:pos="567"/>
        </w:tabs>
        <w:suppressAutoHyphens/>
        <w:spacing w:line="240" w:lineRule="auto"/>
        <w:ind w:left="567" w:hanging="567"/>
        <w:rPr>
          <w:color w:val="000000"/>
          <w:lang w:val="hu-HU"/>
        </w:rPr>
      </w:pPr>
      <w:r w:rsidRPr="00D045B3">
        <w:rPr>
          <w:lang w:val="hu-HU"/>
        </w:rPr>
        <w:t xml:space="preserve">ha Önnek valaha hepatitisz B fertőzése volt vagy jelenleg fennáll annak lehetősége. Erre azért van szükség, mert az Imatinib Actavis a hepatitisz B fertőzés kiújulását válthatja ki, ami egyes esetekben halálos lehet. A betegeket kezelőorvosuk gondosan ellenőrizni fogja, hogy nem alakultak-e ki a fertőzés jelei, mielőtt a kezelést elkezdi. </w:t>
      </w:r>
    </w:p>
    <w:p w14:paraId="1E928045" w14:textId="3052BFE7" w:rsidR="000234C7" w:rsidRPr="00D045B3" w:rsidRDefault="00C72DFA" w:rsidP="00FE2796">
      <w:pPr>
        <w:numPr>
          <w:ilvl w:val="0"/>
          <w:numId w:val="10"/>
        </w:numPr>
        <w:tabs>
          <w:tab w:val="clear" w:pos="360"/>
          <w:tab w:val="clear" w:pos="567"/>
        </w:tabs>
        <w:suppressAutoHyphens/>
        <w:spacing w:line="240" w:lineRule="auto"/>
        <w:ind w:left="567" w:hanging="567"/>
        <w:rPr>
          <w:lang w:val="hu-HU"/>
        </w:rPr>
      </w:pPr>
      <w:r w:rsidRPr="00D045B3">
        <w:rPr>
          <w:color w:val="000000"/>
          <w:lang w:val="hu-HU"/>
        </w:rPr>
        <w:t>ha az Imatinib Actavis szedése közben véraláfutást, vérzést, lázat, fáradtságot és zavartságot tapasztal, keresse fel kezelőorvosát. Ez a vérerek sérülésének, más néven a trom</w:t>
      </w:r>
      <w:r w:rsidR="00283A18" w:rsidRPr="00D045B3">
        <w:rPr>
          <w:color w:val="000000"/>
          <w:lang w:val="hu-HU"/>
        </w:rPr>
        <w:t>b</w:t>
      </w:r>
      <w:r w:rsidRPr="00D045B3">
        <w:rPr>
          <w:color w:val="000000"/>
          <w:lang w:val="hu-HU"/>
        </w:rPr>
        <w:t>otikus mikroangiopátiának (TMA) a jele lehet.</w:t>
      </w:r>
    </w:p>
    <w:p w14:paraId="1E928046" w14:textId="77777777" w:rsidR="00407B2F" w:rsidRPr="00D045B3" w:rsidRDefault="00407B2F" w:rsidP="00407B2F">
      <w:pPr>
        <w:tabs>
          <w:tab w:val="left" w:pos="5245"/>
        </w:tabs>
        <w:spacing w:line="240" w:lineRule="auto"/>
        <w:rPr>
          <w:b/>
          <w:color w:val="000000"/>
          <w:szCs w:val="22"/>
          <w:lang w:val="hu-HU"/>
        </w:rPr>
      </w:pPr>
      <w:r w:rsidRPr="00D045B3">
        <w:rPr>
          <w:color w:val="000000"/>
          <w:szCs w:val="22"/>
          <w:lang w:val="hu-HU"/>
        </w:rPr>
        <w:t xml:space="preserve">Ha a fentiek bármelyike vonatkozik Önre, ezt </w:t>
      </w:r>
      <w:r w:rsidRPr="00D045B3">
        <w:rPr>
          <w:b/>
          <w:color w:val="000000"/>
          <w:szCs w:val="22"/>
          <w:lang w:val="hu-HU"/>
        </w:rPr>
        <w:t>még az Imatinib Actavis bevétele előtt közölje kezelőorvosával.</w:t>
      </w:r>
    </w:p>
    <w:p w14:paraId="1E928047" w14:textId="77777777" w:rsidR="00F7257C" w:rsidRPr="00D045B3" w:rsidRDefault="00F7257C" w:rsidP="00F7257C">
      <w:pPr>
        <w:pStyle w:val="Endnotentext"/>
        <w:widowControl w:val="0"/>
        <w:tabs>
          <w:tab w:val="left" w:pos="720"/>
        </w:tabs>
        <w:rPr>
          <w:snapToGrid w:val="0"/>
          <w:color w:val="000000"/>
          <w:szCs w:val="22"/>
          <w:lang w:val="hu-HU"/>
        </w:rPr>
      </w:pPr>
    </w:p>
    <w:p w14:paraId="1E928048" w14:textId="77777777" w:rsidR="00F7257C" w:rsidRPr="00D045B3" w:rsidRDefault="00F7257C" w:rsidP="00F7257C">
      <w:pPr>
        <w:pStyle w:val="Endnotentext"/>
        <w:widowControl w:val="0"/>
        <w:tabs>
          <w:tab w:val="left" w:pos="720"/>
        </w:tabs>
        <w:rPr>
          <w:snapToGrid w:val="0"/>
          <w:color w:val="000000"/>
          <w:szCs w:val="22"/>
          <w:lang w:val="hu-HU"/>
        </w:rPr>
      </w:pPr>
      <w:r w:rsidRPr="00D045B3">
        <w:rPr>
          <w:snapToGrid w:val="0"/>
          <w:color w:val="000000"/>
          <w:szCs w:val="22"/>
          <w:lang w:val="hu-HU"/>
        </w:rPr>
        <w:t>Az Imatinib Actavis szedése alatt Ön érzékenyebb lehet a napsugárzásra. Fontos, hogy öltözékével takarja a napsütésnek kitett bőrterületeket, valamint, hogy magas fényvédő faktorszámú naptejet használjon. Ezek a szabályok gyermekekre is vonatkoznak.</w:t>
      </w:r>
    </w:p>
    <w:p w14:paraId="1E928049" w14:textId="77777777" w:rsidR="00407B2F" w:rsidRPr="00D045B3" w:rsidRDefault="00407B2F" w:rsidP="00407B2F">
      <w:pPr>
        <w:spacing w:line="240" w:lineRule="auto"/>
        <w:ind w:right="-2"/>
        <w:rPr>
          <w:color w:val="000000"/>
          <w:szCs w:val="22"/>
          <w:lang w:val="hu-HU"/>
        </w:rPr>
      </w:pPr>
    </w:p>
    <w:p w14:paraId="1E92804A" w14:textId="77777777" w:rsidR="00407B2F" w:rsidRPr="00D045B3" w:rsidRDefault="00407B2F" w:rsidP="00CA41FD">
      <w:pPr>
        <w:spacing w:line="240" w:lineRule="auto"/>
        <w:rPr>
          <w:b/>
          <w:color w:val="000000"/>
          <w:szCs w:val="22"/>
          <w:lang w:val="hu-HU"/>
        </w:rPr>
      </w:pPr>
      <w:r w:rsidRPr="00D045B3">
        <w:rPr>
          <w:b/>
          <w:color w:val="000000"/>
          <w:szCs w:val="22"/>
          <w:lang w:val="hu-HU"/>
        </w:rPr>
        <w:t>Az Imatinib Actavis</w:t>
      </w:r>
      <w:r w:rsidRPr="00D045B3">
        <w:rPr>
          <w:b/>
          <w:color w:val="000000"/>
          <w:szCs w:val="22"/>
          <w:lang w:val="hu-HU"/>
        </w:rPr>
        <w:noBreakHyphen/>
        <w:t>kezelés során azonnal értesítse kezelőorvosát</w:t>
      </w:r>
      <w:r w:rsidRPr="00D045B3">
        <w:rPr>
          <w:color w:val="000000"/>
          <w:szCs w:val="22"/>
          <w:lang w:val="hu-HU"/>
        </w:rPr>
        <w:t>, ha hirtelen testtömeg</w:t>
      </w:r>
      <w:r w:rsidRPr="00D045B3">
        <w:rPr>
          <w:color w:val="000000"/>
          <w:szCs w:val="22"/>
          <w:lang w:val="hu-HU"/>
        </w:rPr>
        <w:noBreakHyphen/>
        <w:t>növekedést észlel. Az Imatinib Actavis az Ön testében a víz visszatartását okozhatja (úgynevezett súlyos folyadékretenció).</w:t>
      </w:r>
    </w:p>
    <w:p w14:paraId="1E92804B" w14:textId="77777777" w:rsidR="00407B2F" w:rsidRPr="00D045B3" w:rsidRDefault="00407B2F" w:rsidP="00407B2F">
      <w:pPr>
        <w:spacing w:line="240" w:lineRule="auto"/>
        <w:ind w:right="-2"/>
        <w:rPr>
          <w:color w:val="000000"/>
          <w:szCs w:val="22"/>
          <w:lang w:val="hu-HU"/>
        </w:rPr>
      </w:pPr>
    </w:p>
    <w:p w14:paraId="1E92804C" w14:textId="77777777" w:rsidR="00407B2F" w:rsidRPr="00D045B3" w:rsidRDefault="00407B2F" w:rsidP="00407B2F">
      <w:pPr>
        <w:spacing w:line="240" w:lineRule="auto"/>
        <w:rPr>
          <w:color w:val="000000"/>
          <w:szCs w:val="22"/>
          <w:lang w:val="hu-HU"/>
        </w:rPr>
      </w:pPr>
      <w:r w:rsidRPr="00D045B3">
        <w:rPr>
          <w:color w:val="000000"/>
          <w:szCs w:val="22"/>
          <w:lang w:val="hu-HU"/>
        </w:rPr>
        <w:t>Mialatt Ön szedi az Imatinib Actavis</w:t>
      </w:r>
      <w:r w:rsidRPr="00D045B3">
        <w:rPr>
          <w:color w:val="000000"/>
          <w:szCs w:val="22"/>
          <w:lang w:val="hu-HU"/>
        </w:rPr>
        <w:noBreakHyphen/>
        <w:t>t, kezelőorvosa rendszeresen ellenőrizni fogja, hogy a gyógyszer hat</w:t>
      </w:r>
      <w:r w:rsidRPr="00D045B3">
        <w:rPr>
          <w:color w:val="000000"/>
          <w:szCs w:val="22"/>
          <w:lang w:val="hu-HU"/>
        </w:rPr>
        <w:noBreakHyphen/>
        <w:t>e. Vérképét és testtömegét is rendszeresen ellenőrzik majd.</w:t>
      </w:r>
    </w:p>
    <w:p w14:paraId="1E92804D" w14:textId="77777777" w:rsidR="00407B2F" w:rsidRPr="00D045B3" w:rsidRDefault="00407B2F" w:rsidP="00407B2F">
      <w:pPr>
        <w:spacing w:line="240" w:lineRule="auto"/>
        <w:rPr>
          <w:color w:val="000000"/>
          <w:szCs w:val="22"/>
          <w:lang w:val="hu-HU"/>
        </w:rPr>
      </w:pPr>
    </w:p>
    <w:p w14:paraId="1E92804E" w14:textId="77777777" w:rsidR="00407B2F" w:rsidRPr="00D045B3" w:rsidRDefault="00407B2F" w:rsidP="00407B2F">
      <w:pPr>
        <w:keepNext/>
        <w:spacing w:line="240" w:lineRule="auto"/>
        <w:rPr>
          <w:b/>
          <w:noProof/>
          <w:szCs w:val="22"/>
          <w:lang w:val="hu-HU"/>
        </w:rPr>
      </w:pPr>
      <w:r w:rsidRPr="00D045B3">
        <w:rPr>
          <w:b/>
          <w:noProof/>
          <w:szCs w:val="22"/>
          <w:lang w:val="hu-HU"/>
        </w:rPr>
        <w:t>Gyermekek és serdülők</w:t>
      </w:r>
    </w:p>
    <w:p w14:paraId="1E92804F" w14:textId="4795FFC8" w:rsidR="00407B2F" w:rsidRPr="00D045B3" w:rsidRDefault="00407B2F" w:rsidP="00CA41FD">
      <w:pPr>
        <w:spacing w:line="240" w:lineRule="auto"/>
        <w:rPr>
          <w:color w:val="000000"/>
          <w:szCs w:val="22"/>
          <w:lang w:val="hu-HU"/>
        </w:rPr>
      </w:pPr>
      <w:r w:rsidRPr="00D045B3">
        <w:rPr>
          <w:color w:val="000000"/>
          <w:szCs w:val="22"/>
          <w:lang w:val="hu-HU"/>
        </w:rPr>
        <w:t>Az Imatinib Actavis krónikus mieloid leukémiában (CML</w:t>
      </w:r>
      <w:r w:rsidRPr="00D045B3">
        <w:rPr>
          <w:color w:val="000000"/>
          <w:szCs w:val="22"/>
          <w:lang w:val="hu-HU"/>
        </w:rPr>
        <w:noBreakHyphen/>
        <w:t xml:space="preserve">ben) szenvedő gyermekek kezelésére is alkalmazható. Két éves kor alatti, krónikus mieloid leukémiában szenvedő gyermekekre vonatkozóan nincs tapasztalat. </w:t>
      </w:r>
      <w:r w:rsidRPr="00D045B3">
        <w:rPr>
          <w:szCs w:val="22"/>
          <w:lang w:val="hu-HU"/>
        </w:rPr>
        <w:t>Ph</w:t>
      </w:r>
      <w:r w:rsidRPr="00D045B3">
        <w:rPr>
          <w:szCs w:val="22"/>
          <w:lang w:val="hu-HU"/>
        </w:rPr>
        <w:noBreakHyphen/>
        <w:t>pozitív ALL</w:t>
      </w:r>
      <w:r w:rsidRPr="00D045B3">
        <w:rPr>
          <w:szCs w:val="22"/>
          <w:lang w:val="hu-HU"/>
        </w:rPr>
        <w:noBreakHyphen/>
        <w:t>es gyermekek esetében korlátozott, míg MDS/MPD, DFSP és HES/CEL</w:t>
      </w:r>
      <w:r w:rsidRPr="00D045B3">
        <w:rPr>
          <w:szCs w:val="22"/>
          <w:lang w:val="hu-HU"/>
        </w:rPr>
        <w:noBreakHyphen/>
        <w:t>ben szenvedő gyermekekre vonatkozóan csak nagyon korlátozott mennyiségű tapasztalat áll rendelkezésre.</w:t>
      </w:r>
    </w:p>
    <w:p w14:paraId="1E928050" w14:textId="77777777" w:rsidR="00407B2F" w:rsidRPr="00D045B3" w:rsidRDefault="00407B2F" w:rsidP="00407B2F">
      <w:pPr>
        <w:spacing w:line="240" w:lineRule="auto"/>
        <w:ind w:right="-2"/>
        <w:rPr>
          <w:color w:val="000000"/>
          <w:szCs w:val="22"/>
          <w:lang w:val="hu-HU"/>
        </w:rPr>
      </w:pPr>
    </w:p>
    <w:p w14:paraId="1E928051" w14:textId="77777777" w:rsidR="00407B2F" w:rsidRPr="00D045B3" w:rsidRDefault="00407B2F" w:rsidP="00407B2F">
      <w:pPr>
        <w:spacing w:line="240" w:lineRule="auto"/>
        <w:ind w:right="-2"/>
        <w:rPr>
          <w:color w:val="000000"/>
          <w:szCs w:val="22"/>
          <w:lang w:val="hu-HU"/>
        </w:rPr>
      </w:pPr>
      <w:r w:rsidRPr="00D045B3">
        <w:rPr>
          <w:color w:val="000000"/>
          <w:szCs w:val="22"/>
          <w:lang w:val="hu-HU"/>
        </w:rPr>
        <w:t>Néhány Imatinib Actavis</w:t>
      </w:r>
      <w:r w:rsidRPr="00D045B3">
        <w:rPr>
          <w:color w:val="000000"/>
          <w:szCs w:val="22"/>
          <w:lang w:val="hu-HU"/>
        </w:rPr>
        <w:noBreakHyphen/>
        <w:t>t szedő gyermek és serdülőkorú növekedése a normálisnál lassabb lehet. Az orvos a rendszeres kontrollvizsgálatok alkalmával ellenőrizni fogja a növekedést.</w:t>
      </w:r>
    </w:p>
    <w:p w14:paraId="1E928052" w14:textId="77777777" w:rsidR="00407B2F" w:rsidRPr="00D045B3" w:rsidRDefault="00407B2F" w:rsidP="00407B2F">
      <w:pPr>
        <w:spacing w:line="240" w:lineRule="auto"/>
        <w:rPr>
          <w:color w:val="000000"/>
          <w:szCs w:val="22"/>
          <w:lang w:val="hu-HU"/>
        </w:rPr>
      </w:pPr>
    </w:p>
    <w:p w14:paraId="1E928053" w14:textId="77777777" w:rsidR="00407B2F" w:rsidRPr="00D045B3" w:rsidRDefault="00407B2F" w:rsidP="00407B2F">
      <w:pPr>
        <w:keepNext/>
        <w:spacing w:line="240" w:lineRule="auto"/>
        <w:rPr>
          <w:b/>
          <w:color w:val="000000"/>
          <w:szCs w:val="22"/>
          <w:lang w:val="hu-HU"/>
        </w:rPr>
      </w:pPr>
      <w:r w:rsidRPr="00D045B3">
        <w:rPr>
          <w:b/>
          <w:color w:val="000000"/>
          <w:szCs w:val="22"/>
          <w:lang w:val="hu-HU"/>
        </w:rPr>
        <w:t>Egyéb gyógyszerek és az Imatinib Actavis</w:t>
      </w:r>
    </w:p>
    <w:p w14:paraId="1E928054" w14:textId="77777777" w:rsidR="00407B2F" w:rsidRPr="00D045B3" w:rsidRDefault="00407B2F" w:rsidP="00CA41FD">
      <w:pPr>
        <w:spacing w:line="240" w:lineRule="auto"/>
        <w:rPr>
          <w:color w:val="000000"/>
          <w:szCs w:val="22"/>
          <w:lang w:val="hu-HU"/>
        </w:rPr>
      </w:pPr>
      <w:r w:rsidRPr="00D045B3">
        <w:rPr>
          <w:color w:val="000000"/>
          <w:szCs w:val="22"/>
          <w:lang w:val="hu-HU"/>
        </w:rPr>
        <w:t>Feltétlenül tájékoztassa kezelőorvosát vagy gyógyszerészét a jelenleg vagy nemrégiben szedett</w:t>
      </w:r>
      <w:r w:rsidRPr="00D045B3">
        <w:rPr>
          <w:noProof/>
          <w:szCs w:val="22"/>
          <w:lang w:val="hu-HU"/>
        </w:rPr>
        <w:t>, valamint szedni tervezett</w:t>
      </w:r>
      <w:r w:rsidRPr="00D045B3">
        <w:rPr>
          <w:color w:val="000000"/>
          <w:szCs w:val="22"/>
          <w:lang w:val="hu-HU"/>
        </w:rPr>
        <w:t xml:space="preserve"> egyéb gyógyszereiről, beleértve a vény nélkül kapható készítményeket (pl. a paracetamolt) és a gyógynövény készítményeket (pl. az orbáncfüvet) is. Néhány gyógyszer egyidejű alkalmazás esetén befolyásolhatja az Imatinib Actavis hatását. Fokozhatják, illetve csökkenthetik az Imatinib Actavis hatását, ami a mellékhatások előfordulási gyakoriságának növekedéséhez, illetve az Imatinib Actavis hatásosságának csökkenéséhez vezethet. Az Imatinib Actavis ugyanígy hathat néhány más gyógyszerre.</w:t>
      </w:r>
    </w:p>
    <w:p w14:paraId="1E928055" w14:textId="77777777" w:rsidR="00407B2F" w:rsidRPr="00D045B3" w:rsidRDefault="00407B2F" w:rsidP="00407B2F">
      <w:pPr>
        <w:spacing w:line="240" w:lineRule="auto"/>
        <w:rPr>
          <w:color w:val="000000"/>
          <w:szCs w:val="22"/>
          <w:lang w:val="hu-HU"/>
        </w:rPr>
      </w:pPr>
    </w:p>
    <w:p w14:paraId="1E928056" w14:textId="77777777" w:rsidR="00407B2F" w:rsidRPr="00D045B3" w:rsidRDefault="00407B2F" w:rsidP="00407B2F">
      <w:pPr>
        <w:spacing w:line="240" w:lineRule="auto"/>
        <w:rPr>
          <w:color w:val="000000"/>
          <w:szCs w:val="22"/>
          <w:lang w:val="hu-HU"/>
        </w:rPr>
      </w:pPr>
      <w:r w:rsidRPr="00D045B3">
        <w:rPr>
          <w:color w:val="000000"/>
          <w:szCs w:val="22"/>
          <w:lang w:val="hu-HU"/>
        </w:rPr>
        <w:t>Tájékoztassa kezelőorvosát, ha vérrögképződést gátló gyógyszert alkalmaz.</w:t>
      </w:r>
    </w:p>
    <w:p w14:paraId="1E928057" w14:textId="77777777" w:rsidR="00407B2F" w:rsidRPr="00D045B3" w:rsidRDefault="00407B2F" w:rsidP="00407B2F">
      <w:pPr>
        <w:spacing w:line="240" w:lineRule="auto"/>
        <w:ind w:right="-2"/>
        <w:rPr>
          <w:color w:val="000000"/>
          <w:szCs w:val="22"/>
          <w:lang w:val="hu-HU"/>
        </w:rPr>
      </w:pPr>
    </w:p>
    <w:p w14:paraId="1E928058" w14:textId="77777777" w:rsidR="00407B2F" w:rsidRPr="00D045B3" w:rsidRDefault="00407B2F" w:rsidP="00407B2F">
      <w:pPr>
        <w:keepNext/>
        <w:ind w:right="-29"/>
        <w:rPr>
          <w:b/>
          <w:color w:val="000000"/>
          <w:szCs w:val="22"/>
          <w:lang w:val="hu-HU"/>
        </w:rPr>
      </w:pPr>
      <w:r w:rsidRPr="00D045B3">
        <w:rPr>
          <w:b/>
          <w:color w:val="000000"/>
          <w:szCs w:val="22"/>
          <w:lang w:val="hu-HU"/>
        </w:rPr>
        <w:t>Terhesség, szoptatás és termékenység</w:t>
      </w:r>
    </w:p>
    <w:p w14:paraId="1E928059" w14:textId="77777777" w:rsidR="00407B2F" w:rsidRPr="00D045B3" w:rsidRDefault="00407B2F" w:rsidP="00E95370">
      <w:pPr>
        <w:widowControl w:val="0"/>
        <w:numPr>
          <w:ilvl w:val="0"/>
          <w:numId w:val="12"/>
        </w:numPr>
        <w:tabs>
          <w:tab w:val="clear" w:pos="0"/>
          <w:tab w:val="clear" w:pos="567"/>
        </w:tabs>
        <w:spacing w:line="240" w:lineRule="auto"/>
        <w:ind w:left="567" w:hanging="567"/>
        <w:rPr>
          <w:color w:val="000000"/>
          <w:szCs w:val="22"/>
          <w:lang w:val="hu-HU"/>
        </w:rPr>
      </w:pPr>
      <w:r w:rsidRPr="00D045B3">
        <w:rPr>
          <w:color w:val="000000"/>
          <w:szCs w:val="22"/>
          <w:lang w:val="hu-HU"/>
        </w:rPr>
        <w:t>Ha Ön terhes vagy szoptat, illetve ha fennáll Önnél a terhesség lehetősége vagy gyermeket szeretne, a gyógyszer alkalmazása előtt beszéljen kezelőorvosával.</w:t>
      </w:r>
    </w:p>
    <w:p w14:paraId="1E92805A" w14:textId="3E2F053E" w:rsidR="00407B2F" w:rsidRPr="00D045B3" w:rsidRDefault="00407B2F" w:rsidP="00283A18">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 xml:space="preserve">Az Imatinib Actavis nem javasolt a terhesség ideje alatt, csak ha az egyértelműen szükséges, mert károsíthatja gyermekét. </w:t>
      </w:r>
      <w:r w:rsidR="00283A18" w:rsidRPr="00D045B3">
        <w:rPr>
          <w:color w:val="000000"/>
          <w:szCs w:val="22"/>
          <w:lang w:val="hu-HU"/>
        </w:rPr>
        <w:t>Kezelőorvosa</w:t>
      </w:r>
      <w:r w:rsidRPr="00D045B3">
        <w:rPr>
          <w:color w:val="000000"/>
          <w:szCs w:val="22"/>
          <w:lang w:val="hu-HU"/>
        </w:rPr>
        <w:t xml:space="preserve"> megbeszéli Önnel a terhesség ideje alatti Imatinib Actavis</w:t>
      </w:r>
      <w:r w:rsidRPr="00D045B3">
        <w:rPr>
          <w:color w:val="000000"/>
          <w:szCs w:val="22"/>
          <w:lang w:val="hu-HU"/>
        </w:rPr>
        <w:noBreakHyphen/>
        <w:t>kezelés lehetséges kockázatait.</w:t>
      </w:r>
    </w:p>
    <w:p w14:paraId="1E92805B" w14:textId="22673387" w:rsidR="00407B2F" w:rsidRPr="00D045B3" w:rsidRDefault="00407B2F"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A fogamzóképes életkorú nőknek hatékony fogamzásgátló módszer alkalmazása javasolt a kezelés időtartama alatt</w:t>
      </w:r>
      <w:r w:rsidR="007B47E2" w:rsidRPr="00D045B3">
        <w:rPr>
          <w:szCs w:val="22"/>
          <w:lang w:val="hu-HU"/>
        </w:rPr>
        <w:t>, és még további 15 </w:t>
      </w:r>
      <w:r w:rsidR="004F2490" w:rsidRPr="00D045B3">
        <w:rPr>
          <w:szCs w:val="22"/>
          <w:lang w:val="hu-HU"/>
        </w:rPr>
        <w:t>napig az Imatinib Actavis-kezelés befejezését követően</w:t>
      </w:r>
      <w:r w:rsidRPr="00D045B3">
        <w:rPr>
          <w:color w:val="000000"/>
          <w:szCs w:val="22"/>
          <w:lang w:val="hu-HU"/>
        </w:rPr>
        <w:t>.</w:t>
      </w:r>
    </w:p>
    <w:p w14:paraId="1E92805C" w14:textId="2BFC7C40" w:rsidR="00407B2F" w:rsidRPr="00D045B3" w:rsidRDefault="00407B2F"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Ne szoptasson az Imatinib Actavis</w:t>
      </w:r>
      <w:r w:rsidRPr="00D045B3">
        <w:rPr>
          <w:color w:val="000000"/>
          <w:szCs w:val="22"/>
          <w:lang w:val="hu-HU"/>
        </w:rPr>
        <w:noBreakHyphen/>
        <w:t>kezelés időtartama alatt</w:t>
      </w:r>
      <w:r w:rsidR="007B47E2" w:rsidRPr="00D045B3">
        <w:rPr>
          <w:szCs w:val="22"/>
          <w:lang w:val="hu-HU"/>
        </w:rPr>
        <w:t>, és még további 15 </w:t>
      </w:r>
      <w:r w:rsidR="004F2490" w:rsidRPr="00D045B3">
        <w:rPr>
          <w:szCs w:val="22"/>
          <w:lang w:val="hu-HU"/>
        </w:rPr>
        <w:t>napig az Imatinib Actavis-kezelés befejezését követően, mert ez káros hatással lehet csecsemőjére</w:t>
      </w:r>
      <w:r w:rsidRPr="00D045B3">
        <w:rPr>
          <w:color w:val="000000"/>
          <w:szCs w:val="22"/>
          <w:lang w:val="hu-HU"/>
        </w:rPr>
        <w:t>.</w:t>
      </w:r>
    </w:p>
    <w:p w14:paraId="1E92805D" w14:textId="77777777" w:rsidR="00407B2F" w:rsidRPr="00D045B3" w:rsidRDefault="00407B2F" w:rsidP="00E95370">
      <w:pPr>
        <w:widowControl w:val="0"/>
        <w:numPr>
          <w:ilvl w:val="0"/>
          <w:numId w:val="17"/>
        </w:numPr>
        <w:tabs>
          <w:tab w:val="clear" w:pos="567"/>
        </w:tabs>
        <w:spacing w:line="240" w:lineRule="auto"/>
        <w:ind w:left="567" w:hanging="567"/>
        <w:rPr>
          <w:color w:val="000000"/>
          <w:szCs w:val="22"/>
          <w:lang w:val="hu-HU"/>
        </w:rPr>
      </w:pPr>
      <w:r w:rsidRPr="00D045B3">
        <w:rPr>
          <w:szCs w:val="22"/>
          <w:lang w:val="hu-HU"/>
        </w:rPr>
        <w:t>Azon betegek, akiket aggasztanak a termékenységükkel kapcsolatos kérdések, az Imatinib Actavis szedése alatt, forduljanak tanácsért kezelőorvosukhoz.</w:t>
      </w:r>
    </w:p>
    <w:p w14:paraId="1E92805E" w14:textId="77777777" w:rsidR="00407B2F" w:rsidRPr="00D045B3" w:rsidRDefault="00407B2F" w:rsidP="00407B2F">
      <w:pPr>
        <w:spacing w:line="240" w:lineRule="auto"/>
        <w:rPr>
          <w:color w:val="000000"/>
          <w:szCs w:val="22"/>
          <w:lang w:val="hu-HU"/>
        </w:rPr>
      </w:pPr>
    </w:p>
    <w:p w14:paraId="1E92805F" w14:textId="77777777" w:rsidR="00407B2F" w:rsidRPr="00D045B3" w:rsidRDefault="00407B2F" w:rsidP="00407B2F">
      <w:pPr>
        <w:keepNext/>
        <w:spacing w:line="240" w:lineRule="auto"/>
        <w:ind w:right="-28"/>
        <w:rPr>
          <w:b/>
          <w:color w:val="000000"/>
          <w:szCs w:val="22"/>
          <w:lang w:val="hu-HU"/>
        </w:rPr>
      </w:pPr>
      <w:r w:rsidRPr="00D045B3">
        <w:rPr>
          <w:b/>
          <w:color w:val="000000"/>
          <w:szCs w:val="22"/>
          <w:lang w:val="hu-HU"/>
        </w:rPr>
        <w:t>A készítmény hatásai a gépjárművezetéshez és a gépek kezeléséhez szükséges képességekre</w:t>
      </w:r>
    </w:p>
    <w:p w14:paraId="1E928060" w14:textId="77777777" w:rsidR="00407B2F" w:rsidRPr="00D045B3" w:rsidRDefault="00407B2F" w:rsidP="00CA41FD">
      <w:pPr>
        <w:spacing w:line="240" w:lineRule="auto"/>
        <w:ind w:right="-28"/>
        <w:rPr>
          <w:color w:val="000000"/>
          <w:szCs w:val="22"/>
          <w:lang w:val="hu-HU"/>
        </w:rPr>
      </w:pPr>
      <w:r w:rsidRPr="00D045B3">
        <w:rPr>
          <w:color w:val="000000"/>
          <w:szCs w:val="22"/>
          <w:lang w:val="hu-HU"/>
        </w:rPr>
        <w:t>A gyógyszer szedésének ideje alatt szédülhet vagy látása homályossá válhat. Ilyenkor ne vezessen, illetve ne használjon gépeket, amíg nem érzi ismét jól magát.</w:t>
      </w:r>
    </w:p>
    <w:p w14:paraId="40C08284" w14:textId="77777777" w:rsidR="00FE2796" w:rsidRPr="00D045B3" w:rsidRDefault="00FE2796" w:rsidP="00FE2796">
      <w:pPr>
        <w:spacing w:line="240" w:lineRule="auto"/>
        <w:ind w:right="-28"/>
        <w:rPr>
          <w:color w:val="000000"/>
          <w:szCs w:val="22"/>
          <w:lang w:val="hu-HU"/>
        </w:rPr>
      </w:pPr>
    </w:p>
    <w:p w14:paraId="345BE3CF" w14:textId="77777777" w:rsidR="00FE2796" w:rsidRPr="00D045B3" w:rsidRDefault="00FE2796" w:rsidP="00FE2796">
      <w:pPr>
        <w:spacing w:line="240" w:lineRule="auto"/>
        <w:ind w:right="-28"/>
        <w:rPr>
          <w:b/>
          <w:bCs/>
          <w:color w:val="000000"/>
          <w:szCs w:val="22"/>
          <w:lang w:val="hu-HU"/>
        </w:rPr>
      </w:pPr>
      <w:r w:rsidRPr="00D045B3">
        <w:rPr>
          <w:b/>
          <w:bCs/>
          <w:color w:val="000000"/>
          <w:szCs w:val="22"/>
          <w:lang w:val="hu-HU"/>
        </w:rPr>
        <w:t>Az Imatinib Activis nátriumot tartalmaz</w:t>
      </w:r>
    </w:p>
    <w:p w14:paraId="443F5E95" w14:textId="77777777" w:rsidR="00FE2796" w:rsidRPr="00D045B3" w:rsidRDefault="00FE2796" w:rsidP="00FE2796">
      <w:pPr>
        <w:rPr>
          <w:b/>
          <w:bCs/>
          <w:color w:val="000000"/>
          <w:szCs w:val="22"/>
          <w:lang w:val="hu-HU"/>
        </w:rPr>
      </w:pPr>
      <w:r w:rsidRPr="00D045B3">
        <w:rPr>
          <w:lang w:val="hu-HU"/>
        </w:rPr>
        <w:t>A készítmény kevesebb, mint 1 mmol (23 mg) nátriumot tartalmaz kemény kapszulánként, azaz gyakorlatilag „nátriummentes”.</w:t>
      </w:r>
    </w:p>
    <w:p w14:paraId="1E928061" w14:textId="77777777" w:rsidR="00407B2F" w:rsidRPr="00D045B3" w:rsidRDefault="00407B2F" w:rsidP="00407B2F">
      <w:pPr>
        <w:spacing w:line="240" w:lineRule="auto"/>
        <w:ind w:right="-29"/>
        <w:rPr>
          <w:color w:val="000000"/>
          <w:szCs w:val="22"/>
          <w:lang w:val="hu-HU"/>
        </w:rPr>
      </w:pPr>
    </w:p>
    <w:p w14:paraId="1E928062" w14:textId="77777777" w:rsidR="00407B2F" w:rsidRPr="00D045B3" w:rsidRDefault="00407B2F" w:rsidP="00407B2F">
      <w:pPr>
        <w:spacing w:line="240" w:lineRule="auto"/>
        <w:ind w:right="-2"/>
        <w:rPr>
          <w:color w:val="000000"/>
          <w:szCs w:val="22"/>
          <w:lang w:val="hu-HU"/>
        </w:rPr>
      </w:pPr>
    </w:p>
    <w:p w14:paraId="1E928063" w14:textId="77777777" w:rsidR="00407B2F" w:rsidRPr="00D045B3" w:rsidRDefault="00407B2F" w:rsidP="00407B2F">
      <w:pPr>
        <w:keepNext/>
        <w:spacing w:line="240" w:lineRule="auto"/>
        <w:ind w:left="567" w:right="-29" w:hanging="567"/>
        <w:rPr>
          <w:b/>
          <w:color w:val="000000"/>
          <w:szCs w:val="22"/>
          <w:lang w:val="hu-HU"/>
        </w:rPr>
      </w:pPr>
      <w:r w:rsidRPr="00D045B3">
        <w:rPr>
          <w:b/>
          <w:color w:val="000000"/>
          <w:szCs w:val="22"/>
          <w:lang w:val="hu-HU"/>
        </w:rPr>
        <w:t>3.</w:t>
      </w:r>
      <w:r w:rsidRPr="00D045B3">
        <w:rPr>
          <w:b/>
          <w:color w:val="000000"/>
          <w:szCs w:val="22"/>
          <w:lang w:val="hu-HU"/>
        </w:rPr>
        <w:tab/>
        <w:t>Hogyan kell szedni az Imatinib Actavis</w:t>
      </w:r>
      <w:r w:rsidRPr="00D045B3">
        <w:rPr>
          <w:b/>
          <w:color w:val="000000"/>
          <w:szCs w:val="22"/>
          <w:lang w:val="hu-HU"/>
        </w:rPr>
        <w:noBreakHyphen/>
        <w:t>t?</w:t>
      </w:r>
    </w:p>
    <w:p w14:paraId="1E928064" w14:textId="77777777" w:rsidR="00407B2F" w:rsidRPr="00D045B3" w:rsidRDefault="00407B2F" w:rsidP="00407B2F">
      <w:pPr>
        <w:keepNext/>
        <w:spacing w:line="240" w:lineRule="auto"/>
        <w:ind w:left="567" w:right="-2" w:hanging="567"/>
        <w:rPr>
          <w:color w:val="000000"/>
          <w:szCs w:val="22"/>
          <w:lang w:val="hu-HU"/>
        </w:rPr>
      </w:pPr>
    </w:p>
    <w:p w14:paraId="1E928065" w14:textId="77777777" w:rsidR="00407B2F" w:rsidRPr="00D045B3" w:rsidRDefault="00407B2F" w:rsidP="00CA41FD">
      <w:pPr>
        <w:spacing w:line="240" w:lineRule="auto"/>
        <w:rPr>
          <w:color w:val="000000"/>
          <w:szCs w:val="22"/>
          <w:lang w:val="hu-HU"/>
        </w:rPr>
      </w:pPr>
      <w:r w:rsidRPr="00D045B3">
        <w:rPr>
          <w:color w:val="000000"/>
          <w:szCs w:val="22"/>
          <w:lang w:val="hu-HU"/>
        </w:rPr>
        <w:t>Kezelőorvosa azért rendelte Önnek az Imatinib Actavis</w:t>
      </w:r>
      <w:r w:rsidRPr="00D045B3">
        <w:rPr>
          <w:color w:val="000000"/>
          <w:szCs w:val="22"/>
          <w:lang w:val="hu-HU"/>
        </w:rPr>
        <w:noBreakHyphen/>
        <w:t>t, mert Ön súlyos betegségben szenved. Az Imatinib Actavis segíthet Önnek a betegséggel szembeni küzdelemben.</w:t>
      </w:r>
    </w:p>
    <w:p w14:paraId="1E928066" w14:textId="77777777" w:rsidR="00407B2F" w:rsidRPr="00D045B3" w:rsidRDefault="00407B2F" w:rsidP="00407B2F">
      <w:pPr>
        <w:spacing w:line="240" w:lineRule="auto"/>
        <w:ind w:right="-2"/>
        <w:rPr>
          <w:color w:val="000000"/>
          <w:szCs w:val="22"/>
          <w:lang w:val="hu-HU"/>
        </w:rPr>
      </w:pPr>
    </w:p>
    <w:p w14:paraId="1E928067" w14:textId="77777777" w:rsidR="00407B2F" w:rsidRPr="00D045B3" w:rsidRDefault="00407B2F" w:rsidP="00407B2F">
      <w:pPr>
        <w:spacing w:line="240" w:lineRule="auto"/>
        <w:ind w:right="-2"/>
        <w:rPr>
          <w:color w:val="000000"/>
          <w:szCs w:val="22"/>
          <w:lang w:val="hu-HU"/>
        </w:rPr>
      </w:pPr>
      <w:r w:rsidRPr="00D045B3">
        <w:rPr>
          <w:color w:val="000000"/>
          <w:szCs w:val="22"/>
          <w:lang w:val="hu-HU"/>
        </w:rPr>
        <w:t xml:space="preserve">Azonban, </w:t>
      </w:r>
      <w:r w:rsidRPr="00D045B3">
        <w:rPr>
          <w:noProof/>
          <w:color w:val="000000"/>
          <w:szCs w:val="22"/>
          <w:lang w:val="hu-HU"/>
        </w:rPr>
        <w:t xml:space="preserve">a </w:t>
      </w:r>
      <w:r w:rsidRPr="00D045B3">
        <w:rPr>
          <w:noProof/>
          <w:szCs w:val="22"/>
          <w:lang w:val="hu-HU"/>
        </w:rPr>
        <w:t>gyógyszert</w:t>
      </w:r>
      <w:r w:rsidRPr="00D045B3">
        <w:rPr>
          <w:szCs w:val="22"/>
          <w:lang w:val="hu-HU"/>
        </w:rPr>
        <w:t xml:space="preserve"> </w:t>
      </w:r>
      <w:r w:rsidRPr="00D045B3">
        <w:rPr>
          <w:noProof/>
          <w:color w:val="000000"/>
          <w:szCs w:val="22"/>
          <w:lang w:val="hu-HU"/>
        </w:rPr>
        <w:t xml:space="preserve">mindig a </w:t>
      </w:r>
      <w:r w:rsidRPr="00D045B3">
        <w:rPr>
          <w:noProof/>
          <w:szCs w:val="22"/>
          <w:lang w:val="hu-HU"/>
        </w:rPr>
        <w:t>kezelőorvosa vagy gyógyszerésze</w:t>
      </w:r>
      <w:r w:rsidRPr="00D045B3">
        <w:rPr>
          <w:noProof/>
          <w:color w:val="000000"/>
          <w:szCs w:val="22"/>
          <w:lang w:val="hu-HU"/>
        </w:rPr>
        <w:t xml:space="preserve"> által elmondottaknak megfelelően szedje. Fontos, hogy ezt mindaddig tegye, amíg kezelőorvosa előírja. </w:t>
      </w:r>
      <w:r w:rsidRPr="00D045B3">
        <w:rPr>
          <w:color w:val="000000"/>
          <w:szCs w:val="22"/>
          <w:lang w:val="hu-HU"/>
        </w:rPr>
        <w:t xml:space="preserve">Amennyiben nem biztos az adagolást illetően, kérdezze meg </w:t>
      </w:r>
      <w:r w:rsidRPr="00D045B3">
        <w:rPr>
          <w:noProof/>
          <w:szCs w:val="22"/>
          <w:lang w:val="hu-HU"/>
        </w:rPr>
        <w:t xml:space="preserve">kezelőorvosát </w:t>
      </w:r>
      <w:r w:rsidRPr="00D045B3">
        <w:rPr>
          <w:color w:val="000000"/>
          <w:szCs w:val="22"/>
          <w:lang w:val="hu-HU"/>
        </w:rPr>
        <w:t>vagy gyógyszerészét.</w:t>
      </w:r>
    </w:p>
    <w:p w14:paraId="1E928068" w14:textId="77777777" w:rsidR="00407B2F" w:rsidRPr="00D045B3" w:rsidRDefault="00407B2F" w:rsidP="00407B2F">
      <w:pPr>
        <w:spacing w:line="240" w:lineRule="auto"/>
        <w:ind w:right="-2"/>
        <w:rPr>
          <w:color w:val="000000"/>
          <w:szCs w:val="22"/>
          <w:lang w:val="hu-HU"/>
        </w:rPr>
      </w:pPr>
    </w:p>
    <w:p w14:paraId="1E928069" w14:textId="77777777" w:rsidR="00407B2F" w:rsidRPr="00D045B3" w:rsidRDefault="00407B2F" w:rsidP="00407B2F">
      <w:pPr>
        <w:spacing w:line="240" w:lineRule="auto"/>
        <w:ind w:right="-2"/>
        <w:rPr>
          <w:color w:val="000000"/>
          <w:szCs w:val="22"/>
          <w:lang w:val="hu-HU"/>
        </w:rPr>
      </w:pPr>
      <w:r w:rsidRPr="00D045B3">
        <w:rPr>
          <w:color w:val="000000"/>
          <w:szCs w:val="22"/>
          <w:lang w:val="hu-HU"/>
        </w:rPr>
        <w:t>Ne hagyja abba az Imatinib Actavis szedését, csak akkor, ha orvosa mondja Önnek. Amennyiben nem tudja a gyógyszert az orvos által előírtaknak megfelelően szedni, vagy ha úgy érzi, hogy már nincs rá szüksége, azonnal forduljon kezelőorvosához.</w:t>
      </w:r>
    </w:p>
    <w:p w14:paraId="1E92806A" w14:textId="77777777" w:rsidR="00407B2F" w:rsidRPr="00D045B3" w:rsidRDefault="00407B2F" w:rsidP="00407B2F">
      <w:pPr>
        <w:spacing w:line="240" w:lineRule="auto"/>
        <w:ind w:right="-2"/>
        <w:rPr>
          <w:color w:val="000000"/>
          <w:szCs w:val="22"/>
          <w:lang w:val="hu-HU"/>
        </w:rPr>
      </w:pPr>
    </w:p>
    <w:p w14:paraId="1E92806B" w14:textId="77777777" w:rsidR="00407B2F" w:rsidRPr="00D045B3" w:rsidRDefault="00407B2F" w:rsidP="00407B2F">
      <w:pPr>
        <w:keepNext/>
        <w:spacing w:line="240" w:lineRule="auto"/>
        <w:rPr>
          <w:b/>
          <w:color w:val="000000"/>
          <w:szCs w:val="22"/>
          <w:lang w:val="hu-HU"/>
        </w:rPr>
      </w:pPr>
      <w:r w:rsidRPr="00D045B3">
        <w:rPr>
          <w:b/>
          <w:color w:val="000000"/>
          <w:szCs w:val="22"/>
          <w:lang w:val="hu-HU"/>
        </w:rPr>
        <w:t>Mennyi Imatinib Actavis</w:t>
      </w:r>
      <w:r w:rsidRPr="00D045B3">
        <w:rPr>
          <w:b/>
          <w:color w:val="000000"/>
          <w:szCs w:val="22"/>
          <w:lang w:val="hu-HU"/>
        </w:rPr>
        <w:noBreakHyphen/>
        <w:t>t kell bevennie?</w:t>
      </w:r>
    </w:p>
    <w:p w14:paraId="1E92806C" w14:textId="77777777" w:rsidR="00407B2F" w:rsidRPr="00D045B3" w:rsidRDefault="00407B2F" w:rsidP="00407B2F">
      <w:pPr>
        <w:keepNext/>
        <w:spacing w:line="240" w:lineRule="auto"/>
        <w:rPr>
          <w:color w:val="000000"/>
          <w:szCs w:val="22"/>
          <w:lang w:val="hu-HU"/>
        </w:rPr>
      </w:pPr>
    </w:p>
    <w:p w14:paraId="1E92806D" w14:textId="77777777" w:rsidR="00407B2F" w:rsidRPr="00D045B3" w:rsidRDefault="00407B2F" w:rsidP="00407B2F">
      <w:pPr>
        <w:keepNext/>
        <w:spacing w:line="240" w:lineRule="auto"/>
        <w:rPr>
          <w:b/>
          <w:color w:val="000000"/>
          <w:szCs w:val="22"/>
          <w:lang w:val="hu-HU"/>
        </w:rPr>
      </w:pPr>
      <w:r w:rsidRPr="00D045B3">
        <w:rPr>
          <w:b/>
          <w:color w:val="000000"/>
          <w:szCs w:val="22"/>
          <w:lang w:val="hu-HU"/>
        </w:rPr>
        <w:t>Alkalmazása felnőtteknél</w:t>
      </w:r>
    </w:p>
    <w:p w14:paraId="1E92806E" w14:textId="77777777" w:rsidR="00407B2F" w:rsidRPr="00D045B3" w:rsidRDefault="00407B2F" w:rsidP="00407B2F">
      <w:pPr>
        <w:keepNext/>
        <w:spacing w:line="240" w:lineRule="auto"/>
        <w:rPr>
          <w:color w:val="000000"/>
          <w:szCs w:val="22"/>
          <w:lang w:val="hu-HU"/>
        </w:rPr>
      </w:pPr>
      <w:r w:rsidRPr="00D045B3">
        <w:rPr>
          <w:color w:val="000000"/>
          <w:szCs w:val="22"/>
          <w:lang w:val="hu-HU"/>
        </w:rPr>
        <w:t>Kezelőorvosa megmondja, hogy pontosan hány Imatinib Actavis kapszulát kell bevennie.</w:t>
      </w:r>
    </w:p>
    <w:p w14:paraId="1E92806F" w14:textId="77777777" w:rsidR="00407B2F" w:rsidRPr="00D045B3" w:rsidRDefault="00407B2F" w:rsidP="00407B2F">
      <w:pPr>
        <w:keepNext/>
        <w:spacing w:line="240" w:lineRule="auto"/>
        <w:rPr>
          <w:color w:val="000000"/>
          <w:szCs w:val="22"/>
          <w:lang w:val="hu-HU"/>
        </w:rPr>
      </w:pPr>
    </w:p>
    <w:p w14:paraId="1E928070" w14:textId="77777777" w:rsidR="00407B2F" w:rsidRPr="00D045B3" w:rsidRDefault="00407B2F" w:rsidP="00E95370">
      <w:pPr>
        <w:numPr>
          <w:ilvl w:val="0"/>
          <w:numId w:val="27"/>
        </w:numPr>
        <w:spacing w:line="240" w:lineRule="auto"/>
        <w:ind w:left="567" w:right="-2" w:hanging="567"/>
        <w:rPr>
          <w:b/>
          <w:color w:val="000000"/>
          <w:szCs w:val="22"/>
          <w:lang w:val="hu-HU"/>
        </w:rPr>
      </w:pPr>
      <w:r w:rsidRPr="00D045B3">
        <w:rPr>
          <w:b/>
          <w:color w:val="000000"/>
          <w:szCs w:val="22"/>
          <w:lang w:val="hu-HU"/>
        </w:rPr>
        <w:t>Ha CML miatt kezelik:</w:t>
      </w:r>
    </w:p>
    <w:p w14:paraId="1E928074" w14:textId="77777777" w:rsidR="00407B2F" w:rsidRPr="00D045B3" w:rsidRDefault="00407B2F" w:rsidP="00407B2F">
      <w:pPr>
        <w:spacing w:line="240" w:lineRule="auto"/>
        <w:ind w:left="567" w:right="-2"/>
        <w:rPr>
          <w:b/>
          <w:color w:val="000000"/>
          <w:szCs w:val="22"/>
          <w:lang w:val="hu-HU"/>
        </w:rPr>
      </w:pPr>
      <w:r w:rsidRPr="00D045B3">
        <w:rPr>
          <w:color w:val="000000"/>
          <w:szCs w:val="22"/>
          <w:lang w:val="hu-HU"/>
        </w:rPr>
        <w:t xml:space="preserve">A szokásos kezdő adag </w:t>
      </w:r>
      <w:r w:rsidRPr="00D045B3">
        <w:rPr>
          <w:b/>
          <w:color w:val="000000"/>
          <w:szCs w:val="22"/>
          <w:lang w:val="hu-HU"/>
        </w:rPr>
        <w:t>600 mg</w:t>
      </w:r>
      <w:r w:rsidRPr="00D045B3">
        <w:rPr>
          <w:color w:val="000000"/>
          <w:szCs w:val="22"/>
          <w:lang w:val="hu-HU"/>
        </w:rPr>
        <w:t xml:space="preserve">, amit naponta </w:t>
      </w:r>
      <w:r w:rsidRPr="00D045B3">
        <w:rPr>
          <w:b/>
          <w:color w:val="000000"/>
          <w:szCs w:val="22"/>
          <w:lang w:val="hu-HU"/>
        </w:rPr>
        <w:t xml:space="preserve">egyszer, </w:t>
      </w:r>
      <w:r w:rsidRPr="00D045B3">
        <w:rPr>
          <w:color w:val="000000"/>
          <w:szCs w:val="22"/>
          <w:lang w:val="hu-HU"/>
        </w:rPr>
        <w:t>egy darab 400 mg</w:t>
      </w:r>
      <w:r w:rsidRPr="00D045B3">
        <w:rPr>
          <w:color w:val="000000"/>
          <w:szCs w:val="22"/>
          <w:lang w:val="hu-HU"/>
        </w:rPr>
        <w:noBreakHyphen/>
        <w:t>os plusz két darab 100 mg</w:t>
      </w:r>
      <w:r w:rsidRPr="00D045B3">
        <w:rPr>
          <w:color w:val="000000"/>
          <w:szCs w:val="22"/>
          <w:lang w:val="hu-HU"/>
        </w:rPr>
        <w:noBreakHyphen/>
        <w:t>os kapszula formájában kell bevennie</w:t>
      </w:r>
      <w:r w:rsidRPr="00D045B3">
        <w:rPr>
          <w:b/>
          <w:color w:val="000000"/>
          <w:szCs w:val="22"/>
          <w:lang w:val="hu-HU"/>
        </w:rPr>
        <w:t>.</w:t>
      </w:r>
    </w:p>
    <w:p w14:paraId="1E928075" w14:textId="77777777" w:rsidR="00407B2F" w:rsidRPr="00D045B3" w:rsidRDefault="00407B2F" w:rsidP="00407B2F">
      <w:pPr>
        <w:spacing w:line="240" w:lineRule="auto"/>
        <w:ind w:right="-2"/>
        <w:rPr>
          <w:color w:val="000000"/>
          <w:szCs w:val="22"/>
          <w:lang w:val="hu-HU"/>
        </w:rPr>
      </w:pPr>
    </w:p>
    <w:p w14:paraId="1E928076" w14:textId="77777777" w:rsidR="00407B2F" w:rsidRPr="00D045B3" w:rsidRDefault="00407B2F" w:rsidP="00407B2F">
      <w:pPr>
        <w:spacing w:line="240" w:lineRule="auto"/>
        <w:ind w:right="-2"/>
        <w:rPr>
          <w:color w:val="000000"/>
          <w:szCs w:val="22"/>
          <w:lang w:val="hu-HU"/>
        </w:rPr>
      </w:pPr>
      <w:r w:rsidRPr="00D045B3">
        <w:rPr>
          <w:color w:val="000000"/>
          <w:szCs w:val="22"/>
          <w:lang w:val="hu-HU"/>
        </w:rPr>
        <w:t xml:space="preserve">Kezelőorvosa nagyobb vagy kisebb adagokat írhat elő, attól függően, hogy Ön miként reagál a kezelésre. </w:t>
      </w:r>
    </w:p>
    <w:p w14:paraId="1E928077" w14:textId="77777777" w:rsidR="00407B2F" w:rsidRPr="00D045B3" w:rsidRDefault="00407B2F" w:rsidP="00407B2F">
      <w:pPr>
        <w:spacing w:line="240" w:lineRule="auto"/>
        <w:ind w:right="-2"/>
        <w:rPr>
          <w:color w:val="000000"/>
          <w:szCs w:val="22"/>
          <w:lang w:val="hu-HU"/>
        </w:rPr>
      </w:pPr>
      <w:r w:rsidRPr="00D045B3">
        <w:rPr>
          <w:color w:val="000000"/>
          <w:szCs w:val="22"/>
          <w:lang w:val="hu-HU"/>
        </w:rPr>
        <w:t>Ha az Ön napi adagja 800 mg (2 kapszula), akkor egy kapszulát kell bevennie reggel és a második kapszulát este.</w:t>
      </w:r>
    </w:p>
    <w:p w14:paraId="1E928078" w14:textId="77777777" w:rsidR="00407B2F" w:rsidRPr="00D045B3" w:rsidRDefault="00407B2F" w:rsidP="00407B2F">
      <w:pPr>
        <w:spacing w:line="240" w:lineRule="auto"/>
        <w:ind w:right="-2"/>
        <w:rPr>
          <w:color w:val="000000"/>
          <w:szCs w:val="22"/>
          <w:lang w:val="hu-HU"/>
        </w:rPr>
      </w:pPr>
    </w:p>
    <w:p w14:paraId="1E928079" w14:textId="77777777" w:rsidR="00407B2F" w:rsidRPr="00D045B3" w:rsidRDefault="00407B2F" w:rsidP="00E95370">
      <w:pPr>
        <w:pStyle w:val="Default"/>
        <w:keepNext/>
        <w:numPr>
          <w:ilvl w:val="0"/>
          <w:numId w:val="27"/>
        </w:numPr>
        <w:ind w:left="567" w:hanging="567"/>
        <w:rPr>
          <w:sz w:val="22"/>
          <w:szCs w:val="22"/>
        </w:rPr>
      </w:pPr>
      <w:r w:rsidRPr="00D045B3">
        <w:rPr>
          <w:b/>
          <w:bCs/>
          <w:sz w:val="22"/>
          <w:szCs w:val="22"/>
        </w:rPr>
        <w:t xml:space="preserve">Ha Önt Ph-pozitív ALL miatt kezelik: </w:t>
      </w:r>
    </w:p>
    <w:p w14:paraId="1E92807A" w14:textId="2CE8E122" w:rsidR="00407B2F" w:rsidRPr="00D045B3" w:rsidRDefault="00407B2F" w:rsidP="00407B2F">
      <w:pPr>
        <w:pStyle w:val="Default"/>
        <w:keepNext/>
        <w:ind w:left="567"/>
        <w:rPr>
          <w:sz w:val="22"/>
          <w:szCs w:val="22"/>
        </w:rPr>
      </w:pPr>
      <w:r w:rsidRPr="00D045B3">
        <w:rPr>
          <w:sz w:val="22"/>
          <w:szCs w:val="22"/>
        </w:rPr>
        <w:t>A kezdőadag 600 mg, amit egy darab 400 mg</w:t>
      </w:r>
      <w:r w:rsidRPr="00D045B3">
        <w:rPr>
          <w:sz w:val="22"/>
          <w:szCs w:val="22"/>
        </w:rPr>
        <w:noBreakHyphen/>
        <w:t>os plusz két darab 100 mg</w:t>
      </w:r>
      <w:r w:rsidRPr="00D045B3">
        <w:rPr>
          <w:sz w:val="22"/>
          <w:szCs w:val="22"/>
        </w:rPr>
        <w:noBreakHyphen/>
        <w:t xml:space="preserve">os kapszula formájában, naponta </w:t>
      </w:r>
      <w:r w:rsidRPr="00D045B3">
        <w:rPr>
          <w:b/>
          <w:bCs/>
          <w:sz w:val="22"/>
          <w:szCs w:val="22"/>
        </w:rPr>
        <w:t xml:space="preserve">egy alkalommal </w:t>
      </w:r>
      <w:r w:rsidRPr="00D045B3">
        <w:rPr>
          <w:sz w:val="22"/>
          <w:szCs w:val="22"/>
        </w:rPr>
        <w:t xml:space="preserve">kell bevennie. </w:t>
      </w:r>
    </w:p>
    <w:p w14:paraId="1E92807B" w14:textId="77777777" w:rsidR="00407B2F" w:rsidRPr="00D045B3" w:rsidRDefault="00407B2F" w:rsidP="00407B2F">
      <w:pPr>
        <w:pStyle w:val="Default"/>
        <w:keepNext/>
        <w:rPr>
          <w:sz w:val="22"/>
          <w:szCs w:val="22"/>
        </w:rPr>
      </w:pPr>
    </w:p>
    <w:p w14:paraId="1E92807C" w14:textId="77777777" w:rsidR="00407B2F" w:rsidRPr="00D045B3" w:rsidRDefault="00407B2F" w:rsidP="00407B2F">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MDS/MPD miatt kezelik: </w:t>
      </w:r>
    </w:p>
    <w:p w14:paraId="1E92807D" w14:textId="7D11A55F" w:rsidR="00407B2F" w:rsidRPr="00D045B3" w:rsidRDefault="00407B2F" w:rsidP="00407B2F">
      <w:pPr>
        <w:pStyle w:val="Default"/>
        <w:ind w:left="567"/>
        <w:rPr>
          <w:sz w:val="22"/>
          <w:szCs w:val="22"/>
        </w:rPr>
      </w:pPr>
      <w:r w:rsidRPr="00D045B3">
        <w:rPr>
          <w:sz w:val="22"/>
          <w:szCs w:val="22"/>
        </w:rPr>
        <w:t xml:space="preserve">A kezdőadag 400 mg, amit egy kapszula formájában, naponta </w:t>
      </w:r>
      <w:r w:rsidRPr="00D045B3">
        <w:rPr>
          <w:b/>
          <w:bCs/>
          <w:sz w:val="22"/>
          <w:szCs w:val="22"/>
        </w:rPr>
        <w:t xml:space="preserve">egy alkalommal </w:t>
      </w:r>
      <w:r w:rsidRPr="00D045B3">
        <w:rPr>
          <w:sz w:val="22"/>
          <w:szCs w:val="22"/>
        </w:rPr>
        <w:t>kell bevennie.</w:t>
      </w:r>
    </w:p>
    <w:p w14:paraId="1E92807E" w14:textId="77777777" w:rsidR="00407B2F" w:rsidRPr="00D045B3" w:rsidRDefault="00407B2F" w:rsidP="00407B2F">
      <w:pPr>
        <w:pStyle w:val="Default"/>
        <w:ind w:left="567"/>
        <w:rPr>
          <w:sz w:val="22"/>
          <w:szCs w:val="22"/>
        </w:rPr>
      </w:pPr>
    </w:p>
    <w:p w14:paraId="1E92807F" w14:textId="77777777" w:rsidR="00407B2F" w:rsidRPr="00D045B3" w:rsidRDefault="00407B2F" w:rsidP="00407B2F">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HES/CEL miatt kezelik: </w:t>
      </w:r>
    </w:p>
    <w:p w14:paraId="1E928080" w14:textId="29022D6B" w:rsidR="00407B2F" w:rsidRPr="00D045B3" w:rsidRDefault="00407B2F" w:rsidP="00407B2F">
      <w:pPr>
        <w:pStyle w:val="Default"/>
        <w:ind w:left="567"/>
        <w:rPr>
          <w:sz w:val="22"/>
          <w:szCs w:val="22"/>
        </w:rPr>
      </w:pPr>
      <w:r w:rsidRPr="00D045B3">
        <w:rPr>
          <w:sz w:val="22"/>
          <w:szCs w:val="22"/>
        </w:rPr>
        <w:t>A kezdőadag 100 mg, amit 1 db 100 mg</w:t>
      </w:r>
      <w:r w:rsidRPr="00D045B3">
        <w:rPr>
          <w:sz w:val="22"/>
          <w:szCs w:val="22"/>
        </w:rPr>
        <w:noBreakHyphen/>
        <w:t xml:space="preserve">os kapszula formájában, naponta </w:t>
      </w:r>
      <w:r w:rsidRPr="00D045B3">
        <w:rPr>
          <w:b/>
          <w:bCs/>
          <w:sz w:val="22"/>
          <w:szCs w:val="22"/>
        </w:rPr>
        <w:t xml:space="preserve">egy alkalommal </w:t>
      </w:r>
      <w:r w:rsidRPr="00D045B3">
        <w:rPr>
          <w:sz w:val="22"/>
          <w:szCs w:val="22"/>
        </w:rPr>
        <w:t>kell bevennie. Attól függően, hogy betegsége miként reagál a kezelésre, kezelőorvosa 400 mg</w:t>
      </w:r>
      <w:r w:rsidRPr="00D045B3">
        <w:rPr>
          <w:sz w:val="22"/>
          <w:szCs w:val="22"/>
        </w:rPr>
        <w:noBreakHyphen/>
        <w:t xml:space="preserve">ra növelheti az adagot, melyet egy kapszula formájában, naponta </w:t>
      </w:r>
      <w:r w:rsidRPr="00D045B3">
        <w:rPr>
          <w:b/>
          <w:bCs/>
          <w:sz w:val="22"/>
          <w:szCs w:val="22"/>
        </w:rPr>
        <w:t xml:space="preserve">egy alkalommal </w:t>
      </w:r>
      <w:r w:rsidRPr="00D045B3">
        <w:rPr>
          <w:sz w:val="22"/>
          <w:szCs w:val="22"/>
        </w:rPr>
        <w:t>kell bevennie.</w:t>
      </w:r>
    </w:p>
    <w:p w14:paraId="1E928081" w14:textId="77777777" w:rsidR="00407B2F" w:rsidRPr="00D045B3" w:rsidRDefault="00407B2F" w:rsidP="00407B2F">
      <w:pPr>
        <w:pStyle w:val="Default"/>
        <w:ind w:left="708"/>
        <w:rPr>
          <w:sz w:val="22"/>
          <w:szCs w:val="22"/>
        </w:rPr>
      </w:pPr>
    </w:p>
    <w:p w14:paraId="1E928082" w14:textId="77777777" w:rsidR="00407B2F" w:rsidRPr="00D045B3" w:rsidRDefault="00407B2F" w:rsidP="00407B2F">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DFSP miatt kezelik: </w:t>
      </w:r>
    </w:p>
    <w:p w14:paraId="1E928083" w14:textId="77777777" w:rsidR="00407B2F" w:rsidRPr="00D045B3" w:rsidRDefault="00407B2F" w:rsidP="00407B2F">
      <w:pPr>
        <w:spacing w:line="240" w:lineRule="auto"/>
        <w:ind w:left="567" w:right="-2"/>
        <w:rPr>
          <w:szCs w:val="22"/>
          <w:lang w:val="hu-HU"/>
        </w:rPr>
      </w:pPr>
      <w:r w:rsidRPr="00D045B3">
        <w:rPr>
          <w:szCs w:val="22"/>
          <w:lang w:val="hu-HU"/>
        </w:rPr>
        <w:t>Az adag napi 800 mg (2 kapszula), amit reggel egy darab kapszula és este egy (második) kapszula formájában kell bevennie.</w:t>
      </w:r>
    </w:p>
    <w:p w14:paraId="1E928084" w14:textId="77777777" w:rsidR="00407B2F" w:rsidRPr="00D045B3" w:rsidRDefault="00407B2F" w:rsidP="00407B2F">
      <w:pPr>
        <w:spacing w:line="240" w:lineRule="auto"/>
        <w:ind w:right="-2"/>
        <w:rPr>
          <w:color w:val="000000"/>
          <w:szCs w:val="22"/>
          <w:lang w:val="hu-HU"/>
        </w:rPr>
      </w:pPr>
    </w:p>
    <w:p w14:paraId="1E928085" w14:textId="77777777" w:rsidR="00407B2F" w:rsidRPr="00D045B3" w:rsidRDefault="00407B2F" w:rsidP="00407B2F">
      <w:pPr>
        <w:keepNext/>
        <w:spacing w:line="240" w:lineRule="auto"/>
        <w:rPr>
          <w:b/>
          <w:color w:val="000000"/>
          <w:szCs w:val="22"/>
          <w:lang w:val="hu-HU"/>
        </w:rPr>
      </w:pPr>
      <w:r w:rsidRPr="00D045B3">
        <w:rPr>
          <w:b/>
          <w:color w:val="000000"/>
          <w:szCs w:val="22"/>
          <w:lang w:val="hu-HU"/>
        </w:rPr>
        <w:t>Alkalmazása gyermekeknél és serdülőknél</w:t>
      </w:r>
    </w:p>
    <w:p w14:paraId="1E928086" w14:textId="539517BE" w:rsidR="00407B2F" w:rsidRPr="00D045B3" w:rsidRDefault="00407B2F" w:rsidP="00CA41FD">
      <w:pPr>
        <w:spacing w:line="240" w:lineRule="auto"/>
        <w:rPr>
          <w:color w:val="000000"/>
          <w:szCs w:val="22"/>
          <w:lang w:val="hu-HU"/>
        </w:rPr>
      </w:pPr>
      <w:r w:rsidRPr="00D045B3">
        <w:rPr>
          <w:color w:val="000000"/>
          <w:szCs w:val="22"/>
          <w:lang w:val="hu-HU"/>
        </w:rPr>
        <w:t xml:space="preserve">A </w:t>
      </w:r>
      <w:r w:rsidR="00283A18" w:rsidRPr="00D045B3">
        <w:rPr>
          <w:color w:val="000000"/>
          <w:szCs w:val="22"/>
          <w:lang w:val="hu-HU"/>
        </w:rPr>
        <w:t>kezelő</w:t>
      </w:r>
      <w:r w:rsidRPr="00D045B3">
        <w:rPr>
          <w:color w:val="000000"/>
          <w:szCs w:val="22"/>
          <w:lang w:val="hu-HU"/>
        </w:rPr>
        <w:t xml:space="preserve">orvos megmondja, hogy mennyi Imatinib Actavis kapszulát kell adnia gyermekének. Az alkalmazandó Imatinib Actavis mennyiség gyermeke állapotától, testtömegétől és testmagasságától függ. </w:t>
      </w:r>
    </w:p>
    <w:p w14:paraId="1E928088" w14:textId="60826E3A" w:rsidR="00407B2F" w:rsidRPr="00D045B3" w:rsidRDefault="00407B2F" w:rsidP="00CA41FD">
      <w:pPr>
        <w:spacing w:line="240" w:lineRule="auto"/>
        <w:rPr>
          <w:color w:val="000000"/>
          <w:szCs w:val="22"/>
          <w:lang w:val="hu-HU"/>
        </w:rPr>
      </w:pPr>
      <w:r w:rsidRPr="00D045B3">
        <w:rPr>
          <w:color w:val="000000"/>
          <w:szCs w:val="22"/>
          <w:lang w:val="hu-HU"/>
        </w:rPr>
        <w:t>A gyermekeknek beadandó teljes napi adag CML esetében nem lépheti túl a 800 mg</w:t>
      </w:r>
      <w:r w:rsidRPr="00D045B3">
        <w:rPr>
          <w:color w:val="000000"/>
          <w:szCs w:val="22"/>
          <w:lang w:val="hu-HU"/>
        </w:rPr>
        <w:noBreakHyphen/>
        <w:t>ot</w:t>
      </w:r>
      <w:r w:rsidR="00824809" w:rsidRPr="00D045B3">
        <w:rPr>
          <w:color w:val="000000"/>
          <w:lang w:val="hu-HU"/>
        </w:rPr>
        <w:t xml:space="preserve"> és 600 mg-ot Ph+ALL esetén</w:t>
      </w:r>
      <w:r w:rsidRPr="00D045B3">
        <w:rPr>
          <w:color w:val="000000"/>
          <w:szCs w:val="22"/>
          <w:lang w:val="hu-HU"/>
        </w:rPr>
        <w:t>. A napi adagot egyszerre vagy két részre elosztva is be lehet venni (felét reggel, másik felét este).</w:t>
      </w:r>
    </w:p>
    <w:p w14:paraId="1E928089" w14:textId="77777777" w:rsidR="00407B2F" w:rsidRPr="00D045B3" w:rsidRDefault="00407B2F" w:rsidP="00407B2F">
      <w:pPr>
        <w:spacing w:line="240" w:lineRule="auto"/>
        <w:ind w:right="-2"/>
        <w:rPr>
          <w:color w:val="000000"/>
          <w:szCs w:val="22"/>
          <w:lang w:val="hu-HU"/>
        </w:rPr>
      </w:pPr>
    </w:p>
    <w:p w14:paraId="1E92808A" w14:textId="77777777" w:rsidR="00407B2F" w:rsidRPr="00D045B3" w:rsidRDefault="00407B2F" w:rsidP="00407B2F">
      <w:pPr>
        <w:keepNext/>
        <w:spacing w:line="240" w:lineRule="auto"/>
        <w:ind w:right="-2"/>
        <w:rPr>
          <w:b/>
          <w:color w:val="000000"/>
          <w:lang w:val="hu-HU"/>
        </w:rPr>
      </w:pPr>
      <w:r w:rsidRPr="00D045B3">
        <w:rPr>
          <w:b/>
          <w:color w:val="000000"/>
          <w:lang w:val="hu-HU"/>
        </w:rPr>
        <w:t>Mikor és hogyan kell szedni az Imatinib Actavis</w:t>
      </w:r>
      <w:r w:rsidRPr="00D045B3">
        <w:rPr>
          <w:b/>
          <w:color w:val="000000"/>
          <w:lang w:val="hu-HU"/>
        </w:rPr>
        <w:noBreakHyphen/>
        <w:t>t?</w:t>
      </w:r>
    </w:p>
    <w:p w14:paraId="1E92808B" w14:textId="77777777" w:rsidR="00407B2F" w:rsidRPr="00D045B3" w:rsidRDefault="00407B2F" w:rsidP="00E95370">
      <w:pPr>
        <w:numPr>
          <w:ilvl w:val="0"/>
          <w:numId w:val="13"/>
        </w:numPr>
        <w:suppressAutoHyphens/>
        <w:rPr>
          <w:color w:val="000000"/>
          <w:lang w:val="hu-HU"/>
        </w:rPr>
      </w:pPr>
      <w:r w:rsidRPr="00D045B3">
        <w:rPr>
          <w:b/>
          <w:color w:val="000000"/>
          <w:lang w:val="hu-HU"/>
        </w:rPr>
        <w:t>Az Imatinib Actavis</w:t>
      </w:r>
      <w:r w:rsidRPr="00D045B3">
        <w:rPr>
          <w:b/>
          <w:color w:val="000000"/>
          <w:lang w:val="hu-HU"/>
        </w:rPr>
        <w:noBreakHyphen/>
        <w:t xml:space="preserve">t étkezés közben vegye be. </w:t>
      </w:r>
      <w:r w:rsidRPr="00D045B3">
        <w:rPr>
          <w:color w:val="000000"/>
          <w:lang w:val="hu-HU"/>
        </w:rPr>
        <w:t>Ez segít elkerülni az Imatinib Actavis szedése alatt jelentkező gyomorpanaszokat.</w:t>
      </w:r>
    </w:p>
    <w:p w14:paraId="1E92808C" w14:textId="77777777" w:rsidR="00407B2F" w:rsidRPr="00D045B3" w:rsidRDefault="00407B2F" w:rsidP="00E95370">
      <w:pPr>
        <w:numPr>
          <w:ilvl w:val="0"/>
          <w:numId w:val="13"/>
        </w:numPr>
        <w:suppressAutoHyphens/>
        <w:rPr>
          <w:color w:val="000000"/>
          <w:lang w:val="hu-HU"/>
        </w:rPr>
      </w:pPr>
      <w:r w:rsidRPr="00D045B3">
        <w:rPr>
          <w:b/>
          <w:color w:val="000000"/>
          <w:lang w:val="hu-HU"/>
        </w:rPr>
        <w:t>A kapszulát egészben, egy nagy pohárnyi vízzel kell lenyelni.</w:t>
      </w:r>
      <w:r w:rsidRPr="00D045B3">
        <w:rPr>
          <w:color w:val="000000"/>
          <w:lang w:val="hu-HU"/>
        </w:rPr>
        <w:t xml:space="preserve"> Ne nyissa ki és ne törje össze a kapszulát, csak abban az esetben, ha a beteg (pl. gyermek) nem tudja a kapszulákat lenyelni.</w:t>
      </w:r>
    </w:p>
    <w:p w14:paraId="1E92808D" w14:textId="77777777" w:rsidR="00407B2F" w:rsidRPr="00D045B3" w:rsidRDefault="00407B2F" w:rsidP="00E95370">
      <w:pPr>
        <w:numPr>
          <w:ilvl w:val="0"/>
          <w:numId w:val="13"/>
        </w:numPr>
        <w:suppressAutoHyphens/>
        <w:rPr>
          <w:color w:val="000000"/>
          <w:lang w:val="hu-HU"/>
        </w:rPr>
      </w:pPr>
      <w:r w:rsidRPr="00D045B3">
        <w:rPr>
          <w:color w:val="000000"/>
          <w:lang w:val="hu-HU"/>
        </w:rPr>
        <w:t>Ha Ön nem tudja lenyelni a kapszulát, felnyithatja azokat, és a port beleöntheti egy pohár tiszta vízbe vagy almalébe.</w:t>
      </w:r>
    </w:p>
    <w:p w14:paraId="1E92808E" w14:textId="77777777" w:rsidR="00407B2F" w:rsidRPr="00D045B3" w:rsidRDefault="00407B2F" w:rsidP="00E95370">
      <w:pPr>
        <w:numPr>
          <w:ilvl w:val="0"/>
          <w:numId w:val="13"/>
        </w:numPr>
        <w:suppressAutoHyphens/>
        <w:rPr>
          <w:color w:val="000000"/>
          <w:lang w:val="hu-HU"/>
        </w:rPr>
      </w:pPr>
      <w:r w:rsidRPr="00D045B3">
        <w:rPr>
          <w:color w:val="000000"/>
          <w:lang w:val="hu-HU"/>
        </w:rPr>
        <w:t>Ha Ön terhes, vagy fogamzóképes korú és megpróbálja felnyitni a kapszulát, kezelje óvatosan annak tartalmát, nehogy a por a szemébe vagy a bőrére kerüljön, illetve hogy elkerülje annak belégzését. A kapszula felnyitása után azonnal mosson alaposan kezet.</w:t>
      </w:r>
    </w:p>
    <w:p w14:paraId="1E92808F" w14:textId="77777777" w:rsidR="00407B2F" w:rsidRPr="00D045B3" w:rsidRDefault="00407B2F" w:rsidP="00407B2F">
      <w:pPr>
        <w:spacing w:line="240" w:lineRule="auto"/>
        <w:ind w:right="-2"/>
        <w:rPr>
          <w:color w:val="000000"/>
          <w:lang w:val="hu-HU"/>
        </w:rPr>
      </w:pPr>
    </w:p>
    <w:p w14:paraId="1E928090" w14:textId="77777777" w:rsidR="00407B2F" w:rsidRPr="00D045B3" w:rsidRDefault="00407B2F" w:rsidP="00407B2F">
      <w:pPr>
        <w:keepNext/>
        <w:spacing w:line="240" w:lineRule="auto"/>
        <w:rPr>
          <w:b/>
          <w:color w:val="000000"/>
          <w:lang w:val="hu-HU"/>
        </w:rPr>
      </w:pPr>
      <w:r w:rsidRPr="00D045B3">
        <w:rPr>
          <w:b/>
          <w:color w:val="000000"/>
          <w:lang w:val="hu-HU"/>
        </w:rPr>
        <w:t>Mennyi ideig kell szednie az Imatinib Actavis</w:t>
      </w:r>
      <w:r w:rsidRPr="00D045B3">
        <w:rPr>
          <w:b/>
          <w:color w:val="000000"/>
          <w:lang w:val="hu-HU"/>
        </w:rPr>
        <w:noBreakHyphen/>
        <w:t>t?</w:t>
      </w:r>
    </w:p>
    <w:p w14:paraId="1E928091" w14:textId="77777777" w:rsidR="00407B2F" w:rsidRPr="00D045B3" w:rsidRDefault="00407B2F" w:rsidP="00CA41FD">
      <w:pPr>
        <w:rPr>
          <w:color w:val="000000"/>
          <w:lang w:val="hu-HU"/>
        </w:rPr>
      </w:pPr>
      <w:r w:rsidRPr="00D045B3">
        <w:rPr>
          <w:color w:val="000000"/>
          <w:lang w:val="hu-HU"/>
        </w:rPr>
        <w:t>Az Imatinib Actavis</w:t>
      </w:r>
      <w:r w:rsidRPr="00D045B3">
        <w:rPr>
          <w:color w:val="000000"/>
          <w:lang w:val="hu-HU"/>
        </w:rPr>
        <w:noBreakHyphen/>
        <w:t>t naponta szedje mindaddig, amíg kezelőorvosa előírja.</w:t>
      </w:r>
    </w:p>
    <w:p w14:paraId="1E928092" w14:textId="77777777" w:rsidR="00407B2F" w:rsidRPr="00D045B3" w:rsidRDefault="00407B2F" w:rsidP="00407B2F">
      <w:pPr>
        <w:spacing w:line="240" w:lineRule="auto"/>
        <w:ind w:right="-2"/>
        <w:rPr>
          <w:color w:val="000000"/>
          <w:lang w:val="hu-HU"/>
        </w:rPr>
      </w:pPr>
    </w:p>
    <w:p w14:paraId="1E928093" w14:textId="77777777" w:rsidR="00407B2F" w:rsidRPr="00D045B3" w:rsidRDefault="00407B2F" w:rsidP="00407B2F">
      <w:pPr>
        <w:keepNext/>
        <w:spacing w:line="240" w:lineRule="auto"/>
        <w:rPr>
          <w:b/>
          <w:color w:val="000000"/>
          <w:lang w:val="hu-HU"/>
        </w:rPr>
      </w:pPr>
      <w:r w:rsidRPr="00D045B3">
        <w:rPr>
          <w:b/>
          <w:color w:val="000000"/>
          <w:lang w:val="hu-HU"/>
        </w:rPr>
        <w:t>Ha az előírtnál több Imatinib Actavis</w:t>
      </w:r>
      <w:r w:rsidRPr="00D045B3">
        <w:rPr>
          <w:b/>
          <w:color w:val="000000"/>
          <w:lang w:val="hu-HU"/>
        </w:rPr>
        <w:noBreakHyphen/>
        <w:t>t vett be</w:t>
      </w:r>
    </w:p>
    <w:p w14:paraId="1E928094" w14:textId="77777777" w:rsidR="00407B2F" w:rsidRPr="00D045B3" w:rsidRDefault="00407B2F" w:rsidP="00CA41FD">
      <w:pPr>
        <w:spacing w:line="240" w:lineRule="auto"/>
        <w:rPr>
          <w:color w:val="000000"/>
          <w:lang w:val="hu-HU"/>
        </w:rPr>
      </w:pPr>
      <w:r w:rsidRPr="00D045B3">
        <w:rPr>
          <w:color w:val="000000"/>
          <w:lang w:val="hu-HU"/>
        </w:rPr>
        <w:t xml:space="preserve">Ha véletlenül az előírtnál több kapszulát vett be, </w:t>
      </w:r>
      <w:r w:rsidRPr="00D045B3">
        <w:rPr>
          <w:b/>
          <w:color w:val="000000"/>
          <w:lang w:val="hu-HU"/>
        </w:rPr>
        <w:t>azonnal</w:t>
      </w:r>
      <w:r w:rsidRPr="00D045B3">
        <w:rPr>
          <w:color w:val="000000"/>
          <w:lang w:val="hu-HU"/>
        </w:rPr>
        <w:t xml:space="preserve"> forduljon kezelőorvosához. Orvosi megfigyelésre lehet szüksége. A gyógyszer csomagolását vigye magával.</w:t>
      </w:r>
    </w:p>
    <w:p w14:paraId="1E928095" w14:textId="77777777" w:rsidR="00407B2F" w:rsidRPr="00D045B3" w:rsidRDefault="00407B2F" w:rsidP="00407B2F">
      <w:pPr>
        <w:spacing w:line="240" w:lineRule="auto"/>
        <w:ind w:right="-2"/>
        <w:rPr>
          <w:color w:val="000000"/>
          <w:lang w:val="hu-HU"/>
        </w:rPr>
      </w:pPr>
    </w:p>
    <w:p w14:paraId="1E928096" w14:textId="77777777" w:rsidR="00407B2F" w:rsidRPr="00D045B3" w:rsidRDefault="00407B2F" w:rsidP="00407B2F">
      <w:pPr>
        <w:keepNext/>
        <w:spacing w:line="240" w:lineRule="auto"/>
        <w:rPr>
          <w:b/>
          <w:color w:val="000000"/>
          <w:lang w:val="hu-HU"/>
        </w:rPr>
      </w:pPr>
      <w:r w:rsidRPr="00D045B3">
        <w:rPr>
          <w:b/>
          <w:color w:val="000000"/>
          <w:lang w:val="hu-HU"/>
        </w:rPr>
        <w:t>Ha elfelejtette bevenni az Imatinib Actavis</w:t>
      </w:r>
      <w:r w:rsidRPr="00D045B3">
        <w:rPr>
          <w:b/>
          <w:color w:val="000000"/>
          <w:lang w:val="hu-HU"/>
        </w:rPr>
        <w:noBreakHyphen/>
        <w:t>t</w:t>
      </w:r>
    </w:p>
    <w:p w14:paraId="1E928097" w14:textId="77777777" w:rsidR="00407B2F" w:rsidRPr="00D045B3" w:rsidRDefault="00407B2F" w:rsidP="00E95370">
      <w:pPr>
        <w:numPr>
          <w:ilvl w:val="0"/>
          <w:numId w:val="14"/>
        </w:numPr>
        <w:suppressAutoHyphens/>
        <w:spacing w:line="240" w:lineRule="auto"/>
        <w:rPr>
          <w:color w:val="000000"/>
          <w:lang w:val="hu-HU"/>
        </w:rPr>
      </w:pPr>
      <w:r w:rsidRPr="00D045B3">
        <w:rPr>
          <w:color w:val="000000"/>
          <w:lang w:val="hu-HU"/>
        </w:rPr>
        <w:t>Ha elfelejtett egy adagot, vegye be, amint eszébe jut. Azonban, ha ez már majdnem a következő esedékes adag idejében történik, hagyja ki az elfelejtett adagot.</w:t>
      </w:r>
    </w:p>
    <w:p w14:paraId="1E928098" w14:textId="77777777" w:rsidR="00407B2F" w:rsidRPr="00D045B3" w:rsidRDefault="00407B2F" w:rsidP="00E95370">
      <w:pPr>
        <w:numPr>
          <w:ilvl w:val="0"/>
          <w:numId w:val="14"/>
        </w:numPr>
        <w:suppressAutoHyphens/>
        <w:spacing w:line="240" w:lineRule="auto"/>
        <w:ind w:right="-2"/>
        <w:rPr>
          <w:color w:val="000000"/>
          <w:lang w:val="hu-HU"/>
        </w:rPr>
      </w:pPr>
      <w:r w:rsidRPr="00D045B3">
        <w:rPr>
          <w:color w:val="000000"/>
          <w:lang w:val="hu-HU"/>
        </w:rPr>
        <w:t>Ezután folytassa a gyógyszer szedését</w:t>
      </w:r>
      <w:r w:rsidRPr="00D045B3" w:rsidDel="003509F8">
        <w:rPr>
          <w:color w:val="000000"/>
          <w:lang w:val="hu-HU"/>
        </w:rPr>
        <w:t xml:space="preserve"> </w:t>
      </w:r>
      <w:r w:rsidRPr="00D045B3">
        <w:rPr>
          <w:color w:val="000000"/>
          <w:lang w:val="hu-HU"/>
        </w:rPr>
        <w:t>a szokásos menetrend szerint.</w:t>
      </w:r>
    </w:p>
    <w:p w14:paraId="1E928099" w14:textId="77777777" w:rsidR="00407B2F" w:rsidRPr="00D045B3" w:rsidRDefault="00407B2F" w:rsidP="00E95370">
      <w:pPr>
        <w:numPr>
          <w:ilvl w:val="0"/>
          <w:numId w:val="14"/>
        </w:numPr>
        <w:suppressAutoHyphens/>
        <w:spacing w:line="240" w:lineRule="auto"/>
        <w:ind w:right="-2"/>
        <w:rPr>
          <w:color w:val="000000"/>
          <w:lang w:val="hu-HU"/>
        </w:rPr>
      </w:pPr>
      <w:r w:rsidRPr="00D045B3">
        <w:rPr>
          <w:noProof/>
          <w:color w:val="000000"/>
          <w:lang w:val="hu-HU"/>
        </w:rPr>
        <w:t>Ne vegyen be kétszeres adagot a kihagyott adag pótlására.</w:t>
      </w:r>
    </w:p>
    <w:p w14:paraId="1E92809A" w14:textId="77777777" w:rsidR="00407B2F" w:rsidRPr="00D045B3" w:rsidRDefault="00407B2F" w:rsidP="00407B2F">
      <w:pPr>
        <w:spacing w:line="240" w:lineRule="auto"/>
        <w:ind w:right="-2"/>
        <w:rPr>
          <w:color w:val="000000"/>
          <w:lang w:val="hu-HU"/>
        </w:rPr>
      </w:pPr>
    </w:p>
    <w:p w14:paraId="1E92809B" w14:textId="77777777" w:rsidR="00407B2F" w:rsidRPr="00D045B3" w:rsidRDefault="00407B2F" w:rsidP="00407B2F">
      <w:pPr>
        <w:spacing w:line="240" w:lineRule="auto"/>
        <w:ind w:right="-2"/>
        <w:rPr>
          <w:color w:val="000000"/>
          <w:lang w:val="hu-HU"/>
        </w:rPr>
      </w:pPr>
      <w:r w:rsidRPr="00D045B3">
        <w:rPr>
          <w:color w:val="000000"/>
          <w:lang w:val="hu-HU"/>
        </w:rPr>
        <w:t xml:space="preserve">Ha bármilyen további kérdése van a gyógyszer alkalmazásával kapcsolatban, kérdezze meg kezelőorvosát, gyógyszerészét vagy a </w:t>
      </w:r>
      <w:r w:rsidRPr="00D045B3">
        <w:rPr>
          <w:noProof/>
          <w:szCs w:val="24"/>
          <w:lang w:val="hu-HU"/>
        </w:rPr>
        <w:t>gondozását végző egészségügyi szakembert</w:t>
      </w:r>
      <w:r w:rsidRPr="00D045B3">
        <w:rPr>
          <w:color w:val="000000"/>
          <w:lang w:val="hu-HU"/>
        </w:rPr>
        <w:t>.</w:t>
      </w:r>
    </w:p>
    <w:p w14:paraId="1E92809C" w14:textId="77777777" w:rsidR="00407B2F" w:rsidRPr="00D045B3" w:rsidRDefault="00407B2F" w:rsidP="00407B2F">
      <w:pPr>
        <w:spacing w:line="240" w:lineRule="auto"/>
        <w:ind w:right="-2"/>
        <w:rPr>
          <w:color w:val="000000"/>
          <w:lang w:val="hu-HU"/>
        </w:rPr>
      </w:pPr>
    </w:p>
    <w:p w14:paraId="1E92809D" w14:textId="77777777" w:rsidR="00407B2F" w:rsidRPr="00D045B3" w:rsidRDefault="00407B2F" w:rsidP="00407B2F">
      <w:pPr>
        <w:spacing w:line="240" w:lineRule="auto"/>
        <w:ind w:right="-2"/>
        <w:rPr>
          <w:color w:val="000000"/>
          <w:lang w:val="hu-HU"/>
        </w:rPr>
      </w:pPr>
    </w:p>
    <w:p w14:paraId="1E92809E" w14:textId="77777777" w:rsidR="00407B2F" w:rsidRPr="00D045B3" w:rsidRDefault="00407B2F" w:rsidP="00407B2F">
      <w:pPr>
        <w:keepNext/>
        <w:spacing w:line="240" w:lineRule="auto"/>
        <w:ind w:left="567" w:right="-2" w:hanging="567"/>
        <w:rPr>
          <w:b/>
          <w:color w:val="000000"/>
          <w:lang w:val="hu-HU"/>
        </w:rPr>
      </w:pPr>
      <w:r w:rsidRPr="00D045B3">
        <w:rPr>
          <w:b/>
          <w:color w:val="000000"/>
          <w:lang w:val="hu-HU"/>
        </w:rPr>
        <w:t>4.</w:t>
      </w:r>
      <w:r w:rsidRPr="00D045B3">
        <w:rPr>
          <w:b/>
          <w:color w:val="000000"/>
          <w:lang w:val="hu-HU"/>
        </w:rPr>
        <w:tab/>
        <w:t>Lehetséges mellékhatások</w:t>
      </w:r>
    </w:p>
    <w:p w14:paraId="1E92809F" w14:textId="77777777" w:rsidR="00407B2F" w:rsidRPr="00D045B3" w:rsidRDefault="00407B2F" w:rsidP="00407B2F">
      <w:pPr>
        <w:keepNext/>
        <w:spacing w:line="240" w:lineRule="auto"/>
        <w:ind w:right="-29"/>
        <w:rPr>
          <w:color w:val="000000"/>
          <w:lang w:val="hu-HU"/>
        </w:rPr>
      </w:pPr>
    </w:p>
    <w:p w14:paraId="1E9280A0" w14:textId="77777777" w:rsidR="00407B2F" w:rsidRPr="00D045B3" w:rsidRDefault="00407B2F" w:rsidP="00407B2F">
      <w:pPr>
        <w:keepNext/>
        <w:ind w:right="-29"/>
        <w:rPr>
          <w:color w:val="000000"/>
          <w:lang w:val="hu-HU"/>
        </w:rPr>
      </w:pPr>
      <w:r w:rsidRPr="00D045B3">
        <w:rPr>
          <w:color w:val="000000"/>
          <w:lang w:val="hu-HU"/>
        </w:rPr>
        <w:t xml:space="preserve">Mint minden gyógyszer, így </w:t>
      </w:r>
      <w:r w:rsidRPr="00D045B3">
        <w:rPr>
          <w:noProof/>
          <w:szCs w:val="24"/>
          <w:lang w:val="hu-HU"/>
        </w:rPr>
        <w:t>ez a gyógyszer</w:t>
      </w:r>
      <w:r w:rsidRPr="00D045B3">
        <w:rPr>
          <w:lang w:val="hu-HU"/>
        </w:rPr>
        <w:t xml:space="preserve"> </w:t>
      </w:r>
      <w:r w:rsidRPr="00D045B3">
        <w:rPr>
          <w:color w:val="000000"/>
          <w:lang w:val="hu-HU"/>
        </w:rPr>
        <w:t>is okozhat mellékhatásokat, amelyek azonban nem mindenkinél jelentkeznek. A mellékhatások rendszerint enyhék vagy mérsékeltek.</w:t>
      </w:r>
    </w:p>
    <w:p w14:paraId="1E9280A1" w14:textId="77777777" w:rsidR="00407B2F" w:rsidRPr="00D045B3" w:rsidRDefault="00407B2F" w:rsidP="00407B2F">
      <w:pPr>
        <w:ind w:right="-29"/>
        <w:rPr>
          <w:color w:val="000000"/>
          <w:lang w:val="hu-HU"/>
        </w:rPr>
      </w:pPr>
    </w:p>
    <w:p w14:paraId="1E9280A2" w14:textId="77777777" w:rsidR="00407B2F" w:rsidRPr="00D045B3" w:rsidRDefault="00407B2F" w:rsidP="00407B2F">
      <w:pPr>
        <w:keepNext/>
        <w:spacing w:line="240" w:lineRule="auto"/>
        <w:rPr>
          <w:b/>
          <w:color w:val="000000"/>
          <w:lang w:val="hu-HU"/>
        </w:rPr>
      </w:pPr>
      <w:r w:rsidRPr="00D045B3">
        <w:rPr>
          <w:b/>
          <w:color w:val="000000"/>
          <w:lang w:val="hu-HU"/>
        </w:rPr>
        <w:t>Néhány mellékhatás súlyos lehet. Azonnal forduljon kezelőorvosához, ha az alábbiak közül bármelyiket észleli:</w:t>
      </w:r>
    </w:p>
    <w:p w14:paraId="1E9280A3" w14:textId="77777777" w:rsidR="00407B2F" w:rsidRPr="00D045B3" w:rsidRDefault="00407B2F" w:rsidP="00407B2F">
      <w:pPr>
        <w:keepNext/>
        <w:spacing w:line="240" w:lineRule="auto"/>
        <w:rPr>
          <w:iCs/>
          <w:color w:val="000000"/>
          <w:lang w:val="hu-HU"/>
        </w:rPr>
      </w:pPr>
    </w:p>
    <w:p w14:paraId="1E9280A4" w14:textId="49147132" w:rsidR="00407B2F" w:rsidRPr="00D045B3" w:rsidRDefault="00407B2F" w:rsidP="00407B2F">
      <w:pPr>
        <w:keepNext/>
        <w:spacing w:line="240" w:lineRule="auto"/>
        <w:rPr>
          <w:b/>
          <w:bCs/>
          <w:iCs/>
          <w:color w:val="000000"/>
          <w:lang w:val="hu-HU"/>
        </w:rPr>
      </w:pPr>
      <w:r w:rsidRPr="00D045B3">
        <w:rPr>
          <w:b/>
          <w:bCs/>
          <w:iCs/>
          <w:color w:val="000000"/>
          <w:lang w:val="hu-HU"/>
        </w:rPr>
        <w:t>Nagyon gyakori</w:t>
      </w:r>
      <w:r w:rsidR="00512475" w:rsidRPr="00D045B3">
        <w:rPr>
          <w:b/>
          <w:bCs/>
          <w:iCs/>
          <w:color w:val="000000"/>
          <w:lang w:val="hu-HU"/>
        </w:rPr>
        <w:t xml:space="preserve"> </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bCs/>
          <w:iCs/>
          <w:color w:val="000000"/>
          <w:lang w:val="hu-HU"/>
        </w:rPr>
        <w:t xml:space="preserve"> vagy gyakori</w:t>
      </w:r>
      <w:r w:rsidR="00606619" w:rsidRPr="00D045B3">
        <w:rPr>
          <w:b/>
          <w:bCs/>
          <w:iCs/>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bCs/>
          <w:iCs/>
          <w:color w:val="000000"/>
          <w:lang w:val="hu-HU"/>
        </w:rPr>
        <w:t>:</w:t>
      </w:r>
    </w:p>
    <w:p w14:paraId="1E9280A5" w14:textId="77777777" w:rsidR="00407B2F" w:rsidRPr="00D045B3" w:rsidRDefault="00407B2F"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Gyors testtömeg</w:t>
      </w:r>
      <w:r w:rsidRPr="00D045B3">
        <w:rPr>
          <w:color w:val="000000"/>
          <w:lang w:val="hu-HU"/>
        </w:rPr>
        <w:noBreakHyphen/>
        <w:t>gyarapodás. Az Imatinib Actavis hatására szervezete vizet tarthat vissza (úgynevezett súlyos folyadékretenció).</w:t>
      </w:r>
    </w:p>
    <w:p w14:paraId="1E9280A6" w14:textId="77777777" w:rsidR="00407B2F" w:rsidRPr="00D045B3" w:rsidRDefault="00407B2F"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Fertőzésre utaló jelek, pl. láz, nagyfokú hidegrázás, torokfájás, szájfekélyek. Az Imatinib Actavis csökkentheti a vérben a fehérvérsejtek számát, ezáltal Ön könnyebben kapja el a fertőzéseket.</w:t>
      </w:r>
    </w:p>
    <w:p w14:paraId="1E9280A7" w14:textId="77777777" w:rsidR="00407B2F" w:rsidRPr="00D045B3" w:rsidRDefault="00407B2F"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Váratlan vérzés vagy véraláfutás (olyankor, amikor nem sértette meg magát).</w:t>
      </w:r>
    </w:p>
    <w:p w14:paraId="1E9280A8" w14:textId="77777777" w:rsidR="00407B2F" w:rsidRPr="00D045B3" w:rsidRDefault="00407B2F" w:rsidP="00407B2F">
      <w:pPr>
        <w:spacing w:line="240" w:lineRule="auto"/>
        <w:rPr>
          <w:color w:val="000000"/>
          <w:lang w:val="hu-HU"/>
        </w:rPr>
      </w:pPr>
    </w:p>
    <w:p w14:paraId="1E9280A9" w14:textId="3C8AB997" w:rsidR="00407B2F" w:rsidRPr="00D045B3" w:rsidRDefault="00407B2F" w:rsidP="00407B2F">
      <w:pPr>
        <w:keepNext/>
        <w:spacing w:line="240" w:lineRule="auto"/>
        <w:rPr>
          <w:b/>
          <w:bCs/>
          <w:iCs/>
          <w:color w:val="000000"/>
          <w:lang w:val="hu-HU"/>
        </w:rPr>
      </w:pPr>
      <w:r w:rsidRPr="00D045B3">
        <w:rPr>
          <w:b/>
          <w:bCs/>
          <w:iCs/>
          <w:color w:val="000000"/>
          <w:lang w:val="hu-HU"/>
        </w:rPr>
        <w:t>Nem gyakori</w:t>
      </w:r>
      <w:r w:rsidR="00512475" w:rsidRPr="00D045B3">
        <w:rPr>
          <w:b/>
          <w:bCs/>
          <w:iCs/>
          <w:color w:val="000000"/>
          <w:lang w:val="hu-HU"/>
        </w:rPr>
        <w:t xml:space="preserve"> </w:t>
      </w:r>
      <w:r w:rsidRPr="00D045B3">
        <w:rPr>
          <w:bCs/>
          <w:iCs/>
          <w:color w:val="000000"/>
          <w:lang w:val="hu-HU"/>
        </w:rPr>
        <w:t>(100</w:t>
      </w:r>
      <w:r w:rsidRPr="00D045B3">
        <w:rPr>
          <w:bCs/>
          <w:iCs/>
          <w:color w:val="000000"/>
          <w:lang w:val="hu-HU"/>
        </w:rPr>
        <w:noBreakHyphen/>
        <w:t xml:space="preserve">ból legfeljebb1 beteget érinthetnek) </w:t>
      </w:r>
      <w:r w:rsidRPr="00D045B3">
        <w:rPr>
          <w:b/>
          <w:bCs/>
          <w:iCs/>
          <w:color w:val="000000"/>
          <w:lang w:val="hu-HU"/>
        </w:rPr>
        <w:t>vagy ritka</w:t>
      </w:r>
      <w:r w:rsidR="00606619" w:rsidRPr="00D045B3">
        <w:rPr>
          <w:b/>
          <w:bCs/>
          <w:iCs/>
          <w:color w:val="000000"/>
          <w:lang w:val="hu-HU"/>
        </w:rPr>
        <w:t xml:space="preserve"> </w:t>
      </w:r>
      <w:r w:rsidRPr="00D045B3">
        <w:rPr>
          <w:bCs/>
          <w:iCs/>
          <w:color w:val="000000"/>
          <w:lang w:val="hu-HU"/>
        </w:rPr>
        <w:t>(1000</w:t>
      </w:r>
      <w:r w:rsidRPr="00D045B3">
        <w:rPr>
          <w:bCs/>
          <w:iCs/>
          <w:color w:val="000000"/>
          <w:lang w:val="hu-HU"/>
        </w:rPr>
        <w:noBreakHyphen/>
        <w:t>ből legfeljebb1 beteget érinthetnek)</w:t>
      </w:r>
      <w:r w:rsidRPr="00D045B3">
        <w:rPr>
          <w:b/>
          <w:bCs/>
          <w:iCs/>
          <w:color w:val="000000"/>
          <w:lang w:val="hu-HU"/>
        </w:rPr>
        <w:t>:</w:t>
      </w:r>
    </w:p>
    <w:p w14:paraId="1E9280AA"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Mellkasi fájdalom, szabálytalan szívverés (szívproblémákra utaló jelek).</w:t>
      </w:r>
    </w:p>
    <w:p w14:paraId="1E9280AB"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Köhögés, légszomj vagy fájdalmas légzés (tüdőproblémákra utaló jelek).</w:t>
      </w:r>
    </w:p>
    <w:p w14:paraId="1E9280AC"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Kábultság, szédülés vagy ájulás közeli érzés (alacsony vérnyomásra utaló jelek).</w:t>
      </w:r>
    </w:p>
    <w:p w14:paraId="1E9280AD"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étvágytalansággal, sötét színű vizelettel vagy a bőr, illetve a szemfehérje besárgulásával (májrendellenességre utaló jelek).</w:t>
      </w:r>
    </w:p>
    <w:p w14:paraId="1E9280AE"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Bőrkiütés, bőrpír, hólyagokkal az ajkakon, szemeken, bőrön vagy a szájban, a bőr hámlása, láz, a bőr felszínéből kiemelkedő vörös vagy lila foltok, viszketés, égő érzés, gennyes hólyagokkal jelentkező bőrkiütés (bőrproblémákra utaló jelek).</w:t>
      </w:r>
    </w:p>
    <w:p w14:paraId="1E9280AF"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hasi fájdalom, vér a hányadékban, a székletben vagy a vizeletben, fekete széklet (gyomor-bélrendszeri problémákra utaló jelek).</w:t>
      </w:r>
    </w:p>
    <w:p w14:paraId="1E9280B0"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vizelet mennyiségének nagymértékű csökkenése, szomjúság érzés (veseproblémákra utaló jelek).</w:t>
      </w:r>
    </w:p>
    <w:p w14:paraId="1E9280B1"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hasmenéssel és hányással, hasfájás vagy láz (bélrendellenességre utaló jelek).</w:t>
      </w:r>
    </w:p>
    <w:p w14:paraId="1E9280B2" w14:textId="04F31061"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fejfájás, a végtagok vagy az arc</w:t>
      </w:r>
      <w:r w:rsidR="00FC52C7" w:rsidRPr="00D045B3">
        <w:rPr>
          <w:color w:val="000000"/>
          <w:lang w:val="hu-HU"/>
        </w:rPr>
        <w:t>izmok</w:t>
      </w:r>
      <w:r w:rsidRPr="00D045B3">
        <w:rPr>
          <w:color w:val="000000"/>
          <w:lang w:val="hu-HU"/>
        </w:rPr>
        <w:t xml:space="preserve"> gyengesége vagy bénulása, nehezített beszéd, hirtelen eszméletvesztés (idegrendszeri problémákra, mint például a koponyán belüli vagy az agyban kialakuló vérzésre vagy vizenyőre utaló jelek).</w:t>
      </w:r>
    </w:p>
    <w:p w14:paraId="1E9280B3"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Sápadt bőr, fáradtság és légszomj, valamint sötét vizelet (alacsony vörösvértestszámra utaló jelek).</w:t>
      </w:r>
    </w:p>
    <w:p w14:paraId="1E9280B4"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Szemfájdalom vagy a látás romlása, szemen belüli vérzés.</w:t>
      </w:r>
    </w:p>
    <w:p w14:paraId="1E9280B5"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Csípőfájdalom vagy a járás nehezítettsége.</w:t>
      </w:r>
    </w:p>
    <w:p w14:paraId="1E9280B6"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láb- és kézujjak zsibbadása vagy hidegsége (Raynaud-szindrómára utaló jelek).</w:t>
      </w:r>
    </w:p>
    <w:p w14:paraId="1E9280B7"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bőr hirtelen duzzadása és vörössége (cellulitisz nevű bőrfertőzésre utaló jelek).</w:t>
      </w:r>
    </w:p>
    <w:p w14:paraId="1E9280B8"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Halláscsökkenés.</w:t>
      </w:r>
    </w:p>
    <w:p w14:paraId="1E9280B9"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Izomgyengeség és izomgörcsök szívritmuszavarral (a vérben lévő kálium</w:t>
      </w:r>
      <w:r w:rsidRPr="00D045B3">
        <w:rPr>
          <w:color w:val="000000"/>
          <w:lang w:val="hu-HU"/>
        </w:rPr>
        <w:noBreakHyphen/>
        <w:t>mennyiség változásának jelei).</w:t>
      </w:r>
    </w:p>
    <w:p w14:paraId="1E9280BA"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Véraláfutás.</w:t>
      </w:r>
    </w:p>
    <w:p w14:paraId="1E9280BB"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Gyomorfájdalom émelygéssel (hányingerrel).</w:t>
      </w:r>
    </w:p>
    <w:p w14:paraId="1E9280BC"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Izomgörcsök lázzal, vöröses-barna színű vizelettel, izomfájdalommal vagy izomgyengeséggel (izomproblémákra utaló jelek).</w:t>
      </w:r>
    </w:p>
    <w:p w14:paraId="1E9280BD" w14:textId="77777777"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Kismedencei fájdalom, néha hányingerrel és hányással, váratlan hüvelyi vérzéssel, szédüléssel vagy ájulás közeli érzéssel, mely az alacsony vérnyomásnak tulajdonítható (petefészek- vagy méhproblémákra utaló jelek).</w:t>
      </w:r>
    </w:p>
    <w:p w14:paraId="1E9280BE" w14:textId="6C6B179B" w:rsidR="00407B2F" w:rsidRPr="00D045B3" w:rsidRDefault="00407B2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Kóros laboratóriumi vizsgálati eredményekkel (pl. magas kálium-, húgysav- és kalciumszint, valamint alacsony foszforszint, a vérben) összefüggő hányinger, légszomj, rendszertelen szívverés, zavaros vizelet, fáradtság és/vagy ízületi fájdalom.</w:t>
      </w:r>
    </w:p>
    <w:p w14:paraId="2CEDA2B1" w14:textId="77777777" w:rsidR="00CF0CB3" w:rsidRPr="00D045B3" w:rsidRDefault="00CF0CB3" w:rsidP="00CF0CB3">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Vérrögök a kis vérerekben (trombotikus mikroangiopátia).</w:t>
      </w:r>
    </w:p>
    <w:p w14:paraId="1E9280BF" w14:textId="77777777" w:rsidR="00407B2F" w:rsidRPr="00D045B3" w:rsidRDefault="00407B2F" w:rsidP="00407B2F">
      <w:pPr>
        <w:tabs>
          <w:tab w:val="clear" w:pos="567"/>
        </w:tabs>
        <w:suppressAutoHyphens/>
        <w:spacing w:line="240" w:lineRule="auto"/>
        <w:rPr>
          <w:color w:val="000000"/>
          <w:lang w:val="hu-HU"/>
        </w:rPr>
      </w:pPr>
    </w:p>
    <w:p w14:paraId="1E9280C0" w14:textId="77777777" w:rsidR="00407B2F" w:rsidRPr="00D045B3" w:rsidRDefault="00407B2F" w:rsidP="00407B2F">
      <w:pPr>
        <w:pStyle w:val="Default"/>
        <w:keepNext/>
        <w:rPr>
          <w:sz w:val="22"/>
          <w:szCs w:val="22"/>
        </w:rPr>
      </w:pPr>
      <w:r w:rsidRPr="00D045B3">
        <w:rPr>
          <w:b/>
          <w:bCs/>
          <w:sz w:val="22"/>
          <w:szCs w:val="22"/>
        </w:rPr>
        <w:t xml:space="preserve">Nem ismert </w:t>
      </w:r>
      <w:r w:rsidRPr="00D045B3">
        <w:rPr>
          <w:sz w:val="22"/>
          <w:szCs w:val="22"/>
        </w:rPr>
        <w:t xml:space="preserve">(a gyakoriság a rendelkezésre álló adatokból nem állapítható meg): </w:t>
      </w:r>
    </w:p>
    <w:p w14:paraId="1E9280C1" w14:textId="77777777" w:rsidR="00C005AC" w:rsidRPr="00D045B3" w:rsidRDefault="00407B2F" w:rsidP="00E95370">
      <w:pPr>
        <w:pStyle w:val="Default"/>
        <w:numPr>
          <w:ilvl w:val="0"/>
          <w:numId w:val="29"/>
        </w:numPr>
        <w:ind w:left="567" w:hanging="567"/>
        <w:rPr>
          <w:sz w:val="22"/>
          <w:szCs w:val="22"/>
        </w:rPr>
      </w:pPr>
      <w:r w:rsidRPr="00D045B3">
        <w:rPr>
          <w:sz w:val="22"/>
          <w:szCs w:val="22"/>
        </w:rPr>
        <w:t>Kiterjedt, súlyos bőrkiütés, hányinger, láz, bizonyos fehérvérsejtek magas számának vagy a bőr, illetve a szemfehérje besárgulásának (sárgaság tünetei) kombinációja, légszomjjal, mellkasi fájdalommal/kellemetlen érzéssel, nagymértékben csökkent vizeletürítéssel és szomjúsággal stb. (ezek a kezeléssel összefüggő allergiás reakció jelei).</w:t>
      </w:r>
    </w:p>
    <w:p w14:paraId="1E9280C2" w14:textId="3425E2AB" w:rsidR="00407B2F" w:rsidRPr="00D045B3" w:rsidRDefault="008E401F" w:rsidP="00E95370">
      <w:pPr>
        <w:pStyle w:val="Default"/>
        <w:keepNext/>
        <w:numPr>
          <w:ilvl w:val="0"/>
          <w:numId w:val="29"/>
        </w:numPr>
        <w:ind w:left="567" w:hanging="567"/>
        <w:rPr>
          <w:sz w:val="22"/>
          <w:szCs w:val="22"/>
        </w:rPr>
      </w:pPr>
      <w:r w:rsidRPr="00D045B3">
        <w:rPr>
          <w:sz w:val="22"/>
          <w:szCs w:val="22"/>
        </w:rPr>
        <w:t>K</w:t>
      </w:r>
      <w:r w:rsidR="00C005AC" w:rsidRPr="00D045B3">
        <w:rPr>
          <w:sz w:val="22"/>
          <w:szCs w:val="22"/>
        </w:rPr>
        <w:t>rónikus veseelégtelenség</w:t>
      </w:r>
      <w:r w:rsidRPr="00D045B3">
        <w:rPr>
          <w:sz w:val="22"/>
          <w:szCs w:val="22"/>
        </w:rPr>
        <w:t>.</w:t>
      </w:r>
    </w:p>
    <w:p w14:paraId="1E9280C3" w14:textId="77777777" w:rsidR="0027564C" w:rsidRPr="00D045B3" w:rsidRDefault="0027564C" w:rsidP="00E95370">
      <w:pPr>
        <w:pStyle w:val="Default"/>
        <w:numPr>
          <w:ilvl w:val="0"/>
          <w:numId w:val="29"/>
        </w:numPr>
        <w:ind w:left="567" w:hanging="567"/>
        <w:rPr>
          <w:sz w:val="22"/>
          <w:szCs w:val="22"/>
        </w:rPr>
      </w:pPr>
      <w:r w:rsidRPr="00D045B3">
        <w:rPr>
          <w:sz w:val="22"/>
          <w:szCs w:val="22"/>
        </w:rPr>
        <w:t>A hepatitisz B fertőzés kiújulása (reaktiválódása), ha Önnek korábban hepatitisz B fertőzése (egy májfertőzés) volt.</w:t>
      </w:r>
    </w:p>
    <w:p w14:paraId="1E9280C4" w14:textId="77777777" w:rsidR="00407B2F" w:rsidRPr="00D045B3" w:rsidRDefault="00407B2F" w:rsidP="00407B2F">
      <w:pPr>
        <w:tabs>
          <w:tab w:val="clear" w:pos="567"/>
        </w:tabs>
        <w:suppressAutoHyphens/>
        <w:spacing w:line="240" w:lineRule="auto"/>
        <w:rPr>
          <w:color w:val="000000"/>
          <w:lang w:val="hu-HU"/>
        </w:rPr>
      </w:pPr>
    </w:p>
    <w:p w14:paraId="1E9280C5" w14:textId="77777777" w:rsidR="00407B2F" w:rsidRPr="00D045B3" w:rsidRDefault="00407B2F" w:rsidP="00407B2F">
      <w:pPr>
        <w:spacing w:line="240" w:lineRule="auto"/>
        <w:rPr>
          <w:color w:val="000000"/>
          <w:lang w:val="hu-HU"/>
        </w:rPr>
      </w:pPr>
      <w:r w:rsidRPr="00D045B3">
        <w:rPr>
          <w:b/>
          <w:color w:val="000000"/>
          <w:lang w:val="hu-HU"/>
        </w:rPr>
        <w:t xml:space="preserve">Azonnal forduljon kezelőorvosához, </w:t>
      </w:r>
      <w:r w:rsidRPr="00D045B3">
        <w:rPr>
          <w:color w:val="000000"/>
          <w:lang w:val="hu-HU"/>
        </w:rPr>
        <w:t>ha a fentiek közül bármelyiket észleli!</w:t>
      </w:r>
    </w:p>
    <w:p w14:paraId="1E9280C6" w14:textId="77777777" w:rsidR="00407B2F" w:rsidRPr="00D045B3" w:rsidRDefault="00407B2F" w:rsidP="00407B2F">
      <w:pPr>
        <w:spacing w:line="240" w:lineRule="auto"/>
        <w:rPr>
          <w:color w:val="000000"/>
          <w:lang w:val="hu-HU"/>
        </w:rPr>
      </w:pPr>
    </w:p>
    <w:p w14:paraId="1E9280C7" w14:textId="77777777" w:rsidR="00407B2F" w:rsidRPr="00D045B3" w:rsidRDefault="00407B2F" w:rsidP="00407B2F">
      <w:pPr>
        <w:keepNext/>
        <w:spacing w:line="240" w:lineRule="auto"/>
        <w:rPr>
          <w:b/>
          <w:color w:val="000000"/>
          <w:lang w:val="hu-HU"/>
        </w:rPr>
      </w:pPr>
      <w:r w:rsidRPr="00D045B3">
        <w:rPr>
          <w:b/>
          <w:color w:val="000000"/>
          <w:lang w:val="hu-HU"/>
        </w:rPr>
        <w:t>További lehetséges mellékhatások:</w:t>
      </w:r>
    </w:p>
    <w:p w14:paraId="1E9280C8" w14:textId="77777777" w:rsidR="00407B2F" w:rsidRPr="00D045B3" w:rsidRDefault="00407B2F" w:rsidP="00407B2F">
      <w:pPr>
        <w:keepNext/>
        <w:spacing w:line="240" w:lineRule="auto"/>
        <w:rPr>
          <w:color w:val="000000"/>
          <w:lang w:val="hu-HU"/>
        </w:rPr>
      </w:pPr>
    </w:p>
    <w:p w14:paraId="1E9280C9" w14:textId="2C757C49" w:rsidR="00407B2F" w:rsidRPr="00D045B3" w:rsidRDefault="00407B2F" w:rsidP="00407B2F">
      <w:pPr>
        <w:keepNext/>
        <w:spacing w:line="240" w:lineRule="auto"/>
        <w:rPr>
          <w:b/>
          <w:color w:val="000000"/>
          <w:lang w:val="hu-HU"/>
        </w:rPr>
      </w:pPr>
      <w:r w:rsidRPr="00D045B3">
        <w:rPr>
          <w:b/>
          <w:color w:val="000000"/>
          <w:lang w:val="hu-HU"/>
        </w:rPr>
        <w:t>Nagyon gyakori</w:t>
      </w:r>
      <w:r w:rsidR="00954E32" w:rsidRPr="00D045B3">
        <w:rPr>
          <w:b/>
          <w:color w:val="000000"/>
          <w:lang w:val="hu-HU"/>
        </w:rPr>
        <w:t xml:space="preserve"> </w:t>
      </w:r>
      <w:r w:rsidRPr="00D045B3">
        <w:rPr>
          <w:b/>
          <w:color w:val="000000"/>
          <w:lang w:val="hu-HU"/>
        </w:rPr>
        <w:t>(</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color w:val="000000"/>
          <w:lang w:val="hu-HU"/>
        </w:rPr>
        <w:t>:</w:t>
      </w:r>
    </w:p>
    <w:p w14:paraId="1E9280CA" w14:textId="77777777" w:rsidR="00407B2F" w:rsidRPr="00D045B3" w:rsidRDefault="00407B2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Fejfájás vagy fáradtság.</w:t>
      </w:r>
    </w:p>
    <w:p w14:paraId="1E9280CB" w14:textId="77777777" w:rsidR="00407B2F" w:rsidRPr="00D045B3" w:rsidRDefault="00407B2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Hányinger, hányás, hasmenés vagy emésztési zavarok.</w:t>
      </w:r>
    </w:p>
    <w:p w14:paraId="1E9280CC" w14:textId="77777777" w:rsidR="00407B2F" w:rsidRPr="00D045B3" w:rsidRDefault="00407B2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Bőrkiütés.</w:t>
      </w:r>
    </w:p>
    <w:p w14:paraId="1E9280CD" w14:textId="77777777" w:rsidR="00407B2F" w:rsidRPr="00D045B3" w:rsidRDefault="00407B2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Izomgörcsök, vagy ízületi-, izom</w:t>
      </w:r>
      <w:r w:rsidRPr="00D045B3">
        <w:rPr>
          <w:color w:val="000000"/>
          <w:lang w:val="hu-HU"/>
        </w:rPr>
        <w:noBreakHyphen/>
        <w:t xml:space="preserve"> vagy csontfájdalmak</w:t>
      </w:r>
      <w:r w:rsidR="00F92646" w:rsidRPr="00D045B3">
        <w:rPr>
          <w:color w:val="000000"/>
          <w:lang w:val="hu-HU"/>
        </w:rPr>
        <w:t>, az imatinib</w:t>
      </w:r>
      <w:r w:rsidR="00F92646" w:rsidRPr="00D045B3">
        <w:rPr>
          <w:color w:val="000000"/>
          <w:lang w:val="hu-HU"/>
        </w:rPr>
        <w:noBreakHyphen/>
        <w:t>kezelés alatt, vagy az imatinib szedésének abbahagyását követően.</w:t>
      </w:r>
    </w:p>
    <w:p w14:paraId="1E9280CE" w14:textId="19BCC4DE" w:rsidR="00407B2F" w:rsidRPr="00D045B3" w:rsidRDefault="00407B2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Duzzanat, mint a bokaduzzanat és a szem</w:t>
      </w:r>
      <w:r w:rsidR="00C7474B" w:rsidRPr="00D045B3">
        <w:rPr>
          <w:color w:val="000000"/>
          <w:lang w:val="hu-HU"/>
        </w:rPr>
        <w:t>tájé</w:t>
      </w:r>
      <w:r w:rsidRPr="00D045B3">
        <w:rPr>
          <w:color w:val="000000"/>
          <w:lang w:val="hu-HU"/>
        </w:rPr>
        <w:t>k duzzanata.</w:t>
      </w:r>
    </w:p>
    <w:p w14:paraId="1E9280CF" w14:textId="77777777" w:rsidR="00407B2F" w:rsidRPr="00D045B3" w:rsidRDefault="00407B2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Testtömeg</w:t>
      </w:r>
      <w:r w:rsidRPr="00D045B3">
        <w:rPr>
          <w:color w:val="000000"/>
          <w:lang w:val="hu-HU"/>
        </w:rPr>
        <w:noBreakHyphen/>
        <w:t>gyarapodás.</w:t>
      </w:r>
    </w:p>
    <w:p w14:paraId="1E9280D0" w14:textId="77777777" w:rsidR="00407B2F" w:rsidRPr="00D045B3" w:rsidRDefault="00407B2F" w:rsidP="00407B2F">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80D1" w14:textId="77777777" w:rsidR="00407B2F" w:rsidRPr="00D045B3" w:rsidRDefault="00407B2F" w:rsidP="00407B2F">
      <w:pPr>
        <w:spacing w:line="240" w:lineRule="auto"/>
        <w:rPr>
          <w:color w:val="000000"/>
          <w:lang w:val="hu-HU"/>
        </w:rPr>
      </w:pPr>
    </w:p>
    <w:p w14:paraId="1E9280D2" w14:textId="322DBEE8" w:rsidR="00407B2F" w:rsidRPr="00D045B3" w:rsidRDefault="00407B2F" w:rsidP="00407B2F">
      <w:pPr>
        <w:keepNext/>
        <w:spacing w:line="240" w:lineRule="auto"/>
        <w:rPr>
          <w:b/>
          <w:color w:val="000000"/>
          <w:lang w:val="hu-HU"/>
        </w:rPr>
      </w:pPr>
      <w:r w:rsidRPr="00D045B3">
        <w:rPr>
          <w:b/>
          <w:color w:val="000000"/>
          <w:lang w:val="hu-HU"/>
        </w:rPr>
        <w:t>Gyakori</w:t>
      </w:r>
      <w:r w:rsidR="00954E32" w:rsidRPr="00D045B3">
        <w:rPr>
          <w:b/>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color w:val="000000"/>
          <w:lang w:val="hu-HU"/>
        </w:rPr>
        <w:t>:</w:t>
      </w:r>
    </w:p>
    <w:p w14:paraId="1E9280D3"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Étvágytalanság, testtömeg</w:t>
      </w:r>
      <w:r w:rsidRPr="00D045B3">
        <w:rPr>
          <w:color w:val="000000"/>
          <w:lang w:val="hu-HU"/>
        </w:rPr>
        <w:noBreakHyphen/>
        <w:t>csökkenés vagy ízérzési zavarok.</w:t>
      </w:r>
    </w:p>
    <w:p w14:paraId="1E9280D4"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Szédülés vagy gyengeség.</w:t>
      </w:r>
    </w:p>
    <w:p w14:paraId="1E9280D5"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Álmatlanság (inszomnia).</w:t>
      </w:r>
    </w:p>
    <w:p w14:paraId="1E9280D6"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Szemváladékozás viszketéssel, vörösséggel és duzzanattal (kötőhártya gyulladás), fokozott könnyfolyás vagy homályos látás.</w:t>
      </w:r>
    </w:p>
    <w:p w14:paraId="1E9280D7"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Orrvérzés.</w:t>
      </w:r>
    </w:p>
    <w:p w14:paraId="1E9280D8"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Hasi fájdalom vagy haspuffadás, fokozott bélgáztermelődés, gyomorégés vagy székrekedés.</w:t>
      </w:r>
    </w:p>
    <w:p w14:paraId="1E9280D9"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Viszketés.</w:t>
      </w:r>
    </w:p>
    <w:p w14:paraId="1E9280DA"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Szokatlan hajhullás vagy hajritkulás.</w:t>
      </w:r>
    </w:p>
    <w:p w14:paraId="1E9280DB"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Kéz</w:t>
      </w:r>
      <w:r w:rsidRPr="00D045B3">
        <w:rPr>
          <w:color w:val="000000"/>
          <w:lang w:val="hu-HU"/>
        </w:rPr>
        <w:noBreakHyphen/>
        <w:t xml:space="preserve"> és lábfejzsibbadás.</w:t>
      </w:r>
    </w:p>
    <w:p w14:paraId="1E9280DC"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Szájfekély.</w:t>
      </w:r>
    </w:p>
    <w:p w14:paraId="1E9280DD"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Ízületi fájdalom, duzzadással.</w:t>
      </w:r>
    </w:p>
    <w:p w14:paraId="1E9280DE"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Szájszárazság, bőrszárazság vagy szemszárazság.</w:t>
      </w:r>
    </w:p>
    <w:p w14:paraId="1E9280DF"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A bőr érzékenységének csökkenése vagy fokozódása.</w:t>
      </w:r>
    </w:p>
    <w:p w14:paraId="1E9280E0" w14:textId="77777777" w:rsidR="00407B2F" w:rsidRPr="00D045B3" w:rsidRDefault="00407B2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Hőhullámok, hidegrázás vagy éjszakai izzadás.</w:t>
      </w:r>
    </w:p>
    <w:p w14:paraId="1E9280E1" w14:textId="77777777" w:rsidR="00407B2F" w:rsidRPr="00D045B3" w:rsidRDefault="00407B2F" w:rsidP="00407B2F">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80E2" w14:textId="77777777" w:rsidR="00407B2F" w:rsidRPr="00D045B3" w:rsidRDefault="00407B2F" w:rsidP="00407B2F">
      <w:pPr>
        <w:spacing w:line="240" w:lineRule="auto"/>
        <w:rPr>
          <w:color w:val="000000"/>
          <w:lang w:val="hu-HU"/>
        </w:rPr>
      </w:pPr>
    </w:p>
    <w:p w14:paraId="1E9280E3" w14:textId="2001A193" w:rsidR="00407B2F" w:rsidRPr="00D045B3" w:rsidRDefault="00407B2F" w:rsidP="00407B2F">
      <w:pPr>
        <w:keepNext/>
        <w:spacing w:line="240" w:lineRule="auto"/>
        <w:rPr>
          <w:b/>
          <w:color w:val="000000"/>
          <w:lang w:val="hu-HU"/>
        </w:rPr>
      </w:pPr>
      <w:r w:rsidRPr="00D045B3">
        <w:rPr>
          <w:b/>
          <w:color w:val="000000"/>
          <w:lang w:val="hu-HU"/>
        </w:rPr>
        <w:t xml:space="preserve">Nem ismert </w:t>
      </w:r>
      <w:r w:rsidRPr="00D045B3">
        <w:rPr>
          <w:color w:val="000000"/>
          <w:lang w:val="hu-HU"/>
        </w:rPr>
        <w:t>(a gyakoriság a rendelkezésre álló adatokból nem állapítható meg):</w:t>
      </w:r>
    </w:p>
    <w:p w14:paraId="1E9280E4" w14:textId="77777777" w:rsidR="00407B2F" w:rsidRPr="00D045B3" w:rsidRDefault="00407B2F" w:rsidP="00E95370">
      <w:pPr>
        <w:keepNext/>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A tenyér és a talp kivörösödése és/vagy duzzadása, mely zsibbadással és égő érzéssel járhat.</w:t>
      </w:r>
    </w:p>
    <w:p w14:paraId="1E9280E5" w14:textId="77777777" w:rsidR="002E7995" w:rsidRPr="00D045B3" w:rsidRDefault="002E7995"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Fájdalmas és/vagy hólyagos bőrelváltozások.</w:t>
      </w:r>
    </w:p>
    <w:p w14:paraId="1E9280E6" w14:textId="77777777" w:rsidR="00407B2F" w:rsidRPr="00D045B3" w:rsidRDefault="00407B2F"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Lassabb növekedés gyermekeknél és serdülőkorúaknál.</w:t>
      </w:r>
    </w:p>
    <w:p w14:paraId="1E9280E8" w14:textId="77777777" w:rsidR="00407B2F" w:rsidRPr="00D045B3" w:rsidRDefault="00407B2F" w:rsidP="00407B2F">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súlyosan érintik Önt.</w:t>
      </w:r>
    </w:p>
    <w:p w14:paraId="1E9280E9" w14:textId="77777777" w:rsidR="00407B2F" w:rsidRPr="00D045B3" w:rsidRDefault="00407B2F" w:rsidP="00407B2F">
      <w:pPr>
        <w:spacing w:line="240" w:lineRule="auto"/>
        <w:ind w:right="-2"/>
        <w:rPr>
          <w:color w:val="000000"/>
          <w:lang w:val="hu-HU"/>
        </w:rPr>
      </w:pPr>
    </w:p>
    <w:p w14:paraId="1E9280EA" w14:textId="77777777" w:rsidR="00407B2F" w:rsidRPr="00D045B3" w:rsidRDefault="00407B2F" w:rsidP="00407B2F">
      <w:pPr>
        <w:keepNext/>
        <w:rPr>
          <w:u w:val="single"/>
          <w:lang w:val="hu-HU"/>
        </w:rPr>
      </w:pPr>
      <w:r w:rsidRPr="00D045B3">
        <w:rPr>
          <w:u w:val="single"/>
          <w:lang w:val="hu-HU"/>
        </w:rPr>
        <w:t>Mellékhatások bejelentése</w:t>
      </w:r>
    </w:p>
    <w:p w14:paraId="1E9280EB" w14:textId="77777777" w:rsidR="00407B2F" w:rsidRPr="00D045B3" w:rsidRDefault="00407B2F" w:rsidP="00407B2F">
      <w:pPr>
        <w:tabs>
          <w:tab w:val="left" w:pos="9214"/>
        </w:tabs>
        <w:rPr>
          <w:b/>
          <w:bCs/>
          <w:color w:val="000000"/>
          <w:lang w:val="hu-HU" w:eastAsia="hu-HU"/>
        </w:rPr>
      </w:pPr>
      <w:r w:rsidRPr="00D045B3">
        <w:rPr>
          <w:color w:val="000000"/>
          <w:lang w:val="hu-HU"/>
        </w:rPr>
        <w:t xml:space="preserve">Ha Önnél bármilyen mellékhatás jelentkezik, tájékoztassa kezelőorvosát, gyógyszerészét vagy </w:t>
      </w:r>
      <w:r w:rsidRPr="00D045B3">
        <w:rPr>
          <w:noProof/>
          <w:szCs w:val="24"/>
          <w:lang w:val="hu-HU"/>
        </w:rPr>
        <w:t>a gondozását végző egészségügyi szakembert</w:t>
      </w:r>
      <w:r w:rsidRPr="00D045B3">
        <w:rPr>
          <w:color w:val="000000"/>
          <w:lang w:val="hu-HU"/>
        </w:rPr>
        <w:t xml:space="preserve">. Ez a betegtájékoztatóban fel nem sorolt bármilyen lehetséges mellékhatásra is vonatkozik. </w:t>
      </w:r>
      <w:r w:rsidRPr="00D045B3">
        <w:rPr>
          <w:lang w:val="hu-HU"/>
        </w:rPr>
        <w:t xml:space="preserve">A mellékhatásokat közvetlenül a hatóság részére is bejelentheti az </w:t>
      </w:r>
      <w:hyperlink r:id="rId19" w:history="1">
        <w:r w:rsidR="00F92646" w:rsidRPr="00D045B3">
          <w:rPr>
            <w:rStyle w:val="Hyperlink"/>
            <w:highlight w:val="lightGray"/>
            <w:shd w:val="pct15" w:color="auto" w:fill="FFFFFF"/>
            <w:lang w:val="hu-HU"/>
          </w:rPr>
          <w:t>V. függelékben</w:t>
        </w:r>
      </w:hyperlink>
      <w:r w:rsidR="00F92646" w:rsidRPr="00D045B3">
        <w:rPr>
          <w:highlight w:val="lightGray"/>
          <w:shd w:val="pct15" w:color="auto" w:fill="FFFFFF"/>
          <w:lang w:val="hu-HU"/>
        </w:rPr>
        <w:t xml:space="preserve"> </w:t>
      </w:r>
      <w:r w:rsidRPr="00D045B3">
        <w:rPr>
          <w:highlight w:val="lightGray"/>
          <w:lang w:val="hu-HU"/>
        </w:rPr>
        <w:t>található</w:t>
      </w:r>
      <w:r w:rsidRPr="00D045B3">
        <w:rPr>
          <w:lang w:val="hu-HU"/>
        </w:rPr>
        <w:t xml:space="preserve"> elérhetőségeken keresztül. A mellékhatások bejelentésével Ön is hozzájárulhat ahhoz, hogy minél több információ álljon rendelkezésre a gyógyszer biztonságos alkalmazásával kapcsolatban.</w:t>
      </w:r>
    </w:p>
    <w:p w14:paraId="1E9280EC" w14:textId="77777777" w:rsidR="00407B2F" w:rsidRPr="00D045B3" w:rsidRDefault="00407B2F" w:rsidP="00407B2F">
      <w:pPr>
        <w:spacing w:line="240" w:lineRule="auto"/>
        <w:ind w:right="-2"/>
        <w:rPr>
          <w:color w:val="000000"/>
          <w:lang w:val="hu-HU"/>
        </w:rPr>
      </w:pPr>
    </w:p>
    <w:p w14:paraId="1E9280ED" w14:textId="77777777" w:rsidR="00407B2F" w:rsidRPr="00D045B3" w:rsidRDefault="00407B2F" w:rsidP="008A6837">
      <w:pPr>
        <w:spacing w:line="240" w:lineRule="auto"/>
        <w:rPr>
          <w:color w:val="000000"/>
          <w:lang w:val="hu-HU"/>
        </w:rPr>
      </w:pPr>
    </w:p>
    <w:p w14:paraId="1E9280EE" w14:textId="77777777" w:rsidR="00407B2F" w:rsidRPr="00D045B3" w:rsidRDefault="00407B2F" w:rsidP="00407B2F">
      <w:pPr>
        <w:keepNext/>
        <w:spacing w:line="240" w:lineRule="auto"/>
        <w:ind w:left="567" w:hanging="567"/>
        <w:rPr>
          <w:b/>
          <w:color w:val="000000"/>
          <w:lang w:val="hu-HU"/>
        </w:rPr>
      </w:pPr>
      <w:r w:rsidRPr="00D045B3">
        <w:rPr>
          <w:b/>
          <w:color w:val="000000"/>
          <w:lang w:val="hu-HU"/>
        </w:rPr>
        <w:t>5.</w:t>
      </w:r>
      <w:r w:rsidRPr="00D045B3">
        <w:rPr>
          <w:b/>
          <w:color w:val="000000"/>
          <w:lang w:val="hu-HU"/>
        </w:rPr>
        <w:tab/>
        <w:t>Hogyan kell az Imatinib Actavis</w:t>
      </w:r>
      <w:r w:rsidRPr="00D045B3">
        <w:rPr>
          <w:b/>
          <w:color w:val="000000"/>
          <w:lang w:val="hu-HU"/>
        </w:rPr>
        <w:noBreakHyphen/>
        <w:t>t tárolni?</w:t>
      </w:r>
    </w:p>
    <w:p w14:paraId="1E9280EF" w14:textId="77777777" w:rsidR="00407B2F" w:rsidRPr="00D045B3" w:rsidRDefault="00407B2F" w:rsidP="00407B2F">
      <w:pPr>
        <w:keepNext/>
        <w:spacing w:line="240" w:lineRule="auto"/>
        <w:rPr>
          <w:color w:val="000000"/>
          <w:lang w:val="hu-HU"/>
        </w:rPr>
      </w:pPr>
    </w:p>
    <w:p w14:paraId="1E9280F0" w14:textId="77777777" w:rsidR="00407B2F" w:rsidRPr="00D045B3" w:rsidRDefault="00407B2F" w:rsidP="00407B2F">
      <w:pPr>
        <w:keepNext/>
        <w:tabs>
          <w:tab w:val="clear" w:pos="567"/>
        </w:tabs>
        <w:suppressAutoHyphens/>
        <w:spacing w:line="240" w:lineRule="auto"/>
        <w:rPr>
          <w:color w:val="000000"/>
          <w:lang w:val="hu-HU"/>
        </w:rPr>
      </w:pPr>
      <w:r w:rsidRPr="00D045B3">
        <w:rPr>
          <w:color w:val="000000"/>
          <w:lang w:val="hu-HU"/>
        </w:rPr>
        <w:t>A gyógyszer gyermekektől elzárva tartandó!</w:t>
      </w:r>
    </w:p>
    <w:p w14:paraId="1E9280F1" w14:textId="77777777" w:rsidR="00407B2F" w:rsidRPr="00D045B3" w:rsidRDefault="00407B2F" w:rsidP="00407B2F">
      <w:pPr>
        <w:pStyle w:val="KeinLeerraum"/>
        <w:rPr>
          <w:rFonts w:ascii="Times New Roman" w:hAnsi="Times New Roman"/>
        </w:rPr>
      </w:pPr>
      <w:r w:rsidRPr="00D045B3">
        <w:rPr>
          <w:rFonts w:ascii="Times New Roman" w:hAnsi="Times New Roman"/>
          <w:color w:val="000000"/>
        </w:rPr>
        <w:t xml:space="preserve">A dobozon </w:t>
      </w:r>
      <w:r w:rsidR="008E401F" w:rsidRPr="00D045B3">
        <w:rPr>
          <w:rFonts w:ascii="Times New Roman" w:hAnsi="Times New Roman"/>
          <w:color w:val="000000"/>
        </w:rPr>
        <w:t xml:space="preserve">és a buborékcsomagoláson </w:t>
      </w:r>
      <w:r w:rsidRPr="00D045B3">
        <w:rPr>
          <w:rFonts w:ascii="Times New Roman" w:hAnsi="Times New Roman"/>
          <w:color w:val="000000"/>
        </w:rPr>
        <w:t>feltüntetett lejárati idő</w:t>
      </w:r>
      <w:r w:rsidR="002E7995" w:rsidRPr="00D045B3">
        <w:rPr>
          <w:rFonts w:ascii="Times New Roman" w:hAnsi="Times New Roman"/>
          <w:color w:val="000000"/>
        </w:rPr>
        <w:t xml:space="preserve"> (EXP)</w:t>
      </w:r>
      <w:r w:rsidRPr="00D045B3">
        <w:rPr>
          <w:rFonts w:ascii="Times New Roman" w:hAnsi="Times New Roman"/>
          <w:color w:val="000000"/>
        </w:rPr>
        <w:t xml:space="preserve"> után ne alkalmazza ezt </w:t>
      </w:r>
      <w:r w:rsidRPr="00D045B3">
        <w:rPr>
          <w:rFonts w:ascii="Times New Roman" w:hAnsi="Times New Roman"/>
          <w:noProof/>
          <w:szCs w:val="24"/>
        </w:rPr>
        <w:t>a gyógyszert</w:t>
      </w:r>
      <w:r w:rsidRPr="00D045B3">
        <w:rPr>
          <w:rFonts w:ascii="Times New Roman" w:hAnsi="Times New Roman"/>
          <w:color w:val="000000"/>
        </w:rPr>
        <w:t xml:space="preserve">. </w:t>
      </w:r>
      <w:r w:rsidRPr="00D045B3">
        <w:rPr>
          <w:rFonts w:ascii="Times New Roman" w:hAnsi="Times New Roman"/>
        </w:rPr>
        <w:t xml:space="preserve">A lejárati idő az adott hónap utolsó napjára vonatkozik </w:t>
      </w:r>
    </w:p>
    <w:p w14:paraId="1E9280F2" w14:textId="77777777" w:rsidR="00407B2F" w:rsidRPr="00D045B3" w:rsidRDefault="00407B2F" w:rsidP="00407B2F">
      <w:pPr>
        <w:tabs>
          <w:tab w:val="clear" w:pos="567"/>
        </w:tabs>
        <w:suppressAutoHyphens/>
        <w:ind w:right="-2"/>
        <w:rPr>
          <w:color w:val="000000"/>
          <w:lang w:val="hu-HU"/>
        </w:rPr>
      </w:pPr>
      <w:r w:rsidRPr="00D045B3">
        <w:rPr>
          <w:color w:val="000000"/>
          <w:lang w:val="hu-HU"/>
        </w:rPr>
        <w:t>Legfeljebb 25</w:t>
      </w:r>
      <w:r w:rsidRPr="00D045B3">
        <w:rPr>
          <w:color w:val="000000"/>
          <w:lang w:val="hu-HU"/>
        </w:rPr>
        <w:sym w:font="Symbol" w:char="F0B0"/>
      </w:r>
      <w:r w:rsidRPr="00D045B3">
        <w:rPr>
          <w:color w:val="000000"/>
          <w:lang w:val="hu-HU"/>
        </w:rPr>
        <w:t>C</w:t>
      </w:r>
      <w:r w:rsidRPr="00D045B3">
        <w:rPr>
          <w:color w:val="000000"/>
          <w:lang w:val="hu-HU"/>
        </w:rPr>
        <w:noBreakHyphen/>
        <w:t>on tárolandó. A nedvességtől való védelem érdekében az eredeti csomagolásban tárolandó.</w:t>
      </w:r>
    </w:p>
    <w:p w14:paraId="1E9280F3" w14:textId="77777777" w:rsidR="00407B2F" w:rsidRPr="00D045B3" w:rsidRDefault="00407B2F" w:rsidP="00407B2F">
      <w:pPr>
        <w:tabs>
          <w:tab w:val="clear" w:pos="567"/>
        </w:tabs>
        <w:suppressAutoHyphens/>
        <w:spacing w:line="240" w:lineRule="auto"/>
        <w:ind w:right="-2"/>
        <w:rPr>
          <w:color w:val="000000"/>
          <w:lang w:val="hu-HU"/>
        </w:rPr>
      </w:pPr>
      <w:r w:rsidRPr="00D045B3">
        <w:rPr>
          <w:color w:val="000000"/>
          <w:lang w:val="hu-HU"/>
        </w:rPr>
        <w:t>Ne használja fel azt a gyógyszercsomagot, melynek csomagolása sérült, vagy amelyen bármilyen előzetes felnyitásra utaló jel észlelhető.</w:t>
      </w:r>
    </w:p>
    <w:p w14:paraId="1E9280F4" w14:textId="77777777" w:rsidR="00407B2F" w:rsidRPr="00D045B3" w:rsidRDefault="00407B2F" w:rsidP="00407B2F">
      <w:pPr>
        <w:ind w:right="-2"/>
        <w:rPr>
          <w:color w:val="000000"/>
          <w:lang w:val="hu-HU"/>
        </w:rPr>
      </w:pPr>
      <w:r w:rsidRPr="00D045B3">
        <w:rPr>
          <w:noProof/>
          <w:szCs w:val="24"/>
          <w:lang w:val="hu-HU"/>
        </w:rPr>
        <w:t xml:space="preserve">Semmilyen gyógyszert ne dobjon a szennyvízbe </w:t>
      </w:r>
      <w:r w:rsidRPr="00D045B3">
        <w:rPr>
          <w:lang w:val="hu-HU"/>
        </w:rPr>
        <w:t xml:space="preserve">vagy a háztartási </w:t>
      </w:r>
      <w:r w:rsidRPr="00D045B3">
        <w:rPr>
          <w:noProof/>
          <w:szCs w:val="24"/>
          <w:lang w:val="hu-HU"/>
        </w:rPr>
        <w:t>hulladékba.</w:t>
      </w:r>
      <w:r w:rsidRPr="00D045B3">
        <w:rPr>
          <w:lang w:val="hu-HU"/>
        </w:rPr>
        <w:t xml:space="preserve"> Kérdezze meg gyógyszerészét, hogy mit tegyen </w:t>
      </w:r>
      <w:r w:rsidRPr="00D045B3">
        <w:rPr>
          <w:noProof/>
          <w:szCs w:val="24"/>
          <w:lang w:val="hu-HU"/>
        </w:rPr>
        <w:t>a már nem használt</w:t>
      </w:r>
      <w:r w:rsidRPr="00D045B3">
        <w:rPr>
          <w:lang w:val="hu-HU"/>
        </w:rPr>
        <w:t xml:space="preserve"> gyógyszereivel. Ezek az intézkedések elősegítik a környezet védelmét.</w:t>
      </w:r>
    </w:p>
    <w:p w14:paraId="1E9280F5" w14:textId="77777777" w:rsidR="00407B2F" w:rsidRPr="00D045B3" w:rsidRDefault="00407B2F" w:rsidP="00407B2F">
      <w:pPr>
        <w:ind w:right="-2"/>
        <w:rPr>
          <w:color w:val="000000"/>
          <w:lang w:val="hu-HU"/>
        </w:rPr>
      </w:pPr>
    </w:p>
    <w:p w14:paraId="1E9280F6" w14:textId="77777777" w:rsidR="00407B2F" w:rsidRPr="00D045B3" w:rsidRDefault="00407B2F" w:rsidP="00407B2F">
      <w:pPr>
        <w:ind w:right="-2"/>
        <w:rPr>
          <w:color w:val="000000"/>
          <w:lang w:val="hu-HU"/>
        </w:rPr>
      </w:pPr>
    </w:p>
    <w:p w14:paraId="1E9280F7" w14:textId="77777777" w:rsidR="00407B2F" w:rsidRPr="00D045B3" w:rsidRDefault="00407B2F" w:rsidP="00407B2F">
      <w:pPr>
        <w:keepNext/>
        <w:spacing w:line="240" w:lineRule="auto"/>
        <w:ind w:left="567" w:right="-2" w:hanging="567"/>
        <w:rPr>
          <w:b/>
          <w:color w:val="000000"/>
          <w:lang w:val="hu-HU"/>
        </w:rPr>
      </w:pPr>
      <w:r w:rsidRPr="00D045B3">
        <w:rPr>
          <w:b/>
          <w:color w:val="000000"/>
          <w:lang w:val="hu-HU"/>
        </w:rPr>
        <w:t>6.</w:t>
      </w:r>
      <w:r w:rsidRPr="00D045B3">
        <w:rPr>
          <w:b/>
          <w:color w:val="000000"/>
          <w:lang w:val="hu-HU"/>
        </w:rPr>
        <w:tab/>
      </w:r>
      <w:r w:rsidRPr="00D045B3">
        <w:rPr>
          <w:b/>
          <w:noProof/>
          <w:szCs w:val="24"/>
          <w:lang w:val="hu-HU"/>
        </w:rPr>
        <w:t>A csomagolás tartalma és egyéb információk</w:t>
      </w:r>
    </w:p>
    <w:p w14:paraId="1E9280F8" w14:textId="77777777" w:rsidR="00407B2F" w:rsidRPr="00D045B3" w:rsidRDefault="00407B2F" w:rsidP="00407B2F">
      <w:pPr>
        <w:keepNext/>
        <w:spacing w:line="240" w:lineRule="auto"/>
        <w:rPr>
          <w:color w:val="000000"/>
          <w:lang w:val="hu-HU"/>
        </w:rPr>
      </w:pPr>
    </w:p>
    <w:p w14:paraId="1E9280F9" w14:textId="77777777" w:rsidR="00407B2F" w:rsidRPr="00D045B3" w:rsidRDefault="00407B2F" w:rsidP="00CA41FD">
      <w:pPr>
        <w:keepNext/>
        <w:autoSpaceDE w:val="0"/>
        <w:autoSpaceDN w:val="0"/>
        <w:adjustRightInd w:val="0"/>
        <w:spacing w:line="240" w:lineRule="auto"/>
        <w:rPr>
          <w:lang w:val="hu-HU"/>
        </w:rPr>
      </w:pPr>
      <w:r w:rsidRPr="00D045B3">
        <w:rPr>
          <w:b/>
          <w:color w:val="000000"/>
          <w:lang w:val="hu-HU"/>
        </w:rPr>
        <w:t>Mit tartalmaz az Imatinib Actavis</w:t>
      </w:r>
      <w:r w:rsidR="00F92646" w:rsidRPr="00D045B3">
        <w:rPr>
          <w:b/>
          <w:color w:val="000000"/>
          <w:lang w:val="hu-HU"/>
        </w:rPr>
        <w:t>?</w:t>
      </w:r>
    </w:p>
    <w:p w14:paraId="1E9280FA" w14:textId="77777777" w:rsidR="00407B2F" w:rsidRPr="00D045B3" w:rsidRDefault="00407B2F" w:rsidP="00E95370">
      <w:pPr>
        <w:numPr>
          <w:ilvl w:val="0"/>
          <w:numId w:val="7"/>
        </w:numPr>
        <w:tabs>
          <w:tab w:val="clear" w:pos="360"/>
          <w:tab w:val="clear" w:pos="567"/>
        </w:tabs>
        <w:suppressAutoHyphens/>
        <w:spacing w:line="240" w:lineRule="auto"/>
        <w:ind w:left="567" w:right="-2" w:hanging="567"/>
        <w:rPr>
          <w:color w:val="000000"/>
          <w:lang w:val="hu-HU"/>
        </w:rPr>
      </w:pPr>
      <w:r w:rsidRPr="00D045B3">
        <w:rPr>
          <w:color w:val="000000"/>
          <w:lang w:val="hu-HU"/>
        </w:rPr>
        <w:t>A készítmény hatóanyaga az imatinib (mezilát formájában).</w:t>
      </w:r>
      <w:r w:rsidRPr="00D045B3">
        <w:rPr>
          <w:color w:val="000000"/>
          <w:szCs w:val="22"/>
          <w:lang w:val="hu-HU"/>
        </w:rPr>
        <w:t xml:space="preserve"> Minden egyes Imatinib Actavis kapszula 400 mg imatinibet tartalmaz </w:t>
      </w:r>
      <w:r w:rsidRPr="00D045B3">
        <w:rPr>
          <w:color w:val="000000"/>
          <w:lang w:val="hu-HU"/>
        </w:rPr>
        <w:t>(mezilát formájában)</w:t>
      </w:r>
      <w:r w:rsidRPr="00D045B3">
        <w:rPr>
          <w:color w:val="000000"/>
          <w:szCs w:val="22"/>
          <w:lang w:val="hu-HU"/>
        </w:rPr>
        <w:t>.</w:t>
      </w:r>
    </w:p>
    <w:p w14:paraId="1E9280FB" w14:textId="77777777" w:rsidR="00407B2F" w:rsidRPr="00D045B3" w:rsidRDefault="00407B2F" w:rsidP="00E95370">
      <w:pPr>
        <w:pStyle w:val="WW-BodyText3"/>
        <w:numPr>
          <w:ilvl w:val="0"/>
          <w:numId w:val="11"/>
        </w:numPr>
        <w:tabs>
          <w:tab w:val="clear" w:pos="360"/>
          <w:tab w:val="num" w:pos="567"/>
        </w:tabs>
        <w:ind w:left="567" w:hanging="567"/>
        <w:rPr>
          <w:color w:val="000000"/>
          <w:sz w:val="22"/>
        </w:rPr>
      </w:pPr>
      <w:r w:rsidRPr="00D045B3">
        <w:rPr>
          <w:color w:val="000000"/>
          <w:sz w:val="22"/>
        </w:rPr>
        <w:t>Egyéb összetevők: kapszulatartalom: mikrokristályos cellulóz, kopovidon, kroszpovidon, nátrium</w:t>
      </w:r>
      <w:r w:rsidRPr="00D045B3">
        <w:rPr>
          <w:color w:val="000000"/>
          <w:sz w:val="22"/>
        </w:rPr>
        <w:noBreakHyphen/>
        <w:t>sztearil</w:t>
      </w:r>
      <w:r w:rsidRPr="00D045B3">
        <w:rPr>
          <w:color w:val="000000"/>
          <w:sz w:val="22"/>
        </w:rPr>
        <w:noBreakHyphen/>
        <w:t>fumarát, (kolloid hidrofób és kolloid vízmentes) szilícium</w:t>
      </w:r>
      <w:r w:rsidRPr="00D045B3">
        <w:rPr>
          <w:color w:val="000000"/>
          <w:sz w:val="22"/>
        </w:rPr>
        <w:noBreakHyphen/>
        <w:t>dioxid. Kapszulahéj: hipromellóz, titán</w:t>
      </w:r>
      <w:r w:rsidRPr="00D045B3">
        <w:rPr>
          <w:color w:val="000000"/>
          <w:sz w:val="22"/>
        </w:rPr>
        <w:noBreakHyphen/>
        <w:t>dioxid (E171), sárga vas</w:t>
      </w:r>
      <w:r w:rsidRPr="00D045B3">
        <w:rPr>
          <w:color w:val="000000"/>
          <w:sz w:val="22"/>
        </w:rPr>
        <w:noBreakHyphen/>
        <w:t>oxid (E172), vörös vas</w:t>
      </w:r>
      <w:r w:rsidRPr="00D045B3">
        <w:rPr>
          <w:color w:val="000000"/>
          <w:sz w:val="22"/>
        </w:rPr>
        <w:noBreakHyphen/>
        <w:t>oxid (E172), fekete vas</w:t>
      </w:r>
      <w:r w:rsidRPr="00D045B3">
        <w:rPr>
          <w:color w:val="000000"/>
          <w:sz w:val="22"/>
        </w:rPr>
        <w:noBreakHyphen/>
        <w:t>oxid (E172). Jelölőfesték: shellack glaze 45%, fekete vas</w:t>
      </w:r>
      <w:r w:rsidRPr="00D045B3">
        <w:rPr>
          <w:color w:val="000000"/>
          <w:sz w:val="22"/>
        </w:rPr>
        <w:noBreakHyphen/>
        <w:t>oxid (E172), propilén</w:t>
      </w:r>
      <w:r w:rsidRPr="00D045B3">
        <w:rPr>
          <w:color w:val="000000"/>
          <w:sz w:val="22"/>
        </w:rPr>
        <w:noBreakHyphen/>
        <w:t>glikol, ammónium</w:t>
      </w:r>
      <w:r w:rsidRPr="00D045B3">
        <w:rPr>
          <w:color w:val="000000"/>
          <w:sz w:val="22"/>
        </w:rPr>
        <w:noBreakHyphen/>
        <w:t>hidroxid 28%.</w:t>
      </w:r>
    </w:p>
    <w:p w14:paraId="1E9280FC" w14:textId="77777777" w:rsidR="00407B2F" w:rsidRPr="00D045B3" w:rsidRDefault="00407B2F" w:rsidP="00407B2F">
      <w:pPr>
        <w:spacing w:line="240" w:lineRule="auto"/>
        <w:ind w:right="-2"/>
        <w:rPr>
          <w:color w:val="000000"/>
          <w:lang w:val="hu-HU"/>
        </w:rPr>
      </w:pPr>
    </w:p>
    <w:p w14:paraId="1E9280FD" w14:textId="77777777" w:rsidR="00407B2F" w:rsidRPr="00D045B3" w:rsidRDefault="00407B2F" w:rsidP="00CA41FD">
      <w:pPr>
        <w:keepNext/>
        <w:spacing w:line="240" w:lineRule="auto"/>
        <w:rPr>
          <w:b/>
          <w:color w:val="000000"/>
          <w:lang w:val="hu-HU"/>
        </w:rPr>
      </w:pPr>
      <w:r w:rsidRPr="00D045B3">
        <w:rPr>
          <w:b/>
          <w:color w:val="000000"/>
          <w:lang w:val="hu-HU"/>
        </w:rPr>
        <w:t>Milyen az Imatinib Actavis külleme és mit tartalmaz a csomagolás</w:t>
      </w:r>
      <w:r w:rsidR="00F92646" w:rsidRPr="00D045B3">
        <w:rPr>
          <w:b/>
          <w:color w:val="000000"/>
          <w:lang w:val="hu-HU"/>
        </w:rPr>
        <w:t>?</w:t>
      </w:r>
    </w:p>
    <w:p w14:paraId="1E9280FE" w14:textId="77777777" w:rsidR="00407B2F" w:rsidRPr="00D045B3" w:rsidRDefault="00407B2F" w:rsidP="00407B2F">
      <w:pPr>
        <w:pStyle w:val="KeinLeerraum"/>
        <w:rPr>
          <w:rFonts w:ascii="Times New Roman" w:eastAsia="Times New Roman" w:hAnsi="Times New Roman"/>
        </w:rPr>
      </w:pPr>
      <w:r w:rsidRPr="00D045B3">
        <w:rPr>
          <w:rFonts w:ascii="Times New Roman" w:eastAsia="Times New Roman" w:hAnsi="Times New Roman"/>
        </w:rPr>
        <w:t>Kemény kapszula, narancssárga átlátszatlan kapszulatetővel és kapszulatesttel, a kapszulatesten fekete „400 mg” felirattal.</w:t>
      </w:r>
    </w:p>
    <w:p w14:paraId="1E9280FF" w14:textId="77777777" w:rsidR="00407B2F" w:rsidRPr="00D045B3" w:rsidRDefault="00407B2F" w:rsidP="00407B2F">
      <w:pPr>
        <w:pStyle w:val="KeinLeerraum"/>
        <w:rPr>
          <w:rFonts w:ascii="Times New Roman" w:eastAsia="Times New Roman" w:hAnsi="Times New Roman"/>
        </w:rPr>
      </w:pPr>
      <w:r w:rsidRPr="00D045B3">
        <w:rPr>
          <w:rFonts w:ascii="Times New Roman" w:eastAsia="Times New Roman" w:hAnsi="Times New Roman"/>
        </w:rPr>
        <w:t>A kapszula világossárga port tartalmaz.</w:t>
      </w:r>
    </w:p>
    <w:p w14:paraId="1E928100" w14:textId="77777777" w:rsidR="00407B2F" w:rsidRPr="00D045B3" w:rsidRDefault="00407B2F" w:rsidP="00407B2F">
      <w:pPr>
        <w:pStyle w:val="KeinLeerraum"/>
        <w:rPr>
          <w:rFonts w:ascii="Times New Roman" w:eastAsia="Times New Roman" w:hAnsi="Times New Roman"/>
        </w:rPr>
      </w:pPr>
    </w:p>
    <w:p w14:paraId="1E928101" w14:textId="77777777" w:rsidR="00407B2F" w:rsidRPr="00D045B3" w:rsidRDefault="00407B2F" w:rsidP="00407B2F">
      <w:pPr>
        <w:keepNext/>
        <w:spacing w:line="240" w:lineRule="auto"/>
        <w:rPr>
          <w:i/>
          <w:color w:val="000000"/>
          <w:lang w:val="hu-HU"/>
        </w:rPr>
      </w:pPr>
      <w:r w:rsidRPr="00D045B3">
        <w:rPr>
          <w:i/>
          <w:color w:val="000000"/>
          <w:lang w:val="hu-HU"/>
        </w:rPr>
        <w:t>Kiszerelések:</w:t>
      </w:r>
    </w:p>
    <w:p w14:paraId="1E928102" w14:textId="77777777" w:rsidR="00407B2F" w:rsidRPr="00D045B3" w:rsidRDefault="00407B2F" w:rsidP="00CA41FD">
      <w:pPr>
        <w:spacing w:line="240" w:lineRule="auto"/>
        <w:rPr>
          <w:color w:val="000000"/>
          <w:lang w:val="hu-HU"/>
        </w:rPr>
      </w:pPr>
      <w:r w:rsidRPr="00D045B3">
        <w:rPr>
          <w:color w:val="000000"/>
          <w:lang w:val="hu-HU"/>
        </w:rPr>
        <w:t>A kapszulák 10, 30, 60 vagy 90 kapszulát tartalmazó alumínium buborékcsomagolásban kerülnek forgalomba.</w:t>
      </w:r>
    </w:p>
    <w:p w14:paraId="1E928103" w14:textId="77777777" w:rsidR="00407B2F" w:rsidRPr="00D045B3" w:rsidRDefault="00407B2F" w:rsidP="00407B2F">
      <w:pPr>
        <w:spacing w:line="240" w:lineRule="auto"/>
        <w:ind w:right="-2"/>
        <w:rPr>
          <w:color w:val="000000"/>
          <w:lang w:val="hu-HU"/>
        </w:rPr>
      </w:pPr>
    </w:p>
    <w:p w14:paraId="1E928104" w14:textId="77777777" w:rsidR="00407B2F" w:rsidRPr="00D045B3" w:rsidRDefault="00407B2F" w:rsidP="00407B2F">
      <w:pPr>
        <w:keepNext/>
        <w:spacing w:line="240" w:lineRule="auto"/>
        <w:ind w:right="-2"/>
        <w:rPr>
          <w:b/>
          <w:color w:val="000000"/>
          <w:lang w:val="hu-HU"/>
        </w:rPr>
      </w:pPr>
      <w:r w:rsidRPr="00D045B3">
        <w:rPr>
          <w:b/>
          <w:color w:val="000000"/>
          <w:lang w:val="hu-HU"/>
        </w:rPr>
        <w:t>A forgalomba hozatali engedély jogosultja</w:t>
      </w:r>
    </w:p>
    <w:p w14:paraId="1E928105" w14:textId="77777777" w:rsidR="00407B2F" w:rsidRPr="00D045B3" w:rsidRDefault="00407B2F" w:rsidP="00CA41FD">
      <w:pPr>
        <w:autoSpaceDE w:val="0"/>
        <w:autoSpaceDN w:val="0"/>
        <w:adjustRightInd w:val="0"/>
        <w:spacing w:line="240" w:lineRule="auto"/>
        <w:rPr>
          <w:lang w:val="hu-HU"/>
        </w:rPr>
      </w:pPr>
      <w:r w:rsidRPr="00D045B3">
        <w:rPr>
          <w:lang w:val="hu-HU"/>
        </w:rPr>
        <w:t>Actavis Group PTC ehf.</w:t>
      </w:r>
    </w:p>
    <w:p w14:paraId="1E928106" w14:textId="77777777" w:rsidR="00407B2F" w:rsidRPr="00D045B3" w:rsidRDefault="00407B2F" w:rsidP="00407B2F">
      <w:pPr>
        <w:autoSpaceDE w:val="0"/>
        <w:autoSpaceDN w:val="0"/>
        <w:adjustRightInd w:val="0"/>
        <w:spacing w:line="240" w:lineRule="auto"/>
        <w:rPr>
          <w:lang w:val="hu-HU"/>
        </w:rPr>
      </w:pPr>
      <w:r w:rsidRPr="00D045B3">
        <w:rPr>
          <w:lang w:val="hu-HU"/>
        </w:rPr>
        <w:t>Reykjavíkurvegur 76-78,</w:t>
      </w:r>
    </w:p>
    <w:p w14:paraId="1E928107" w14:textId="77777777" w:rsidR="00407B2F" w:rsidRPr="00D045B3" w:rsidRDefault="00407B2F" w:rsidP="00407B2F">
      <w:pPr>
        <w:autoSpaceDE w:val="0"/>
        <w:autoSpaceDN w:val="0"/>
        <w:adjustRightInd w:val="0"/>
        <w:spacing w:line="240" w:lineRule="auto"/>
        <w:rPr>
          <w:lang w:val="hu-HU"/>
        </w:rPr>
      </w:pPr>
      <w:r w:rsidRPr="00D045B3">
        <w:rPr>
          <w:lang w:val="hu-HU"/>
        </w:rPr>
        <w:t>Hafnarfjörður</w:t>
      </w:r>
    </w:p>
    <w:p w14:paraId="1E928108" w14:textId="77777777" w:rsidR="00407B2F" w:rsidRPr="00D045B3" w:rsidRDefault="00407B2F" w:rsidP="00407B2F">
      <w:pPr>
        <w:spacing w:line="240" w:lineRule="auto"/>
        <w:ind w:right="-2"/>
        <w:rPr>
          <w:color w:val="000000"/>
          <w:lang w:val="hu-HU"/>
        </w:rPr>
      </w:pPr>
      <w:r w:rsidRPr="00D045B3">
        <w:rPr>
          <w:lang w:val="hu-HU"/>
        </w:rPr>
        <w:t>Izland</w:t>
      </w:r>
    </w:p>
    <w:p w14:paraId="1E928109" w14:textId="77777777" w:rsidR="00407B2F" w:rsidRPr="00D045B3" w:rsidRDefault="00407B2F" w:rsidP="00407B2F">
      <w:pPr>
        <w:spacing w:line="240" w:lineRule="auto"/>
        <w:ind w:right="-2"/>
        <w:rPr>
          <w:b/>
          <w:color w:val="000000"/>
          <w:lang w:val="hu-HU"/>
        </w:rPr>
      </w:pPr>
    </w:p>
    <w:p w14:paraId="1E92810A" w14:textId="77777777" w:rsidR="00407B2F" w:rsidRPr="00D045B3" w:rsidRDefault="00407B2F" w:rsidP="00407B2F">
      <w:pPr>
        <w:keepNext/>
        <w:spacing w:line="240" w:lineRule="auto"/>
        <w:ind w:right="-2"/>
        <w:rPr>
          <w:b/>
          <w:color w:val="000000"/>
          <w:lang w:val="hu-HU"/>
        </w:rPr>
      </w:pPr>
      <w:r w:rsidRPr="00D045B3">
        <w:rPr>
          <w:b/>
          <w:color w:val="000000"/>
          <w:lang w:val="hu-HU"/>
        </w:rPr>
        <w:t>Gyártó</w:t>
      </w:r>
    </w:p>
    <w:p w14:paraId="1E92810B" w14:textId="77777777" w:rsidR="00407B2F" w:rsidRPr="00D045B3" w:rsidRDefault="00407B2F" w:rsidP="00CA41FD">
      <w:pPr>
        <w:pStyle w:val="KeinLeerraum"/>
        <w:rPr>
          <w:rFonts w:ascii="Times New Roman" w:hAnsi="Times New Roman"/>
        </w:rPr>
      </w:pPr>
      <w:r w:rsidRPr="00D045B3">
        <w:rPr>
          <w:rFonts w:ascii="Times New Roman" w:hAnsi="Times New Roman"/>
        </w:rPr>
        <w:t>S.C. Sindan</w:t>
      </w:r>
      <w:r w:rsidRPr="00D045B3">
        <w:rPr>
          <w:rFonts w:ascii="Times New Roman" w:hAnsi="Times New Roman"/>
        </w:rPr>
        <w:noBreakHyphen/>
        <w:t>Pharma S.R.L.</w:t>
      </w:r>
    </w:p>
    <w:p w14:paraId="1E92810C" w14:textId="77777777" w:rsidR="00407B2F" w:rsidRPr="00D045B3" w:rsidRDefault="00407B2F" w:rsidP="00407B2F">
      <w:pPr>
        <w:pStyle w:val="KeinLeerraum"/>
        <w:rPr>
          <w:rFonts w:ascii="Times New Roman" w:hAnsi="Times New Roman"/>
        </w:rPr>
      </w:pPr>
      <w:r w:rsidRPr="00D045B3">
        <w:rPr>
          <w:rFonts w:ascii="Times New Roman" w:hAnsi="Times New Roman"/>
        </w:rPr>
        <w:t>11 Ion Mihalache Blvd</w:t>
      </w:r>
    </w:p>
    <w:p w14:paraId="1E92810D" w14:textId="77777777" w:rsidR="00407B2F" w:rsidRPr="00D045B3" w:rsidRDefault="00407B2F" w:rsidP="00407B2F">
      <w:pPr>
        <w:pStyle w:val="KeinLeerraum"/>
        <w:rPr>
          <w:rFonts w:ascii="Times New Roman" w:hAnsi="Times New Roman"/>
        </w:rPr>
      </w:pPr>
      <w:r w:rsidRPr="00D045B3">
        <w:rPr>
          <w:rFonts w:ascii="Times New Roman" w:hAnsi="Times New Roman"/>
        </w:rPr>
        <w:t>Bucharest</w:t>
      </w:r>
    </w:p>
    <w:p w14:paraId="1E92810E" w14:textId="77777777" w:rsidR="00407B2F" w:rsidRPr="00D045B3" w:rsidRDefault="00407B2F" w:rsidP="00407B2F">
      <w:pPr>
        <w:pStyle w:val="KeinLeerraum"/>
        <w:rPr>
          <w:rFonts w:ascii="Times New Roman" w:hAnsi="Times New Roman"/>
        </w:rPr>
      </w:pPr>
      <w:r w:rsidRPr="00D045B3">
        <w:rPr>
          <w:rFonts w:ascii="Times New Roman" w:hAnsi="Times New Roman"/>
        </w:rPr>
        <w:t>Románia</w:t>
      </w:r>
    </w:p>
    <w:p w14:paraId="1E92810F" w14:textId="77777777" w:rsidR="00407B2F" w:rsidRPr="00D045B3" w:rsidRDefault="00407B2F" w:rsidP="00407B2F">
      <w:pPr>
        <w:spacing w:line="240" w:lineRule="auto"/>
        <w:ind w:right="-2"/>
        <w:rPr>
          <w:color w:val="000000"/>
          <w:lang w:val="hu-HU"/>
        </w:rPr>
      </w:pPr>
    </w:p>
    <w:p w14:paraId="1E928110" w14:textId="77777777" w:rsidR="00407B2F" w:rsidRPr="00D045B3" w:rsidRDefault="00407B2F" w:rsidP="00407B2F">
      <w:pPr>
        <w:spacing w:line="240" w:lineRule="auto"/>
        <w:rPr>
          <w:color w:val="000000"/>
          <w:lang w:val="hu-HU"/>
        </w:rPr>
      </w:pPr>
      <w:r w:rsidRPr="00D045B3">
        <w:rPr>
          <w:color w:val="000000"/>
          <w:lang w:val="hu-HU"/>
        </w:rPr>
        <w:t>A készítményhez kapcsolódó további kérdéseivel forduljon a forgalomba hozatali engedély jogosultjának helyi képviseletéhez:</w:t>
      </w:r>
    </w:p>
    <w:p w14:paraId="456AE6E6" w14:textId="77777777" w:rsidR="001B4B6C" w:rsidRPr="00F67173" w:rsidRDefault="001B4B6C" w:rsidP="001B4B6C">
      <w:pPr>
        <w:autoSpaceDE w:val="0"/>
        <w:autoSpaceDN w:val="0"/>
        <w:adjustRightInd w:val="0"/>
        <w:spacing w:line="240" w:lineRule="auto"/>
        <w:rPr>
          <w:color w:val="000000" w:themeColor="text1"/>
          <w:szCs w:val="22"/>
          <w:lang w:val="hu-HU"/>
        </w:rPr>
      </w:pPr>
    </w:p>
    <w:tbl>
      <w:tblPr>
        <w:tblW w:w="9360" w:type="dxa"/>
        <w:tblInd w:w="-34" w:type="dxa"/>
        <w:tblLayout w:type="fixed"/>
        <w:tblLook w:val="04A0" w:firstRow="1" w:lastRow="0" w:firstColumn="1" w:lastColumn="0" w:noHBand="0" w:noVBand="1"/>
      </w:tblPr>
      <w:tblGrid>
        <w:gridCol w:w="34"/>
        <w:gridCol w:w="4646"/>
        <w:gridCol w:w="4680"/>
      </w:tblGrid>
      <w:tr w:rsidR="001B4B6C" w:rsidRPr="00D045B3" w14:paraId="360DF730" w14:textId="77777777" w:rsidTr="006B2245">
        <w:trPr>
          <w:gridBefore w:val="1"/>
          <w:wBefore w:w="34" w:type="dxa"/>
          <w:cantSplit/>
        </w:trPr>
        <w:tc>
          <w:tcPr>
            <w:tcW w:w="4644" w:type="dxa"/>
          </w:tcPr>
          <w:p w14:paraId="3128CF6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België/Belgique/Belgien</w:t>
            </w:r>
          </w:p>
          <w:p w14:paraId="05AAB2E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009E697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IJsland/Islande/Island</w:t>
            </w:r>
          </w:p>
          <w:p w14:paraId="5840C56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Tél/Tel: +354 5503300</w:t>
            </w:r>
          </w:p>
          <w:p w14:paraId="47E1218F" w14:textId="77777777" w:rsidR="001B4B6C" w:rsidRPr="00D045B3" w:rsidRDefault="001B4B6C" w:rsidP="006B2245">
            <w:pPr>
              <w:pStyle w:val="KeinLeerraum"/>
              <w:rPr>
                <w:rFonts w:ascii="Times New Roman" w:hAnsi="Times New Roman"/>
                <w:color w:val="000000" w:themeColor="text1"/>
              </w:rPr>
            </w:pPr>
          </w:p>
        </w:tc>
        <w:tc>
          <w:tcPr>
            <w:tcW w:w="4678" w:type="dxa"/>
          </w:tcPr>
          <w:p w14:paraId="22D151E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Lietuva</w:t>
            </w:r>
          </w:p>
          <w:p w14:paraId="533FD46C" w14:textId="79D94140" w:rsidR="001B4B6C" w:rsidRPr="00D045B3" w:rsidRDefault="001B4B6C" w:rsidP="006B2245">
            <w:pPr>
              <w:spacing w:line="240" w:lineRule="auto"/>
              <w:ind w:right="567"/>
              <w:rPr>
                <w:noProof/>
                <w:color w:val="000000" w:themeColor="text1"/>
                <w:szCs w:val="22"/>
                <w:lang w:val="hu-HU"/>
              </w:rPr>
            </w:pPr>
            <w:r w:rsidRPr="00D045B3">
              <w:rPr>
                <w:noProof/>
                <w:color w:val="000000" w:themeColor="text1"/>
                <w:szCs w:val="22"/>
                <w:lang w:val="hu-HU"/>
              </w:rPr>
              <w:t>UAB Teva Baltics</w:t>
            </w:r>
          </w:p>
          <w:p w14:paraId="52C5145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+370 5</w:t>
            </w:r>
            <w:r w:rsidRPr="00D045B3">
              <w:rPr>
                <w:rFonts w:ascii="Times New Roman" w:hAnsi="Times New Roman"/>
                <w:noProof/>
                <w:color w:val="000000" w:themeColor="text1"/>
              </w:rPr>
              <w:t>2660203</w:t>
            </w:r>
          </w:p>
          <w:p w14:paraId="6DAA3707" w14:textId="77777777" w:rsidR="001B4B6C" w:rsidRPr="00D045B3" w:rsidRDefault="001B4B6C" w:rsidP="006B2245">
            <w:pPr>
              <w:pStyle w:val="KeinLeerraum"/>
              <w:rPr>
                <w:rFonts w:ascii="Times New Roman" w:hAnsi="Times New Roman"/>
                <w:color w:val="000000" w:themeColor="text1"/>
              </w:rPr>
            </w:pPr>
          </w:p>
        </w:tc>
      </w:tr>
      <w:tr w:rsidR="001B4B6C" w:rsidRPr="00D045B3" w14:paraId="2333FF2E" w14:textId="77777777" w:rsidTr="006B2245">
        <w:trPr>
          <w:gridBefore w:val="1"/>
          <w:wBefore w:w="34" w:type="dxa"/>
          <w:cantSplit/>
        </w:trPr>
        <w:tc>
          <w:tcPr>
            <w:tcW w:w="4644" w:type="dxa"/>
          </w:tcPr>
          <w:p w14:paraId="50D0B8A4" w14:textId="77777777" w:rsidR="001B4B6C" w:rsidRPr="00D045B3" w:rsidRDefault="001B4B6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България</w:t>
            </w:r>
          </w:p>
          <w:p w14:paraId="72483B0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Актавис ЕАД</w:t>
            </w:r>
          </w:p>
          <w:p w14:paraId="580C5D8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Teл: +359 24899585</w:t>
            </w:r>
          </w:p>
          <w:p w14:paraId="6D6C8E28" w14:textId="77777777" w:rsidR="001B4B6C" w:rsidRPr="00D045B3" w:rsidRDefault="001B4B6C" w:rsidP="006B2245">
            <w:pPr>
              <w:pStyle w:val="KeinLeerraum"/>
              <w:rPr>
                <w:rFonts w:ascii="Times New Roman" w:hAnsi="Times New Roman"/>
                <w:color w:val="000000" w:themeColor="text1"/>
              </w:rPr>
            </w:pPr>
          </w:p>
        </w:tc>
        <w:tc>
          <w:tcPr>
            <w:tcW w:w="4678" w:type="dxa"/>
          </w:tcPr>
          <w:p w14:paraId="7896825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Luxembourg/Luxemburg</w:t>
            </w:r>
          </w:p>
          <w:p w14:paraId="411481A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4ABEC95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Islande/Island</w:t>
            </w:r>
          </w:p>
          <w:p w14:paraId="143F217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Tél/Tel: +354 5503300</w:t>
            </w:r>
          </w:p>
          <w:p w14:paraId="54F3ACAB" w14:textId="77777777" w:rsidR="001B4B6C" w:rsidRPr="00D045B3" w:rsidRDefault="001B4B6C" w:rsidP="006B2245">
            <w:pPr>
              <w:pStyle w:val="KeinLeerraum"/>
              <w:rPr>
                <w:rFonts w:ascii="Times New Roman" w:hAnsi="Times New Roman"/>
                <w:color w:val="000000" w:themeColor="text1"/>
              </w:rPr>
            </w:pPr>
          </w:p>
        </w:tc>
      </w:tr>
      <w:tr w:rsidR="001B4B6C" w:rsidRPr="00D045B3" w14:paraId="4334BC45" w14:textId="77777777" w:rsidTr="006B2245">
        <w:trPr>
          <w:gridBefore w:val="1"/>
          <w:wBefore w:w="34" w:type="dxa"/>
          <w:cantSplit/>
          <w:trHeight w:val="751"/>
        </w:trPr>
        <w:tc>
          <w:tcPr>
            <w:tcW w:w="4644" w:type="dxa"/>
          </w:tcPr>
          <w:p w14:paraId="1CD1402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Česká republika</w:t>
            </w:r>
          </w:p>
          <w:p w14:paraId="22962993" w14:textId="77777777" w:rsidR="001B4B6C" w:rsidRPr="00F67173" w:rsidRDefault="001B4B6C" w:rsidP="006B2245">
            <w:pPr>
              <w:tabs>
                <w:tab w:val="left" w:pos="-720"/>
              </w:tabs>
              <w:suppressAutoHyphens/>
              <w:spacing w:line="240" w:lineRule="auto"/>
              <w:ind w:right="567"/>
              <w:rPr>
                <w:noProof/>
                <w:color w:val="000000" w:themeColor="text1"/>
                <w:szCs w:val="22"/>
                <w:lang w:val="hu-HU"/>
              </w:rPr>
            </w:pPr>
            <w:r w:rsidRPr="00F67173">
              <w:rPr>
                <w:noProof/>
                <w:color w:val="000000" w:themeColor="text1"/>
                <w:szCs w:val="22"/>
                <w:lang w:val="hu-HU"/>
              </w:rPr>
              <w:t>Teva Pharmaceuticals CR, s.r.o.</w:t>
            </w:r>
          </w:p>
          <w:p w14:paraId="75C5C25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+420 251007111</w:t>
            </w:r>
          </w:p>
          <w:p w14:paraId="3EBD90EC" w14:textId="77777777" w:rsidR="001B4B6C" w:rsidRPr="00D045B3" w:rsidRDefault="001B4B6C" w:rsidP="006B2245">
            <w:pPr>
              <w:pStyle w:val="KeinLeerraum"/>
              <w:rPr>
                <w:rFonts w:ascii="Times New Roman" w:hAnsi="Times New Roman"/>
                <w:color w:val="000000" w:themeColor="text1"/>
              </w:rPr>
            </w:pPr>
          </w:p>
        </w:tc>
        <w:tc>
          <w:tcPr>
            <w:tcW w:w="4678" w:type="dxa"/>
          </w:tcPr>
          <w:p w14:paraId="096D773E"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Magyarország</w:t>
            </w:r>
          </w:p>
          <w:p w14:paraId="47844044"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Gyógyszergyár Zrt.</w:t>
            </w:r>
          </w:p>
          <w:p w14:paraId="37A25A2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+36 1</w:t>
            </w:r>
            <w:r w:rsidRPr="00D045B3">
              <w:rPr>
                <w:rFonts w:ascii="Times New Roman" w:hAnsi="Times New Roman"/>
                <w:noProof/>
                <w:color w:val="000000" w:themeColor="text1"/>
              </w:rPr>
              <w:t>2886400</w:t>
            </w:r>
          </w:p>
          <w:p w14:paraId="6A686D44" w14:textId="77777777" w:rsidR="001B4B6C" w:rsidRPr="00D045B3" w:rsidRDefault="001B4B6C" w:rsidP="006B2245">
            <w:pPr>
              <w:pStyle w:val="KeinLeerraum"/>
              <w:rPr>
                <w:rFonts w:ascii="Times New Roman" w:hAnsi="Times New Roman"/>
                <w:color w:val="000000" w:themeColor="text1"/>
              </w:rPr>
            </w:pPr>
          </w:p>
        </w:tc>
      </w:tr>
      <w:tr w:rsidR="001B4B6C" w:rsidRPr="00D045B3" w14:paraId="1B7B4C6F" w14:textId="77777777" w:rsidTr="006B2245">
        <w:trPr>
          <w:gridBefore w:val="1"/>
          <w:wBefore w:w="34" w:type="dxa"/>
          <w:cantSplit/>
        </w:trPr>
        <w:tc>
          <w:tcPr>
            <w:tcW w:w="4644" w:type="dxa"/>
          </w:tcPr>
          <w:p w14:paraId="5927727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Danmark</w:t>
            </w:r>
          </w:p>
          <w:p w14:paraId="596013E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Denmark A/S</w:t>
            </w:r>
          </w:p>
          <w:p w14:paraId="55E9683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Tlf: +45 44985511</w:t>
            </w:r>
          </w:p>
          <w:p w14:paraId="76505FF2" w14:textId="77777777" w:rsidR="001B4B6C" w:rsidRPr="00D045B3" w:rsidRDefault="001B4B6C" w:rsidP="006B2245">
            <w:pPr>
              <w:pStyle w:val="KeinLeerraum"/>
              <w:rPr>
                <w:rFonts w:ascii="Times New Roman" w:hAnsi="Times New Roman"/>
                <w:color w:val="000000" w:themeColor="text1"/>
              </w:rPr>
            </w:pPr>
          </w:p>
        </w:tc>
        <w:tc>
          <w:tcPr>
            <w:tcW w:w="4678" w:type="dxa"/>
          </w:tcPr>
          <w:p w14:paraId="047DAFD1"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Malta</w:t>
            </w:r>
          </w:p>
          <w:p w14:paraId="64CEA3C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Ltd.</w:t>
            </w:r>
          </w:p>
          <w:p w14:paraId="666E656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+356 21693533</w:t>
            </w:r>
          </w:p>
          <w:p w14:paraId="34362020" w14:textId="77777777" w:rsidR="001B4B6C" w:rsidRPr="00D045B3" w:rsidRDefault="001B4B6C" w:rsidP="006B2245">
            <w:pPr>
              <w:pStyle w:val="KeinLeerraum"/>
              <w:rPr>
                <w:rFonts w:ascii="Times New Roman" w:hAnsi="Times New Roman"/>
                <w:color w:val="000000" w:themeColor="text1"/>
              </w:rPr>
            </w:pPr>
          </w:p>
        </w:tc>
      </w:tr>
      <w:tr w:rsidR="001B4B6C" w:rsidRPr="00D045B3" w14:paraId="5D580D0E" w14:textId="77777777" w:rsidTr="006B2245">
        <w:trPr>
          <w:gridBefore w:val="1"/>
          <w:wBefore w:w="34" w:type="dxa"/>
          <w:cantSplit/>
        </w:trPr>
        <w:tc>
          <w:tcPr>
            <w:tcW w:w="4644" w:type="dxa"/>
          </w:tcPr>
          <w:p w14:paraId="64300BE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Deutschland</w:t>
            </w:r>
          </w:p>
          <w:p w14:paraId="22446A24" w14:textId="77777777" w:rsidR="001B4B6C" w:rsidRPr="00D045B3" w:rsidRDefault="001B4B6C" w:rsidP="006B2245">
            <w:pPr>
              <w:spacing w:line="240" w:lineRule="auto"/>
              <w:rPr>
                <w:color w:val="000000" w:themeColor="text1"/>
                <w:szCs w:val="22"/>
                <w:lang w:val="hu-HU"/>
              </w:rPr>
            </w:pPr>
            <w:r w:rsidRPr="00D045B3">
              <w:rPr>
                <w:color w:val="000000" w:themeColor="text1"/>
                <w:szCs w:val="22"/>
                <w:lang w:val="hu-HU"/>
              </w:rPr>
              <w:t>Actavis Group PTC ehf.</w:t>
            </w:r>
          </w:p>
          <w:p w14:paraId="35A8B1C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w:t>
            </w:r>
          </w:p>
          <w:p w14:paraId="23B9232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1086F67A" w14:textId="77777777" w:rsidR="001B4B6C" w:rsidRPr="00D045B3" w:rsidRDefault="001B4B6C" w:rsidP="006B2245">
            <w:pPr>
              <w:pStyle w:val="KeinLeerraum"/>
              <w:rPr>
                <w:rFonts w:ascii="Times New Roman" w:hAnsi="Times New Roman"/>
                <w:color w:val="000000" w:themeColor="text1"/>
              </w:rPr>
            </w:pPr>
          </w:p>
        </w:tc>
        <w:tc>
          <w:tcPr>
            <w:tcW w:w="4678" w:type="dxa"/>
          </w:tcPr>
          <w:p w14:paraId="24AA4F3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Nederland</w:t>
            </w:r>
          </w:p>
          <w:p w14:paraId="34AE6B04"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224C5777"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IJsland</w:t>
            </w:r>
          </w:p>
          <w:p w14:paraId="65C42FF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32721338" w14:textId="77777777" w:rsidR="001B4B6C" w:rsidRPr="00D045B3" w:rsidRDefault="001B4B6C" w:rsidP="006B2245">
            <w:pPr>
              <w:pStyle w:val="KeinLeerraum"/>
              <w:rPr>
                <w:rFonts w:ascii="Times New Roman" w:hAnsi="Times New Roman"/>
                <w:color w:val="000000" w:themeColor="text1"/>
              </w:rPr>
            </w:pPr>
          </w:p>
        </w:tc>
      </w:tr>
      <w:tr w:rsidR="001B4B6C" w:rsidRPr="00D045B3" w14:paraId="710A338A" w14:textId="77777777" w:rsidTr="006B2245">
        <w:trPr>
          <w:gridBefore w:val="1"/>
          <w:wBefore w:w="34" w:type="dxa"/>
          <w:cantSplit/>
        </w:trPr>
        <w:tc>
          <w:tcPr>
            <w:tcW w:w="4644" w:type="dxa"/>
          </w:tcPr>
          <w:p w14:paraId="15F9B764" w14:textId="77777777" w:rsidR="001B4B6C" w:rsidRPr="00D045B3" w:rsidRDefault="001B4B6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Eesti</w:t>
            </w:r>
          </w:p>
          <w:p w14:paraId="27FD40FC" w14:textId="5C5C772A"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UAB Teva Baltics</w:t>
            </w:r>
            <w:r w:rsidRPr="00D045B3">
              <w:rPr>
                <w:rFonts w:ascii="Times New Roman" w:hAnsi="Times New Roman"/>
                <w:noProof/>
                <w:color w:val="000000" w:themeColor="text1"/>
              </w:rPr>
              <w:t xml:space="preserve"> Eesti filiaal</w:t>
            </w:r>
          </w:p>
          <w:p w14:paraId="39B2CC3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 xml:space="preserve">Tel: +372 </w:t>
            </w:r>
            <w:r w:rsidRPr="00D045B3">
              <w:rPr>
                <w:rFonts w:ascii="Times New Roman" w:hAnsi="Times New Roman"/>
                <w:noProof/>
                <w:color w:val="000000" w:themeColor="text1"/>
              </w:rPr>
              <w:t>6610801</w:t>
            </w:r>
          </w:p>
          <w:p w14:paraId="1B51AE41" w14:textId="77777777" w:rsidR="001B4B6C" w:rsidRPr="00D045B3" w:rsidRDefault="001B4B6C" w:rsidP="006B2245">
            <w:pPr>
              <w:pStyle w:val="KeinLeerraum"/>
              <w:rPr>
                <w:rFonts w:ascii="Times New Roman" w:hAnsi="Times New Roman"/>
                <w:color w:val="000000" w:themeColor="text1"/>
              </w:rPr>
            </w:pPr>
          </w:p>
        </w:tc>
        <w:tc>
          <w:tcPr>
            <w:tcW w:w="4678" w:type="dxa"/>
          </w:tcPr>
          <w:p w14:paraId="2796BDA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Norge</w:t>
            </w:r>
          </w:p>
          <w:p w14:paraId="5CF62819"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Teva Norway AS</w:t>
            </w:r>
          </w:p>
          <w:p w14:paraId="6A6D3A05"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Tlf: +47 66775590</w:t>
            </w:r>
          </w:p>
          <w:p w14:paraId="7B57C414" w14:textId="77777777" w:rsidR="001B4B6C" w:rsidRPr="00D045B3" w:rsidRDefault="001B4B6C" w:rsidP="006B2245">
            <w:pPr>
              <w:pStyle w:val="KeinLeerraum"/>
              <w:rPr>
                <w:rFonts w:ascii="Times New Roman" w:hAnsi="Times New Roman"/>
                <w:color w:val="000000" w:themeColor="text1"/>
              </w:rPr>
            </w:pPr>
          </w:p>
        </w:tc>
      </w:tr>
      <w:tr w:rsidR="001B4B6C" w:rsidRPr="00D045B3" w14:paraId="65BC2FAB" w14:textId="77777777" w:rsidTr="006B2245">
        <w:trPr>
          <w:gridBefore w:val="1"/>
          <w:wBefore w:w="34" w:type="dxa"/>
          <w:cantSplit/>
        </w:trPr>
        <w:tc>
          <w:tcPr>
            <w:tcW w:w="4644" w:type="dxa"/>
          </w:tcPr>
          <w:p w14:paraId="2F68342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Ελλάδα</w:t>
            </w:r>
          </w:p>
          <w:p w14:paraId="4BA4F80F" w14:textId="77777777" w:rsidR="001B4B6C" w:rsidRPr="00D045B3" w:rsidRDefault="001B4B6C" w:rsidP="006B2245">
            <w:pPr>
              <w:pStyle w:val="NormalParagraphStyle"/>
              <w:spacing w:line="240" w:lineRule="auto"/>
              <w:rPr>
                <w:rFonts w:ascii="Times New Roman" w:hAnsi="Times New Roman"/>
                <w:color w:val="000000" w:themeColor="text1"/>
                <w:sz w:val="22"/>
                <w:szCs w:val="22"/>
                <w:lang w:val="hu-HU"/>
              </w:rPr>
            </w:pPr>
            <w:r w:rsidRPr="00F67173">
              <w:rPr>
                <w:rFonts w:ascii="Times New Roman" w:hAnsi="Times New Roman"/>
                <w:color w:val="000000" w:themeColor="text1"/>
                <w:sz w:val="22"/>
                <w:szCs w:val="22"/>
                <w:lang w:val="hu-HU"/>
              </w:rPr>
              <w:t>Specifar A.B.E.E</w:t>
            </w:r>
            <w:r w:rsidRPr="00D045B3">
              <w:rPr>
                <w:rFonts w:ascii="Times New Roman" w:hAnsi="Times New Roman"/>
                <w:color w:val="000000" w:themeColor="text1"/>
                <w:sz w:val="22"/>
                <w:szCs w:val="22"/>
                <w:lang w:val="hu-HU"/>
              </w:rPr>
              <w:t>.</w:t>
            </w:r>
          </w:p>
          <w:p w14:paraId="12CD2D05" w14:textId="6254716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6444DCED" w14:textId="77777777" w:rsidR="001B4B6C" w:rsidRPr="00D045B3" w:rsidRDefault="001B4B6C" w:rsidP="006B2245">
            <w:pPr>
              <w:pStyle w:val="KeinLeerraum"/>
              <w:rPr>
                <w:rFonts w:ascii="Times New Roman" w:hAnsi="Times New Roman"/>
                <w:color w:val="000000" w:themeColor="text1"/>
              </w:rPr>
            </w:pPr>
          </w:p>
        </w:tc>
        <w:tc>
          <w:tcPr>
            <w:tcW w:w="4678" w:type="dxa"/>
          </w:tcPr>
          <w:p w14:paraId="40DC4E3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Österreich</w:t>
            </w:r>
          </w:p>
          <w:p w14:paraId="5EB1267C" w14:textId="77777777" w:rsidR="001B4B6C" w:rsidRPr="00D045B3" w:rsidRDefault="001B4B6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ratiopharm Arzneimittel Vertriebs-GmbH</w:t>
            </w:r>
          </w:p>
          <w:p w14:paraId="4D1E5E14" w14:textId="77777777" w:rsidR="001B4B6C" w:rsidRPr="00D045B3" w:rsidRDefault="001B4B6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Tel: +43 1970070</w:t>
            </w:r>
          </w:p>
          <w:p w14:paraId="210C08D9" w14:textId="77777777" w:rsidR="001B4B6C" w:rsidRPr="00D045B3" w:rsidRDefault="001B4B6C" w:rsidP="006B2245">
            <w:pPr>
              <w:pStyle w:val="KeinLeerraum"/>
              <w:rPr>
                <w:rFonts w:ascii="Times New Roman" w:hAnsi="Times New Roman"/>
                <w:color w:val="000000" w:themeColor="text1"/>
              </w:rPr>
            </w:pPr>
          </w:p>
        </w:tc>
      </w:tr>
      <w:tr w:rsidR="001B4B6C" w:rsidRPr="00D045B3" w14:paraId="357DCE93" w14:textId="77777777" w:rsidTr="006B2245">
        <w:trPr>
          <w:cantSplit/>
        </w:trPr>
        <w:tc>
          <w:tcPr>
            <w:tcW w:w="4678" w:type="dxa"/>
            <w:gridSpan w:val="2"/>
          </w:tcPr>
          <w:p w14:paraId="7F7D8DDB"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España</w:t>
            </w:r>
          </w:p>
          <w:p w14:paraId="0EB8097E"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4550CEB6"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Islandia</w:t>
            </w:r>
          </w:p>
          <w:p w14:paraId="4816EED6"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32D575F6" w14:textId="77777777" w:rsidR="001B4B6C" w:rsidRPr="00D045B3" w:rsidRDefault="001B4B6C" w:rsidP="006B2245">
            <w:pPr>
              <w:pStyle w:val="KeinLeerraum"/>
              <w:rPr>
                <w:rFonts w:ascii="Times New Roman" w:hAnsi="Times New Roman"/>
                <w:color w:val="000000" w:themeColor="text1"/>
              </w:rPr>
            </w:pPr>
          </w:p>
        </w:tc>
        <w:tc>
          <w:tcPr>
            <w:tcW w:w="4678" w:type="dxa"/>
          </w:tcPr>
          <w:p w14:paraId="421B3FA0" w14:textId="77777777" w:rsidR="001B4B6C" w:rsidRPr="00D045B3" w:rsidRDefault="001B4B6C" w:rsidP="006B2245">
            <w:pPr>
              <w:pStyle w:val="KeinLeerraum"/>
              <w:rPr>
                <w:rFonts w:ascii="Times New Roman" w:hAnsi="Times New Roman"/>
                <w:b/>
                <w:bCs/>
                <w:i/>
                <w:iCs/>
                <w:color w:val="000000" w:themeColor="text1"/>
              </w:rPr>
            </w:pPr>
            <w:r w:rsidRPr="00D045B3">
              <w:rPr>
                <w:rFonts w:ascii="Times New Roman" w:hAnsi="Times New Roman"/>
                <w:b/>
                <w:color w:val="000000" w:themeColor="text1"/>
              </w:rPr>
              <w:t>Polska</w:t>
            </w:r>
          </w:p>
          <w:p w14:paraId="2A64AE20" w14:textId="77777777" w:rsidR="001B4B6C" w:rsidRPr="00D045B3" w:rsidRDefault="001B4B6C" w:rsidP="006B2245">
            <w:pPr>
              <w:spacing w:line="240" w:lineRule="auto"/>
              <w:rPr>
                <w:color w:val="000000" w:themeColor="text1"/>
                <w:szCs w:val="22"/>
                <w:lang w:val="hu-HU"/>
              </w:rPr>
            </w:pPr>
            <w:r w:rsidRPr="00D045B3">
              <w:rPr>
                <w:color w:val="000000" w:themeColor="text1"/>
                <w:szCs w:val="22"/>
                <w:lang w:val="hu-HU"/>
              </w:rPr>
              <w:t>Teva Pharmaceuticals Polska Sp. z o.o.</w:t>
            </w:r>
          </w:p>
          <w:p w14:paraId="7378C2A9" w14:textId="77777777" w:rsidR="001B4B6C" w:rsidRPr="00D045B3" w:rsidRDefault="001B4B6C" w:rsidP="006B2245">
            <w:pPr>
              <w:numPr>
                <w:ilvl w:val="12"/>
                <w:numId w:val="0"/>
              </w:numPr>
              <w:spacing w:line="240" w:lineRule="auto"/>
              <w:rPr>
                <w:color w:val="000000" w:themeColor="text1"/>
                <w:szCs w:val="22"/>
                <w:lang w:val="hu-HU" w:eastAsia="is-IS"/>
              </w:rPr>
            </w:pPr>
            <w:r w:rsidRPr="00D045B3">
              <w:rPr>
                <w:color w:val="000000" w:themeColor="text1"/>
                <w:szCs w:val="22"/>
                <w:lang w:val="hu-HU"/>
              </w:rPr>
              <w:t>Tel: +48 223459300</w:t>
            </w:r>
          </w:p>
          <w:p w14:paraId="7AD0C0B5" w14:textId="77777777" w:rsidR="001B4B6C" w:rsidRPr="00D045B3" w:rsidRDefault="001B4B6C" w:rsidP="006B2245">
            <w:pPr>
              <w:pStyle w:val="KeinLeerraum"/>
              <w:rPr>
                <w:rFonts w:ascii="Times New Roman" w:hAnsi="Times New Roman"/>
                <w:color w:val="000000" w:themeColor="text1"/>
              </w:rPr>
            </w:pPr>
          </w:p>
        </w:tc>
      </w:tr>
      <w:tr w:rsidR="001B4B6C" w:rsidRPr="00D045B3" w14:paraId="0C5A085E" w14:textId="77777777" w:rsidTr="006B2245">
        <w:trPr>
          <w:cantSplit/>
        </w:trPr>
        <w:tc>
          <w:tcPr>
            <w:tcW w:w="4678" w:type="dxa"/>
            <w:gridSpan w:val="2"/>
          </w:tcPr>
          <w:p w14:paraId="366AA9C1"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France</w:t>
            </w:r>
          </w:p>
          <w:p w14:paraId="34FF2E7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3CA6BE3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Islande</w:t>
            </w:r>
          </w:p>
          <w:p w14:paraId="63DCDB5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lang w:eastAsia="en-GB"/>
              </w:rPr>
              <w:t>Tél</w:t>
            </w:r>
            <w:r w:rsidRPr="00D045B3">
              <w:rPr>
                <w:rFonts w:ascii="Times New Roman" w:hAnsi="Times New Roman"/>
                <w:noProof/>
                <w:color w:val="000000" w:themeColor="text1"/>
              </w:rPr>
              <w:t>:</w:t>
            </w:r>
            <w:r w:rsidRPr="00D045B3">
              <w:rPr>
                <w:rFonts w:ascii="Times New Roman" w:hAnsi="Times New Roman"/>
                <w:color w:val="000000" w:themeColor="text1"/>
              </w:rPr>
              <w:t xml:space="preserve"> +354 5503300</w:t>
            </w:r>
          </w:p>
          <w:p w14:paraId="2AD66BE6" w14:textId="77777777" w:rsidR="001B4B6C" w:rsidRPr="00D045B3" w:rsidRDefault="001B4B6C" w:rsidP="006B2245">
            <w:pPr>
              <w:pStyle w:val="KeinLeerraum"/>
              <w:rPr>
                <w:rFonts w:ascii="Times New Roman" w:hAnsi="Times New Roman"/>
                <w:b/>
                <w:color w:val="000000" w:themeColor="text1"/>
              </w:rPr>
            </w:pPr>
          </w:p>
        </w:tc>
        <w:tc>
          <w:tcPr>
            <w:tcW w:w="4678" w:type="dxa"/>
          </w:tcPr>
          <w:p w14:paraId="7EF6163D"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Portugal</w:t>
            </w:r>
          </w:p>
          <w:p w14:paraId="41C03180"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0537C16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Islândia</w:t>
            </w:r>
          </w:p>
          <w:p w14:paraId="47039EA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70EB4243" w14:textId="77777777" w:rsidR="001B4B6C" w:rsidRPr="00D045B3" w:rsidRDefault="001B4B6C" w:rsidP="006B2245">
            <w:pPr>
              <w:pStyle w:val="KeinLeerraum"/>
              <w:rPr>
                <w:rFonts w:ascii="Times New Roman" w:hAnsi="Times New Roman"/>
                <w:color w:val="000000" w:themeColor="text1"/>
              </w:rPr>
            </w:pPr>
          </w:p>
        </w:tc>
      </w:tr>
      <w:tr w:rsidR="001B4B6C" w:rsidRPr="00D045B3" w14:paraId="5AC7D0CB" w14:textId="77777777" w:rsidTr="006B2245">
        <w:trPr>
          <w:cantSplit/>
        </w:trPr>
        <w:tc>
          <w:tcPr>
            <w:tcW w:w="4678" w:type="dxa"/>
            <w:gridSpan w:val="2"/>
          </w:tcPr>
          <w:p w14:paraId="74FFB392" w14:textId="77777777" w:rsidR="001B4B6C" w:rsidRPr="00D045B3" w:rsidRDefault="001B4B6C" w:rsidP="006B2245">
            <w:pPr>
              <w:tabs>
                <w:tab w:val="left" w:pos="-720"/>
                <w:tab w:val="left" w:pos="4536"/>
              </w:tabs>
              <w:suppressAutoHyphens/>
              <w:spacing w:line="240" w:lineRule="auto"/>
              <w:ind w:right="567"/>
              <w:rPr>
                <w:b/>
                <w:noProof/>
                <w:color w:val="000000" w:themeColor="text1"/>
                <w:szCs w:val="22"/>
                <w:lang w:val="hu-HU" w:eastAsia="en-US"/>
              </w:rPr>
            </w:pPr>
            <w:r w:rsidRPr="00D045B3">
              <w:rPr>
                <w:color w:val="000000" w:themeColor="text1"/>
                <w:szCs w:val="22"/>
                <w:lang w:val="hu-HU"/>
              </w:rPr>
              <w:br w:type="page"/>
            </w:r>
            <w:r w:rsidRPr="00D045B3">
              <w:rPr>
                <w:b/>
                <w:noProof/>
                <w:color w:val="000000" w:themeColor="text1"/>
                <w:szCs w:val="22"/>
                <w:lang w:val="hu-HU"/>
              </w:rPr>
              <w:t>Hrvatska</w:t>
            </w:r>
          </w:p>
          <w:p w14:paraId="1098D570" w14:textId="77777777" w:rsidR="001B4B6C" w:rsidRPr="00D045B3" w:rsidRDefault="001B4B6C" w:rsidP="006B2245">
            <w:pPr>
              <w:tabs>
                <w:tab w:val="left" w:pos="-720"/>
                <w:tab w:val="left" w:pos="4536"/>
              </w:tabs>
              <w:suppressAutoHyphens/>
              <w:spacing w:line="240" w:lineRule="auto"/>
              <w:ind w:right="567"/>
              <w:rPr>
                <w:color w:val="000000" w:themeColor="text1"/>
                <w:szCs w:val="22"/>
                <w:lang w:val="hu-HU"/>
              </w:rPr>
            </w:pPr>
            <w:r w:rsidRPr="00D045B3">
              <w:rPr>
                <w:color w:val="000000" w:themeColor="text1"/>
                <w:szCs w:val="22"/>
                <w:lang w:val="hu-HU"/>
              </w:rPr>
              <w:t>Pliva Hrvatska d.o.o.</w:t>
            </w:r>
          </w:p>
          <w:p w14:paraId="5240E4A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+385 13720000</w:t>
            </w:r>
          </w:p>
          <w:p w14:paraId="1E90D900" w14:textId="77777777" w:rsidR="001B4B6C" w:rsidRPr="00D045B3" w:rsidRDefault="001B4B6C" w:rsidP="006B2245">
            <w:pPr>
              <w:pStyle w:val="KeinLeerraum"/>
              <w:rPr>
                <w:rFonts w:ascii="Times New Roman" w:hAnsi="Times New Roman"/>
                <w:color w:val="000000" w:themeColor="text1"/>
              </w:rPr>
            </w:pPr>
          </w:p>
        </w:tc>
        <w:tc>
          <w:tcPr>
            <w:tcW w:w="4678" w:type="dxa"/>
          </w:tcPr>
          <w:p w14:paraId="35E191EB"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România</w:t>
            </w:r>
          </w:p>
          <w:p w14:paraId="29A7B1B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S.R.L.</w:t>
            </w:r>
          </w:p>
          <w:p w14:paraId="2158E4E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w:t>
            </w:r>
            <w:r w:rsidRPr="00D045B3">
              <w:rPr>
                <w:rFonts w:ascii="Times New Roman" w:hAnsi="Times New Roman"/>
                <w:noProof/>
                <w:color w:val="000000" w:themeColor="text1"/>
              </w:rPr>
              <w:t>40 212306524</w:t>
            </w:r>
          </w:p>
          <w:p w14:paraId="6A51AF87" w14:textId="77777777" w:rsidR="001B4B6C" w:rsidRPr="00D045B3" w:rsidRDefault="001B4B6C" w:rsidP="006B2245">
            <w:pPr>
              <w:pStyle w:val="KeinLeerraum"/>
              <w:rPr>
                <w:rFonts w:ascii="Times New Roman" w:hAnsi="Times New Roman"/>
                <w:color w:val="000000" w:themeColor="text1"/>
              </w:rPr>
            </w:pPr>
          </w:p>
        </w:tc>
      </w:tr>
      <w:tr w:rsidR="001B4B6C" w:rsidRPr="00D045B3" w14:paraId="6890037D" w14:textId="77777777" w:rsidTr="006B2245">
        <w:trPr>
          <w:cantSplit/>
        </w:trPr>
        <w:tc>
          <w:tcPr>
            <w:tcW w:w="4678" w:type="dxa"/>
            <w:gridSpan w:val="2"/>
          </w:tcPr>
          <w:p w14:paraId="3EA1D42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Ireland</w:t>
            </w:r>
          </w:p>
          <w:p w14:paraId="61550F9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Ireland</w:t>
            </w:r>
          </w:p>
          <w:p w14:paraId="174521BA" w14:textId="06370240"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+353 19127700</w:t>
            </w:r>
          </w:p>
          <w:p w14:paraId="522BA3AD" w14:textId="77777777" w:rsidR="001B4B6C" w:rsidRPr="00D045B3" w:rsidRDefault="001B4B6C" w:rsidP="006B2245">
            <w:pPr>
              <w:pStyle w:val="KeinLeerraum"/>
              <w:rPr>
                <w:rFonts w:ascii="Times New Roman" w:hAnsi="Times New Roman"/>
                <w:color w:val="000000" w:themeColor="text1"/>
              </w:rPr>
            </w:pPr>
          </w:p>
        </w:tc>
        <w:tc>
          <w:tcPr>
            <w:tcW w:w="4678" w:type="dxa"/>
          </w:tcPr>
          <w:p w14:paraId="6F330C25"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Slovenija</w:t>
            </w:r>
          </w:p>
          <w:p w14:paraId="1465E1A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Pliva Ljubljana d.o.o.</w:t>
            </w:r>
          </w:p>
          <w:p w14:paraId="238E810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+386 15890390</w:t>
            </w:r>
          </w:p>
          <w:p w14:paraId="2CF9070B" w14:textId="77777777" w:rsidR="001B4B6C" w:rsidRPr="00D045B3" w:rsidRDefault="001B4B6C" w:rsidP="006B2245">
            <w:pPr>
              <w:pStyle w:val="KeinLeerraum"/>
              <w:rPr>
                <w:rFonts w:ascii="Times New Roman" w:hAnsi="Times New Roman"/>
                <w:b/>
                <w:color w:val="000000" w:themeColor="text1"/>
              </w:rPr>
            </w:pPr>
          </w:p>
        </w:tc>
      </w:tr>
      <w:tr w:rsidR="001B4B6C" w:rsidRPr="00D045B3" w14:paraId="4188089A" w14:textId="77777777" w:rsidTr="006B2245">
        <w:trPr>
          <w:cantSplit/>
        </w:trPr>
        <w:tc>
          <w:tcPr>
            <w:tcW w:w="4678" w:type="dxa"/>
            <w:gridSpan w:val="2"/>
          </w:tcPr>
          <w:p w14:paraId="77E2D216"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Ísland</w:t>
            </w:r>
          </w:p>
          <w:p w14:paraId="53A2839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1C9FEDF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Sími: +354 5503300</w:t>
            </w:r>
          </w:p>
          <w:p w14:paraId="3E79AF1E" w14:textId="77777777" w:rsidR="001B4B6C" w:rsidRPr="00D045B3" w:rsidRDefault="001B4B6C" w:rsidP="006B2245">
            <w:pPr>
              <w:pStyle w:val="KeinLeerraum"/>
              <w:rPr>
                <w:rFonts w:ascii="Times New Roman" w:hAnsi="Times New Roman"/>
                <w:b/>
                <w:color w:val="000000" w:themeColor="text1"/>
              </w:rPr>
            </w:pPr>
          </w:p>
        </w:tc>
        <w:tc>
          <w:tcPr>
            <w:tcW w:w="4678" w:type="dxa"/>
          </w:tcPr>
          <w:p w14:paraId="5D3FF22E"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Slovenská republika</w:t>
            </w:r>
          </w:p>
          <w:p w14:paraId="793AB83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Pharmaceuticals Slovakia s.r.o.</w:t>
            </w:r>
          </w:p>
          <w:p w14:paraId="5CB9BFD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+421 2</w:t>
            </w:r>
            <w:r w:rsidRPr="00D045B3">
              <w:rPr>
                <w:rFonts w:ascii="Times New Roman" w:hAnsi="Times New Roman"/>
                <w:noProof/>
                <w:color w:val="000000" w:themeColor="text1"/>
              </w:rPr>
              <w:t>57267911</w:t>
            </w:r>
          </w:p>
          <w:p w14:paraId="5D026FCE" w14:textId="77777777" w:rsidR="001B4B6C" w:rsidRPr="00D045B3" w:rsidRDefault="001B4B6C" w:rsidP="006B2245">
            <w:pPr>
              <w:pStyle w:val="KeinLeerraum"/>
              <w:rPr>
                <w:rFonts w:ascii="Times New Roman" w:hAnsi="Times New Roman"/>
                <w:color w:val="000000" w:themeColor="text1"/>
              </w:rPr>
            </w:pPr>
          </w:p>
        </w:tc>
      </w:tr>
      <w:tr w:rsidR="001B4B6C" w:rsidRPr="00D045B3" w14:paraId="33040A8B" w14:textId="77777777" w:rsidTr="006B2245">
        <w:trPr>
          <w:cantSplit/>
        </w:trPr>
        <w:tc>
          <w:tcPr>
            <w:tcW w:w="4678" w:type="dxa"/>
            <w:gridSpan w:val="2"/>
          </w:tcPr>
          <w:p w14:paraId="1ABEE2D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Italia</w:t>
            </w:r>
          </w:p>
          <w:p w14:paraId="28107B3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1B52C5A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Islanda</w:t>
            </w:r>
          </w:p>
          <w:p w14:paraId="5175F3C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35171900" w14:textId="77777777" w:rsidR="001B4B6C" w:rsidRPr="00D045B3" w:rsidRDefault="001B4B6C" w:rsidP="006B2245">
            <w:pPr>
              <w:pStyle w:val="KeinLeerraum"/>
              <w:rPr>
                <w:rFonts w:ascii="Times New Roman" w:hAnsi="Times New Roman"/>
                <w:b/>
                <w:color w:val="000000" w:themeColor="text1"/>
              </w:rPr>
            </w:pPr>
          </w:p>
        </w:tc>
        <w:tc>
          <w:tcPr>
            <w:tcW w:w="4678" w:type="dxa"/>
          </w:tcPr>
          <w:p w14:paraId="5226F5C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Suomi/Finland</w:t>
            </w:r>
          </w:p>
          <w:p w14:paraId="3BB0D3C0" w14:textId="075E02EE"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Finland Oy</w:t>
            </w:r>
          </w:p>
          <w:p w14:paraId="09B8468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Puh/Tel: +358 201805900</w:t>
            </w:r>
          </w:p>
          <w:p w14:paraId="7D7600A7" w14:textId="77777777" w:rsidR="001B4B6C" w:rsidRPr="00D045B3" w:rsidRDefault="001B4B6C" w:rsidP="006B2245">
            <w:pPr>
              <w:pStyle w:val="KeinLeerraum"/>
              <w:rPr>
                <w:rFonts w:ascii="Times New Roman" w:hAnsi="Times New Roman"/>
                <w:b/>
                <w:color w:val="000000" w:themeColor="text1"/>
              </w:rPr>
            </w:pPr>
          </w:p>
        </w:tc>
      </w:tr>
      <w:tr w:rsidR="001B4B6C" w:rsidRPr="00D045B3" w14:paraId="152092C2" w14:textId="77777777" w:rsidTr="006B2245">
        <w:trPr>
          <w:cantSplit/>
        </w:trPr>
        <w:tc>
          <w:tcPr>
            <w:tcW w:w="4678" w:type="dxa"/>
            <w:gridSpan w:val="2"/>
          </w:tcPr>
          <w:p w14:paraId="3D154459" w14:textId="77777777" w:rsidR="001B4B6C" w:rsidRPr="00D045B3" w:rsidRDefault="001B4B6C" w:rsidP="006B2245">
            <w:pPr>
              <w:pStyle w:val="KeinLeerraum"/>
              <w:rPr>
                <w:rFonts w:ascii="Times New Roman" w:hAnsi="Times New Roman"/>
                <w:b/>
                <w:color w:val="000000" w:themeColor="text1"/>
              </w:rPr>
            </w:pPr>
            <w:r w:rsidRPr="00F67173">
              <w:rPr>
                <w:rFonts w:ascii="Times New Roman" w:hAnsi="Times New Roman"/>
                <w:b/>
                <w:color w:val="000000" w:themeColor="text1"/>
              </w:rPr>
              <w:t>Κύπρος</w:t>
            </w:r>
          </w:p>
          <w:p w14:paraId="73EBD99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Specifar A.B.E.E.</w:t>
            </w:r>
          </w:p>
          <w:p w14:paraId="3A07EFE4"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Ελλάδα</w:t>
            </w:r>
          </w:p>
          <w:p w14:paraId="5D8ADCE9" w14:textId="3CA32859"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3349C3BE" w14:textId="77777777" w:rsidR="001B4B6C" w:rsidRPr="00D045B3" w:rsidRDefault="001B4B6C" w:rsidP="006B2245">
            <w:pPr>
              <w:pStyle w:val="KeinLeerraum"/>
              <w:rPr>
                <w:rFonts w:ascii="Times New Roman" w:hAnsi="Times New Roman"/>
                <w:color w:val="000000" w:themeColor="text1"/>
              </w:rPr>
            </w:pPr>
          </w:p>
        </w:tc>
        <w:tc>
          <w:tcPr>
            <w:tcW w:w="4678" w:type="dxa"/>
          </w:tcPr>
          <w:p w14:paraId="2FE7157C"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Sverige</w:t>
            </w:r>
          </w:p>
          <w:p w14:paraId="4F2FF82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Sweden AB</w:t>
            </w:r>
          </w:p>
          <w:p w14:paraId="7E4F122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+46 42121100</w:t>
            </w:r>
          </w:p>
          <w:p w14:paraId="3A777DC4" w14:textId="77777777" w:rsidR="001B4B6C" w:rsidRPr="00D045B3" w:rsidRDefault="001B4B6C" w:rsidP="006B2245">
            <w:pPr>
              <w:pStyle w:val="KeinLeerraum"/>
              <w:rPr>
                <w:rFonts w:ascii="Times New Roman" w:hAnsi="Times New Roman"/>
                <w:color w:val="000000" w:themeColor="text1"/>
              </w:rPr>
            </w:pPr>
          </w:p>
        </w:tc>
      </w:tr>
      <w:tr w:rsidR="001B4B6C" w:rsidRPr="00D045B3" w14:paraId="3DD60B10" w14:textId="77777777" w:rsidTr="006B2245">
        <w:trPr>
          <w:cantSplit/>
        </w:trPr>
        <w:tc>
          <w:tcPr>
            <w:tcW w:w="4678" w:type="dxa"/>
            <w:gridSpan w:val="2"/>
          </w:tcPr>
          <w:p w14:paraId="1DAAEC0E" w14:textId="77777777" w:rsidR="001B4B6C" w:rsidRPr="00D045B3" w:rsidRDefault="001B4B6C" w:rsidP="006B2245">
            <w:pPr>
              <w:pStyle w:val="KeinLeerraum"/>
              <w:rPr>
                <w:rFonts w:ascii="Times New Roman" w:hAnsi="Times New Roman"/>
                <w:b/>
                <w:bCs/>
                <w:color w:val="000000" w:themeColor="text1"/>
                <w:lang w:eastAsia="en-GB"/>
              </w:rPr>
            </w:pPr>
            <w:r w:rsidRPr="00D045B3">
              <w:rPr>
                <w:rFonts w:ascii="Times New Roman" w:hAnsi="Times New Roman"/>
                <w:b/>
                <w:bCs/>
                <w:color w:val="000000" w:themeColor="text1"/>
                <w:lang w:eastAsia="en-GB"/>
              </w:rPr>
              <w:t>Latvija</w:t>
            </w:r>
          </w:p>
          <w:p w14:paraId="412E84D1" w14:textId="5A4FA789" w:rsidR="001B4B6C" w:rsidRPr="00D045B3" w:rsidRDefault="001B4B6C" w:rsidP="006B2245">
            <w:pPr>
              <w:spacing w:line="240" w:lineRule="auto"/>
              <w:rPr>
                <w:color w:val="000000" w:themeColor="text1"/>
                <w:szCs w:val="22"/>
                <w:lang w:val="hu-HU" w:eastAsia="en-GB"/>
              </w:rPr>
            </w:pPr>
            <w:r w:rsidRPr="00D045B3">
              <w:rPr>
                <w:color w:val="000000" w:themeColor="text1"/>
                <w:szCs w:val="22"/>
                <w:lang w:val="hu-HU" w:eastAsia="en-GB"/>
              </w:rPr>
              <w:t>UAB Teva Baltics filiāle Latvijā</w:t>
            </w:r>
          </w:p>
          <w:p w14:paraId="30AA1474" w14:textId="77777777" w:rsidR="001B4B6C" w:rsidRPr="00D045B3" w:rsidRDefault="001B4B6C" w:rsidP="006B2245">
            <w:pPr>
              <w:pStyle w:val="KeinLeerraum"/>
              <w:rPr>
                <w:rFonts w:ascii="Times New Roman" w:hAnsi="Times New Roman"/>
                <w:color w:val="000000" w:themeColor="text1"/>
                <w:lang w:eastAsia="en-GB"/>
              </w:rPr>
            </w:pPr>
            <w:r w:rsidRPr="00D045B3">
              <w:rPr>
                <w:rFonts w:ascii="Times New Roman" w:hAnsi="Times New Roman"/>
                <w:color w:val="000000" w:themeColor="text1"/>
                <w:lang w:eastAsia="en-GB"/>
              </w:rPr>
              <w:t>Tel: +371 67323666</w:t>
            </w:r>
          </w:p>
          <w:p w14:paraId="07DF6768" w14:textId="77777777" w:rsidR="001B4B6C" w:rsidRPr="00D045B3" w:rsidRDefault="001B4B6C" w:rsidP="006B2245">
            <w:pPr>
              <w:pStyle w:val="KeinLeerraum"/>
              <w:rPr>
                <w:rFonts w:ascii="Times New Roman" w:hAnsi="Times New Roman"/>
                <w:color w:val="000000" w:themeColor="text1"/>
              </w:rPr>
            </w:pPr>
          </w:p>
        </w:tc>
        <w:tc>
          <w:tcPr>
            <w:tcW w:w="4678" w:type="dxa"/>
          </w:tcPr>
          <w:p w14:paraId="208EBC47"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United Kingdom</w:t>
            </w:r>
          </w:p>
          <w:p w14:paraId="1ED9ABD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UK Limited</w:t>
            </w:r>
          </w:p>
          <w:p w14:paraId="1FA110F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+44 1271385257</w:t>
            </w:r>
          </w:p>
          <w:p w14:paraId="0115D697" w14:textId="77777777" w:rsidR="001B4B6C" w:rsidRPr="00D045B3" w:rsidRDefault="001B4B6C" w:rsidP="006B2245">
            <w:pPr>
              <w:pStyle w:val="KeinLeerraum"/>
              <w:rPr>
                <w:rFonts w:ascii="Times New Roman" w:hAnsi="Times New Roman"/>
                <w:color w:val="000000" w:themeColor="text1"/>
              </w:rPr>
            </w:pPr>
          </w:p>
        </w:tc>
      </w:tr>
    </w:tbl>
    <w:p w14:paraId="57734518" w14:textId="77777777" w:rsidR="001B4B6C" w:rsidRPr="00D045B3" w:rsidRDefault="001B4B6C" w:rsidP="001B4B6C">
      <w:pPr>
        <w:spacing w:line="240" w:lineRule="auto"/>
        <w:rPr>
          <w:color w:val="000000" w:themeColor="text1"/>
          <w:szCs w:val="22"/>
          <w:lang w:val="hu-HU" w:eastAsia="en-US"/>
        </w:rPr>
      </w:pPr>
    </w:p>
    <w:p w14:paraId="1E9281A4" w14:textId="77777777" w:rsidR="00407B2F" w:rsidRPr="00D045B3" w:rsidRDefault="00407B2F" w:rsidP="00C005AC">
      <w:pPr>
        <w:keepNext/>
        <w:spacing w:line="240" w:lineRule="auto"/>
        <w:ind w:right="-2"/>
        <w:rPr>
          <w:b/>
          <w:color w:val="000000"/>
          <w:lang w:val="hu-HU"/>
        </w:rPr>
      </w:pPr>
      <w:r w:rsidRPr="00D045B3">
        <w:rPr>
          <w:b/>
          <w:color w:val="000000"/>
          <w:lang w:val="hu-HU"/>
        </w:rPr>
        <w:t xml:space="preserve">A betegtájékoztató </w:t>
      </w:r>
      <w:r w:rsidRPr="00D045B3">
        <w:rPr>
          <w:b/>
          <w:noProof/>
          <w:szCs w:val="24"/>
          <w:lang w:val="hu-HU"/>
        </w:rPr>
        <w:t>legutóbbi felülvizsgálatának</w:t>
      </w:r>
      <w:r w:rsidRPr="00D045B3">
        <w:rPr>
          <w:b/>
          <w:lang w:val="hu-HU"/>
        </w:rPr>
        <w:t xml:space="preserve"> </w:t>
      </w:r>
      <w:r w:rsidRPr="00D045B3">
        <w:rPr>
          <w:b/>
          <w:color w:val="000000"/>
          <w:lang w:val="hu-HU"/>
        </w:rPr>
        <w:t>dátuma</w:t>
      </w:r>
    </w:p>
    <w:p w14:paraId="1E9281A5" w14:textId="77777777" w:rsidR="00407B2F" w:rsidRPr="00D045B3" w:rsidRDefault="00407B2F" w:rsidP="00C005AC">
      <w:pPr>
        <w:keepNext/>
        <w:spacing w:line="240" w:lineRule="auto"/>
        <w:ind w:right="-2"/>
        <w:rPr>
          <w:color w:val="000000"/>
          <w:lang w:val="hu-HU"/>
        </w:rPr>
      </w:pPr>
    </w:p>
    <w:p w14:paraId="1E9281A6" w14:textId="77777777" w:rsidR="00407B2F" w:rsidRPr="00D045B3" w:rsidRDefault="00407B2F" w:rsidP="00C005AC">
      <w:pPr>
        <w:keepNext/>
        <w:rPr>
          <w:b/>
          <w:lang w:val="hu-HU"/>
        </w:rPr>
      </w:pPr>
      <w:r w:rsidRPr="00D045B3">
        <w:rPr>
          <w:b/>
          <w:lang w:val="hu-HU"/>
        </w:rPr>
        <w:t>Egyéb információforrások</w:t>
      </w:r>
    </w:p>
    <w:p w14:paraId="1E9281A7" w14:textId="77777777" w:rsidR="00407B2F" w:rsidRPr="00D045B3" w:rsidRDefault="00407B2F" w:rsidP="00C005AC">
      <w:pPr>
        <w:keepNext/>
        <w:spacing w:line="240" w:lineRule="auto"/>
        <w:ind w:right="-2"/>
        <w:rPr>
          <w:noProof/>
          <w:color w:val="000000"/>
          <w:lang w:val="hu-HU"/>
        </w:rPr>
      </w:pPr>
    </w:p>
    <w:p w14:paraId="1E9281A8" w14:textId="77777777" w:rsidR="00407B2F" w:rsidRPr="00D045B3" w:rsidRDefault="00407B2F" w:rsidP="00CA41FD">
      <w:pPr>
        <w:autoSpaceDE w:val="0"/>
        <w:autoSpaceDN w:val="0"/>
        <w:adjustRightInd w:val="0"/>
        <w:spacing w:line="240" w:lineRule="auto"/>
        <w:contextualSpacing/>
        <w:rPr>
          <w:rFonts w:eastAsia="Calibri"/>
          <w:snapToGrid/>
          <w:szCs w:val="22"/>
          <w:lang w:val="hu-HU" w:eastAsia="en-US"/>
        </w:rPr>
      </w:pPr>
      <w:r w:rsidRPr="00D045B3">
        <w:rPr>
          <w:noProof/>
          <w:color w:val="000000"/>
          <w:lang w:val="hu-HU"/>
        </w:rPr>
        <w:t>A gyógyszerről részletes információ az Európai Gyógyszerügynökség internetes honlapján (</w:t>
      </w:r>
      <w:hyperlink r:id="rId20" w:history="1">
        <w:r w:rsidR="00F92646" w:rsidRPr="00D045B3">
          <w:rPr>
            <w:rFonts w:eastAsia="Calibri"/>
            <w:snapToGrid/>
            <w:color w:val="0000FF"/>
            <w:szCs w:val="22"/>
            <w:u w:val="single"/>
            <w:lang w:val="hu-HU" w:eastAsia="en-US"/>
          </w:rPr>
          <w:t>http://www.ema.europa.eu</w:t>
        </w:r>
      </w:hyperlink>
      <w:r w:rsidRPr="00D045B3">
        <w:rPr>
          <w:iCs/>
          <w:noProof/>
          <w:color w:val="000000"/>
          <w:lang w:val="hu-HU"/>
        </w:rPr>
        <w:t>) található.</w:t>
      </w:r>
    </w:p>
    <w:p w14:paraId="1E9281A9" w14:textId="77777777" w:rsidR="00407B2F" w:rsidRPr="00D045B3" w:rsidRDefault="00407B2F" w:rsidP="00407B2F">
      <w:pPr>
        <w:pStyle w:val="KeinLeerraum"/>
        <w:rPr>
          <w:rFonts w:ascii="Times New Roman" w:hAnsi="Times New Roman"/>
        </w:rPr>
      </w:pPr>
    </w:p>
    <w:p w14:paraId="1E9281AA" w14:textId="77777777" w:rsidR="00D069FF" w:rsidRPr="00D045B3" w:rsidRDefault="00407B2F" w:rsidP="00407B2F">
      <w:pPr>
        <w:widowControl w:val="0"/>
        <w:spacing w:line="240" w:lineRule="auto"/>
        <w:jc w:val="center"/>
        <w:rPr>
          <w:color w:val="000000"/>
          <w:szCs w:val="22"/>
          <w:lang w:val="hu-HU"/>
        </w:rPr>
      </w:pPr>
      <w:r w:rsidRPr="00D045B3">
        <w:rPr>
          <w:lang w:val="hu-HU"/>
        </w:rPr>
        <w:br w:type="page"/>
      </w:r>
      <w:r w:rsidR="00D069FF" w:rsidRPr="00D045B3">
        <w:rPr>
          <w:b/>
          <w:noProof/>
          <w:szCs w:val="24"/>
          <w:lang w:val="hu-HU"/>
        </w:rPr>
        <w:t>Betegtájékoztató: Információk a felhasználó számára</w:t>
      </w:r>
    </w:p>
    <w:p w14:paraId="1E9281AB" w14:textId="77777777" w:rsidR="00D069FF" w:rsidRPr="00D045B3" w:rsidRDefault="00D069FF" w:rsidP="00D069FF">
      <w:pPr>
        <w:widowControl w:val="0"/>
        <w:spacing w:line="240" w:lineRule="auto"/>
        <w:jc w:val="center"/>
        <w:rPr>
          <w:color w:val="000000"/>
          <w:szCs w:val="22"/>
          <w:lang w:val="hu-HU"/>
        </w:rPr>
      </w:pPr>
    </w:p>
    <w:p w14:paraId="1E9281AC" w14:textId="77777777" w:rsidR="00D069FF" w:rsidRPr="00D045B3" w:rsidRDefault="00D069FF" w:rsidP="00D069FF">
      <w:pPr>
        <w:widowControl w:val="0"/>
        <w:spacing w:line="240" w:lineRule="auto"/>
        <w:jc w:val="center"/>
        <w:rPr>
          <w:color w:val="000000"/>
          <w:szCs w:val="22"/>
          <w:lang w:val="hu-HU"/>
        </w:rPr>
      </w:pPr>
      <w:r w:rsidRPr="00D045B3">
        <w:rPr>
          <w:b/>
          <w:color w:val="000000"/>
          <w:szCs w:val="22"/>
          <w:lang w:val="hu-HU"/>
        </w:rPr>
        <w:t>Imatinib Actavis</w:t>
      </w:r>
      <w:r w:rsidR="0006447B" w:rsidRPr="00D045B3">
        <w:rPr>
          <w:b/>
          <w:color w:val="000000"/>
          <w:szCs w:val="22"/>
          <w:lang w:val="hu-HU"/>
        </w:rPr>
        <w:t xml:space="preserve"> 10</w:t>
      </w:r>
      <w:r w:rsidRPr="00D045B3">
        <w:rPr>
          <w:b/>
          <w:color w:val="000000"/>
          <w:szCs w:val="22"/>
          <w:lang w:val="hu-HU"/>
        </w:rPr>
        <w:t xml:space="preserve">0 mg </w:t>
      </w:r>
      <w:r w:rsidR="0006447B" w:rsidRPr="00D045B3">
        <w:rPr>
          <w:b/>
          <w:color w:val="000000"/>
          <w:szCs w:val="22"/>
          <w:lang w:val="hu-HU"/>
        </w:rPr>
        <w:t>filmtabletta</w:t>
      </w:r>
    </w:p>
    <w:p w14:paraId="1E9281AD" w14:textId="77777777" w:rsidR="00D069FF" w:rsidRPr="00D045B3" w:rsidRDefault="00D069FF" w:rsidP="00D069FF">
      <w:pPr>
        <w:widowControl w:val="0"/>
        <w:spacing w:line="240" w:lineRule="auto"/>
        <w:jc w:val="center"/>
        <w:rPr>
          <w:color w:val="000000"/>
          <w:szCs w:val="22"/>
          <w:lang w:val="hu-HU"/>
        </w:rPr>
      </w:pPr>
      <w:r w:rsidRPr="00D045B3">
        <w:rPr>
          <w:color w:val="000000"/>
          <w:szCs w:val="22"/>
          <w:lang w:val="hu-HU"/>
        </w:rPr>
        <w:t>imatinib</w:t>
      </w:r>
    </w:p>
    <w:p w14:paraId="1E9281AE" w14:textId="77777777" w:rsidR="00D069FF" w:rsidRPr="00D045B3" w:rsidRDefault="00D069FF" w:rsidP="00D069FF">
      <w:pPr>
        <w:spacing w:line="240" w:lineRule="auto"/>
        <w:jc w:val="center"/>
        <w:rPr>
          <w:color w:val="000000"/>
          <w:lang w:val="hu-HU"/>
        </w:rPr>
      </w:pPr>
    </w:p>
    <w:p w14:paraId="1E9281AF" w14:textId="77777777" w:rsidR="00D069FF" w:rsidRPr="00D045B3" w:rsidRDefault="00D069FF" w:rsidP="00D069FF">
      <w:pPr>
        <w:spacing w:line="240" w:lineRule="auto"/>
        <w:jc w:val="center"/>
        <w:rPr>
          <w:color w:val="000000"/>
          <w:lang w:val="hu-HU"/>
        </w:rPr>
      </w:pPr>
    </w:p>
    <w:p w14:paraId="1E9281B0" w14:textId="77777777" w:rsidR="00D069FF" w:rsidRPr="00D045B3" w:rsidRDefault="00D069FF" w:rsidP="00D069FF">
      <w:pPr>
        <w:spacing w:line="240" w:lineRule="auto"/>
        <w:rPr>
          <w:b/>
          <w:color w:val="000000"/>
          <w:lang w:val="hu-HU"/>
        </w:rPr>
      </w:pPr>
      <w:r w:rsidRPr="00D045B3">
        <w:rPr>
          <w:b/>
          <w:color w:val="000000"/>
          <w:lang w:val="hu-HU"/>
        </w:rPr>
        <w:t>Mielőtt elkezdi szedni ezt a gyógyszert, olvassa el figyelmesen az alábbi betegtájékoztatót</w:t>
      </w:r>
      <w:r w:rsidRPr="00D045B3">
        <w:rPr>
          <w:b/>
          <w:noProof/>
          <w:szCs w:val="24"/>
          <w:lang w:val="hu-HU"/>
        </w:rPr>
        <w:t>, me</w:t>
      </w:r>
      <w:r w:rsidR="00C24E5F" w:rsidRPr="00D045B3">
        <w:rPr>
          <w:b/>
          <w:noProof/>
          <w:szCs w:val="24"/>
          <w:lang w:val="hu-HU"/>
        </w:rPr>
        <w:t>rt</w:t>
      </w:r>
      <w:r w:rsidRPr="00D045B3">
        <w:rPr>
          <w:b/>
          <w:noProof/>
          <w:szCs w:val="24"/>
          <w:lang w:val="hu-HU"/>
        </w:rPr>
        <w:t xml:space="preserve"> az Ön számára fontos információkat tartalmaz</w:t>
      </w:r>
      <w:r w:rsidRPr="00D045B3">
        <w:rPr>
          <w:b/>
          <w:color w:val="000000"/>
          <w:lang w:val="hu-HU"/>
        </w:rPr>
        <w:t>.</w:t>
      </w:r>
    </w:p>
    <w:p w14:paraId="1E9281B1" w14:textId="77777777" w:rsidR="00D069FF" w:rsidRPr="00D045B3" w:rsidRDefault="00D069FF" w:rsidP="00E95370">
      <w:pPr>
        <w:numPr>
          <w:ilvl w:val="0"/>
          <w:numId w:val="8"/>
        </w:numPr>
        <w:tabs>
          <w:tab w:val="clear" w:pos="360"/>
          <w:tab w:val="clear" w:pos="567"/>
        </w:tabs>
        <w:suppressAutoHyphens/>
        <w:spacing w:line="240" w:lineRule="auto"/>
        <w:ind w:left="567" w:hanging="567"/>
        <w:rPr>
          <w:color w:val="000000"/>
          <w:lang w:val="hu-HU"/>
        </w:rPr>
      </w:pPr>
      <w:r w:rsidRPr="00D045B3">
        <w:rPr>
          <w:color w:val="000000"/>
          <w:lang w:val="hu-HU"/>
        </w:rPr>
        <w:t>Tartsa meg a betegtájékoztatót, mert a benne szereplő információkra a későbbiekben is szüksége lehet.</w:t>
      </w:r>
    </w:p>
    <w:p w14:paraId="1E9281B2" w14:textId="77777777" w:rsidR="00D069FF" w:rsidRPr="00D045B3" w:rsidRDefault="00D069FF" w:rsidP="00E95370">
      <w:pPr>
        <w:numPr>
          <w:ilvl w:val="0"/>
          <w:numId w:val="8"/>
        </w:numPr>
        <w:tabs>
          <w:tab w:val="clear" w:pos="360"/>
          <w:tab w:val="clear" w:pos="567"/>
        </w:tabs>
        <w:suppressAutoHyphens/>
        <w:spacing w:line="240" w:lineRule="auto"/>
        <w:ind w:left="567" w:hanging="567"/>
        <w:rPr>
          <w:color w:val="000000"/>
          <w:lang w:val="hu-HU"/>
        </w:rPr>
      </w:pPr>
      <w:r w:rsidRPr="00D045B3">
        <w:rPr>
          <w:color w:val="000000"/>
          <w:lang w:val="hu-HU"/>
        </w:rPr>
        <w:t xml:space="preserve">További kérdéseivel forduljon </w:t>
      </w:r>
      <w:r w:rsidRPr="00D045B3">
        <w:rPr>
          <w:noProof/>
          <w:szCs w:val="24"/>
          <w:lang w:val="hu-HU"/>
        </w:rPr>
        <w:t>kezelőorvosához,</w:t>
      </w:r>
      <w:r w:rsidRPr="00D045B3">
        <w:rPr>
          <w:color w:val="000000"/>
          <w:lang w:val="hu-HU"/>
        </w:rPr>
        <w:t xml:space="preserve"> gyógyszerészéhez </w:t>
      </w:r>
      <w:r w:rsidRPr="00D045B3">
        <w:rPr>
          <w:noProof/>
          <w:szCs w:val="24"/>
          <w:lang w:val="hu-HU"/>
        </w:rPr>
        <w:t xml:space="preserve">vagy </w:t>
      </w:r>
      <w:r w:rsidR="00EA1E58" w:rsidRPr="00D045B3">
        <w:rPr>
          <w:noProof/>
          <w:szCs w:val="24"/>
          <w:lang w:val="hu-HU"/>
        </w:rPr>
        <w:t xml:space="preserve">a </w:t>
      </w:r>
      <w:r w:rsidR="00EA1E58" w:rsidRPr="00D045B3">
        <w:rPr>
          <w:lang w:val="hu-HU"/>
        </w:rPr>
        <w:t>gondozását végző egészségügyi szakemberhez</w:t>
      </w:r>
      <w:r w:rsidRPr="00D045B3">
        <w:rPr>
          <w:color w:val="000000"/>
          <w:lang w:val="hu-HU"/>
        </w:rPr>
        <w:t>.</w:t>
      </w:r>
    </w:p>
    <w:p w14:paraId="1E9281B3" w14:textId="77777777" w:rsidR="00D069FF" w:rsidRPr="00D045B3" w:rsidRDefault="00D069FF" w:rsidP="00E95370">
      <w:pPr>
        <w:pStyle w:val="WW-NormlWeb"/>
        <w:numPr>
          <w:ilvl w:val="0"/>
          <w:numId w:val="6"/>
        </w:numPr>
        <w:tabs>
          <w:tab w:val="clear" w:pos="360"/>
        </w:tabs>
        <w:spacing w:before="0" w:after="0" w:line="240" w:lineRule="auto"/>
        <w:ind w:left="567" w:hanging="567"/>
        <w:rPr>
          <w:rFonts w:ascii="Times New Roman" w:hAnsi="Times New Roman"/>
          <w:color w:val="000000"/>
          <w:sz w:val="22"/>
        </w:rPr>
      </w:pPr>
      <w:r w:rsidRPr="00D045B3">
        <w:rPr>
          <w:rFonts w:ascii="Times New Roman" w:hAnsi="Times New Roman"/>
          <w:color w:val="000000"/>
          <w:sz w:val="22"/>
        </w:rPr>
        <w:t>Ezt a gyógyszert az orvos kizárólag Önnek írta fel. Ne adja át a készítményt másnak, mert számára ártalmas lehet még abban az esetben is, ha a betegsége tünetei az Önéhez hasonlóak.</w:t>
      </w:r>
    </w:p>
    <w:p w14:paraId="1E9281B4" w14:textId="77777777" w:rsidR="00D069FF" w:rsidRPr="00D045B3" w:rsidRDefault="00D069FF" w:rsidP="00E95370">
      <w:pPr>
        <w:widowControl w:val="0"/>
        <w:numPr>
          <w:ilvl w:val="0"/>
          <w:numId w:val="16"/>
        </w:numPr>
        <w:tabs>
          <w:tab w:val="clear" w:pos="567"/>
        </w:tabs>
        <w:spacing w:line="240" w:lineRule="auto"/>
        <w:ind w:left="567" w:right="-2" w:hanging="567"/>
        <w:rPr>
          <w:color w:val="000000"/>
          <w:szCs w:val="22"/>
          <w:lang w:val="hu-HU"/>
        </w:rPr>
      </w:pPr>
      <w:r w:rsidRPr="00D045B3">
        <w:rPr>
          <w:color w:val="000000"/>
          <w:lang w:val="hu-HU"/>
        </w:rPr>
        <w:t xml:space="preserve">Ha Önnél bármilyen mellékhatás jelentkezik, tájékoztassa erről kezelőorvosát, gyógyszerészét vagy </w:t>
      </w:r>
      <w:r w:rsidR="00600C7B" w:rsidRPr="00D045B3">
        <w:rPr>
          <w:color w:val="000000"/>
          <w:lang w:val="hu-HU"/>
        </w:rPr>
        <w:t xml:space="preserve">a </w:t>
      </w:r>
      <w:r w:rsidR="00EA1E58" w:rsidRPr="00D045B3">
        <w:rPr>
          <w:lang w:val="hu-HU"/>
        </w:rPr>
        <w:t>gondozását végző egészségügyi szakembert</w:t>
      </w:r>
      <w:r w:rsidRPr="00D045B3">
        <w:rPr>
          <w:color w:val="000000"/>
          <w:lang w:val="hu-HU"/>
        </w:rPr>
        <w:t>. Ez a betegtájékoztatóban fel nem sorolt bármilyen lehetséges mellékhatásra is vonatkozik.</w:t>
      </w:r>
      <w:r w:rsidR="00EA1E58" w:rsidRPr="00D045B3">
        <w:rPr>
          <w:color w:val="000000"/>
          <w:lang w:val="hu-HU"/>
        </w:rPr>
        <w:t xml:space="preserve"> Lásd 4. pont.</w:t>
      </w:r>
    </w:p>
    <w:p w14:paraId="1E9281B5" w14:textId="77777777" w:rsidR="00D069FF" w:rsidRPr="00D045B3" w:rsidRDefault="00D069FF" w:rsidP="00D069FF">
      <w:pPr>
        <w:spacing w:line="240" w:lineRule="auto"/>
        <w:ind w:right="-2"/>
        <w:rPr>
          <w:color w:val="000000"/>
          <w:lang w:val="hu-HU"/>
        </w:rPr>
      </w:pPr>
    </w:p>
    <w:p w14:paraId="1E9281B6" w14:textId="77777777" w:rsidR="00D069FF" w:rsidRPr="00D045B3" w:rsidRDefault="00D069FF" w:rsidP="00D069FF">
      <w:pPr>
        <w:keepNext/>
        <w:spacing w:line="240" w:lineRule="auto"/>
        <w:ind w:right="-2"/>
        <w:rPr>
          <w:b/>
          <w:color w:val="000000"/>
          <w:lang w:val="hu-HU"/>
        </w:rPr>
      </w:pPr>
      <w:r w:rsidRPr="00D045B3">
        <w:rPr>
          <w:b/>
          <w:color w:val="000000"/>
          <w:lang w:val="hu-HU"/>
        </w:rPr>
        <w:t>A betegtájékoztató tartalma</w:t>
      </w:r>
      <w:r w:rsidR="001B47B6" w:rsidRPr="00D045B3">
        <w:rPr>
          <w:b/>
          <w:color w:val="000000"/>
          <w:lang w:val="hu-HU"/>
        </w:rPr>
        <w:t>:</w:t>
      </w:r>
    </w:p>
    <w:p w14:paraId="1E9281B7" w14:textId="77777777" w:rsidR="0080052A" w:rsidRPr="00D045B3" w:rsidRDefault="0080052A" w:rsidP="00D069FF">
      <w:pPr>
        <w:keepNext/>
        <w:spacing w:line="240" w:lineRule="auto"/>
        <w:ind w:right="-2"/>
        <w:rPr>
          <w:b/>
          <w:color w:val="000000"/>
          <w:lang w:val="hu-HU"/>
        </w:rPr>
      </w:pPr>
    </w:p>
    <w:p w14:paraId="1E9281B8" w14:textId="77777777" w:rsidR="00D069FF" w:rsidRPr="00D045B3" w:rsidRDefault="00D069FF" w:rsidP="00CA41FD">
      <w:pPr>
        <w:spacing w:line="240" w:lineRule="auto"/>
        <w:ind w:right="-28"/>
        <w:rPr>
          <w:color w:val="000000"/>
          <w:lang w:val="hu-HU"/>
        </w:rPr>
      </w:pPr>
      <w:r w:rsidRPr="00D045B3">
        <w:rPr>
          <w:color w:val="000000"/>
          <w:lang w:val="hu-HU"/>
        </w:rPr>
        <w:t>1.</w:t>
      </w:r>
      <w:r w:rsidRPr="00D045B3">
        <w:rPr>
          <w:color w:val="000000"/>
          <w:lang w:val="hu-HU"/>
        </w:rPr>
        <w:tab/>
        <w:t>Milyen típusú gyógyszer az Imatinib Actavis és milyen betegségek esetén alkalmazható?</w:t>
      </w:r>
    </w:p>
    <w:p w14:paraId="1E9281B9" w14:textId="77777777" w:rsidR="00D069FF" w:rsidRPr="00D045B3" w:rsidRDefault="00D069FF" w:rsidP="00D069FF">
      <w:pPr>
        <w:spacing w:line="240" w:lineRule="auto"/>
        <w:ind w:right="-29"/>
        <w:rPr>
          <w:color w:val="000000"/>
          <w:lang w:val="hu-HU"/>
        </w:rPr>
      </w:pPr>
      <w:r w:rsidRPr="00D045B3">
        <w:rPr>
          <w:color w:val="000000"/>
          <w:lang w:val="hu-HU"/>
        </w:rPr>
        <w:t>2.</w:t>
      </w:r>
      <w:r w:rsidRPr="00D045B3">
        <w:rPr>
          <w:color w:val="000000"/>
          <w:lang w:val="hu-HU"/>
        </w:rPr>
        <w:tab/>
        <w:t>Tudnivalók az Imatinib Actavis szedése előtt</w:t>
      </w:r>
    </w:p>
    <w:p w14:paraId="1E9281BA" w14:textId="77777777" w:rsidR="00D069FF" w:rsidRPr="00D045B3" w:rsidRDefault="00D069FF" w:rsidP="00D069FF">
      <w:pPr>
        <w:spacing w:line="240" w:lineRule="auto"/>
        <w:ind w:left="567" w:right="-29" w:hanging="567"/>
        <w:rPr>
          <w:color w:val="000000"/>
          <w:lang w:val="hu-HU"/>
        </w:rPr>
      </w:pPr>
      <w:r w:rsidRPr="00D045B3">
        <w:rPr>
          <w:color w:val="000000"/>
          <w:lang w:val="hu-HU"/>
        </w:rPr>
        <w:t>3.</w:t>
      </w:r>
      <w:r w:rsidRPr="00D045B3">
        <w:rPr>
          <w:color w:val="000000"/>
          <w:lang w:val="hu-HU"/>
        </w:rPr>
        <w:tab/>
        <w:t>Hogyan kell szedni az Imatinib Actavis</w:t>
      </w:r>
      <w:r w:rsidRPr="00D045B3">
        <w:rPr>
          <w:color w:val="000000"/>
          <w:lang w:val="hu-HU"/>
        </w:rPr>
        <w:noBreakHyphen/>
        <w:t>t?</w:t>
      </w:r>
    </w:p>
    <w:p w14:paraId="1E9281BB" w14:textId="77777777" w:rsidR="00D069FF" w:rsidRPr="00D045B3" w:rsidRDefault="00D069FF" w:rsidP="00D069FF">
      <w:pPr>
        <w:spacing w:line="240" w:lineRule="auto"/>
        <w:ind w:left="567" w:right="-29" w:hanging="567"/>
        <w:rPr>
          <w:color w:val="000000"/>
          <w:lang w:val="hu-HU"/>
        </w:rPr>
      </w:pPr>
      <w:r w:rsidRPr="00D045B3">
        <w:rPr>
          <w:color w:val="000000"/>
          <w:lang w:val="hu-HU"/>
        </w:rPr>
        <w:t>4.</w:t>
      </w:r>
      <w:r w:rsidRPr="00D045B3">
        <w:rPr>
          <w:color w:val="000000"/>
          <w:lang w:val="hu-HU"/>
        </w:rPr>
        <w:tab/>
        <w:t>Lehetséges mellékhatások</w:t>
      </w:r>
    </w:p>
    <w:p w14:paraId="1E9281BC" w14:textId="77777777" w:rsidR="00D069FF" w:rsidRPr="00D045B3" w:rsidRDefault="00D069FF" w:rsidP="00D069FF">
      <w:pPr>
        <w:spacing w:line="240" w:lineRule="auto"/>
        <w:ind w:left="567" w:right="-29" w:hanging="567"/>
        <w:rPr>
          <w:color w:val="000000"/>
          <w:lang w:val="hu-HU"/>
        </w:rPr>
      </w:pPr>
      <w:r w:rsidRPr="00D045B3">
        <w:rPr>
          <w:color w:val="000000"/>
          <w:lang w:val="hu-HU"/>
        </w:rPr>
        <w:t>5.</w:t>
      </w:r>
      <w:r w:rsidRPr="00D045B3">
        <w:rPr>
          <w:color w:val="000000"/>
          <w:lang w:val="hu-HU"/>
        </w:rPr>
        <w:tab/>
        <w:t>Hogyan kell az Imatinib Actavis</w:t>
      </w:r>
      <w:r w:rsidRPr="00D045B3">
        <w:rPr>
          <w:color w:val="000000"/>
          <w:lang w:val="hu-HU"/>
        </w:rPr>
        <w:noBreakHyphen/>
        <w:t>t tárolni?</w:t>
      </w:r>
    </w:p>
    <w:p w14:paraId="1E9281BD" w14:textId="77777777" w:rsidR="00D069FF" w:rsidRPr="00D045B3" w:rsidRDefault="00D069FF" w:rsidP="00D069FF">
      <w:pPr>
        <w:spacing w:line="240" w:lineRule="auto"/>
        <w:ind w:left="567" w:right="-29" w:hanging="567"/>
        <w:rPr>
          <w:color w:val="000000"/>
          <w:lang w:val="hu-HU"/>
        </w:rPr>
      </w:pPr>
      <w:r w:rsidRPr="00D045B3">
        <w:rPr>
          <w:color w:val="000000"/>
          <w:lang w:val="hu-HU"/>
        </w:rPr>
        <w:t>6.</w:t>
      </w:r>
      <w:r w:rsidRPr="00D045B3">
        <w:rPr>
          <w:color w:val="000000"/>
          <w:lang w:val="hu-HU"/>
        </w:rPr>
        <w:tab/>
      </w:r>
      <w:r w:rsidRPr="00D045B3">
        <w:rPr>
          <w:noProof/>
          <w:szCs w:val="24"/>
          <w:lang w:val="hu-HU"/>
        </w:rPr>
        <w:t xml:space="preserve">A csomagolás tartalma és egyéb </w:t>
      </w:r>
      <w:r w:rsidRPr="00D045B3">
        <w:rPr>
          <w:color w:val="000000"/>
          <w:lang w:val="hu-HU"/>
        </w:rPr>
        <w:t>információk</w:t>
      </w:r>
    </w:p>
    <w:p w14:paraId="1E9281BE" w14:textId="77777777" w:rsidR="00D069FF" w:rsidRPr="00D045B3" w:rsidRDefault="00D069FF" w:rsidP="00D069FF">
      <w:pPr>
        <w:spacing w:line="240" w:lineRule="auto"/>
        <w:ind w:right="-2"/>
        <w:rPr>
          <w:color w:val="000000"/>
          <w:lang w:val="hu-HU"/>
        </w:rPr>
      </w:pPr>
    </w:p>
    <w:p w14:paraId="1E9281BF" w14:textId="77777777" w:rsidR="00D069FF" w:rsidRPr="00D045B3" w:rsidRDefault="00D069FF" w:rsidP="00D069FF">
      <w:pPr>
        <w:spacing w:line="240" w:lineRule="auto"/>
        <w:ind w:right="-2"/>
        <w:rPr>
          <w:color w:val="000000"/>
          <w:lang w:val="hu-HU"/>
        </w:rPr>
      </w:pPr>
    </w:p>
    <w:p w14:paraId="1E9281C0" w14:textId="77777777" w:rsidR="002B5314" w:rsidRPr="00D045B3" w:rsidRDefault="002B5314" w:rsidP="002B5314">
      <w:pPr>
        <w:keepNext/>
        <w:spacing w:line="240" w:lineRule="auto"/>
        <w:ind w:left="567" w:hanging="567"/>
        <w:rPr>
          <w:b/>
          <w:color w:val="000000"/>
          <w:szCs w:val="22"/>
          <w:lang w:val="hu-HU"/>
        </w:rPr>
      </w:pPr>
      <w:r w:rsidRPr="00D045B3">
        <w:rPr>
          <w:b/>
          <w:color w:val="000000"/>
          <w:szCs w:val="22"/>
          <w:lang w:val="hu-HU"/>
        </w:rPr>
        <w:t>1.</w:t>
      </w:r>
      <w:r w:rsidRPr="00D045B3">
        <w:rPr>
          <w:b/>
          <w:color w:val="000000"/>
          <w:szCs w:val="22"/>
          <w:lang w:val="hu-HU"/>
        </w:rPr>
        <w:tab/>
        <w:t>Milyen típusú gyógyszer az Imatinib Actavis és milyen betegségek esetén alkalmazható?</w:t>
      </w:r>
    </w:p>
    <w:p w14:paraId="1E9281C1" w14:textId="77777777" w:rsidR="002B5314" w:rsidRPr="00D045B3" w:rsidRDefault="002B5314" w:rsidP="002B5314">
      <w:pPr>
        <w:keepNext/>
        <w:spacing w:line="240" w:lineRule="auto"/>
        <w:rPr>
          <w:color w:val="000000"/>
          <w:szCs w:val="22"/>
          <w:lang w:val="hu-HU"/>
        </w:rPr>
      </w:pPr>
    </w:p>
    <w:p w14:paraId="1E9281C2" w14:textId="3CDB1E5E" w:rsidR="002B5314" w:rsidRPr="00D045B3" w:rsidRDefault="002B5314" w:rsidP="00CA41FD">
      <w:pPr>
        <w:spacing w:line="240" w:lineRule="auto"/>
        <w:rPr>
          <w:color w:val="000000"/>
          <w:szCs w:val="22"/>
          <w:lang w:val="hu-HU"/>
        </w:rPr>
      </w:pPr>
      <w:r w:rsidRPr="00D045B3">
        <w:rPr>
          <w:color w:val="000000"/>
          <w:szCs w:val="22"/>
          <w:lang w:val="hu-HU"/>
        </w:rPr>
        <w:t xml:space="preserve">Az Imatinib Actavis egy imatinib nevű hatóanyagot tartalmazó gyógyszer. Ez a gyógyszer a kóros sejtek szaporodását gátolja az alábbi betegségekben. </w:t>
      </w:r>
      <w:r w:rsidRPr="00D045B3">
        <w:rPr>
          <w:szCs w:val="22"/>
          <w:lang w:val="hu-HU"/>
        </w:rPr>
        <w:t xml:space="preserve">Ezek a </w:t>
      </w:r>
      <w:r w:rsidR="00C7474B" w:rsidRPr="00D045B3">
        <w:rPr>
          <w:szCs w:val="22"/>
          <w:lang w:val="hu-HU"/>
        </w:rPr>
        <w:t>betegségek bizonyos típusú rákos megbetegedések</w:t>
      </w:r>
      <w:r w:rsidRPr="00D045B3">
        <w:rPr>
          <w:szCs w:val="22"/>
          <w:lang w:val="hu-HU"/>
        </w:rPr>
        <w:t>.</w:t>
      </w:r>
    </w:p>
    <w:p w14:paraId="1E9281C3" w14:textId="77777777" w:rsidR="002B5314" w:rsidRPr="00D045B3" w:rsidRDefault="002B5314" w:rsidP="002B5314">
      <w:pPr>
        <w:spacing w:line="240" w:lineRule="auto"/>
        <w:ind w:right="-2"/>
        <w:rPr>
          <w:color w:val="000000"/>
          <w:szCs w:val="22"/>
          <w:lang w:val="hu-HU"/>
        </w:rPr>
      </w:pPr>
    </w:p>
    <w:p w14:paraId="1E9281C4" w14:textId="17643DD4" w:rsidR="002B5314" w:rsidRPr="00D045B3" w:rsidRDefault="002B5314" w:rsidP="002B5314">
      <w:pPr>
        <w:keepNext/>
        <w:spacing w:line="240" w:lineRule="auto"/>
        <w:rPr>
          <w:b/>
          <w:color w:val="000000"/>
          <w:szCs w:val="22"/>
          <w:lang w:val="hu-HU"/>
        </w:rPr>
      </w:pPr>
      <w:r w:rsidRPr="00D045B3">
        <w:rPr>
          <w:b/>
          <w:color w:val="000000"/>
          <w:szCs w:val="22"/>
          <w:lang w:val="hu-HU"/>
        </w:rPr>
        <w:t>Az Imatinib Actavis az alábbiak kezelésére alkalmazható:</w:t>
      </w:r>
    </w:p>
    <w:p w14:paraId="1E9281C5" w14:textId="77777777" w:rsidR="004516E3" w:rsidRPr="00D045B3" w:rsidRDefault="004516E3" w:rsidP="002B5314">
      <w:pPr>
        <w:keepNext/>
        <w:spacing w:line="240" w:lineRule="auto"/>
        <w:rPr>
          <w:b/>
          <w:color w:val="000000"/>
          <w:szCs w:val="22"/>
          <w:lang w:val="hu-HU"/>
        </w:rPr>
      </w:pPr>
    </w:p>
    <w:p w14:paraId="1E9281C6" w14:textId="77777777" w:rsidR="002B5314" w:rsidRPr="00D045B3" w:rsidRDefault="002B5314" w:rsidP="00E95370">
      <w:pPr>
        <w:numPr>
          <w:ilvl w:val="0"/>
          <w:numId w:val="26"/>
        </w:numPr>
        <w:spacing w:line="240" w:lineRule="auto"/>
        <w:ind w:left="567" w:hanging="567"/>
        <w:rPr>
          <w:b/>
          <w:color w:val="000000"/>
          <w:szCs w:val="22"/>
          <w:lang w:val="hu-HU"/>
        </w:rPr>
      </w:pPr>
      <w:r w:rsidRPr="00D045B3">
        <w:rPr>
          <w:b/>
          <w:color w:val="000000"/>
          <w:szCs w:val="22"/>
          <w:lang w:val="hu-HU"/>
        </w:rPr>
        <w:t>krónikus mieloid leukémia (CML).</w:t>
      </w:r>
    </w:p>
    <w:p w14:paraId="1E9281C7" w14:textId="77777777" w:rsidR="002B5314" w:rsidRPr="00D045B3" w:rsidRDefault="002B5314" w:rsidP="002B5314">
      <w:pPr>
        <w:keepNext/>
        <w:spacing w:line="240" w:lineRule="auto"/>
        <w:ind w:left="567"/>
        <w:rPr>
          <w:color w:val="000000"/>
          <w:szCs w:val="22"/>
          <w:lang w:val="hu-HU"/>
        </w:rPr>
      </w:pPr>
      <w:r w:rsidRPr="00D045B3">
        <w:rPr>
          <w:color w:val="000000"/>
          <w:szCs w:val="22"/>
          <w:lang w:val="hu-HU"/>
        </w:rPr>
        <w:t>A leukémia a fehérvérsejtek daganatos megbetegedése. Ezek a fehérvérsejtek általában segítik a szervezetet a fertőzések leküzdésében. A krónikus mieloid leukémia a leukémiák azon formája, amelyben egyes kóros fehérvérsejtek (mieloid sejtek) száma szabályozatlanul növekedni kezd.</w:t>
      </w:r>
    </w:p>
    <w:p w14:paraId="1E9281C8" w14:textId="77777777" w:rsidR="002B5314" w:rsidRPr="00D045B3" w:rsidRDefault="002B5314" w:rsidP="002B5314">
      <w:pPr>
        <w:spacing w:line="240" w:lineRule="auto"/>
        <w:ind w:right="-2"/>
        <w:rPr>
          <w:color w:val="000000"/>
          <w:szCs w:val="22"/>
          <w:lang w:val="hu-HU"/>
        </w:rPr>
      </w:pPr>
    </w:p>
    <w:p w14:paraId="1E9281C9" w14:textId="77777777" w:rsidR="002B5314" w:rsidRPr="00D045B3" w:rsidRDefault="002B5314" w:rsidP="002B5314">
      <w:pPr>
        <w:spacing w:line="240" w:lineRule="auto"/>
        <w:rPr>
          <w:color w:val="000000"/>
          <w:szCs w:val="22"/>
          <w:lang w:val="hu-HU"/>
        </w:rPr>
      </w:pPr>
      <w:r w:rsidRPr="00D045B3">
        <w:rPr>
          <w:color w:val="000000"/>
          <w:szCs w:val="22"/>
          <w:lang w:val="hu-HU"/>
        </w:rPr>
        <w:t>Felnőtt betegekné</w:t>
      </w:r>
      <w:r w:rsidR="0078534B" w:rsidRPr="00D045B3">
        <w:rPr>
          <w:color w:val="000000"/>
          <w:szCs w:val="22"/>
          <w:lang w:val="hu-HU"/>
        </w:rPr>
        <w:t>l</w:t>
      </w:r>
      <w:r w:rsidRPr="00D045B3">
        <w:rPr>
          <w:color w:val="000000"/>
          <w:szCs w:val="22"/>
          <w:lang w:val="hu-HU"/>
        </w:rPr>
        <w:t xml:space="preserve"> az Imatinib Actavis a betegség legelőrehaladottabb stádiumának (az úgynevezett blasztos krízisnek) a kezelésére alkalmazható. Az Imatinib Actavis gyermekeknél a betegség különböző stádiumainak (krónikus, akcelerált fázis és blasztos krízis) kezelésére adható. </w:t>
      </w:r>
    </w:p>
    <w:p w14:paraId="1E9281CA" w14:textId="77777777" w:rsidR="002B5314" w:rsidRPr="00D045B3" w:rsidRDefault="002B5314" w:rsidP="002B5314">
      <w:pPr>
        <w:pStyle w:val="Default"/>
        <w:rPr>
          <w:sz w:val="22"/>
          <w:szCs w:val="22"/>
        </w:rPr>
      </w:pPr>
    </w:p>
    <w:p w14:paraId="1E9281CD" w14:textId="77777777" w:rsidR="002B5314" w:rsidRPr="00D045B3" w:rsidRDefault="002B5314" w:rsidP="00E95370">
      <w:pPr>
        <w:pStyle w:val="Default"/>
        <w:numPr>
          <w:ilvl w:val="0"/>
          <w:numId w:val="26"/>
        </w:numPr>
        <w:ind w:left="567" w:hanging="567"/>
        <w:rPr>
          <w:sz w:val="22"/>
          <w:szCs w:val="22"/>
        </w:rPr>
      </w:pPr>
      <w:r w:rsidRPr="00D045B3">
        <w:rPr>
          <w:b/>
          <w:bCs/>
          <w:sz w:val="22"/>
          <w:szCs w:val="22"/>
        </w:rPr>
        <w:t xml:space="preserve">Filadelfia kromoszóma pozitív akut limfoblasztos leukémia (Ph-pozitív ALL). </w:t>
      </w:r>
      <w:r w:rsidRPr="00D045B3">
        <w:rPr>
          <w:b/>
          <w:bCs/>
          <w:sz w:val="22"/>
          <w:szCs w:val="22"/>
        </w:rPr>
        <w:br/>
      </w:r>
      <w:r w:rsidRPr="00D045B3">
        <w:rPr>
          <w:sz w:val="22"/>
          <w:szCs w:val="22"/>
        </w:rPr>
        <w:t xml:space="preserve">A leukémia a fehérvérsejtek daganatos megbetegedése. Ezek a fehérvérsejtek általában segítik a szervezetet a fertőzések leküzdésében. Az akut limfoblasztos leukémia a leukémiák azon formája, amelyben egyes kóros fehérvérsejtek (úgynevezett limfoblasztok) száma szabályozatlanul növekedni kezd. Az Imatinib Actavis gátolja ezeknek a sejteknek a szaporodását. </w:t>
      </w:r>
    </w:p>
    <w:p w14:paraId="1E9281CE" w14:textId="63FEADF9" w:rsidR="0032061E" w:rsidRPr="00D045B3" w:rsidRDefault="0032061E" w:rsidP="0032061E">
      <w:pPr>
        <w:pStyle w:val="Default"/>
        <w:rPr>
          <w:sz w:val="22"/>
          <w:szCs w:val="22"/>
        </w:rPr>
      </w:pPr>
    </w:p>
    <w:p w14:paraId="1E9281CF" w14:textId="44B4A1AE" w:rsidR="0032061E" w:rsidRPr="00D045B3" w:rsidRDefault="0032061E" w:rsidP="0032061E">
      <w:pPr>
        <w:pStyle w:val="Default"/>
        <w:keepNext/>
        <w:rPr>
          <w:b/>
          <w:sz w:val="22"/>
          <w:szCs w:val="22"/>
        </w:rPr>
      </w:pPr>
      <w:r w:rsidRPr="00D045B3">
        <w:rPr>
          <w:b/>
          <w:sz w:val="22"/>
          <w:szCs w:val="22"/>
        </w:rPr>
        <w:t xml:space="preserve">Az Imatinib Actavis </w:t>
      </w:r>
      <w:r w:rsidR="008E401F" w:rsidRPr="00D045B3">
        <w:rPr>
          <w:b/>
          <w:sz w:val="22"/>
          <w:szCs w:val="22"/>
        </w:rPr>
        <w:t xml:space="preserve">ezenkívül felnőttkorban az alábbi kórkép </w:t>
      </w:r>
      <w:r w:rsidRPr="00D045B3">
        <w:rPr>
          <w:b/>
          <w:sz w:val="22"/>
          <w:szCs w:val="22"/>
        </w:rPr>
        <w:t>kezelésére is szolgál:</w:t>
      </w:r>
    </w:p>
    <w:p w14:paraId="1E9281D0" w14:textId="77777777" w:rsidR="0032061E" w:rsidRPr="00D045B3" w:rsidRDefault="0032061E" w:rsidP="0032061E">
      <w:pPr>
        <w:pStyle w:val="Default"/>
        <w:keepNext/>
        <w:rPr>
          <w:sz w:val="22"/>
          <w:szCs w:val="22"/>
        </w:rPr>
      </w:pPr>
    </w:p>
    <w:p w14:paraId="1E9281D1" w14:textId="77777777" w:rsidR="002B5314" w:rsidRPr="00D045B3" w:rsidRDefault="002B5314" w:rsidP="00E20638">
      <w:pPr>
        <w:pStyle w:val="Default"/>
        <w:spacing w:after="11"/>
        <w:ind w:left="567"/>
        <w:rPr>
          <w:color w:val="auto"/>
          <w:sz w:val="22"/>
          <w:szCs w:val="22"/>
        </w:rPr>
      </w:pPr>
      <w:r w:rsidRPr="00D045B3">
        <w:rPr>
          <w:b/>
          <w:bCs/>
          <w:color w:val="auto"/>
          <w:sz w:val="22"/>
          <w:szCs w:val="22"/>
        </w:rPr>
        <w:t xml:space="preserve">Mielodiszpláziás/mieloproliferatív betegségek (MDS/MPD). </w:t>
      </w:r>
      <w:r w:rsidRPr="00D045B3">
        <w:rPr>
          <w:color w:val="auto"/>
          <w:sz w:val="22"/>
          <w:szCs w:val="22"/>
        </w:rPr>
        <w:t xml:space="preserve">Ezek a vér betegségeinek olyan csoportjai, amelyekben a vér egyes sejtjeinek száma szabályozatlanul növekedni kezd. Az Imatinib Actavis az ilyen betegségek bizonyos altípusában gátolja ezeknek a sejteknek a szaporodását. </w:t>
      </w:r>
    </w:p>
    <w:p w14:paraId="1E9281D2" w14:textId="77777777" w:rsidR="002B5314" w:rsidRPr="00D045B3" w:rsidRDefault="002B5314" w:rsidP="008A6837">
      <w:pPr>
        <w:pStyle w:val="Default"/>
        <w:spacing w:after="11"/>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Hipereozinofília szindróma (HES) és/vagy krónikus eozinofíliás leukémia (CEL). </w:t>
      </w:r>
      <w:r w:rsidRPr="00D045B3">
        <w:rPr>
          <w:color w:val="auto"/>
          <w:sz w:val="22"/>
          <w:szCs w:val="22"/>
        </w:rPr>
        <w:t xml:space="preserve">Ezek a vérképzőrendszer olyan betegségei, amelyekben egyes vérsejtek (eozinofil sejtek) szabályozatlanul szaporodni kezdenek. Az Imatinib Actavis gátolja ezeknek a sejteknek a szaporodását az ilyen betegségek bizonyos altípusában. </w:t>
      </w:r>
    </w:p>
    <w:p w14:paraId="1E9281D3" w14:textId="77777777" w:rsidR="002B5314" w:rsidRPr="00D045B3" w:rsidRDefault="002B5314" w:rsidP="008A6837">
      <w:pPr>
        <w:pStyle w:val="Default"/>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Dermatifibroszarkóma protuberánsz (DFSP). </w:t>
      </w:r>
      <w:r w:rsidRPr="00D045B3">
        <w:rPr>
          <w:color w:val="auto"/>
          <w:sz w:val="22"/>
          <w:szCs w:val="22"/>
        </w:rPr>
        <w:t xml:space="preserve">A DFSP a bőr alatti szövet daganatos megbetegedése, melyben egyes sejtek szabályozatlanul szaporodni kezdenek. Az Imatinib Actavis ezeknek a sejteknek a szaporodását gátolja. </w:t>
      </w:r>
    </w:p>
    <w:p w14:paraId="1E9281D4" w14:textId="77777777" w:rsidR="002B5314" w:rsidRPr="00D045B3" w:rsidRDefault="002B5314" w:rsidP="002B5314">
      <w:pPr>
        <w:pStyle w:val="Default"/>
        <w:rPr>
          <w:color w:val="auto"/>
          <w:sz w:val="22"/>
          <w:szCs w:val="22"/>
        </w:rPr>
      </w:pPr>
    </w:p>
    <w:p w14:paraId="1E9281D5" w14:textId="77777777" w:rsidR="002B5314" w:rsidRPr="00D045B3" w:rsidRDefault="002B5314" w:rsidP="002B5314">
      <w:pPr>
        <w:spacing w:line="240" w:lineRule="auto"/>
        <w:rPr>
          <w:color w:val="000000"/>
          <w:szCs w:val="22"/>
          <w:lang w:val="hu-HU"/>
        </w:rPr>
      </w:pPr>
      <w:r w:rsidRPr="00D045B3">
        <w:rPr>
          <w:szCs w:val="22"/>
          <w:lang w:val="hu-HU"/>
        </w:rPr>
        <w:t xml:space="preserve">A </w:t>
      </w:r>
      <w:r w:rsidR="00256940" w:rsidRPr="00D045B3">
        <w:rPr>
          <w:szCs w:val="22"/>
          <w:lang w:val="hu-HU"/>
        </w:rPr>
        <w:t>b</w:t>
      </w:r>
      <w:r w:rsidRPr="00D045B3">
        <w:rPr>
          <w:szCs w:val="22"/>
          <w:lang w:val="hu-HU"/>
        </w:rPr>
        <w:t>etegtájékoztató további részeib</w:t>
      </w:r>
      <w:r w:rsidR="00256940" w:rsidRPr="00D045B3">
        <w:rPr>
          <w:szCs w:val="22"/>
          <w:lang w:val="hu-HU"/>
        </w:rPr>
        <w:t>e</w:t>
      </w:r>
      <w:r w:rsidRPr="00D045B3">
        <w:rPr>
          <w:szCs w:val="22"/>
          <w:lang w:val="hu-HU"/>
        </w:rPr>
        <w:t>n, ezeket a rövidítéseket fogjuk használni, ha ezekről a betegségekről teszünk említést.</w:t>
      </w:r>
    </w:p>
    <w:p w14:paraId="1E9281D6" w14:textId="77777777" w:rsidR="002B5314" w:rsidRPr="00D045B3" w:rsidRDefault="002B5314" w:rsidP="008A6837">
      <w:pPr>
        <w:spacing w:line="240" w:lineRule="auto"/>
        <w:rPr>
          <w:color w:val="000000"/>
          <w:szCs w:val="22"/>
          <w:lang w:val="hu-HU"/>
        </w:rPr>
      </w:pPr>
    </w:p>
    <w:p w14:paraId="1E9281D7" w14:textId="2AC43267" w:rsidR="002B5314" w:rsidRPr="00D045B3" w:rsidRDefault="002B5314" w:rsidP="008A6837">
      <w:pPr>
        <w:spacing w:line="240" w:lineRule="auto"/>
        <w:rPr>
          <w:color w:val="000000"/>
          <w:szCs w:val="22"/>
          <w:lang w:val="hu-HU"/>
        </w:rPr>
      </w:pPr>
      <w:r w:rsidRPr="00D045B3">
        <w:rPr>
          <w:color w:val="000000"/>
          <w:szCs w:val="22"/>
          <w:lang w:val="hu-HU"/>
        </w:rPr>
        <w:t>Amennyiben bármilyen kérdése van azzal kapcsolatban, hogy miként hat az Imatinib Actavis, illetve</w:t>
      </w:r>
      <w:r w:rsidR="00C7474B" w:rsidRPr="00D045B3">
        <w:rPr>
          <w:color w:val="000000"/>
          <w:szCs w:val="22"/>
          <w:lang w:val="hu-HU"/>
        </w:rPr>
        <w:t>, hogy</w:t>
      </w:r>
      <w:r w:rsidRPr="00D045B3">
        <w:rPr>
          <w:color w:val="000000"/>
          <w:szCs w:val="22"/>
          <w:lang w:val="hu-HU"/>
        </w:rPr>
        <w:t xml:space="preserve"> miért írták fel Önnek ezt a gyógyszert, kérdezze meg kezelőorvosát.</w:t>
      </w:r>
    </w:p>
    <w:p w14:paraId="1E9281D8" w14:textId="77777777" w:rsidR="002B5314" w:rsidRPr="00D045B3" w:rsidRDefault="002B5314" w:rsidP="002B5314">
      <w:pPr>
        <w:spacing w:line="240" w:lineRule="auto"/>
        <w:ind w:right="-2"/>
        <w:rPr>
          <w:color w:val="000000"/>
          <w:szCs w:val="22"/>
          <w:lang w:val="hu-HU"/>
        </w:rPr>
      </w:pPr>
    </w:p>
    <w:p w14:paraId="1E9281D9" w14:textId="77777777" w:rsidR="002B5314" w:rsidRPr="00D045B3" w:rsidRDefault="002B5314" w:rsidP="002B5314">
      <w:pPr>
        <w:spacing w:line="240" w:lineRule="auto"/>
        <w:ind w:right="-2"/>
        <w:rPr>
          <w:color w:val="000000"/>
          <w:szCs w:val="22"/>
          <w:lang w:val="hu-HU"/>
        </w:rPr>
      </w:pPr>
    </w:p>
    <w:p w14:paraId="1E9281DA" w14:textId="77777777" w:rsidR="002B5314" w:rsidRPr="00D045B3" w:rsidRDefault="002B5314" w:rsidP="002B5314">
      <w:pPr>
        <w:keepNext/>
        <w:spacing w:line="240" w:lineRule="auto"/>
        <w:ind w:left="567" w:right="-2" w:hanging="567"/>
        <w:rPr>
          <w:b/>
          <w:color w:val="000000"/>
          <w:szCs w:val="22"/>
          <w:lang w:val="hu-HU"/>
        </w:rPr>
      </w:pPr>
      <w:r w:rsidRPr="00D045B3">
        <w:rPr>
          <w:b/>
          <w:color w:val="000000"/>
          <w:szCs w:val="22"/>
          <w:lang w:val="hu-HU"/>
        </w:rPr>
        <w:t>2.</w:t>
      </w:r>
      <w:r w:rsidRPr="00D045B3">
        <w:rPr>
          <w:b/>
          <w:color w:val="000000"/>
          <w:szCs w:val="22"/>
          <w:lang w:val="hu-HU"/>
        </w:rPr>
        <w:tab/>
        <w:t>Tudnivalók az Imatinib Actavis szedése előtt</w:t>
      </w:r>
    </w:p>
    <w:p w14:paraId="1E9281DB" w14:textId="77777777" w:rsidR="002B5314" w:rsidRPr="00D045B3" w:rsidRDefault="002B5314" w:rsidP="002B5314">
      <w:pPr>
        <w:keepNext/>
        <w:spacing w:line="240" w:lineRule="auto"/>
        <w:rPr>
          <w:color w:val="000000"/>
          <w:szCs w:val="22"/>
          <w:lang w:val="hu-HU"/>
        </w:rPr>
      </w:pPr>
    </w:p>
    <w:p w14:paraId="1E9281DC" w14:textId="77777777" w:rsidR="002B5314" w:rsidRPr="00D045B3" w:rsidRDefault="002B5314" w:rsidP="00CA41FD">
      <w:pPr>
        <w:spacing w:line="240" w:lineRule="auto"/>
        <w:rPr>
          <w:color w:val="000000"/>
          <w:szCs w:val="22"/>
          <w:lang w:val="hu-HU"/>
        </w:rPr>
      </w:pPr>
      <w:r w:rsidRPr="00D045B3">
        <w:rPr>
          <w:color w:val="000000"/>
          <w:szCs w:val="22"/>
          <w:lang w:val="hu-HU"/>
        </w:rPr>
        <w:t>Az Imatinib Actavis</w:t>
      </w:r>
      <w:r w:rsidRPr="00D045B3">
        <w:rPr>
          <w:color w:val="000000"/>
          <w:szCs w:val="22"/>
          <w:lang w:val="hu-HU"/>
        </w:rPr>
        <w:noBreakHyphen/>
        <w:t>t kizárólag olyan orvos írhatja fel Önnek, aki tapasztalt a vér daganatos megbetegedéseinek vagy úgynevezett szolid tumoros betegségek kezelésében.</w:t>
      </w:r>
    </w:p>
    <w:p w14:paraId="1E9281DD" w14:textId="77777777" w:rsidR="002B5314" w:rsidRPr="00D045B3" w:rsidRDefault="002B5314" w:rsidP="002B5314">
      <w:pPr>
        <w:spacing w:line="240" w:lineRule="auto"/>
        <w:rPr>
          <w:color w:val="000000"/>
          <w:szCs w:val="22"/>
          <w:lang w:val="hu-HU"/>
        </w:rPr>
      </w:pPr>
    </w:p>
    <w:p w14:paraId="1E9281DE" w14:textId="77777777" w:rsidR="002B5314" w:rsidRPr="00D045B3" w:rsidRDefault="002B5314" w:rsidP="002B5314">
      <w:pPr>
        <w:spacing w:line="240" w:lineRule="auto"/>
        <w:rPr>
          <w:color w:val="000000"/>
          <w:szCs w:val="22"/>
          <w:lang w:val="hu-HU"/>
        </w:rPr>
      </w:pPr>
      <w:r w:rsidRPr="00D045B3">
        <w:rPr>
          <w:color w:val="000000"/>
          <w:szCs w:val="22"/>
          <w:lang w:val="hu-HU"/>
        </w:rPr>
        <w:t>Gondosan kövesse orvosa valamennyi utasítását, még akkor is, ha azok eltérnek attól, az ebben a betegtájékoztatóban szereplő általános információktól.</w:t>
      </w:r>
    </w:p>
    <w:p w14:paraId="1E9281DF" w14:textId="77777777" w:rsidR="002B5314" w:rsidRPr="00D045B3" w:rsidRDefault="002B5314" w:rsidP="002B5314">
      <w:pPr>
        <w:spacing w:line="240" w:lineRule="auto"/>
        <w:rPr>
          <w:color w:val="000000"/>
          <w:szCs w:val="22"/>
          <w:lang w:val="hu-HU"/>
        </w:rPr>
      </w:pPr>
    </w:p>
    <w:p w14:paraId="1E9281E0" w14:textId="77777777" w:rsidR="002B5314" w:rsidRPr="00D045B3" w:rsidRDefault="002B5314" w:rsidP="002B5314">
      <w:pPr>
        <w:keepNext/>
        <w:spacing w:line="240" w:lineRule="auto"/>
        <w:rPr>
          <w:b/>
          <w:color w:val="000000"/>
          <w:szCs w:val="22"/>
          <w:lang w:val="hu-HU"/>
        </w:rPr>
      </w:pPr>
      <w:r w:rsidRPr="00D045B3">
        <w:rPr>
          <w:b/>
          <w:color w:val="000000"/>
          <w:szCs w:val="22"/>
          <w:lang w:val="hu-HU"/>
        </w:rPr>
        <w:t>Ne szedje az Imatinib Actavis</w:t>
      </w:r>
      <w:r w:rsidRPr="00D045B3">
        <w:rPr>
          <w:b/>
          <w:color w:val="000000"/>
          <w:szCs w:val="22"/>
          <w:lang w:val="hu-HU"/>
        </w:rPr>
        <w:noBreakHyphen/>
        <w:t>t</w:t>
      </w:r>
    </w:p>
    <w:p w14:paraId="1E9281E1" w14:textId="77777777" w:rsidR="002B5314" w:rsidRPr="00D045B3" w:rsidRDefault="002B5314" w:rsidP="00E95370">
      <w:pPr>
        <w:numPr>
          <w:ilvl w:val="0"/>
          <w:numId w:val="9"/>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 xml:space="preserve">ha allergiás az imatinibre vagy a </w:t>
      </w:r>
      <w:r w:rsidRPr="00D045B3">
        <w:rPr>
          <w:noProof/>
          <w:szCs w:val="22"/>
          <w:lang w:val="hu-HU"/>
        </w:rPr>
        <w:t xml:space="preserve">gyógyszer (6. pontban felsorolt) </w:t>
      </w:r>
      <w:r w:rsidRPr="00D045B3">
        <w:rPr>
          <w:color w:val="000000"/>
          <w:szCs w:val="22"/>
          <w:lang w:val="hu-HU"/>
        </w:rPr>
        <w:t>egyéb összetevőjére.</w:t>
      </w:r>
    </w:p>
    <w:p w14:paraId="1E9281E2" w14:textId="77777777" w:rsidR="002B5314" w:rsidRPr="00D045B3" w:rsidRDefault="002B5314" w:rsidP="002B5314">
      <w:pPr>
        <w:spacing w:line="240" w:lineRule="auto"/>
        <w:rPr>
          <w:color w:val="000000"/>
          <w:szCs w:val="22"/>
          <w:lang w:val="hu-HU"/>
        </w:rPr>
      </w:pPr>
    </w:p>
    <w:p w14:paraId="1E9281E3" w14:textId="77777777" w:rsidR="002B5314" w:rsidRPr="00D045B3" w:rsidRDefault="002B5314" w:rsidP="002B5314">
      <w:pPr>
        <w:spacing w:line="240" w:lineRule="auto"/>
        <w:rPr>
          <w:color w:val="000000"/>
          <w:szCs w:val="22"/>
          <w:lang w:val="hu-HU"/>
        </w:rPr>
      </w:pPr>
      <w:r w:rsidRPr="00D045B3">
        <w:rPr>
          <w:color w:val="000000"/>
          <w:szCs w:val="22"/>
          <w:lang w:val="hu-HU"/>
        </w:rPr>
        <w:t xml:space="preserve">Amennyiben ez vonatkozik Önre, </w:t>
      </w:r>
      <w:r w:rsidRPr="00D045B3">
        <w:rPr>
          <w:b/>
          <w:color w:val="000000"/>
          <w:szCs w:val="22"/>
          <w:lang w:val="hu-HU"/>
        </w:rPr>
        <w:t>tájékoztassa erről kezelőorvosát, mielőtt az Imatinib Actavis</w:t>
      </w:r>
      <w:r w:rsidRPr="00D045B3">
        <w:rPr>
          <w:b/>
          <w:color w:val="000000"/>
          <w:szCs w:val="22"/>
          <w:lang w:val="hu-HU"/>
        </w:rPr>
        <w:noBreakHyphen/>
        <w:t>t bevenné.</w:t>
      </w:r>
    </w:p>
    <w:p w14:paraId="1E9281E4" w14:textId="77777777" w:rsidR="002B5314" w:rsidRPr="00D045B3" w:rsidRDefault="002B5314" w:rsidP="002B5314">
      <w:pPr>
        <w:spacing w:line="240" w:lineRule="auto"/>
        <w:rPr>
          <w:color w:val="000000"/>
          <w:szCs w:val="22"/>
          <w:lang w:val="hu-HU"/>
        </w:rPr>
      </w:pPr>
    </w:p>
    <w:p w14:paraId="1E9281E5" w14:textId="77777777" w:rsidR="002B5314" w:rsidRPr="00D045B3" w:rsidRDefault="002B5314" w:rsidP="002B5314">
      <w:pPr>
        <w:spacing w:line="240" w:lineRule="auto"/>
        <w:rPr>
          <w:color w:val="000000"/>
          <w:szCs w:val="22"/>
          <w:lang w:val="hu-HU"/>
        </w:rPr>
      </w:pPr>
      <w:r w:rsidRPr="00D045B3">
        <w:rPr>
          <w:color w:val="000000"/>
          <w:szCs w:val="22"/>
          <w:lang w:val="hu-HU"/>
        </w:rPr>
        <w:t>Ha Ön úgy véli, hogy allergiás lehet, de nem biztos benne, forduljon orvosához további tanácsért.</w:t>
      </w:r>
    </w:p>
    <w:p w14:paraId="1E9281E6" w14:textId="77777777" w:rsidR="002B5314" w:rsidRPr="00D045B3" w:rsidRDefault="002B5314" w:rsidP="002B5314">
      <w:pPr>
        <w:spacing w:line="240" w:lineRule="auto"/>
        <w:rPr>
          <w:color w:val="000000"/>
          <w:szCs w:val="22"/>
          <w:lang w:val="hu-HU"/>
        </w:rPr>
      </w:pPr>
    </w:p>
    <w:p w14:paraId="1E9281E7" w14:textId="77777777" w:rsidR="002B5314" w:rsidRPr="00D045B3" w:rsidRDefault="002B5314" w:rsidP="002B5314">
      <w:pPr>
        <w:keepNext/>
        <w:spacing w:line="240" w:lineRule="auto"/>
        <w:ind w:right="-2"/>
        <w:rPr>
          <w:b/>
          <w:color w:val="000000"/>
          <w:szCs w:val="22"/>
          <w:lang w:val="hu-HU"/>
        </w:rPr>
      </w:pPr>
      <w:r w:rsidRPr="00D045B3">
        <w:rPr>
          <w:b/>
          <w:noProof/>
          <w:szCs w:val="22"/>
          <w:lang w:val="hu-HU"/>
        </w:rPr>
        <w:t>Figyelmeztetések és óvintézkedések</w:t>
      </w:r>
    </w:p>
    <w:p w14:paraId="1E9281E8" w14:textId="77777777" w:rsidR="002B5314" w:rsidRPr="00D045B3" w:rsidRDefault="002B5314" w:rsidP="00CA41FD">
      <w:pPr>
        <w:spacing w:line="240" w:lineRule="auto"/>
        <w:rPr>
          <w:color w:val="000000"/>
          <w:szCs w:val="22"/>
          <w:lang w:val="hu-HU"/>
        </w:rPr>
      </w:pPr>
      <w:r w:rsidRPr="00D045B3">
        <w:rPr>
          <w:color w:val="000000"/>
          <w:szCs w:val="22"/>
          <w:lang w:val="hu-HU"/>
        </w:rPr>
        <w:t>Az Imatinib Actavis szedése előtt beszéljen kezelőorvosával:</w:t>
      </w:r>
    </w:p>
    <w:p w14:paraId="1E9281E9" w14:textId="77777777" w:rsidR="002B5314" w:rsidRPr="00D045B3" w:rsidRDefault="002B5314"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máj</w:t>
      </w:r>
      <w:r w:rsidRPr="00D045B3">
        <w:rPr>
          <w:color w:val="000000"/>
          <w:szCs w:val="22"/>
          <w:lang w:val="hu-HU"/>
        </w:rPr>
        <w:noBreakHyphen/>
        <w:t>, vese</w:t>
      </w:r>
      <w:r w:rsidRPr="00D045B3">
        <w:rPr>
          <w:color w:val="000000"/>
          <w:szCs w:val="22"/>
          <w:lang w:val="hu-HU"/>
        </w:rPr>
        <w:noBreakHyphen/>
        <w:t xml:space="preserve"> vagy szívproblémái vannak, vagy korábban bármikor voltak.</w:t>
      </w:r>
    </w:p>
    <w:p w14:paraId="1E9281EA" w14:textId="77777777" w:rsidR="002B5314" w:rsidRPr="00D045B3" w:rsidRDefault="002B5314" w:rsidP="00E95370">
      <w:pPr>
        <w:numPr>
          <w:ilvl w:val="0"/>
          <w:numId w:val="10"/>
        </w:numPr>
        <w:tabs>
          <w:tab w:val="clear" w:pos="360"/>
          <w:tab w:val="clear" w:pos="567"/>
        </w:tabs>
        <w:suppressAutoHyphens/>
        <w:spacing w:line="240" w:lineRule="auto"/>
        <w:ind w:left="567" w:hanging="567"/>
        <w:rPr>
          <w:color w:val="000000"/>
          <w:szCs w:val="22"/>
          <w:lang w:val="hu-HU"/>
        </w:rPr>
      </w:pPr>
      <w:r w:rsidRPr="00D045B3">
        <w:rPr>
          <w:color w:val="000000"/>
          <w:szCs w:val="22"/>
          <w:lang w:val="hu-HU"/>
        </w:rPr>
        <w:t>ha levotiroxin</w:t>
      </w:r>
      <w:r w:rsidRPr="00D045B3">
        <w:rPr>
          <w:color w:val="000000"/>
          <w:szCs w:val="22"/>
          <w:lang w:val="hu-HU"/>
        </w:rPr>
        <w:noBreakHyphen/>
        <w:t>tartalmú gyógyszert szed, mert eltávolították a pajzsmirigyét.</w:t>
      </w:r>
    </w:p>
    <w:p w14:paraId="1E9281EB" w14:textId="648749B7" w:rsidR="000234C7" w:rsidRPr="00D045B3" w:rsidRDefault="000234C7" w:rsidP="00E95370">
      <w:pPr>
        <w:pStyle w:val="KeinLeerraum"/>
        <w:numPr>
          <w:ilvl w:val="0"/>
          <w:numId w:val="10"/>
        </w:numPr>
        <w:tabs>
          <w:tab w:val="clear" w:pos="360"/>
          <w:tab w:val="num" w:pos="567"/>
        </w:tabs>
        <w:ind w:left="567" w:hanging="567"/>
        <w:rPr>
          <w:rFonts w:ascii="Times New Roman" w:hAnsi="Times New Roman"/>
        </w:rPr>
      </w:pPr>
      <w:r w:rsidRPr="00D045B3">
        <w:rPr>
          <w:rFonts w:ascii="Times New Roman" w:hAnsi="Times New Roman"/>
        </w:rPr>
        <w:t xml:space="preserve">ha Önnek valaha hepatitisz B fertőzése volt vagy jelenleg fennáll annak lehetősége. Erre azért van szükség, mert az Imatinib Actavis a hepatitisz B fertőzés kiújulását válthatja ki, ami egyes esetekben halálos lehet. A betegeket kezelőorvosuk gondosan ellenőrizni fogja, hogy nem alakultak-e ki a fertőzés jelei, mielőtt a kezelést elkezdi. </w:t>
      </w:r>
    </w:p>
    <w:p w14:paraId="3A193081" w14:textId="43CE64F2" w:rsidR="00C72DFA" w:rsidRPr="00D045B3" w:rsidRDefault="00C72DFA" w:rsidP="00C72DFA">
      <w:pPr>
        <w:numPr>
          <w:ilvl w:val="0"/>
          <w:numId w:val="10"/>
        </w:numPr>
        <w:tabs>
          <w:tab w:val="clear" w:pos="360"/>
          <w:tab w:val="clear" w:pos="567"/>
        </w:tabs>
        <w:suppressAutoHyphens/>
        <w:spacing w:line="240" w:lineRule="auto"/>
        <w:ind w:left="567" w:hanging="567"/>
        <w:rPr>
          <w:color w:val="000000"/>
          <w:lang w:val="hu-HU"/>
        </w:rPr>
      </w:pPr>
      <w:r w:rsidRPr="00D045B3">
        <w:rPr>
          <w:color w:val="000000"/>
          <w:lang w:val="hu-HU"/>
        </w:rPr>
        <w:t>ha az Imatinib Actavis szedése közben véraláfutást, vérzést, lázat, fáradtságot és zavartságot tapasztal, keresse fel kezelőorvosát. Ez a vérerek sérülésének, más néven a trom</w:t>
      </w:r>
      <w:r w:rsidR="00C7474B" w:rsidRPr="00D045B3">
        <w:rPr>
          <w:color w:val="000000"/>
          <w:lang w:val="hu-HU"/>
        </w:rPr>
        <w:t>b</w:t>
      </w:r>
      <w:r w:rsidRPr="00D045B3">
        <w:rPr>
          <w:color w:val="000000"/>
          <w:lang w:val="hu-HU"/>
        </w:rPr>
        <w:t>otikus mikroangiopátiának (TMA) a jele lehet.</w:t>
      </w:r>
    </w:p>
    <w:p w14:paraId="1E9281EC" w14:textId="77777777" w:rsidR="002B5314" w:rsidRPr="00D045B3" w:rsidRDefault="002B5314" w:rsidP="002B5314">
      <w:pPr>
        <w:tabs>
          <w:tab w:val="left" w:pos="5245"/>
        </w:tabs>
        <w:spacing w:line="240" w:lineRule="auto"/>
        <w:rPr>
          <w:b/>
          <w:color w:val="000000"/>
          <w:szCs w:val="22"/>
          <w:lang w:val="hu-HU"/>
        </w:rPr>
      </w:pPr>
      <w:r w:rsidRPr="00D045B3">
        <w:rPr>
          <w:color w:val="000000"/>
          <w:szCs w:val="22"/>
          <w:lang w:val="hu-HU"/>
        </w:rPr>
        <w:t xml:space="preserve">Ha a fentiek bármelyike vonatkozik Önre, ezt </w:t>
      </w:r>
      <w:r w:rsidRPr="00D045B3">
        <w:rPr>
          <w:b/>
          <w:color w:val="000000"/>
          <w:szCs w:val="22"/>
          <w:lang w:val="hu-HU"/>
        </w:rPr>
        <w:t>még az Imatinib Actavis bevétele előtt közölje kezelőorvosával.</w:t>
      </w:r>
    </w:p>
    <w:p w14:paraId="1E9281ED" w14:textId="77777777" w:rsidR="002B5314" w:rsidRPr="00D045B3" w:rsidRDefault="002B5314" w:rsidP="002B5314">
      <w:pPr>
        <w:spacing w:line="240" w:lineRule="auto"/>
        <w:ind w:right="-2"/>
        <w:rPr>
          <w:color w:val="000000"/>
          <w:szCs w:val="22"/>
          <w:lang w:val="hu-HU"/>
        </w:rPr>
      </w:pPr>
    </w:p>
    <w:p w14:paraId="1E9281EE" w14:textId="77777777" w:rsidR="0032061E" w:rsidRPr="00D045B3" w:rsidRDefault="0032061E" w:rsidP="0032061E">
      <w:pPr>
        <w:pStyle w:val="Endnotentext"/>
        <w:widowControl w:val="0"/>
        <w:tabs>
          <w:tab w:val="left" w:pos="720"/>
        </w:tabs>
        <w:rPr>
          <w:snapToGrid w:val="0"/>
          <w:color w:val="000000"/>
          <w:szCs w:val="22"/>
          <w:lang w:val="hu-HU"/>
        </w:rPr>
      </w:pPr>
      <w:r w:rsidRPr="00D045B3">
        <w:rPr>
          <w:snapToGrid w:val="0"/>
          <w:color w:val="000000"/>
          <w:szCs w:val="22"/>
          <w:lang w:val="hu-HU"/>
        </w:rPr>
        <w:t>Az Imatinib Actavis szedése alatt Ön érzékenyebb lehet a napsugárzásra. Fontos, hogy öltözékével takarja a napsütésnek kitett bőrterületeket, valamint, hogy magas fényvédő faktorszámú naptejet használjon. Ezek a szabályok gyermekekre is vonatkoznak.</w:t>
      </w:r>
    </w:p>
    <w:p w14:paraId="1E9281EF" w14:textId="77777777" w:rsidR="0032061E" w:rsidRPr="00D045B3" w:rsidRDefault="0032061E" w:rsidP="002B5314">
      <w:pPr>
        <w:spacing w:line="240" w:lineRule="auto"/>
        <w:ind w:right="-2"/>
        <w:rPr>
          <w:color w:val="000000"/>
          <w:szCs w:val="22"/>
          <w:lang w:val="hu-HU"/>
        </w:rPr>
      </w:pPr>
    </w:p>
    <w:p w14:paraId="1E9281F0" w14:textId="77777777" w:rsidR="002B5314" w:rsidRPr="00D045B3" w:rsidRDefault="002B5314" w:rsidP="00CA41FD">
      <w:pPr>
        <w:spacing w:line="240" w:lineRule="auto"/>
        <w:rPr>
          <w:b/>
          <w:color w:val="000000"/>
          <w:szCs w:val="22"/>
          <w:lang w:val="hu-HU"/>
        </w:rPr>
      </w:pPr>
      <w:r w:rsidRPr="00D045B3">
        <w:rPr>
          <w:b/>
          <w:color w:val="000000"/>
          <w:szCs w:val="22"/>
          <w:lang w:val="hu-HU"/>
        </w:rPr>
        <w:t>Az Imatinib Actavis</w:t>
      </w:r>
      <w:r w:rsidRPr="00D045B3">
        <w:rPr>
          <w:b/>
          <w:color w:val="000000"/>
          <w:szCs w:val="22"/>
          <w:lang w:val="hu-HU"/>
        </w:rPr>
        <w:noBreakHyphen/>
        <w:t>kezelés során azonnal értesítse kezelőorvosát</w:t>
      </w:r>
      <w:r w:rsidRPr="00D045B3">
        <w:rPr>
          <w:color w:val="000000"/>
          <w:szCs w:val="22"/>
          <w:lang w:val="hu-HU"/>
        </w:rPr>
        <w:t>, ha hirtelen testtömeg</w:t>
      </w:r>
      <w:r w:rsidRPr="00D045B3">
        <w:rPr>
          <w:color w:val="000000"/>
          <w:szCs w:val="22"/>
          <w:lang w:val="hu-HU"/>
        </w:rPr>
        <w:noBreakHyphen/>
        <w:t>növekedést észlel. Az Imatinib Actavis az Ön testében a víz visszatartását okozhatja (úgynevezett súlyos folyadékretenció).</w:t>
      </w:r>
    </w:p>
    <w:p w14:paraId="1E9281F1" w14:textId="77777777" w:rsidR="002B5314" w:rsidRPr="00D045B3" w:rsidRDefault="002B5314" w:rsidP="002B5314">
      <w:pPr>
        <w:spacing w:line="240" w:lineRule="auto"/>
        <w:ind w:right="-2"/>
        <w:rPr>
          <w:color w:val="000000"/>
          <w:szCs w:val="22"/>
          <w:lang w:val="hu-HU"/>
        </w:rPr>
      </w:pPr>
    </w:p>
    <w:p w14:paraId="1E9281F2" w14:textId="77777777" w:rsidR="002B5314" w:rsidRPr="00D045B3" w:rsidRDefault="002B5314" w:rsidP="002B5314">
      <w:pPr>
        <w:spacing w:line="240" w:lineRule="auto"/>
        <w:rPr>
          <w:color w:val="000000"/>
          <w:szCs w:val="22"/>
          <w:lang w:val="hu-HU"/>
        </w:rPr>
      </w:pPr>
      <w:r w:rsidRPr="00D045B3">
        <w:rPr>
          <w:color w:val="000000"/>
          <w:szCs w:val="22"/>
          <w:lang w:val="hu-HU"/>
        </w:rPr>
        <w:t>Mialatt Ön szedi az Imatinib Actavis</w:t>
      </w:r>
      <w:r w:rsidRPr="00D045B3">
        <w:rPr>
          <w:color w:val="000000"/>
          <w:szCs w:val="22"/>
          <w:lang w:val="hu-HU"/>
        </w:rPr>
        <w:noBreakHyphen/>
        <w:t>t, kezelőorvosa rendszeresen ellenőrizni fogja, hogy a gyógyszer hat</w:t>
      </w:r>
      <w:r w:rsidRPr="00D045B3">
        <w:rPr>
          <w:color w:val="000000"/>
          <w:szCs w:val="22"/>
          <w:lang w:val="hu-HU"/>
        </w:rPr>
        <w:noBreakHyphen/>
        <w:t>e. Vérképét és testtömegét is rendszeresen ellenőrzik majd.</w:t>
      </w:r>
    </w:p>
    <w:p w14:paraId="1E9281F3" w14:textId="77777777" w:rsidR="002B5314" w:rsidRPr="00D045B3" w:rsidRDefault="002B5314" w:rsidP="002B5314">
      <w:pPr>
        <w:spacing w:line="240" w:lineRule="auto"/>
        <w:rPr>
          <w:color w:val="000000"/>
          <w:szCs w:val="22"/>
          <w:lang w:val="hu-HU"/>
        </w:rPr>
      </w:pPr>
    </w:p>
    <w:p w14:paraId="1E9281F4" w14:textId="77777777" w:rsidR="002B5314" w:rsidRPr="00D045B3" w:rsidRDefault="002B5314" w:rsidP="002B5314">
      <w:pPr>
        <w:keepNext/>
        <w:spacing w:line="240" w:lineRule="auto"/>
        <w:rPr>
          <w:b/>
          <w:noProof/>
          <w:szCs w:val="22"/>
          <w:lang w:val="hu-HU"/>
        </w:rPr>
      </w:pPr>
      <w:r w:rsidRPr="00D045B3">
        <w:rPr>
          <w:b/>
          <w:noProof/>
          <w:szCs w:val="22"/>
          <w:lang w:val="hu-HU"/>
        </w:rPr>
        <w:t>Gyermekek és serdülők</w:t>
      </w:r>
    </w:p>
    <w:p w14:paraId="1E9281F5" w14:textId="032875BD" w:rsidR="002B5314" w:rsidRPr="00D045B3" w:rsidRDefault="002B5314" w:rsidP="00CA41FD">
      <w:pPr>
        <w:spacing w:line="240" w:lineRule="auto"/>
        <w:rPr>
          <w:color w:val="000000"/>
          <w:szCs w:val="22"/>
          <w:lang w:val="hu-HU"/>
        </w:rPr>
      </w:pPr>
      <w:r w:rsidRPr="00D045B3">
        <w:rPr>
          <w:color w:val="000000"/>
          <w:szCs w:val="22"/>
          <w:lang w:val="hu-HU"/>
        </w:rPr>
        <w:t>Az Imatinib Actavis krónikus mieloid leukémiában (CML</w:t>
      </w:r>
      <w:r w:rsidRPr="00D045B3">
        <w:rPr>
          <w:color w:val="000000"/>
          <w:szCs w:val="22"/>
          <w:lang w:val="hu-HU"/>
        </w:rPr>
        <w:noBreakHyphen/>
        <w:t xml:space="preserve">ben) szenvedő gyermekek kezelésére is alkalmazható. Két éves kor alatti, krónikus mieloid leukémiában szenvedő gyermekekre vonatkozóan nincs tapasztalat. </w:t>
      </w:r>
      <w:r w:rsidRPr="00D045B3">
        <w:rPr>
          <w:szCs w:val="22"/>
          <w:lang w:val="hu-HU"/>
        </w:rPr>
        <w:t>Ph</w:t>
      </w:r>
      <w:r w:rsidRPr="00D045B3">
        <w:rPr>
          <w:szCs w:val="22"/>
          <w:lang w:val="hu-HU"/>
        </w:rPr>
        <w:noBreakHyphen/>
        <w:t>pozitív ALL</w:t>
      </w:r>
      <w:r w:rsidRPr="00D045B3">
        <w:rPr>
          <w:szCs w:val="22"/>
          <w:lang w:val="hu-HU"/>
        </w:rPr>
        <w:noBreakHyphen/>
        <w:t>es gyermekek</w:t>
      </w:r>
      <w:r w:rsidR="00A65EE6" w:rsidRPr="00D045B3">
        <w:rPr>
          <w:szCs w:val="22"/>
          <w:lang w:val="hu-HU"/>
        </w:rPr>
        <w:t xml:space="preserve"> </w:t>
      </w:r>
      <w:r w:rsidRPr="00D045B3">
        <w:rPr>
          <w:szCs w:val="22"/>
          <w:lang w:val="hu-HU"/>
        </w:rPr>
        <w:t>esetében korlátozott, míg MDS/MPD, DFSP és HES/CEL</w:t>
      </w:r>
      <w:r w:rsidRPr="00D045B3">
        <w:rPr>
          <w:szCs w:val="22"/>
          <w:lang w:val="hu-HU"/>
        </w:rPr>
        <w:noBreakHyphen/>
        <w:t>ben szenvedő gyermekekre vonatkozóan csak nagyon korlátozott mennyiségű tapasztalat áll rendelkezésre.</w:t>
      </w:r>
    </w:p>
    <w:p w14:paraId="1E9281F6" w14:textId="77777777" w:rsidR="002B5314" w:rsidRPr="00D045B3" w:rsidRDefault="002B5314" w:rsidP="002B5314">
      <w:pPr>
        <w:spacing w:line="240" w:lineRule="auto"/>
        <w:ind w:right="-2"/>
        <w:rPr>
          <w:color w:val="000000"/>
          <w:szCs w:val="22"/>
          <w:lang w:val="hu-HU"/>
        </w:rPr>
      </w:pPr>
    </w:p>
    <w:p w14:paraId="1E9281F7" w14:textId="77777777" w:rsidR="002B5314" w:rsidRPr="00D045B3" w:rsidRDefault="002B5314" w:rsidP="002B5314">
      <w:pPr>
        <w:spacing w:line="240" w:lineRule="auto"/>
        <w:ind w:right="-2"/>
        <w:rPr>
          <w:color w:val="000000"/>
          <w:szCs w:val="22"/>
          <w:lang w:val="hu-HU"/>
        </w:rPr>
      </w:pPr>
      <w:r w:rsidRPr="00D045B3">
        <w:rPr>
          <w:color w:val="000000"/>
          <w:szCs w:val="22"/>
          <w:lang w:val="hu-HU"/>
        </w:rPr>
        <w:t>Néhány Imatinib Actavis</w:t>
      </w:r>
      <w:r w:rsidRPr="00D045B3">
        <w:rPr>
          <w:color w:val="000000"/>
          <w:szCs w:val="22"/>
          <w:lang w:val="hu-HU"/>
        </w:rPr>
        <w:noBreakHyphen/>
        <w:t>t szedő gyermek és serdülőkorú növekedése a normálisnál lassabb lehet. Az orvos a rendszeres kontrollvizsgálatok alkalmával ellenőrizni fogja a növekedést.</w:t>
      </w:r>
    </w:p>
    <w:p w14:paraId="1E9281F8" w14:textId="77777777" w:rsidR="002B5314" w:rsidRPr="00D045B3" w:rsidRDefault="002B5314" w:rsidP="002B5314">
      <w:pPr>
        <w:spacing w:line="240" w:lineRule="auto"/>
        <w:rPr>
          <w:color w:val="000000"/>
          <w:szCs w:val="22"/>
          <w:lang w:val="hu-HU"/>
        </w:rPr>
      </w:pPr>
    </w:p>
    <w:p w14:paraId="1E9281F9" w14:textId="77777777" w:rsidR="002B5314" w:rsidRPr="00D045B3" w:rsidRDefault="002B5314" w:rsidP="002B5314">
      <w:pPr>
        <w:keepNext/>
        <w:spacing w:line="240" w:lineRule="auto"/>
        <w:rPr>
          <w:b/>
          <w:color w:val="000000"/>
          <w:szCs w:val="22"/>
          <w:lang w:val="hu-HU"/>
        </w:rPr>
      </w:pPr>
      <w:r w:rsidRPr="00D045B3">
        <w:rPr>
          <w:b/>
          <w:color w:val="000000"/>
          <w:szCs w:val="22"/>
          <w:lang w:val="hu-HU"/>
        </w:rPr>
        <w:t>Egyéb gyógyszerek és az Imatinib Actavis</w:t>
      </w:r>
    </w:p>
    <w:p w14:paraId="1E9281FA" w14:textId="77777777" w:rsidR="002B5314" w:rsidRPr="00D045B3" w:rsidRDefault="002B5314" w:rsidP="00CA41FD">
      <w:pPr>
        <w:spacing w:line="240" w:lineRule="auto"/>
        <w:rPr>
          <w:color w:val="000000"/>
          <w:szCs w:val="22"/>
          <w:lang w:val="hu-HU"/>
        </w:rPr>
      </w:pPr>
      <w:r w:rsidRPr="00D045B3">
        <w:rPr>
          <w:color w:val="000000"/>
          <w:szCs w:val="22"/>
          <w:lang w:val="hu-HU"/>
        </w:rPr>
        <w:t>Feltétlenül tájékoztassa kezelőorvosát vagy gyógyszerészét a jelenleg vagy nemrégiben szedett</w:t>
      </w:r>
      <w:r w:rsidRPr="00D045B3">
        <w:rPr>
          <w:noProof/>
          <w:szCs w:val="22"/>
          <w:lang w:val="hu-HU"/>
        </w:rPr>
        <w:t>, valamint szedni tervezett</w:t>
      </w:r>
      <w:r w:rsidRPr="00D045B3">
        <w:rPr>
          <w:color w:val="000000"/>
          <w:szCs w:val="22"/>
          <w:lang w:val="hu-HU"/>
        </w:rPr>
        <w:t xml:space="preserve"> egyéb gyógyszereiről, beleértve a vény nélkül kapható készítményeket (pl. a paracetamolt) és a gyógynövény készítményeket (pl. az orbáncfüvet) is. Néhány gyógyszer egyidejű alkalmazás esetén befolyásolhatja az Imatinib Actavis hatását. Fokozhatják, illetve csökkenthetik az Imatinib Actavis hatását, ami a mellékhatások előfordulási gyakoriságának növekedéséhez, illetve az Imatinib Actavis hatásosságának csökkenéséhez vezethet. Az Imatinib Actavis ugyanígy hathat néhány más gyógyszerre.</w:t>
      </w:r>
    </w:p>
    <w:p w14:paraId="1E9281FB" w14:textId="77777777" w:rsidR="002B5314" w:rsidRPr="00D045B3" w:rsidRDefault="002B5314" w:rsidP="002B5314">
      <w:pPr>
        <w:spacing w:line="240" w:lineRule="auto"/>
        <w:rPr>
          <w:color w:val="000000"/>
          <w:szCs w:val="22"/>
          <w:lang w:val="hu-HU"/>
        </w:rPr>
      </w:pPr>
    </w:p>
    <w:p w14:paraId="1E9281FC" w14:textId="77777777" w:rsidR="002B5314" w:rsidRPr="00D045B3" w:rsidRDefault="002B5314" w:rsidP="002B5314">
      <w:pPr>
        <w:spacing w:line="240" w:lineRule="auto"/>
        <w:rPr>
          <w:color w:val="000000"/>
          <w:szCs w:val="22"/>
          <w:lang w:val="hu-HU"/>
        </w:rPr>
      </w:pPr>
      <w:r w:rsidRPr="00D045B3">
        <w:rPr>
          <w:color w:val="000000"/>
          <w:szCs w:val="22"/>
          <w:lang w:val="hu-HU"/>
        </w:rPr>
        <w:t>Tájékoztassa kezelőorvosát, ha vérrögképződést gátló gyógyszert alkalmaz.</w:t>
      </w:r>
    </w:p>
    <w:p w14:paraId="1E9281FD" w14:textId="77777777" w:rsidR="002B5314" w:rsidRPr="00D045B3" w:rsidRDefault="002B5314" w:rsidP="002B5314">
      <w:pPr>
        <w:spacing w:line="240" w:lineRule="auto"/>
        <w:ind w:right="-2"/>
        <w:rPr>
          <w:color w:val="000000"/>
          <w:szCs w:val="22"/>
          <w:lang w:val="hu-HU"/>
        </w:rPr>
      </w:pPr>
    </w:p>
    <w:p w14:paraId="1E9281FE" w14:textId="77777777" w:rsidR="002B5314" w:rsidRPr="00D045B3" w:rsidRDefault="002B5314" w:rsidP="002B5314">
      <w:pPr>
        <w:keepNext/>
        <w:ind w:right="-29"/>
        <w:rPr>
          <w:b/>
          <w:color w:val="000000"/>
          <w:szCs w:val="22"/>
          <w:lang w:val="hu-HU"/>
        </w:rPr>
      </w:pPr>
      <w:r w:rsidRPr="00D045B3">
        <w:rPr>
          <w:b/>
          <w:color w:val="000000"/>
          <w:szCs w:val="22"/>
          <w:lang w:val="hu-HU"/>
        </w:rPr>
        <w:t>Terhesség, szoptatás és termékenység</w:t>
      </w:r>
    </w:p>
    <w:p w14:paraId="1E9281FF" w14:textId="77777777" w:rsidR="002B5314" w:rsidRPr="00D045B3" w:rsidRDefault="002B5314" w:rsidP="00E95370">
      <w:pPr>
        <w:widowControl w:val="0"/>
        <w:numPr>
          <w:ilvl w:val="0"/>
          <w:numId w:val="12"/>
        </w:numPr>
        <w:tabs>
          <w:tab w:val="clear" w:pos="0"/>
          <w:tab w:val="clear" w:pos="567"/>
        </w:tabs>
        <w:spacing w:line="240" w:lineRule="auto"/>
        <w:ind w:left="567" w:hanging="567"/>
        <w:rPr>
          <w:color w:val="000000"/>
          <w:szCs w:val="22"/>
          <w:lang w:val="hu-HU"/>
        </w:rPr>
      </w:pPr>
      <w:r w:rsidRPr="00D045B3">
        <w:rPr>
          <w:color w:val="000000"/>
          <w:szCs w:val="22"/>
          <w:lang w:val="hu-HU"/>
        </w:rPr>
        <w:t>Ha Ön terhes vagy szoptat, illetve ha fennáll Önnél a terhesség lehetősége vagy gyermeket szeretne, a gyógyszer alkalmazása előtt beszéljen kezelőorvosával.</w:t>
      </w:r>
    </w:p>
    <w:p w14:paraId="1E928200" w14:textId="3D28CFB2" w:rsidR="002B5314" w:rsidRPr="00D045B3" w:rsidRDefault="002B5314" w:rsidP="00283A18">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 xml:space="preserve">Az Imatinib Actavis nem javasolt a terhesség ideje alatt, csak ha az egyértelműen szükséges, mert károsíthatja gyermekét. </w:t>
      </w:r>
      <w:r w:rsidR="00283A18" w:rsidRPr="00D045B3">
        <w:rPr>
          <w:color w:val="000000"/>
          <w:szCs w:val="22"/>
          <w:lang w:val="hu-HU"/>
        </w:rPr>
        <w:t>Kezelőorvosa</w:t>
      </w:r>
      <w:r w:rsidRPr="00D045B3">
        <w:rPr>
          <w:color w:val="000000"/>
          <w:szCs w:val="22"/>
          <w:lang w:val="hu-HU"/>
        </w:rPr>
        <w:t xml:space="preserve"> megbeszéli Önnel a terhesség ideje alatti Imatinib Actavis</w:t>
      </w:r>
      <w:r w:rsidRPr="00D045B3">
        <w:rPr>
          <w:color w:val="000000"/>
          <w:szCs w:val="22"/>
          <w:lang w:val="hu-HU"/>
        </w:rPr>
        <w:noBreakHyphen/>
        <w:t>kezelés lehetséges kockázatait.</w:t>
      </w:r>
    </w:p>
    <w:p w14:paraId="1E928201" w14:textId="0CA53C50" w:rsidR="002B5314" w:rsidRPr="00D045B3" w:rsidRDefault="002B5314" w:rsidP="00F53818">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A fogamzóképes életkorú nőknek hatékony fogamzásgátló módszer alkalmazása javasolt a kezelés időtartama alatt</w:t>
      </w:r>
      <w:r w:rsidR="005E3128" w:rsidRPr="00D045B3">
        <w:rPr>
          <w:color w:val="000000"/>
          <w:szCs w:val="22"/>
          <w:lang w:val="hu-HU"/>
        </w:rPr>
        <w:t>, és még további 15 </w:t>
      </w:r>
      <w:r w:rsidR="004F2490" w:rsidRPr="00D045B3">
        <w:rPr>
          <w:color w:val="000000"/>
          <w:szCs w:val="22"/>
          <w:lang w:val="hu-HU"/>
        </w:rPr>
        <w:t>napig az Imatinib Actavis-kezelés befejezését követően</w:t>
      </w:r>
      <w:r w:rsidR="00F53818" w:rsidRPr="00D045B3">
        <w:rPr>
          <w:color w:val="000000"/>
          <w:szCs w:val="22"/>
          <w:lang w:val="hu-HU"/>
        </w:rPr>
        <w:t>.</w:t>
      </w:r>
    </w:p>
    <w:p w14:paraId="1E928202" w14:textId="247C9881" w:rsidR="002B5314" w:rsidRPr="00D045B3" w:rsidRDefault="002B5314" w:rsidP="00E95370">
      <w:pPr>
        <w:numPr>
          <w:ilvl w:val="0"/>
          <w:numId w:val="12"/>
        </w:numPr>
        <w:tabs>
          <w:tab w:val="clear" w:pos="0"/>
          <w:tab w:val="clear" w:pos="567"/>
        </w:tabs>
        <w:suppressAutoHyphens/>
        <w:spacing w:line="240" w:lineRule="auto"/>
        <w:ind w:left="567" w:hanging="567"/>
        <w:rPr>
          <w:color w:val="000000"/>
          <w:szCs w:val="22"/>
          <w:lang w:val="hu-HU"/>
        </w:rPr>
      </w:pPr>
      <w:r w:rsidRPr="00D045B3">
        <w:rPr>
          <w:color w:val="000000"/>
          <w:szCs w:val="22"/>
          <w:lang w:val="hu-HU"/>
        </w:rPr>
        <w:t>Ne szoptasson az Imatinib Actavis</w:t>
      </w:r>
      <w:r w:rsidRPr="00D045B3">
        <w:rPr>
          <w:color w:val="000000"/>
          <w:szCs w:val="22"/>
          <w:lang w:val="hu-HU"/>
        </w:rPr>
        <w:noBreakHyphen/>
        <w:t>kezelés időtartama alatt</w:t>
      </w:r>
      <w:r w:rsidR="005E3128" w:rsidRPr="00D045B3">
        <w:rPr>
          <w:szCs w:val="22"/>
          <w:lang w:val="hu-HU"/>
        </w:rPr>
        <w:t>, és még további 15 </w:t>
      </w:r>
      <w:r w:rsidR="004F2490" w:rsidRPr="00D045B3">
        <w:rPr>
          <w:szCs w:val="22"/>
          <w:lang w:val="hu-HU"/>
        </w:rPr>
        <w:t>napig az Imatinib Actavis-kezelés befejezését követően, mert ez káros hatással lehet csecsemőjére</w:t>
      </w:r>
      <w:r w:rsidRPr="00D045B3">
        <w:rPr>
          <w:color w:val="000000"/>
          <w:szCs w:val="22"/>
          <w:lang w:val="hu-HU"/>
        </w:rPr>
        <w:t>.</w:t>
      </w:r>
    </w:p>
    <w:p w14:paraId="1E928203" w14:textId="77777777" w:rsidR="002B5314" w:rsidRPr="00D045B3" w:rsidRDefault="002B5314" w:rsidP="00E95370">
      <w:pPr>
        <w:widowControl w:val="0"/>
        <w:numPr>
          <w:ilvl w:val="0"/>
          <w:numId w:val="17"/>
        </w:numPr>
        <w:tabs>
          <w:tab w:val="clear" w:pos="567"/>
        </w:tabs>
        <w:spacing w:line="240" w:lineRule="auto"/>
        <w:ind w:left="567" w:hanging="567"/>
        <w:rPr>
          <w:color w:val="000000"/>
          <w:szCs w:val="22"/>
          <w:lang w:val="hu-HU"/>
        </w:rPr>
      </w:pPr>
      <w:r w:rsidRPr="00D045B3">
        <w:rPr>
          <w:szCs w:val="22"/>
          <w:lang w:val="hu-HU"/>
        </w:rPr>
        <w:t>Azon betegek, akiket aggasztanak a termékenységükkel kapcsolatos kérdések, az Imatinib Actavis szedése alatt, forduljanak tanácsért kezelőorvosukhoz.</w:t>
      </w:r>
    </w:p>
    <w:p w14:paraId="1E928204" w14:textId="77777777" w:rsidR="002B5314" w:rsidRPr="00D045B3" w:rsidRDefault="002B5314" w:rsidP="002B5314">
      <w:pPr>
        <w:spacing w:line="240" w:lineRule="auto"/>
        <w:rPr>
          <w:color w:val="000000"/>
          <w:szCs w:val="22"/>
          <w:lang w:val="hu-HU"/>
        </w:rPr>
      </w:pPr>
    </w:p>
    <w:p w14:paraId="1E928205" w14:textId="77777777" w:rsidR="002B5314" w:rsidRPr="00D045B3" w:rsidRDefault="002B5314" w:rsidP="002B5314">
      <w:pPr>
        <w:keepNext/>
        <w:spacing w:line="240" w:lineRule="auto"/>
        <w:ind w:right="-28"/>
        <w:rPr>
          <w:b/>
          <w:color w:val="000000"/>
          <w:szCs w:val="22"/>
          <w:lang w:val="hu-HU"/>
        </w:rPr>
      </w:pPr>
      <w:r w:rsidRPr="00D045B3">
        <w:rPr>
          <w:b/>
          <w:color w:val="000000"/>
          <w:szCs w:val="22"/>
          <w:lang w:val="hu-HU"/>
        </w:rPr>
        <w:t>A készítmény hatásai a gépjárművezetéshez és a gépek kezeléséhez szükséges képességekre</w:t>
      </w:r>
    </w:p>
    <w:p w14:paraId="1E928206" w14:textId="77777777" w:rsidR="002B5314" w:rsidRPr="00D045B3" w:rsidRDefault="002B5314" w:rsidP="00CA41FD">
      <w:pPr>
        <w:spacing w:line="240" w:lineRule="auto"/>
        <w:ind w:right="-28"/>
        <w:rPr>
          <w:color w:val="000000"/>
          <w:szCs w:val="22"/>
          <w:lang w:val="hu-HU"/>
        </w:rPr>
      </w:pPr>
      <w:r w:rsidRPr="00D045B3">
        <w:rPr>
          <w:color w:val="000000"/>
          <w:szCs w:val="22"/>
          <w:lang w:val="hu-HU"/>
        </w:rPr>
        <w:t>A gyógyszer szedésének ideje alatt szédülhet vagy látása homályossá válhat. Ilyenkor ne vezessen, illetve ne használjon gépeket, amíg nem érzi ismét jól magát.</w:t>
      </w:r>
    </w:p>
    <w:p w14:paraId="1E928207" w14:textId="77777777" w:rsidR="00D069FF" w:rsidRPr="00D045B3" w:rsidRDefault="00D069FF" w:rsidP="00D069FF">
      <w:pPr>
        <w:spacing w:line="240" w:lineRule="auto"/>
        <w:ind w:right="-29"/>
        <w:rPr>
          <w:color w:val="000000"/>
          <w:lang w:val="hu-HU"/>
        </w:rPr>
      </w:pPr>
    </w:p>
    <w:p w14:paraId="1E928208" w14:textId="77777777" w:rsidR="00D069FF" w:rsidRPr="00D045B3" w:rsidRDefault="002F51C0" w:rsidP="00D069FF">
      <w:pPr>
        <w:spacing w:line="240" w:lineRule="auto"/>
        <w:ind w:right="-2"/>
        <w:rPr>
          <w:b/>
          <w:color w:val="000000"/>
          <w:lang w:val="hu-HU"/>
        </w:rPr>
      </w:pPr>
      <w:r w:rsidRPr="00D045B3">
        <w:rPr>
          <w:b/>
          <w:color w:val="000000"/>
          <w:lang w:val="hu-HU"/>
        </w:rPr>
        <w:t>Az Imatinib Actavis (szója) lecitint tartalmaz</w:t>
      </w:r>
    </w:p>
    <w:p w14:paraId="1E928209" w14:textId="77777777" w:rsidR="002F51C0" w:rsidRPr="00D045B3" w:rsidRDefault="002F51C0" w:rsidP="00D069FF">
      <w:pPr>
        <w:spacing w:line="240" w:lineRule="auto"/>
        <w:ind w:right="-2"/>
        <w:rPr>
          <w:color w:val="000000"/>
          <w:lang w:val="hu-HU"/>
        </w:rPr>
      </w:pPr>
      <w:r w:rsidRPr="00D045B3">
        <w:rPr>
          <w:color w:val="000000"/>
          <w:lang w:val="hu-HU"/>
        </w:rPr>
        <w:t xml:space="preserve">Ne szedje ezt a készítményt, ha Ön allergiás mogyoróra vagy szójára. </w:t>
      </w:r>
    </w:p>
    <w:p w14:paraId="4E1C4090" w14:textId="77777777" w:rsidR="00FE2796" w:rsidRPr="00D045B3" w:rsidRDefault="00FE2796" w:rsidP="00FE2796">
      <w:pPr>
        <w:spacing w:line="240" w:lineRule="auto"/>
        <w:ind w:right="-28"/>
        <w:rPr>
          <w:color w:val="000000"/>
          <w:szCs w:val="22"/>
          <w:lang w:val="hu-HU"/>
        </w:rPr>
      </w:pPr>
    </w:p>
    <w:p w14:paraId="2CE5A443" w14:textId="77777777" w:rsidR="00FE2796" w:rsidRPr="00D045B3" w:rsidRDefault="00FE2796" w:rsidP="00FE2796">
      <w:pPr>
        <w:spacing w:line="240" w:lineRule="auto"/>
        <w:ind w:right="-28"/>
        <w:rPr>
          <w:b/>
          <w:bCs/>
          <w:color w:val="000000"/>
          <w:szCs w:val="22"/>
          <w:lang w:val="hu-HU"/>
        </w:rPr>
      </w:pPr>
      <w:r w:rsidRPr="00D045B3">
        <w:rPr>
          <w:b/>
          <w:bCs/>
          <w:color w:val="000000"/>
          <w:szCs w:val="22"/>
          <w:lang w:val="hu-HU"/>
        </w:rPr>
        <w:t>Az Imatinib Activis nátriumot tartalmaz</w:t>
      </w:r>
    </w:p>
    <w:p w14:paraId="00DB70EA" w14:textId="0AA40DBA" w:rsidR="00FE2796" w:rsidRPr="00D045B3" w:rsidRDefault="00FE2796" w:rsidP="00FE2796">
      <w:pPr>
        <w:rPr>
          <w:b/>
          <w:bCs/>
          <w:color w:val="000000"/>
          <w:szCs w:val="22"/>
          <w:lang w:val="hu-HU"/>
        </w:rPr>
      </w:pPr>
      <w:r w:rsidRPr="00D045B3">
        <w:rPr>
          <w:lang w:val="hu-HU"/>
        </w:rPr>
        <w:t>A készítmény kevesebb, mint 1 mmol (23 mg) nátriumot tartalmaz filmtablettánként, azaz gyakorlatilag „nátriummentes”.</w:t>
      </w:r>
    </w:p>
    <w:p w14:paraId="1E92820A" w14:textId="77777777" w:rsidR="002F51C0" w:rsidRPr="00D045B3" w:rsidRDefault="002F51C0" w:rsidP="00D069FF">
      <w:pPr>
        <w:spacing w:line="240" w:lineRule="auto"/>
        <w:ind w:right="-2"/>
        <w:rPr>
          <w:color w:val="000000"/>
          <w:lang w:val="hu-HU"/>
        </w:rPr>
      </w:pPr>
    </w:p>
    <w:p w14:paraId="1E92820B" w14:textId="77777777" w:rsidR="002F51C0" w:rsidRPr="00D045B3" w:rsidRDefault="002F51C0" w:rsidP="00D069FF">
      <w:pPr>
        <w:spacing w:line="240" w:lineRule="auto"/>
        <w:ind w:right="-2"/>
        <w:rPr>
          <w:color w:val="000000"/>
          <w:lang w:val="hu-HU"/>
        </w:rPr>
      </w:pPr>
    </w:p>
    <w:p w14:paraId="1E92820C" w14:textId="77777777" w:rsidR="00D069FF" w:rsidRPr="00D045B3" w:rsidRDefault="00D069FF" w:rsidP="00D069FF">
      <w:pPr>
        <w:keepNext/>
        <w:spacing w:line="240" w:lineRule="auto"/>
        <w:ind w:left="567" w:right="-29" w:hanging="567"/>
        <w:rPr>
          <w:b/>
          <w:color w:val="000000"/>
          <w:lang w:val="hu-HU"/>
        </w:rPr>
      </w:pPr>
      <w:r w:rsidRPr="00D045B3">
        <w:rPr>
          <w:b/>
          <w:color w:val="000000"/>
          <w:lang w:val="hu-HU"/>
        </w:rPr>
        <w:t>3.</w:t>
      </w:r>
      <w:r w:rsidRPr="00D045B3">
        <w:rPr>
          <w:b/>
          <w:color w:val="000000"/>
          <w:lang w:val="hu-HU"/>
        </w:rPr>
        <w:tab/>
        <w:t>Hogyan kell szedni az Imatinib Actavis</w:t>
      </w:r>
      <w:r w:rsidRPr="00D045B3">
        <w:rPr>
          <w:b/>
          <w:color w:val="000000"/>
          <w:lang w:val="hu-HU"/>
        </w:rPr>
        <w:noBreakHyphen/>
        <w:t>t?</w:t>
      </w:r>
    </w:p>
    <w:p w14:paraId="1E92820D" w14:textId="77777777" w:rsidR="00D069FF" w:rsidRPr="00D045B3" w:rsidRDefault="00D069FF" w:rsidP="00D069FF">
      <w:pPr>
        <w:keepNext/>
        <w:spacing w:line="240" w:lineRule="auto"/>
        <w:ind w:left="567" w:right="-2" w:hanging="567"/>
        <w:rPr>
          <w:color w:val="000000"/>
          <w:lang w:val="hu-HU"/>
        </w:rPr>
      </w:pPr>
    </w:p>
    <w:p w14:paraId="1E92820E" w14:textId="77777777" w:rsidR="00D069FF" w:rsidRPr="00D045B3" w:rsidRDefault="00D069FF" w:rsidP="00CA41FD">
      <w:pPr>
        <w:spacing w:line="240" w:lineRule="auto"/>
        <w:ind w:right="-2"/>
        <w:rPr>
          <w:color w:val="000000"/>
          <w:lang w:val="hu-HU"/>
        </w:rPr>
      </w:pPr>
      <w:r w:rsidRPr="00D045B3">
        <w:rPr>
          <w:color w:val="000000"/>
          <w:lang w:val="hu-HU"/>
        </w:rPr>
        <w:t>Kezelőorvosa azért rendelte Önnek az Imatinib Actavis</w:t>
      </w:r>
      <w:r w:rsidRPr="00D045B3">
        <w:rPr>
          <w:color w:val="000000"/>
          <w:lang w:val="hu-HU"/>
        </w:rPr>
        <w:noBreakHyphen/>
        <w:t>t, mert Ön súlyos betegségben szenved. Az Imatinib Actavis segíthet Önnek a betegséggel szembeni küzdelemben.</w:t>
      </w:r>
    </w:p>
    <w:p w14:paraId="1E92820F" w14:textId="77777777" w:rsidR="00D069FF" w:rsidRPr="00D045B3" w:rsidRDefault="00D069FF" w:rsidP="00D069FF">
      <w:pPr>
        <w:spacing w:line="240" w:lineRule="auto"/>
        <w:ind w:right="-2"/>
        <w:rPr>
          <w:color w:val="000000"/>
          <w:lang w:val="hu-HU"/>
        </w:rPr>
      </w:pPr>
    </w:p>
    <w:p w14:paraId="1E928210" w14:textId="77777777" w:rsidR="00D069FF" w:rsidRPr="00D045B3" w:rsidRDefault="00D069FF" w:rsidP="00D069FF">
      <w:pPr>
        <w:spacing w:line="240" w:lineRule="auto"/>
        <w:ind w:right="-2"/>
        <w:rPr>
          <w:color w:val="000000"/>
          <w:lang w:val="hu-HU"/>
        </w:rPr>
      </w:pPr>
      <w:r w:rsidRPr="00D045B3">
        <w:rPr>
          <w:color w:val="000000"/>
          <w:lang w:val="hu-HU"/>
        </w:rPr>
        <w:t xml:space="preserve">Azonban, </w:t>
      </w:r>
      <w:r w:rsidRPr="00D045B3">
        <w:rPr>
          <w:noProof/>
          <w:color w:val="000000"/>
          <w:lang w:val="hu-HU"/>
        </w:rPr>
        <w:t xml:space="preserve">a </w:t>
      </w:r>
      <w:r w:rsidRPr="00D045B3">
        <w:rPr>
          <w:noProof/>
          <w:szCs w:val="24"/>
          <w:lang w:val="hu-HU"/>
        </w:rPr>
        <w:t>gyógyszert</w:t>
      </w:r>
      <w:r w:rsidRPr="00D045B3">
        <w:rPr>
          <w:lang w:val="hu-HU"/>
        </w:rPr>
        <w:t xml:space="preserve"> </w:t>
      </w:r>
      <w:r w:rsidRPr="00D045B3">
        <w:rPr>
          <w:noProof/>
          <w:color w:val="000000"/>
          <w:lang w:val="hu-HU"/>
        </w:rPr>
        <w:t xml:space="preserve">mindig a </w:t>
      </w:r>
      <w:r w:rsidRPr="00D045B3">
        <w:rPr>
          <w:noProof/>
          <w:szCs w:val="24"/>
          <w:lang w:val="hu-HU"/>
        </w:rPr>
        <w:t>kezelőorvosa vagy gyógyszerésze</w:t>
      </w:r>
      <w:r w:rsidRPr="00D045B3">
        <w:rPr>
          <w:noProof/>
          <w:color w:val="000000"/>
          <w:lang w:val="hu-HU"/>
        </w:rPr>
        <w:t xml:space="preserve"> által elmondottaknak megfelelően szedje. Fontos, hogy ezt mindaddig tegye, amíg kezelőorvosa előírja. </w:t>
      </w:r>
      <w:r w:rsidRPr="00D045B3">
        <w:rPr>
          <w:color w:val="000000"/>
          <w:lang w:val="hu-HU"/>
        </w:rPr>
        <w:t xml:space="preserve">Amennyiben nem biztos az adagolást illetően, kérdezze meg </w:t>
      </w:r>
      <w:r w:rsidRPr="00D045B3">
        <w:rPr>
          <w:noProof/>
          <w:szCs w:val="24"/>
          <w:lang w:val="hu-HU"/>
        </w:rPr>
        <w:t xml:space="preserve">kezelőorvosát </w:t>
      </w:r>
      <w:r w:rsidRPr="00D045B3">
        <w:rPr>
          <w:color w:val="000000"/>
          <w:lang w:val="hu-HU"/>
        </w:rPr>
        <w:t>vagy gyógyszerészét.</w:t>
      </w:r>
    </w:p>
    <w:p w14:paraId="1E928211" w14:textId="77777777" w:rsidR="00D069FF" w:rsidRPr="00D045B3" w:rsidRDefault="00D069FF" w:rsidP="00D069FF">
      <w:pPr>
        <w:spacing w:line="240" w:lineRule="auto"/>
        <w:ind w:right="-2"/>
        <w:rPr>
          <w:color w:val="000000"/>
          <w:lang w:val="hu-HU"/>
        </w:rPr>
      </w:pPr>
    </w:p>
    <w:p w14:paraId="1E928212" w14:textId="77777777" w:rsidR="00D069FF" w:rsidRPr="00D045B3" w:rsidRDefault="00D069FF" w:rsidP="00D069FF">
      <w:pPr>
        <w:spacing w:line="240" w:lineRule="auto"/>
        <w:ind w:right="-2"/>
        <w:rPr>
          <w:color w:val="000000"/>
          <w:lang w:val="hu-HU"/>
        </w:rPr>
      </w:pPr>
      <w:r w:rsidRPr="00D045B3">
        <w:rPr>
          <w:color w:val="000000"/>
          <w:lang w:val="hu-HU"/>
        </w:rPr>
        <w:t>Ne hagyja abba az Imatinib Actavis szedését, csak akkor, ha orvosa mondja Önnek. Amennyiben nem tudja a gyógyszert az orvos által előírtaknak megfelelően szedni, vagy ha úgy érzi, hogy már nincs rá szüksége, azonnal forduljon kezelőorvosához.</w:t>
      </w:r>
    </w:p>
    <w:p w14:paraId="1E928213" w14:textId="77777777" w:rsidR="00D069FF" w:rsidRPr="00D045B3" w:rsidRDefault="00D069FF" w:rsidP="00D069FF">
      <w:pPr>
        <w:spacing w:line="240" w:lineRule="auto"/>
        <w:ind w:right="-2"/>
        <w:rPr>
          <w:color w:val="000000"/>
          <w:lang w:val="hu-HU"/>
        </w:rPr>
      </w:pPr>
    </w:p>
    <w:p w14:paraId="1E928214" w14:textId="77777777" w:rsidR="00D069FF" w:rsidRPr="00D045B3" w:rsidRDefault="00D069FF" w:rsidP="00D069FF">
      <w:pPr>
        <w:keepNext/>
        <w:spacing w:line="240" w:lineRule="auto"/>
        <w:rPr>
          <w:b/>
          <w:color w:val="000000"/>
          <w:lang w:val="hu-HU"/>
        </w:rPr>
      </w:pPr>
      <w:r w:rsidRPr="00D045B3">
        <w:rPr>
          <w:b/>
          <w:color w:val="000000"/>
          <w:lang w:val="hu-HU"/>
        </w:rPr>
        <w:t>Mennyi Imatinib Actavis</w:t>
      </w:r>
      <w:r w:rsidRPr="00D045B3">
        <w:rPr>
          <w:b/>
          <w:color w:val="000000"/>
          <w:lang w:val="hu-HU"/>
        </w:rPr>
        <w:noBreakHyphen/>
        <w:t>t kell bevennie?</w:t>
      </w:r>
    </w:p>
    <w:p w14:paraId="1E928215" w14:textId="77777777" w:rsidR="00D069FF" w:rsidRPr="00D045B3" w:rsidRDefault="00D069FF" w:rsidP="00D069FF">
      <w:pPr>
        <w:keepNext/>
        <w:spacing w:line="240" w:lineRule="auto"/>
        <w:rPr>
          <w:color w:val="000000"/>
          <w:lang w:val="hu-HU"/>
        </w:rPr>
      </w:pPr>
    </w:p>
    <w:p w14:paraId="1E928216" w14:textId="77777777" w:rsidR="00D069FF" w:rsidRPr="00D045B3" w:rsidRDefault="00D069FF" w:rsidP="00D069FF">
      <w:pPr>
        <w:keepNext/>
        <w:spacing w:line="240" w:lineRule="auto"/>
        <w:rPr>
          <w:b/>
          <w:color w:val="000000"/>
          <w:lang w:val="hu-HU"/>
        </w:rPr>
      </w:pPr>
      <w:r w:rsidRPr="00D045B3">
        <w:rPr>
          <w:b/>
          <w:color w:val="000000"/>
          <w:lang w:val="hu-HU"/>
        </w:rPr>
        <w:t>Alkalmazása felnőtteknél</w:t>
      </w:r>
    </w:p>
    <w:p w14:paraId="1E928217" w14:textId="77777777" w:rsidR="00D069FF" w:rsidRPr="00D045B3" w:rsidRDefault="00D069FF" w:rsidP="00CA41FD">
      <w:pPr>
        <w:spacing w:line="240" w:lineRule="auto"/>
        <w:rPr>
          <w:color w:val="000000"/>
          <w:lang w:val="hu-HU"/>
        </w:rPr>
      </w:pPr>
      <w:r w:rsidRPr="00D045B3">
        <w:rPr>
          <w:color w:val="000000"/>
          <w:lang w:val="hu-HU"/>
        </w:rPr>
        <w:t xml:space="preserve">Kezelőorvosa megmondja, hogy pontosan hány Imatinib Actavis </w:t>
      </w:r>
      <w:r w:rsidR="002F51C0" w:rsidRPr="00D045B3">
        <w:rPr>
          <w:color w:val="000000"/>
          <w:lang w:val="hu-HU"/>
        </w:rPr>
        <w:t>tablettát</w:t>
      </w:r>
      <w:r w:rsidRPr="00D045B3">
        <w:rPr>
          <w:color w:val="000000"/>
          <w:lang w:val="hu-HU"/>
        </w:rPr>
        <w:t xml:space="preserve"> kell bevennie.</w:t>
      </w:r>
    </w:p>
    <w:p w14:paraId="1E928218" w14:textId="77777777" w:rsidR="001233C2" w:rsidRPr="00D045B3" w:rsidRDefault="001233C2" w:rsidP="00CA41FD">
      <w:pPr>
        <w:spacing w:line="240" w:lineRule="auto"/>
        <w:rPr>
          <w:color w:val="000000"/>
          <w:lang w:val="hu-HU"/>
        </w:rPr>
      </w:pPr>
    </w:p>
    <w:p w14:paraId="1E928219" w14:textId="77777777" w:rsidR="001233C2" w:rsidRPr="00D045B3" w:rsidRDefault="001233C2" w:rsidP="00E95370">
      <w:pPr>
        <w:keepNext/>
        <w:numPr>
          <w:ilvl w:val="0"/>
          <w:numId w:val="28"/>
        </w:numPr>
        <w:spacing w:line="240" w:lineRule="auto"/>
        <w:ind w:left="567" w:hanging="567"/>
        <w:rPr>
          <w:b/>
          <w:color w:val="000000"/>
          <w:lang w:val="hu-HU"/>
        </w:rPr>
      </w:pPr>
      <w:r w:rsidRPr="00D045B3">
        <w:rPr>
          <w:b/>
          <w:color w:val="000000"/>
          <w:lang w:val="hu-HU"/>
        </w:rPr>
        <w:t>Ha CML miatt kezelik:</w:t>
      </w:r>
    </w:p>
    <w:p w14:paraId="1E92821D" w14:textId="77777777" w:rsidR="00D069FF" w:rsidRPr="00D045B3" w:rsidRDefault="00D069FF" w:rsidP="00D069FF">
      <w:pPr>
        <w:spacing w:line="240" w:lineRule="auto"/>
        <w:ind w:right="-2"/>
        <w:rPr>
          <w:b/>
          <w:color w:val="000000"/>
          <w:lang w:val="hu-HU"/>
        </w:rPr>
      </w:pPr>
      <w:r w:rsidRPr="00D045B3">
        <w:rPr>
          <w:color w:val="000000"/>
          <w:lang w:val="hu-HU"/>
        </w:rPr>
        <w:t xml:space="preserve">Az ajánlott kezdő adag 600 mg, amit naponta </w:t>
      </w:r>
      <w:r w:rsidRPr="00D045B3">
        <w:rPr>
          <w:b/>
          <w:color w:val="000000"/>
          <w:lang w:val="hu-HU"/>
        </w:rPr>
        <w:t xml:space="preserve">egyszer, </w:t>
      </w:r>
      <w:r w:rsidR="002F51C0" w:rsidRPr="00D045B3">
        <w:rPr>
          <w:color w:val="000000"/>
          <w:lang w:val="hu-HU"/>
        </w:rPr>
        <w:t>6 </w:t>
      </w:r>
      <w:r w:rsidRPr="00D045B3">
        <w:rPr>
          <w:color w:val="000000"/>
          <w:lang w:val="hu-HU"/>
        </w:rPr>
        <w:t xml:space="preserve">db </w:t>
      </w:r>
      <w:r w:rsidR="002F51C0" w:rsidRPr="00D045B3">
        <w:rPr>
          <w:color w:val="000000"/>
          <w:lang w:val="hu-HU"/>
        </w:rPr>
        <w:t>tabletta</w:t>
      </w:r>
      <w:r w:rsidRPr="00D045B3">
        <w:rPr>
          <w:color w:val="000000"/>
          <w:lang w:val="hu-HU"/>
        </w:rPr>
        <w:t xml:space="preserve"> formájában kell bevennie</w:t>
      </w:r>
      <w:r w:rsidRPr="00D045B3">
        <w:rPr>
          <w:b/>
          <w:color w:val="000000"/>
          <w:lang w:val="hu-HU"/>
        </w:rPr>
        <w:t>.</w:t>
      </w:r>
    </w:p>
    <w:p w14:paraId="1E92821E" w14:textId="77777777" w:rsidR="00D069FF" w:rsidRPr="00D045B3" w:rsidRDefault="00D069FF" w:rsidP="00D069FF">
      <w:pPr>
        <w:spacing w:line="240" w:lineRule="auto"/>
        <w:ind w:right="-2"/>
        <w:rPr>
          <w:color w:val="000000"/>
          <w:lang w:val="hu-HU"/>
        </w:rPr>
      </w:pPr>
    </w:p>
    <w:p w14:paraId="1E92821F" w14:textId="77777777" w:rsidR="002F51C0" w:rsidRPr="00D045B3" w:rsidRDefault="002F51C0" w:rsidP="00D069FF">
      <w:pPr>
        <w:spacing w:line="240" w:lineRule="auto"/>
        <w:ind w:right="-2"/>
        <w:rPr>
          <w:color w:val="000000"/>
          <w:lang w:val="hu-HU"/>
        </w:rPr>
      </w:pPr>
      <w:r w:rsidRPr="00D045B3">
        <w:rPr>
          <w:color w:val="000000"/>
          <w:lang w:val="hu-HU"/>
        </w:rPr>
        <w:t xml:space="preserve">Kezelőorvosa nagyobb vagy kisebb adagokat írhat elő, attól függően, hogy Ön miként reagál a kezelésre. </w:t>
      </w:r>
    </w:p>
    <w:p w14:paraId="1E928220" w14:textId="77777777" w:rsidR="002F51C0" w:rsidRPr="00D045B3" w:rsidRDefault="002F51C0" w:rsidP="00D069FF">
      <w:pPr>
        <w:spacing w:line="240" w:lineRule="auto"/>
        <w:ind w:right="-2"/>
        <w:rPr>
          <w:color w:val="000000"/>
          <w:lang w:val="hu-HU"/>
        </w:rPr>
      </w:pPr>
    </w:p>
    <w:p w14:paraId="1E928221" w14:textId="77777777" w:rsidR="007F5F30" w:rsidRPr="00D045B3" w:rsidRDefault="007F5F30" w:rsidP="007F5F30">
      <w:pPr>
        <w:spacing w:line="240" w:lineRule="auto"/>
        <w:ind w:right="-2"/>
        <w:rPr>
          <w:color w:val="000000"/>
          <w:lang w:val="hu-HU"/>
        </w:rPr>
      </w:pPr>
      <w:r w:rsidRPr="00D045B3">
        <w:rPr>
          <w:color w:val="000000"/>
          <w:lang w:val="hu-HU"/>
        </w:rPr>
        <w:t>Ha az Ön napi adagja 800 mg (8 tabletta), akkor 4 tablettát kell bevennie reggel és 4 tablettát este.</w:t>
      </w:r>
    </w:p>
    <w:p w14:paraId="1E928222" w14:textId="77777777" w:rsidR="007F5F30" w:rsidRPr="00D045B3" w:rsidRDefault="007F5F30" w:rsidP="00D069FF">
      <w:pPr>
        <w:spacing w:line="240" w:lineRule="auto"/>
        <w:ind w:right="-2"/>
        <w:rPr>
          <w:color w:val="000000"/>
          <w:lang w:val="hu-HU"/>
        </w:rPr>
      </w:pPr>
    </w:p>
    <w:p w14:paraId="1E928223" w14:textId="77777777" w:rsidR="001233C2" w:rsidRPr="00D045B3" w:rsidRDefault="001233C2" w:rsidP="00E95370">
      <w:pPr>
        <w:pStyle w:val="Default"/>
        <w:keepNext/>
        <w:numPr>
          <w:ilvl w:val="0"/>
          <w:numId w:val="27"/>
        </w:numPr>
        <w:ind w:left="567" w:hanging="567"/>
        <w:rPr>
          <w:sz w:val="22"/>
          <w:szCs w:val="22"/>
        </w:rPr>
      </w:pPr>
      <w:r w:rsidRPr="00D045B3">
        <w:rPr>
          <w:b/>
          <w:bCs/>
          <w:sz w:val="22"/>
          <w:szCs w:val="22"/>
        </w:rPr>
        <w:t xml:space="preserve">Ha Önt Ph-pozitív ALL miatt kezelik: </w:t>
      </w:r>
    </w:p>
    <w:p w14:paraId="1E928224" w14:textId="61B4A772" w:rsidR="001233C2" w:rsidRPr="00D045B3" w:rsidRDefault="001233C2" w:rsidP="008A6837">
      <w:pPr>
        <w:pStyle w:val="Default"/>
        <w:keepNext/>
        <w:ind w:left="567"/>
        <w:rPr>
          <w:sz w:val="22"/>
          <w:szCs w:val="22"/>
        </w:rPr>
      </w:pPr>
      <w:r w:rsidRPr="00D045B3">
        <w:rPr>
          <w:sz w:val="22"/>
          <w:szCs w:val="22"/>
        </w:rPr>
        <w:t xml:space="preserve">A kezdőadag 600 mg, amit </w:t>
      </w:r>
      <w:r w:rsidR="00563102" w:rsidRPr="00D045B3">
        <w:rPr>
          <w:sz w:val="22"/>
          <w:szCs w:val="22"/>
        </w:rPr>
        <w:t>6</w:t>
      </w:r>
      <w:r w:rsidRPr="00D045B3">
        <w:rPr>
          <w:sz w:val="22"/>
          <w:szCs w:val="22"/>
        </w:rPr>
        <w:t xml:space="preserve"> db </w:t>
      </w:r>
      <w:r w:rsidR="00563102" w:rsidRPr="00D045B3">
        <w:rPr>
          <w:sz w:val="22"/>
          <w:szCs w:val="22"/>
        </w:rPr>
        <w:t>tabletta</w:t>
      </w:r>
      <w:r w:rsidRPr="00D045B3">
        <w:rPr>
          <w:sz w:val="22"/>
          <w:szCs w:val="22"/>
        </w:rPr>
        <w:t xml:space="preserve"> formájában, naponta </w:t>
      </w:r>
      <w:r w:rsidRPr="00D045B3">
        <w:rPr>
          <w:b/>
          <w:bCs/>
          <w:sz w:val="22"/>
          <w:szCs w:val="22"/>
        </w:rPr>
        <w:t xml:space="preserve">egy alkalommal </w:t>
      </w:r>
      <w:r w:rsidRPr="00D045B3">
        <w:rPr>
          <w:sz w:val="22"/>
          <w:szCs w:val="22"/>
        </w:rPr>
        <w:t xml:space="preserve">kell bevennie. </w:t>
      </w:r>
    </w:p>
    <w:p w14:paraId="1E928225" w14:textId="77777777" w:rsidR="001233C2" w:rsidRPr="00D045B3" w:rsidRDefault="001233C2" w:rsidP="00CA41FD">
      <w:pPr>
        <w:pStyle w:val="Default"/>
        <w:rPr>
          <w:sz w:val="22"/>
          <w:szCs w:val="22"/>
        </w:rPr>
      </w:pPr>
    </w:p>
    <w:p w14:paraId="1E928226" w14:textId="77777777" w:rsidR="001233C2" w:rsidRPr="00D045B3" w:rsidRDefault="001233C2"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MDS/MPD miatt kezelik: </w:t>
      </w:r>
    </w:p>
    <w:p w14:paraId="1E928227" w14:textId="6A889AB3" w:rsidR="001233C2" w:rsidRPr="00D045B3" w:rsidRDefault="001233C2" w:rsidP="008A6837">
      <w:pPr>
        <w:pStyle w:val="Default"/>
        <w:ind w:left="567"/>
        <w:rPr>
          <w:sz w:val="22"/>
          <w:szCs w:val="22"/>
        </w:rPr>
      </w:pPr>
      <w:r w:rsidRPr="00D045B3">
        <w:rPr>
          <w:sz w:val="22"/>
          <w:szCs w:val="22"/>
        </w:rPr>
        <w:t>A kezdő</w:t>
      </w:r>
      <w:r w:rsidR="00FC52C7" w:rsidRPr="00D045B3">
        <w:rPr>
          <w:sz w:val="22"/>
          <w:szCs w:val="22"/>
        </w:rPr>
        <w:t>-</w:t>
      </w:r>
      <w:r w:rsidRPr="00D045B3">
        <w:rPr>
          <w:sz w:val="22"/>
          <w:szCs w:val="22"/>
        </w:rPr>
        <w:t xml:space="preserve">adag 400 mg, amit </w:t>
      </w:r>
      <w:r w:rsidR="00563102" w:rsidRPr="00D045B3">
        <w:rPr>
          <w:sz w:val="22"/>
          <w:szCs w:val="22"/>
        </w:rPr>
        <w:t>4</w:t>
      </w:r>
      <w:r w:rsidRPr="00D045B3">
        <w:rPr>
          <w:sz w:val="22"/>
          <w:szCs w:val="22"/>
        </w:rPr>
        <w:t xml:space="preserve"> db </w:t>
      </w:r>
      <w:r w:rsidR="00563102" w:rsidRPr="00D045B3">
        <w:rPr>
          <w:sz w:val="22"/>
          <w:szCs w:val="22"/>
        </w:rPr>
        <w:t>tabletta</w:t>
      </w:r>
      <w:r w:rsidRPr="00D045B3">
        <w:rPr>
          <w:sz w:val="22"/>
          <w:szCs w:val="22"/>
        </w:rPr>
        <w:t xml:space="preserve"> formájában, naponta </w:t>
      </w:r>
      <w:r w:rsidRPr="00D045B3">
        <w:rPr>
          <w:b/>
          <w:bCs/>
          <w:sz w:val="22"/>
          <w:szCs w:val="22"/>
        </w:rPr>
        <w:t xml:space="preserve">egy alkalommal </w:t>
      </w:r>
      <w:r w:rsidRPr="00D045B3">
        <w:rPr>
          <w:sz w:val="22"/>
          <w:szCs w:val="22"/>
        </w:rPr>
        <w:t>kell bevennie.</w:t>
      </w:r>
    </w:p>
    <w:p w14:paraId="1E928228" w14:textId="77777777" w:rsidR="001233C2" w:rsidRPr="00D045B3" w:rsidRDefault="001233C2" w:rsidP="008A6837">
      <w:pPr>
        <w:pStyle w:val="Default"/>
        <w:ind w:left="567"/>
        <w:rPr>
          <w:sz w:val="22"/>
          <w:szCs w:val="22"/>
        </w:rPr>
      </w:pPr>
    </w:p>
    <w:p w14:paraId="1E928229" w14:textId="77777777" w:rsidR="001233C2" w:rsidRPr="00D045B3" w:rsidRDefault="001233C2"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HES/CEL miatt kezelik: </w:t>
      </w:r>
    </w:p>
    <w:p w14:paraId="1E92822A" w14:textId="77777777" w:rsidR="001233C2" w:rsidRPr="00D045B3" w:rsidRDefault="001233C2" w:rsidP="008A6837">
      <w:pPr>
        <w:pStyle w:val="Default"/>
        <w:ind w:left="567"/>
        <w:rPr>
          <w:sz w:val="22"/>
          <w:szCs w:val="22"/>
        </w:rPr>
      </w:pPr>
      <w:r w:rsidRPr="00D045B3">
        <w:rPr>
          <w:sz w:val="22"/>
          <w:szCs w:val="22"/>
        </w:rPr>
        <w:t xml:space="preserve">A kezdő adag 100 mg, amit </w:t>
      </w:r>
      <w:r w:rsidR="00563102" w:rsidRPr="00D045B3">
        <w:rPr>
          <w:sz w:val="22"/>
          <w:szCs w:val="22"/>
        </w:rPr>
        <w:t xml:space="preserve">egy </w:t>
      </w:r>
      <w:r w:rsidRPr="00D045B3">
        <w:rPr>
          <w:sz w:val="22"/>
          <w:szCs w:val="22"/>
        </w:rPr>
        <w:t xml:space="preserve">db </w:t>
      </w:r>
      <w:r w:rsidR="00563102" w:rsidRPr="00D045B3">
        <w:rPr>
          <w:sz w:val="22"/>
          <w:szCs w:val="22"/>
        </w:rPr>
        <w:t>tabletta</w:t>
      </w:r>
      <w:r w:rsidRPr="00D045B3">
        <w:rPr>
          <w:sz w:val="22"/>
          <w:szCs w:val="22"/>
        </w:rPr>
        <w:t xml:space="preserve"> formájában, naponta </w:t>
      </w:r>
      <w:r w:rsidRPr="00D045B3">
        <w:rPr>
          <w:b/>
          <w:bCs/>
          <w:sz w:val="22"/>
          <w:szCs w:val="22"/>
        </w:rPr>
        <w:t xml:space="preserve">egy alkalommal </w:t>
      </w:r>
      <w:r w:rsidRPr="00D045B3">
        <w:rPr>
          <w:sz w:val="22"/>
          <w:szCs w:val="22"/>
        </w:rPr>
        <w:t>kell bevennie. Attól függően, hogy betegsége miként reagál a kezelésre, orvosa 400 mg</w:t>
      </w:r>
      <w:r w:rsidRPr="00D045B3">
        <w:rPr>
          <w:sz w:val="22"/>
          <w:szCs w:val="22"/>
        </w:rPr>
        <w:noBreakHyphen/>
        <w:t xml:space="preserve">ra növelheti az adagot, melyet </w:t>
      </w:r>
      <w:r w:rsidR="00563102" w:rsidRPr="00D045B3">
        <w:rPr>
          <w:sz w:val="22"/>
          <w:szCs w:val="22"/>
        </w:rPr>
        <w:t>4 </w:t>
      </w:r>
      <w:r w:rsidRPr="00D045B3">
        <w:rPr>
          <w:sz w:val="22"/>
          <w:szCs w:val="22"/>
        </w:rPr>
        <w:t xml:space="preserve">db </w:t>
      </w:r>
      <w:r w:rsidR="00563102" w:rsidRPr="00D045B3">
        <w:rPr>
          <w:sz w:val="22"/>
          <w:szCs w:val="22"/>
        </w:rPr>
        <w:t>tabletta</w:t>
      </w:r>
      <w:r w:rsidRPr="00D045B3">
        <w:rPr>
          <w:sz w:val="22"/>
          <w:szCs w:val="22"/>
        </w:rPr>
        <w:t xml:space="preserve"> formájában, naponta </w:t>
      </w:r>
      <w:r w:rsidRPr="00D045B3">
        <w:rPr>
          <w:b/>
          <w:bCs/>
          <w:sz w:val="22"/>
          <w:szCs w:val="22"/>
        </w:rPr>
        <w:t xml:space="preserve">egy alkalommal </w:t>
      </w:r>
      <w:r w:rsidRPr="00D045B3">
        <w:rPr>
          <w:sz w:val="22"/>
          <w:szCs w:val="22"/>
        </w:rPr>
        <w:t>kell bevennie.</w:t>
      </w:r>
    </w:p>
    <w:p w14:paraId="1E92822B" w14:textId="77777777" w:rsidR="001233C2" w:rsidRPr="00D045B3" w:rsidRDefault="001233C2" w:rsidP="008A6837">
      <w:pPr>
        <w:pStyle w:val="Default"/>
        <w:ind w:left="708"/>
        <w:rPr>
          <w:sz w:val="22"/>
          <w:szCs w:val="22"/>
        </w:rPr>
      </w:pPr>
    </w:p>
    <w:p w14:paraId="1E92822C" w14:textId="77777777" w:rsidR="001233C2" w:rsidRPr="00D045B3" w:rsidRDefault="001233C2"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DFSP miatt kezelik: </w:t>
      </w:r>
    </w:p>
    <w:p w14:paraId="1E92822D" w14:textId="77777777" w:rsidR="001233C2" w:rsidRPr="00D045B3" w:rsidRDefault="001233C2" w:rsidP="008A6837">
      <w:pPr>
        <w:spacing w:line="240" w:lineRule="auto"/>
        <w:ind w:left="567" w:right="-2"/>
        <w:rPr>
          <w:szCs w:val="22"/>
          <w:lang w:val="hu-HU"/>
        </w:rPr>
      </w:pPr>
      <w:r w:rsidRPr="00D045B3">
        <w:rPr>
          <w:szCs w:val="22"/>
          <w:lang w:val="hu-HU"/>
        </w:rPr>
        <w:t>Az adag napi 800 mg (</w:t>
      </w:r>
      <w:r w:rsidR="00563102" w:rsidRPr="00D045B3">
        <w:rPr>
          <w:szCs w:val="22"/>
          <w:lang w:val="hu-HU"/>
        </w:rPr>
        <w:t>8</w:t>
      </w:r>
      <w:r w:rsidRPr="00D045B3">
        <w:rPr>
          <w:szCs w:val="22"/>
          <w:lang w:val="hu-HU"/>
        </w:rPr>
        <w:t> </w:t>
      </w:r>
      <w:r w:rsidR="00563102" w:rsidRPr="00D045B3">
        <w:rPr>
          <w:szCs w:val="22"/>
          <w:lang w:val="hu-HU"/>
        </w:rPr>
        <w:t>tabletta</w:t>
      </w:r>
      <w:r w:rsidRPr="00D045B3">
        <w:rPr>
          <w:szCs w:val="22"/>
          <w:lang w:val="hu-HU"/>
        </w:rPr>
        <w:t xml:space="preserve">), amit reggel </w:t>
      </w:r>
      <w:r w:rsidR="00563102" w:rsidRPr="00D045B3">
        <w:rPr>
          <w:szCs w:val="22"/>
          <w:lang w:val="hu-HU"/>
        </w:rPr>
        <w:t>4</w:t>
      </w:r>
      <w:r w:rsidRPr="00D045B3">
        <w:rPr>
          <w:szCs w:val="22"/>
          <w:lang w:val="hu-HU"/>
        </w:rPr>
        <w:t xml:space="preserve"> db </w:t>
      </w:r>
      <w:r w:rsidR="00563102" w:rsidRPr="00D045B3">
        <w:rPr>
          <w:szCs w:val="22"/>
          <w:lang w:val="hu-HU"/>
        </w:rPr>
        <w:t>tabletta</w:t>
      </w:r>
      <w:r w:rsidRPr="00D045B3">
        <w:rPr>
          <w:szCs w:val="22"/>
          <w:lang w:val="hu-HU"/>
        </w:rPr>
        <w:t xml:space="preserve"> és este </w:t>
      </w:r>
      <w:r w:rsidR="00563102" w:rsidRPr="00D045B3">
        <w:rPr>
          <w:szCs w:val="22"/>
          <w:lang w:val="hu-HU"/>
        </w:rPr>
        <w:t>4 </w:t>
      </w:r>
      <w:r w:rsidRPr="00D045B3">
        <w:rPr>
          <w:szCs w:val="22"/>
          <w:lang w:val="hu-HU"/>
        </w:rPr>
        <w:t xml:space="preserve">db </w:t>
      </w:r>
      <w:r w:rsidR="00563102" w:rsidRPr="00D045B3">
        <w:rPr>
          <w:szCs w:val="22"/>
          <w:lang w:val="hu-HU"/>
        </w:rPr>
        <w:t>tabletta</w:t>
      </w:r>
      <w:r w:rsidRPr="00D045B3">
        <w:rPr>
          <w:szCs w:val="22"/>
          <w:lang w:val="hu-HU"/>
        </w:rPr>
        <w:t xml:space="preserve"> formájában kell bevennie.</w:t>
      </w:r>
    </w:p>
    <w:p w14:paraId="1E92822E" w14:textId="77777777" w:rsidR="001233C2" w:rsidRPr="00D045B3" w:rsidRDefault="001233C2" w:rsidP="00D069FF">
      <w:pPr>
        <w:spacing w:line="240" w:lineRule="auto"/>
        <w:ind w:right="-2"/>
        <w:rPr>
          <w:color w:val="000000"/>
          <w:lang w:val="hu-HU"/>
        </w:rPr>
      </w:pPr>
    </w:p>
    <w:p w14:paraId="1E92822F" w14:textId="77777777" w:rsidR="00D069FF" w:rsidRPr="00D045B3" w:rsidRDefault="00D069FF" w:rsidP="00D069FF">
      <w:pPr>
        <w:keepNext/>
        <w:spacing w:line="240" w:lineRule="auto"/>
        <w:rPr>
          <w:b/>
          <w:color w:val="000000"/>
          <w:lang w:val="hu-HU"/>
        </w:rPr>
      </w:pPr>
      <w:r w:rsidRPr="00D045B3">
        <w:rPr>
          <w:b/>
          <w:color w:val="000000"/>
          <w:lang w:val="hu-HU"/>
        </w:rPr>
        <w:t>Alkalmazása gyermekeknél és serdülőknél</w:t>
      </w:r>
    </w:p>
    <w:p w14:paraId="1E928230" w14:textId="15A3C083" w:rsidR="00A65EE6" w:rsidRPr="00D045B3" w:rsidRDefault="00D069FF" w:rsidP="00CA41FD">
      <w:pPr>
        <w:spacing w:line="240" w:lineRule="auto"/>
        <w:rPr>
          <w:color w:val="000000"/>
          <w:lang w:val="hu-HU"/>
        </w:rPr>
      </w:pPr>
      <w:r w:rsidRPr="00D045B3">
        <w:rPr>
          <w:color w:val="000000"/>
          <w:lang w:val="hu-HU"/>
        </w:rPr>
        <w:t xml:space="preserve">A </w:t>
      </w:r>
      <w:r w:rsidR="00C7474B" w:rsidRPr="00D045B3">
        <w:rPr>
          <w:color w:val="000000"/>
          <w:lang w:val="hu-HU"/>
        </w:rPr>
        <w:t>kezelő</w:t>
      </w:r>
      <w:r w:rsidRPr="00D045B3">
        <w:rPr>
          <w:color w:val="000000"/>
          <w:lang w:val="hu-HU"/>
        </w:rPr>
        <w:t xml:space="preserve">orvos megmondja, hogy mennyi Imatinib Actavis </w:t>
      </w:r>
      <w:r w:rsidR="007F5F30" w:rsidRPr="00D045B3">
        <w:rPr>
          <w:color w:val="000000"/>
          <w:lang w:val="hu-HU"/>
        </w:rPr>
        <w:t>tablettát</w:t>
      </w:r>
      <w:r w:rsidRPr="00D045B3">
        <w:rPr>
          <w:color w:val="000000"/>
          <w:lang w:val="hu-HU"/>
        </w:rPr>
        <w:t xml:space="preserve"> kell adnia gyermekének. Az alkalmazandó Imatinib Actavis mennyiség gyermeke állapotától, testtömegétől és testmagasságától függ. </w:t>
      </w:r>
    </w:p>
    <w:p w14:paraId="1E928232" w14:textId="423987A9" w:rsidR="00D069FF" w:rsidRPr="00D045B3" w:rsidRDefault="00D069FF" w:rsidP="00CA41FD">
      <w:pPr>
        <w:spacing w:line="240" w:lineRule="auto"/>
        <w:rPr>
          <w:color w:val="000000"/>
          <w:lang w:val="hu-HU"/>
        </w:rPr>
      </w:pPr>
      <w:r w:rsidRPr="00D045B3">
        <w:rPr>
          <w:color w:val="000000"/>
          <w:lang w:val="hu-HU"/>
        </w:rPr>
        <w:t xml:space="preserve">A gyermekeknek beadandó teljes napi adag </w:t>
      </w:r>
      <w:r w:rsidR="00A65EE6" w:rsidRPr="00D045B3">
        <w:rPr>
          <w:color w:val="000000"/>
          <w:lang w:val="hu-HU"/>
        </w:rPr>
        <w:t xml:space="preserve">CML esetében </w:t>
      </w:r>
      <w:r w:rsidRPr="00D045B3">
        <w:rPr>
          <w:color w:val="000000"/>
          <w:lang w:val="hu-HU"/>
        </w:rPr>
        <w:t>nem lépheti túl a 800 mg</w:t>
      </w:r>
      <w:r w:rsidRPr="00D045B3">
        <w:rPr>
          <w:color w:val="000000"/>
          <w:lang w:val="hu-HU"/>
        </w:rPr>
        <w:noBreakHyphen/>
        <w:t>ot</w:t>
      </w:r>
      <w:r w:rsidR="0074336E" w:rsidRPr="00D045B3">
        <w:rPr>
          <w:color w:val="000000"/>
          <w:lang w:val="hu-HU"/>
        </w:rPr>
        <w:t xml:space="preserve"> és 600 mg-ot Ph+ALL esetén</w:t>
      </w:r>
      <w:r w:rsidRPr="00D045B3">
        <w:rPr>
          <w:color w:val="000000"/>
          <w:lang w:val="hu-HU"/>
        </w:rPr>
        <w:t>. A napi adagot egyszerre vagy két részre elosztva is be lehet venni (felét reggel, másik felét este).</w:t>
      </w:r>
    </w:p>
    <w:p w14:paraId="1E928233" w14:textId="77777777" w:rsidR="00D069FF" w:rsidRPr="00D045B3" w:rsidRDefault="00D069FF" w:rsidP="00D069FF">
      <w:pPr>
        <w:spacing w:line="240" w:lineRule="auto"/>
        <w:ind w:right="-2"/>
        <w:rPr>
          <w:color w:val="000000"/>
          <w:lang w:val="hu-HU"/>
        </w:rPr>
      </w:pPr>
    </w:p>
    <w:p w14:paraId="1E928234" w14:textId="77777777" w:rsidR="00D069FF" w:rsidRPr="00D045B3" w:rsidRDefault="00D069FF" w:rsidP="00D069FF">
      <w:pPr>
        <w:keepNext/>
        <w:spacing w:line="240" w:lineRule="auto"/>
        <w:ind w:right="-2"/>
        <w:rPr>
          <w:b/>
          <w:color w:val="000000"/>
          <w:lang w:val="hu-HU"/>
        </w:rPr>
      </w:pPr>
      <w:r w:rsidRPr="00D045B3">
        <w:rPr>
          <w:b/>
          <w:color w:val="000000"/>
          <w:lang w:val="hu-HU"/>
        </w:rPr>
        <w:t>Mikor és hogyan kell szedni az Imatinib Actavis</w:t>
      </w:r>
      <w:r w:rsidRPr="00D045B3">
        <w:rPr>
          <w:b/>
          <w:color w:val="000000"/>
          <w:lang w:val="hu-HU"/>
        </w:rPr>
        <w:noBreakHyphen/>
        <w:t>t?</w:t>
      </w:r>
    </w:p>
    <w:p w14:paraId="1E928235" w14:textId="77777777" w:rsidR="00D069FF" w:rsidRPr="00D045B3" w:rsidRDefault="00D069FF" w:rsidP="00E95370">
      <w:pPr>
        <w:numPr>
          <w:ilvl w:val="0"/>
          <w:numId w:val="13"/>
        </w:numPr>
        <w:tabs>
          <w:tab w:val="clear" w:pos="576"/>
          <w:tab w:val="num" w:pos="0"/>
        </w:tabs>
        <w:suppressAutoHyphens/>
        <w:rPr>
          <w:color w:val="000000"/>
          <w:lang w:val="hu-HU"/>
        </w:rPr>
      </w:pPr>
      <w:r w:rsidRPr="00D045B3">
        <w:rPr>
          <w:b/>
          <w:color w:val="000000"/>
          <w:lang w:val="hu-HU"/>
        </w:rPr>
        <w:t>Az Imatinib Actavis</w:t>
      </w:r>
      <w:r w:rsidRPr="00D045B3">
        <w:rPr>
          <w:b/>
          <w:color w:val="000000"/>
          <w:lang w:val="hu-HU"/>
        </w:rPr>
        <w:noBreakHyphen/>
        <w:t xml:space="preserve">t étkezés közben vegye be. </w:t>
      </w:r>
      <w:r w:rsidRPr="00D045B3">
        <w:rPr>
          <w:color w:val="000000"/>
          <w:lang w:val="hu-HU"/>
        </w:rPr>
        <w:t>Ez segít elkerülni az Imatinib Actavis szedése alatt jelentkező gyomorpanaszokat.</w:t>
      </w:r>
      <w:r w:rsidR="007F5F30" w:rsidRPr="00D045B3">
        <w:rPr>
          <w:color w:val="000000"/>
          <w:lang w:val="hu-HU"/>
        </w:rPr>
        <w:br/>
      </w:r>
    </w:p>
    <w:p w14:paraId="1E928236" w14:textId="77777777" w:rsidR="007F5F30" w:rsidRPr="00D045B3" w:rsidRDefault="00D069FF" w:rsidP="00E95370">
      <w:pPr>
        <w:numPr>
          <w:ilvl w:val="0"/>
          <w:numId w:val="23"/>
        </w:numPr>
        <w:tabs>
          <w:tab w:val="clear" w:pos="567"/>
        </w:tabs>
        <w:suppressAutoHyphens/>
        <w:ind w:left="567" w:hanging="567"/>
        <w:rPr>
          <w:color w:val="000000"/>
          <w:lang w:val="hu-HU"/>
        </w:rPr>
      </w:pPr>
      <w:r w:rsidRPr="00D045B3">
        <w:rPr>
          <w:b/>
          <w:color w:val="000000"/>
          <w:lang w:val="hu-HU"/>
        </w:rPr>
        <w:t xml:space="preserve">A </w:t>
      </w:r>
      <w:r w:rsidR="007F5F30" w:rsidRPr="00D045B3">
        <w:rPr>
          <w:b/>
          <w:color w:val="000000"/>
          <w:lang w:val="hu-HU"/>
        </w:rPr>
        <w:t>tablettát</w:t>
      </w:r>
      <w:r w:rsidRPr="00D045B3">
        <w:rPr>
          <w:b/>
          <w:color w:val="000000"/>
          <w:lang w:val="hu-HU"/>
        </w:rPr>
        <w:t xml:space="preserve"> egészben, egy nagy pohárnyi vízzel kell lenyelni.</w:t>
      </w:r>
      <w:r w:rsidRPr="00D045B3">
        <w:rPr>
          <w:color w:val="000000"/>
          <w:lang w:val="hu-HU"/>
        </w:rPr>
        <w:t xml:space="preserve"> </w:t>
      </w:r>
    </w:p>
    <w:p w14:paraId="1E928237" w14:textId="77777777" w:rsidR="007F5F30" w:rsidRPr="00D045B3" w:rsidRDefault="007F5F30" w:rsidP="00CA41FD">
      <w:pPr>
        <w:tabs>
          <w:tab w:val="clear" w:pos="567"/>
        </w:tabs>
        <w:suppressAutoHyphens/>
        <w:ind w:left="576" w:hanging="576"/>
        <w:rPr>
          <w:color w:val="000000"/>
          <w:lang w:val="hu-HU"/>
        </w:rPr>
      </w:pPr>
      <w:r w:rsidRPr="00D045B3">
        <w:rPr>
          <w:color w:val="000000"/>
          <w:lang w:val="hu-HU"/>
        </w:rPr>
        <w:t>A tabletta egyenlő adagokra osztható.</w:t>
      </w:r>
    </w:p>
    <w:p w14:paraId="1E928238" w14:textId="77777777" w:rsidR="007F5F30" w:rsidRPr="00D045B3" w:rsidRDefault="007F5F30" w:rsidP="007F5F30">
      <w:pPr>
        <w:tabs>
          <w:tab w:val="clear" w:pos="567"/>
        </w:tabs>
        <w:suppressAutoHyphens/>
        <w:rPr>
          <w:color w:val="000000"/>
          <w:lang w:val="hu-HU"/>
        </w:rPr>
      </w:pPr>
    </w:p>
    <w:p w14:paraId="1E928239" w14:textId="77777777" w:rsidR="00D069FF" w:rsidRPr="00D045B3" w:rsidRDefault="00D069FF" w:rsidP="007F5F30">
      <w:pPr>
        <w:tabs>
          <w:tab w:val="clear" w:pos="567"/>
        </w:tabs>
        <w:suppressAutoHyphens/>
        <w:rPr>
          <w:color w:val="000000"/>
          <w:lang w:val="hu-HU"/>
        </w:rPr>
      </w:pPr>
      <w:r w:rsidRPr="00D045B3">
        <w:rPr>
          <w:color w:val="000000"/>
          <w:lang w:val="hu-HU"/>
        </w:rPr>
        <w:t xml:space="preserve">Ha Ön nem tudja lenyelni a </w:t>
      </w:r>
      <w:r w:rsidR="007F5F30" w:rsidRPr="00D045B3">
        <w:rPr>
          <w:color w:val="000000"/>
          <w:lang w:val="hu-HU"/>
        </w:rPr>
        <w:t>tablettát</w:t>
      </w:r>
      <w:r w:rsidRPr="00D045B3">
        <w:rPr>
          <w:color w:val="000000"/>
          <w:lang w:val="hu-HU"/>
        </w:rPr>
        <w:t>, fel</w:t>
      </w:r>
      <w:r w:rsidR="007F5F30" w:rsidRPr="00D045B3">
        <w:rPr>
          <w:color w:val="000000"/>
          <w:lang w:val="hu-HU"/>
        </w:rPr>
        <w:t xml:space="preserve">oldhatja </w:t>
      </w:r>
      <w:r w:rsidRPr="00D045B3">
        <w:rPr>
          <w:color w:val="000000"/>
          <w:lang w:val="hu-HU"/>
        </w:rPr>
        <w:t>azokat egy pohár tiszta vízbe</w:t>
      </w:r>
      <w:r w:rsidR="006E7AFF" w:rsidRPr="00D045B3">
        <w:rPr>
          <w:color w:val="000000"/>
          <w:lang w:val="hu-HU"/>
        </w:rPr>
        <w:t>n</w:t>
      </w:r>
      <w:r w:rsidR="0058218E" w:rsidRPr="00D045B3">
        <w:rPr>
          <w:color w:val="000000"/>
          <w:lang w:val="hu-HU"/>
        </w:rPr>
        <w:t>, ásványvízben</w:t>
      </w:r>
      <w:r w:rsidRPr="00D045B3">
        <w:rPr>
          <w:color w:val="000000"/>
          <w:lang w:val="hu-HU"/>
        </w:rPr>
        <w:t xml:space="preserve"> vagy almalébe</w:t>
      </w:r>
      <w:r w:rsidR="006E7AFF" w:rsidRPr="00D045B3">
        <w:rPr>
          <w:color w:val="000000"/>
          <w:lang w:val="hu-HU"/>
        </w:rPr>
        <w:t>n</w:t>
      </w:r>
      <w:r w:rsidRPr="00D045B3">
        <w:rPr>
          <w:color w:val="000000"/>
          <w:lang w:val="hu-HU"/>
        </w:rPr>
        <w:t>.</w:t>
      </w:r>
    </w:p>
    <w:p w14:paraId="1E92823A" w14:textId="77777777" w:rsidR="006E7AFF" w:rsidRPr="00D045B3" w:rsidRDefault="006E7AFF" w:rsidP="00E95370">
      <w:pPr>
        <w:pStyle w:val="KeinLeerraum"/>
        <w:numPr>
          <w:ilvl w:val="0"/>
          <w:numId w:val="13"/>
        </w:numPr>
        <w:rPr>
          <w:rFonts w:ascii="Times New Roman" w:hAnsi="Times New Roman"/>
        </w:rPr>
      </w:pPr>
      <w:r w:rsidRPr="00D045B3">
        <w:rPr>
          <w:rFonts w:ascii="Times New Roman" w:hAnsi="Times New Roman"/>
        </w:rPr>
        <w:t>Minden 100 mg</w:t>
      </w:r>
      <w:r w:rsidRPr="00D045B3">
        <w:rPr>
          <w:rFonts w:ascii="Times New Roman" w:hAnsi="Times New Roman"/>
        </w:rPr>
        <w:noBreakHyphen/>
        <w:t>os tablettához körülbelül 50 ml folyadékot használjon</w:t>
      </w:r>
      <w:r w:rsidR="00ED5963" w:rsidRPr="00D045B3">
        <w:rPr>
          <w:rFonts w:ascii="Times New Roman" w:hAnsi="Times New Roman"/>
        </w:rPr>
        <w:t>.</w:t>
      </w:r>
    </w:p>
    <w:p w14:paraId="1E92823B" w14:textId="77777777" w:rsidR="006E7AFF" w:rsidRPr="00D045B3" w:rsidRDefault="006E7AFF" w:rsidP="00E95370">
      <w:pPr>
        <w:pStyle w:val="KeinLeerraum"/>
        <w:numPr>
          <w:ilvl w:val="0"/>
          <w:numId w:val="13"/>
        </w:numPr>
        <w:rPr>
          <w:rFonts w:ascii="Times New Roman" w:hAnsi="Times New Roman"/>
        </w:rPr>
      </w:pPr>
      <w:r w:rsidRPr="00D045B3">
        <w:rPr>
          <w:rFonts w:ascii="Times New Roman" w:hAnsi="Times New Roman"/>
        </w:rPr>
        <w:t xml:space="preserve">Az oldatot addig keverje egy kanállal, amíg a tabletták teljesen fel nem oldódnak. </w:t>
      </w:r>
    </w:p>
    <w:p w14:paraId="1E92823C" w14:textId="77777777" w:rsidR="006E7AFF" w:rsidRPr="00D045B3" w:rsidRDefault="006E7AFF" w:rsidP="00E95370">
      <w:pPr>
        <w:pStyle w:val="KeinLeerraum"/>
        <w:numPr>
          <w:ilvl w:val="0"/>
          <w:numId w:val="13"/>
        </w:numPr>
        <w:rPr>
          <w:rFonts w:ascii="Times New Roman" w:hAnsi="Times New Roman"/>
        </w:rPr>
      </w:pPr>
      <w:r w:rsidRPr="00D045B3">
        <w:rPr>
          <w:rFonts w:ascii="Times New Roman" w:hAnsi="Times New Roman"/>
        </w:rPr>
        <w:t xml:space="preserve">Amint a tabletták feloldódtak, az egész pohár tartalmát igya meg. A feloldódott tabletta maradványai rátapadhatnak a pohár falára. </w:t>
      </w:r>
    </w:p>
    <w:p w14:paraId="1E92823D" w14:textId="77777777" w:rsidR="00D069FF" w:rsidRPr="00D045B3" w:rsidRDefault="00D069FF" w:rsidP="00D069FF">
      <w:pPr>
        <w:spacing w:line="240" w:lineRule="auto"/>
        <w:ind w:right="-2"/>
        <w:rPr>
          <w:color w:val="000000"/>
          <w:lang w:val="hu-HU"/>
        </w:rPr>
      </w:pPr>
    </w:p>
    <w:p w14:paraId="1E92823E" w14:textId="77777777" w:rsidR="00D069FF" w:rsidRPr="00D045B3" w:rsidRDefault="00D069FF" w:rsidP="00D069FF">
      <w:pPr>
        <w:keepNext/>
        <w:spacing w:line="240" w:lineRule="auto"/>
        <w:rPr>
          <w:b/>
          <w:color w:val="000000"/>
          <w:lang w:val="hu-HU"/>
        </w:rPr>
      </w:pPr>
      <w:r w:rsidRPr="00D045B3">
        <w:rPr>
          <w:b/>
          <w:color w:val="000000"/>
          <w:lang w:val="hu-HU"/>
        </w:rPr>
        <w:t>Mennyi ideig kell szednie az Imatinib Actavis</w:t>
      </w:r>
      <w:r w:rsidRPr="00D045B3">
        <w:rPr>
          <w:b/>
          <w:color w:val="000000"/>
          <w:lang w:val="hu-HU"/>
        </w:rPr>
        <w:noBreakHyphen/>
        <w:t>t?</w:t>
      </w:r>
    </w:p>
    <w:p w14:paraId="1E92823F" w14:textId="77777777" w:rsidR="00D069FF" w:rsidRPr="00D045B3" w:rsidRDefault="00D069FF" w:rsidP="00CA41FD">
      <w:pPr>
        <w:rPr>
          <w:color w:val="000000"/>
          <w:lang w:val="hu-HU"/>
        </w:rPr>
      </w:pPr>
      <w:r w:rsidRPr="00D045B3">
        <w:rPr>
          <w:color w:val="000000"/>
          <w:lang w:val="hu-HU"/>
        </w:rPr>
        <w:t>Az Imatinib Actavis</w:t>
      </w:r>
      <w:r w:rsidRPr="00D045B3">
        <w:rPr>
          <w:color w:val="000000"/>
          <w:lang w:val="hu-HU"/>
        </w:rPr>
        <w:noBreakHyphen/>
        <w:t>t naponta szedje mindaddig, amíg kezelőorvosa előírja.</w:t>
      </w:r>
    </w:p>
    <w:p w14:paraId="1E928240" w14:textId="77777777" w:rsidR="00D069FF" w:rsidRPr="00D045B3" w:rsidRDefault="00D069FF" w:rsidP="00D069FF">
      <w:pPr>
        <w:spacing w:line="240" w:lineRule="auto"/>
        <w:ind w:right="-2"/>
        <w:rPr>
          <w:color w:val="000000"/>
          <w:lang w:val="hu-HU"/>
        </w:rPr>
      </w:pPr>
    </w:p>
    <w:p w14:paraId="1E928241" w14:textId="77777777" w:rsidR="00D069FF" w:rsidRPr="00D045B3" w:rsidRDefault="00D069FF" w:rsidP="00D15132">
      <w:pPr>
        <w:keepNext/>
        <w:spacing w:line="240" w:lineRule="auto"/>
        <w:rPr>
          <w:b/>
          <w:color w:val="000000"/>
          <w:lang w:val="hu-HU"/>
        </w:rPr>
      </w:pPr>
      <w:r w:rsidRPr="00D045B3">
        <w:rPr>
          <w:b/>
          <w:color w:val="000000"/>
          <w:lang w:val="hu-HU"/>
        </w:rPr>
        <w:t>Ha az előírtnál több Imatinib Actavis</w:t>
      </w:r>
      <w:r w:rsidRPr="00D045B3">
        <w:rPr>
          <w:b/>
          <w:color w:val="000000"/>
          <w:lang w:val="hu-HU"/>
        </w:rPr>
        <w:noBreakHyphen/>
        <w:t>t vett be</w:t>
      </w:r>
    </w:p>
    <w:p w14:paraId="1E928242" w14:textId="77777777" w:rsidR="00D069FF" w:rsidRPr="00D045B3" w:rsidRDefault="00D069FF" w:rsidP="00CA41FD">
      <w:pPr>
        <w:spacing w:line="240" w:lineRule="auto"/>
        <w:rPr>
          <w:color w:val="000000"/>
          <w:lang w:val="hu-HU"/>
        </w:rPr>
      </w:pPr>
      <w:r w:rsidRPr="00D045B3">
        <w:rPr>
          <w:color w:val="000000"/>
          <w:lang w:val="hu-HU"/>
        </w:rPr>
        <w:t xml:space="preserve">Ha véletlenül az előírtnál több </w:t>
      </w:r>
      <w:r w:rsidR="00ED5963" w:rsidRPr="00D045B3">
        <w:rPr>
          <w:color w:val="000000"/>
          <w:lang w:val="hu-HU"/>
        </w:rPr>
        <w:t>tablettát</w:t>
      </w:r>
      <w:r w:rsidRPr="00D045B3">
        <w:rPr>
          <w:color w:val="000000"/>
          <w:lang w:val="hu-HU"/>
        </w:rPr>
        <w:t xml:space="preserve"> vett be, </w:t>
      </w:r>
      <w:r w:rsidRPr="00D045B3">
        <w:rPr>
          <w:b/>
          <w:color w:val="000000"/>
          <w:lang w:val="hu-HU"/>
        </w:rPr>
        <w:t>azonnal</w:t>
      </w:r>
      <w:r w:rsidRPr="00D045B3">
        <w:rPr>
          <w:color w:val="000000"/>
          <w:lang w:val="hu-HU"/>
        </w:rPr>
        <w:t xml:space="preserve"> forduljon kezelőorvosához. Orvosi megfigyelésre lehet szüksége. A gyógyszer csomagolását vigye magával.</w:t>
      </w:r>
    </w:p>
    <w:p w14:paraId="1E928243" w14:textId="77777777" w:rsidR="00D069FF" w:rsidRPr="00D045B3" w:rsidRDefault="00D069FF" w:rsidP="00D069FF">
      <w:pPr>
        <w:spacing w:line="240" w:lineRule="auto"/>
        <w:ind w:right="-2"/>
        <w:rPr>
          <w:color w:val="000000"/>
          <w:lang w:val="hu-HU"/>
        </w:rPr>
      </w:pPr>
    </w:p>
    <w:p w14:paraId="1E928244" w14:textId="77777777" w:rsidR="00D069FF" w:rsidRPr="00D045B3" w:rsidRDefault="00D069FF" w:rsidP="00D069FF">
      <w:pPr>
        <w:keepNext/>
        <w:spacing w:line="240" w:lineRule="auto"/>
        <w:rPr>
          <w:b/>
          <w:color w:val="000000"/>
          <w:lang w:val="hu-HU"/>
        </w:rPr>
      </w:pPr>
      <w:r w:rsidRPr="00D045B3">
        <w:rPr>
          <w:b/>
          <w:color w:val="000000"/>
          <w:lang w:val="hu-HU"/>
        </w:rPr>
        <w:t>Ha elfelejtette bevenni az Imatinib Actavis</w:t>
      </w:r>
      <w:r w:rsidRPr="00D045B3">
        <w:rPr>
          <w:b/>
          <w:color w:val="000000"/>
          <w:lang w:val="hu-HU"/>
        </w:rPr>
        <w:noBreakHyphen/>
        <w:t>t</w:t>
      </w:r>
    </w:p>
    <w:p w14:paraId="1E928245" w14:textId="77777777" w:rsidR="00D069FF" w:rsidRPr="00D045B3" w:rsidRDefault="00D069FF" w:rsidP="00E95370">
      <w:pPr>
        <w:numPr>
          <w:ilvl w:val="0"/>
          <w:numId w:val="14"/>
        </w:numPr>
        <w:suppressAutoHyphens/>
        <w:spacing w:line="240" w:lineRule="auto"/>
        <w:rPr>
          <w:color w:val="000000"/>
          <w:lang w:val="hu-HU"/>
        </w:rPr>
      </w:pPr>
      <w:r w:rsidRPr="00D045B3">
        <w:rPr>
          <w:color w:val="000000"/>
          <w:lang w:val="hu-HU"/>
        </w:rPr>
        <w:t>Ha elfelejtett egy adagot, vegye be</w:t>
      </w:r>
      <w:r w:rsidR="006B1AF3" w:rsidRPr="00D045B3">
        <w:rPr>
          <w:color w:val="000000"/>
          <w:lang w:val="hu-HU"/>
        </w:rPr>
        <w:t>,</w:t>
      </w:r>
      <w:r w:rsidRPr="00D045B3">
        <w:rPr>
          <w:color w:val="000000"/>
          <w:lang w:val="hu-HU"/>
        </w:rPr>
        <w:t xml:space="preserve"> amint eszébe jut. Azonban, ha ez már majdnem a következő esedékes adag idejében történik, hagyja ki az elfelejtett adagot.</w:t>
      </w:r>
    </w:p>
    <w:p w14:paraId="1E928246" w14:textId="77777777" w:rsidR="00D069FF" w:rsidRPr="00D045B3" w:rsidRDefault="00D069FF" w:rsidP="00E95370">
      <w:pPr>
        <w:numPr>
          <w:ilvl w:val="0"/>
          <w:numId w:val="14"/>
        </w:numPr>
        <w:suppressAutoHyphens/>
        <w:spacing w:line="240" w:lineRule="auto"/>
        <w:ind w:right="-2"/>
        <w:rPr>
          <w:color w:val="000000"/>
          <w:lang w:val="hu-HU"/>
        </w:rPr>
      </w:pPr>
      <w:r w:rsidRPr="00D045B3">
        <w:rPr>
          <w:color w:val="000000"/>
          <w:lang w:val="hu-HU"/>
        </w:rPr>
        <w:t>Ezután folytassa a gyógyszer szedését</w:t>
      </w:r>
      <w:r w:rsidRPr="00D045B3" w:rsidDel="003509F8">
        <w:rPr>
          <w:color w:val="000000"/>
          <w:lang w:val="hu-HU"/>
        </w:rPr>
        <w:t xml:space="preserve"> </w:t>
      </w:r>
      <w:r w:rsidRPr="00D045B3">
        <w:rPr>
          <w:color w:val="000000"/>
          <w:lang w:val="hu-HU"/>
        </w:rPr>
        <w:t>a szokásos menetrend szerint.</w:t>
      </w:r>
    </w:p>
    <w:p w14:paraId="1E928247" w14:textId="77777777" w:rsidR="00D069FF" w:rsidRPr="00D045B3" w:rsidRDefault="00D069FF" w:rsidP="00E95370">
      <w:pPr>
        <w:numPr>
          <w:ilvl w:val="0"/>
          <w:numId w:val="14"/>
        </w:numPr>
        <w:suppressAutoHyphens/>
        <w:spacing w:line="240" w:lineRule="auto"/>
        <w:ind w:right="-2"/>
        <w:rPr>
          <w:color w:val="000000"/>
          <w:lang w:val="hu-HU"/>
        </w:rPr>
      </w:pPr>
      <w:r w:rsidRPr="00D045B3">
        <w:rPr>
          <w:noProof/>
          <w:color w:val="000000"/>
          <w:lang w:val="hu-HU"/>
        </w:rPr>
        <w:t>Ne vegyen be kétszeres adagot a kihagyott adag pótlására.</w:t>
      </w:r>
    </w:p>
    <w:p w14:paraId="1E928248" w14:textId="77777777" w:rsidR="00D069FF" w:rsidRPr="00D045B3" w:rsidRDefault="00D069FF" w:rsidP="00D069FF">
      <w:pPr>
        <w:spacing w:line="240" w:lineRule="auto"/>
        <w:ind w:right="-2"/>
        <w:rPr>
          <w:color w:val="000000"/>
          <w:lang w:val="hu-HU"/>
        </w:rPr>
      </w:pPr>
    </w:p>
    <w:p w14:paraId="1E928249" w14:textId="77777777" w:rsidR="00D069FF" w:rsidRPr="00D045B3" w:rsidRDefault="00D069FF" w:rsidP="00D069FF">
      <w:pPr>
        <w:spacing w:line="240" w:lineRule="auto"/>
        <w:ind w:right="-2"/>
        <w:rPr>
          <w:color w:val="000000"/>
          <w:lang w:val="hu-HU"/>
        </w:rPr>
      </w:pPr>
      <w:r w:rsidRPr="00D045B3">
        <w:rPr>
          <w:color w:val="000000"/>
          <w:lang w:val="hu-HU"/>
        </w:rPr>
        <w:t xml:space="preserve">Ha bármilyen további kérdése van a gyógyszer alkalmazásával kapcsolatban, kérdezze meg kezelőorvosát, gyógyszerészét vagy a </w:t>
      </w:r>
      <w:r w:rsidR="00B442B6" w:rsidRPr="00D045B3">
        <w:rPr>
          <w:lang w:val="hu-HU"/>
        </w:rPr>
        <w:t>gondozását végző egészségügyi szakembert</w:t>
      </w:r>
      <w:r w:rsidRPr="00D045B3">
        <w:rPr>
          <w:color w:val="000000"/>
          <w:lang w:val="hu-HU"/>
        </w:rPr>
        <w:t>.</w:t>
      </w:r>
    </w:p>
    <w:p w14:paraId="1E92824A" w14:textId="77777777" w:rsidR="00D069FF" w:rsidRPr="00D045B3" w:rsidRDefault="00D069FF" w:rsidP="00D069FF">
      <w:pPr>
        <w:spacing w:line="240" w:lineRule="auto"/>
        <w:ind w:right="-2"/>
        <w:rPr>
          <w:color w:val="000000"/>
          <w:lang w:val="hu-HU"/>
        </w:rPr>
      </w:pPr>
    </w:p>
    <w:p w14:paraId="1E92824B" w14:textId="77777777" w:rsidR="00D069FF" w:rsidRPr="00D045B3" w:rsidRDefault="00D069FF" w:rsidP="00D069FF">
      <w:pPr>
        <w:spacing w:line="240" w:lineRule="auto"/>
        <w:ind w:right="-2"/>
        <w:rPr>
          <w:color w:val="000000"/>
          <w:lang w:val="hu-HU"/>
        </w:rPr>
      </w:pPr>
    </w:p>
    <w:p w14:paraId="1E92824C" w14:textId="77777777" w:rsidR="00D069FF" w:rsidRPr="00D045B3" w:rsidRDefault="00D069FF" w:rsidP="00D069FF">
      <w:pPr>
        <w:keepNext/>
        <w:spacing w:line="240" w:lineRule="auto"/>
        <w:ind w:left="567" w:right="-2" w:hanging="567"/>
        <w:rPr>
          <w:b/>
          <w:color w:val="000000"/>
          <w:lang w:val="hu-HU"/>
        </w:rPr>
      </w:pPr>
      <w:r w:rsidRPr="00D045B3">
        <w:rPr>
          <w:b/>
          <w:color w:val="000000"/>
          <w:lang w:val="hu-HU"/>
        </w:rPr>
        <w:t>4.</w:t>
      </w:r>
      <w:r w:rsidRPr="00D045B3">
        <w:rPr>
          <w:b/>
          <w:color w:val="000000"/>
          <w:lang w:val="hu-HU"/>
        </w:rPr>
        <w:tab/>
        <w:t>Lehetséges mellékhatások</w:t>
      </w:r>
    </w:p>
    <w:p w14:paraId="1E92824D" w14:textId="77777777" w:rsidR="00D069FF" w:rsidRPr="00D045B3" w:rsidRDefault="00D069FF" w:rsidP="00D069FF">
      <w:pPr>
        <w:keepNext/>
        <w:spacing w:line="240" w:lineRule="auto"/>
        <w:ind w:right="-29"/>
        <w:rPr>
          <w:color w:val="000000"/>
          <w:lang w:val="hu-HU"/>
        </w:rPr>
      </w:pPr>
    </w:p>
    <w:p w14:paraId="1E92824E" w14:textId="77777777" w:rsidR="00D069FF" w:rsidRPr="00D045B3" w:rsidRDefault="00D069FF" w:rsidP="00D069FF">
      <w:pPr>
        <w:keepNext/>
        <w:ind w:right="-29"/>
        <w:rPr>
          <w:color w:val="000000"/>
          <w:lang w:val="hu-HU"/>
        </w:rPr>
      </w:pPr>
      <w:r w:rsidRPr="00D045B3">
        <w:rPr>
          <w:color w:val="000000"/>
          <w:lang w:val="hu-HU"/>
        </w:rPr>
        <w:t xml:space="preserve">Mint minden gyógyszer, így </w:t>
      </w:r>
      <w:r w:rsidRPr="00D045B3">
        <w:rPr>
          <w:noProof/>
          <w:szCs w:val="24"/>
          <w:lang w:val="hu-HU"/>
        </w:rPr>
        <w:t>ez a gyógyszer</w:t>
      </w:r>
      <w:r w:rsidRPr="00D045B3">
        <w:rPr>
          <w:lang w:val="hu-HU"/>
        </w:rPr>
        <w:t xml:space="preserve"> </w:t>
      </w:r>
      <w:r w:rsidRPr="00D045B3">
        <w:rPr>
          <w:color w:val="000000"/>
          <w:lang w:val="hu-HU"/>
        </w:rPr>
        <w:t>is okozhat mellékhatásokat, amelyek azonban nem mindenkinél jelentkeznek. A mellékhatások rendszerint enyhék vagy mérsékeltek.</w:t>
      </w:r>
    </w:p>
    <w:p w14:paraId="1E92824F" w14:textId="77777777" w:rsidR="00D069FF" w:rsidRPr="00D045B3" w:rsidRDefault="00D069FF" w:rsidP="00D069FF">
      <w:pPr>
        <w:ind w:right="-29"/>
        <w:rPr>
          <w:color w:val="000000"/>
          <w:lang w:val="hu-HU"/>
        </w:rPr>
      </w:pPr>
    </w:p>
    <w:p w14:paraId="1E928250" w14:textId="77777777" w:rsidR="00D069FF" w:rsidRPr="00D045B3" w:rsidRDefault="00D069FF" w:rsidP="00D069FF">
      <w:pPr>
        <w:spacing w:line="240" w:lineRule="auto"/>
        <w:rPr>
          <w:b/>
          <w:color w:val="000000"/>
          <w:lang w:val="hu-HU"/>
        </w:rPr>
      </w:pPr>
      <w:r w:rsidRPr="00D045B3">
        <w:rPr>
          <w:b/>
          <w:color w:val="000000"/>
          <w:lang w:val="hu-HU"/>
        </w:rPr>
        <w:t>Néhány mellékhatás súlyos lehet. Azonnal forduljon kezelőorvosához, ha az alábbiak közül bármelyiket észleli:</w:t>
      </w:r>
    </w:p>
    <w:p w14:paraId="1E928251" w14:textId="77777777" w:rsidR="00D069FF" w:rsidRPr="00D045B3" w:rsidRDefault="00D069FF" w:rsidP="00D069FF">
      <w:pPr>
        <w:spacing w:line="240" w:lineRule="auto"/>
        <w:rPr>
          <w:iCs/>
          <w:color w:val="000000"/>
          <w:lang w:val="hu-HU"/>
        </w:rPr>
      </w:pPr>
    </w:p>
    <w:p w14:paraId="1E928252" w14:textId="53CE7A97" w:rsidR="00D069FF" w:rsidRPr="00D045B3" w:rsidRDefault="00D069FF" w:rsidP="00D069FF">
      <w:pPr>
        <w:keepNext/>
        <w:spacing w:line="240" w:lineRule="auto"/>
        <w:rPr>
          <w:b/>
          <w:bCs/>
          <w:iCs/>
          <w:color w:val="000000"/>
          <w:lang w:val="hu-HU"/>
        </w:rPr>
      </w:pPr>
      <w:r w:rsidRPr="00D045B3">
        <w:rPr>
          <w:b/>
          <w:bCs/>
          <w:iCs/>
          <w:color w:val="000000"/>
          <w:lang w:val="hu-HU"/>
        </w:rPr>
        <w:t>Nagyon gyakori</w:t>
      </w:r>
      <w:r w:rsidR="00512475" w:rsidRPr="00D045B3">
        <w:rPr>
          <w:b/>
          <w:bCs/>
          <w:iCs/>
          <w:color w:val="000000"/>
          <w:lang w:val="hu-HU"/>
        </w:rPr>
        <w:t xml:space="preserve"> </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bCs/>
          <w:iCs/>
          <w:color w:val="000000"/>
          <w:lang w:val="hu-HU"/>
        </w:rPr>
        <w:t xml:space="preserve"> vagy gyakori</w:t>
      </w:r>
      <w:r w:rsidR="00606619" w:rsidRPr="00D045B3">
        <w:rPr>
          <w:b/>
          <w:bCs/>
          <w:iCs/>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bCs/>
          <w:iCs/>
          <w:color w:val="000000"/>
          <w:lang w:val="hu-HU"/>
        </w:rPr>
        <w:t>:</w:t>
      </w:r>
    </w:p>
    <w:p w14:paraId="1E928253" w14:textId="77777777" w:rsidR="00D069FF" w:rsidRPr="00D045B3" w:rsidRDefault="00D069FF"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Gyors testtömeg</w:t>
      </w:r>
      <w:r w:rsidRPr="00D045B3">
        <w:rPr>
          <w:color w:val="000000"/>
          <w:lang w:val="hu-HU"/>
        </w:rPr>
        <w:noBreakHyphen/>
        <w:t>gyarapodás. Az Imatinib Actavis hatására szervezete vizet tarthat vissza (úgynevezett súlyos folyadékretenció).</w:t>
      </w:r>
    </w:p>
    <w:p w14:paraId="1E928254" w14:textId="77777777" w:rsidR="00D069FF" w:rsidRPr="00D045B3" w:rsidRDefault="00D069FF"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Fertőzésre utaló jelek, pl. láz, nagyfokú hidegrázás, torokfájás, szájfekélyek. Az Imatinib Actavis csökkentheti a vérben a fehérvérsejtek számát, ezáltal Ön könnyebben kapja el a fertőzéseket.</w:t>
      </w:r>
    </w:p>
    <w:p w14:paraId="1E928255" w14:textId="77777777" w:rsidR="00D069FF" w:rsidRPr="00D045B3" w:rsidRDefault="00D069FF"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Váratlan vérzés vagy véraláfutás (olyankor, amikor nem sértette meg magát).</w:t>
      </w:r>
    </w:p>
    <w:p w14:paraId="1E928256" w14:textId="77777777" w:rsidR="00D069FF" w:rsidRPr="00D045B3" w:rsidRDefault="00D069FF" w:rsidP="00D069FF">
      <w:pPr>
        <w:spacing w:line="240" w:lineRule="auto"/>
        <w:rPr>
          <w:color w:val="000000"/>
          <w:lang w:val="hu-HU"/>
        </w:rPr>
      </w:pPr>
    </w:p>
    <w:p w14:paraId="1E928257" w14:textId="0161974B" w:rsidR="00D069FF" w:rsidRPr="00D045B3" w:rsidRDefault="00D069FF" w:rsidP="00D069FF">
      <w:pPr>
        <w:keepNext/>
        <w:spacing w:line="240" w:lineRule="auto"/>
        <w:rPr>
          <w:b/>
          <w:bCs/>
          <w:iCs/>
          <w:color w:val="000000"/>
          <w:lang w:val="hu-HU"/>
        </w:rPr>
      </w:pPr>
      <w:r w:rsidRPr="00D045B3">
        <w:rPr>
          <w:b/>
          <w:bCs/>
          <w:iCs/>
          <w:color w:val="000000"/>
          <w:lang w:val="hu-HU"/>
        </w:rPr>
        <w:t>Nem gyakori</w:t>
      </w:r>
      <w:r w:rsidR="00512475" w:rsidRPr="00D045B3">
        <w:rPr>
          <w:b/>
          <w:bCs/>
          <w:iCs/>
          <w:color w:val="000000"/>
          <w:lang w:val="hu-HU"/>
        </w:rPr>
        <w:t xml:space="preserve"> </w:t>
      </w:r>
      <w:r w:rsidRPr="00D045B3">
        <w:rPr>
          <w:bCs/>
          <w:iCs/>
          <w:color w:val="000000"/>
          <w:lang w:val="hu-HU"/>
        </w:rPr>
        <w:t>(100</w:t>
      </w:r>
      <w:r w:rsidRPr="00D045B3">
        <w:rPr>
          <w:bCs/>
          <w:iCs/>
          <w:color w:val="000000"/>
          <w:lang w:val="hu-HU"/>
        </w:rPr>
        <w:noBreakHyphen/>
        <w:t xml:space="preserve">ból legfeljebb1 beteget érinthetnek) </w:t>
      </w:r>
      <w:r w:rsidRPr="00D045B3">
        <w:rPr>
          <w:b/>
          <w:bCs/>
          <w:iCs/>
          <w:color w:val="000000"/>
          <w:lang w:val="hu-HU"/>
        </w:rPr>
        <w:t>vagy ritka</w:t>
      </w:r>
      <w:r w:rsidR="00606619" w:rsidRPr="00D045B3">
        <w:rPr>
          <w:b/>
          <w:bCs/>
          <w:iCs/>
          <w:color w:val="000000"/>
          <w:lang w:val="hu-HU"/>
        </w:rPr>
        <w:t xml:space="preserve"> </w:t>
      </w:r>
      <w:r w:rsidRPr="00D045B3">
        <w:rPr>
          <w:bCs/>
          <w:iCs/>
          <w:color w:val="000000"/>
          <w:lang w:val="hu-HU"/>
        </w:rPr>
        <w:t>(1000</w:t>
      </w:r>
      <w:r w:rsidRPr="00D045B3">
        <w:rPr>
          <w:bCs/>
          <w:iCs/>
          <w:color w:val="000000"/>
          <w:lang w:val="hu-HU"/>
        </w:rPr>
        <w:noBreakHyphen/>
        <w:t>ből legfeljebb1 beteget érinthetnek)</w:t>
      </w:r>
      <w:r w:rsidRPr="00D045B3">
        <w:rPr>
          <w:b/>
          <w:bCs/>
          <w:iCs/>
          <w:color w:val="000000"/>
          <w:lang w:val="hu-HU"/>
        </w:rPr>
        <w:t>:</w:t>
      </w:r>
    </w:p>
    <w:p w14:paraId="1E928258"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Mellkasi fájdalom, szabálytalan szívverés (szívproblémákra utaló jelek).</w:t>
      </w:r>
    </w:p>
    <w:p w14:paraId="1E928259"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Köhögés, légszomj vagy fájdalmas légzés (tüdőproblémákra utaló jelek).</w:t>
      </w:r>
    </w:p>
    <w:p w14:paraId="1E92825A"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Kábultság, szédülés vagy ájulás közeli érzés (alacsony vérnyomásra utaló jelek).</w:t>
      </w:r>
    </w:p>
    <w:p w14:paraId="1E92825B"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 xml:space="preserve">Émelygés (hányinger) étvágytalansággal, </w:t>
      </w:r>
      <w:r w:rsidR="00657C0B" w:rsidRPr="00D045B3">
        <w:rPr>
          <w:color w:val="000000"/>
          <w:lang w:val="hu-HU"/>
        </w:rPr>
        <w:t xml:space="preserve">sötét </w:t>
      </w:r>
      <w:r w:rsidRPr="00D045B3">
        <w:rPr>
          <w:color w:val="000000"/>
          <w:lang w:val="hu-HU"/>
        </w:rPr>
        <w:t>színű vizelettel vagy a bőr, illetve a szemfehérje besárgulásával (májrendellenességre utaló jelek).</w:t>
      </w:r>
    </w:p>
    <w:p w14:paraId="1E92825C"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Bőrkiütés, bőrpír, hólyagokkal az ajkakon, szemeken, bőrön vagy a szájban, a bőr hámlása, láz, a bőr felszínéből kiemelkedő vörös vagy lila foltok, viszketés, égő érzés, gennyes hólyagokkal jelentkező bőrkiütés (bőrproblémákra utaló jelek).</w:t>
      </w:r>
    </w:p>
    <w:p w14:paraId="1E92825D"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hasi fájdalom, vér a hányadékban, a székletben vagy a vizeletben, fekete széklet (gyomor-bélrendszeri problémákra utaló jelek).</w:t>
      </w:r>
    </w:p>
    <w:p w14:paraId="1E92825E"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vizelet mennyiségének nagymértékű csökkenése, szomjúság érzés (veseproblémákra utaló jelek).</w:t>
      </w:r>
    </w:p>
    <w:p w14:paraId="1E92825F"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hasmenéssel és hányással, hasfájás vagy láz (bélrendellenességre utaló jelek).</w:t>
      </w:r>
    </w:p>
    <w:p w14:paraId="1E928260" w14:textId="54B415D9"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fejfájás, a végtagok vagy az arc</w:t>
      </w:r>
      <w:r w:rsidR="00C7474B" w:rsidRPr="00D045B3">
        <w:rPr>
          <w:color w:val="000000"/>
          <w:lang w:val="hu-HU"/>
        </w:rPr>
        <w:t>izmok</w:t>
      </w:r>
      <w:r w:rsidRPr="00D045B3">
        <w:rPr>
          <w:color w:val="000000"/>
          <w:lang w:val="hu-HU"/>
        </w:rPr>
        <w:t xml:space="preserve"> gyengesége vagy bénulása, nehezített beszéd, hirtelen eszméletvesztés (idegrendszeri problémákra, mint például a koponyán belüli vagy az agyban kialakuló vérzésre vagy vizenyőre utaló jelek).</w:t>
      </w:r>
    </w:p>
    <w:p w14:paraId="1E928261"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Sápadt bőr, fáradtság és légszomj, valamint sötét vizelet (alacsony vörösvértestszámra utaló jelek).</w:t>
      </w:r>
    </w:p>
    <w:p w14:paraId="1E928262"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Szemfájdalom vagy a látás romlása</w:t>
      </w:r>
      <w:r w:rsidR="00657C0B" w:rsidRPr="00D045B3">
        <w:rPr>
          <w:color w:val="000000"/>
          <w:lang w:val="hu-HU"/>
        </w:rPr>
        <w:t>, szemen belüli vérzés</w:t>
      </w:r>
      <w:r w:rsidRPr="00D045B3">
        <w:rPr>
          <w:color w:val="000000"/>
          <w:lang w:val="hu-HU"/>
        </w:rPr>
        <w:t>.</w:t>
      </w:r>
    </w:p>
    <w:p w14:paraId="1E928263"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Csípőfájdalom vagy a járás nehezítettsége.</w:t>
      </w:r>
    </w:p>
    <w:p w14:paraId="1E928264"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láb- és kézujjak zsibbadása vagy hidegsége (Raynaud-szindrómára utaló jelek).</w:t>
      </w:r>
    </w:p>
    <w:p w14:paraId="1E928265"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bőr hirtelen duzzadása és vörössége (cellulitisz nevű bőrfertőzésre utaló jelek).</w:t>
      </w:r>
    </w:p>
    <w:p w14:paraId="1E928266"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Halláscsökkenés.</w:t>
      </w:r>
    </w:p>
    <w:p w14:paraId="1E928267"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Izomgyengeség és izomgörcsök szívritmuszavarral (a vérben lévő kálium</w:t>
      </w:r>
      <w:r w:rsidRPr="00D045B3">
        <w:rPr>
          <w:color w:val="000000"/>
          <w:lang w:val="hu-HU"/>
        </w:rPr>
        <w:noBreakHyphen/>
        <w:t>mennyiség változásának jelei).</w:t>
      </w:r>
    </w:p>
    <w:p w14:paraId="1E928268"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Véraláfutás.</w:t>
      </w:r>
    </w:p>
    <w:p w14:paraId="1E928269"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Gyomorfájdalom émelygéssel (hányingerrel).</w:t>
      </w:r>
    </w:p>
    <w:p w14:paraId="1E92826A"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Izomgörcsök lázzal, vöröses-barna színű vizelettel, izomfájdalommal vagy izomgyengeséggel (izom</w:t>
      </w:r>
      <w:r w:rsidR="00A90B3E" w:rsidRPr="00D045B3">
        <w:rPr>
          <w:color w:val="000000"/>
          <w:lang w:val="hu-HU"/>
        </w:rPr>
        <w:t>problémákra</w:t>
      </w:r>
      <w:r w:rsidRPr="00D045B3">
        <w:rPr>
          <w:color w:val="000000"/>
          <w:lang w:val="hu-HU"/>
        </w:rPr>
        <w:t xml:space="preserve"> utaló jelek).</w:t>
      </w:r>
    </w:p>
    <w:p w14:paraId="1E92826B" w14:textId="77777777" w:rsidR="00D069FF" w:rsidRPr="00D045B3" w:rsidRDefault="00D069FF"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Kismedencei fájdalom, néha hányingerrel és hányással, váratlan hüvelyi vérzéssel, szédüléssel vagy ájulás közeli érzéssel, mely az alacsony vérnyomásnak tulajdonítható (petefészek- vagy méhproblémákra utaló jelek).</w:t>
      </w:r>
    </w:p>
    <w:p w14:paraId="1E92826C" w14:textId="568F23A7" w:rsidR="00A65EE6" w:rsidRPr="00D045B3" w:rsidRDefault="00A65EE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Kóros laboratóriumi vizsgálati eredményekkel (pl. magas kálium-, húgysav- és kalciumszint, valamint alacsony foszforszint, a vérben) összefüggő hányinger, légszomj, rendszertelen szívverés, zavaros vizelet, fáradtság és/vagy ízületi fájdalom.</w:t>
      </w:r>
    </w:p>
    <w:p w14:paraId="58255ED8" w14:textId="77777777" w:rsidR="00E5538C" w:rsidRPr="00D045B3" w:rsidRDefault="00E5538C" w:rsidP="00E5538C">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Vérrögök a kis vérerekben (trombotikus mikroangiopátia).</w:t>
      </w:r>
    </w:p>
    <w:p w14:paraId="1E92826D" w14:textId="77777777" w:rsidR="00A65EE6" w:rsidRPr="00D045B3" w:rsidRDefault="00A65EE6" w:rsidP="00A65EE6">
      <w:pPr>
        <w:tabs>
          <w:tab w:val="clear" w:pos="567"/>
        </w:tabs>
        <w:suppressAutoHyphens/>
        <w:spacing w:line="240" w:lineRule="auto"/>
        <w:rPr>
          <w:color w:val="000000"/>
          <w:lang w:val="hu-HU"/>
        </w:rPr>
      </w:pPr>
    </w:p>
    <w:p w14:paraId="1E92826E" w14:textId="77777777" w:rsidR="00A65EE6" w:rsidRPr="00D045B3" w:rsidRDefault="00A65EE6" w:rsidP="00C005AC">
      <w:pPr>
        <w:pStyle w:val="Default"/>
        <w:keepNext/>
        <w:rPr>
          <w:sz w:val="22"/>
          <w:szCs w:val="22"/>
        </w:rPr>
      </w:pPr>
      <w:r w:rsidRPr="00D045B3">
        <w:rPr>
          <w:b/>
          <w:bCs/>
          <w:sz w:val="22"/>
          <w:szCs w:val="22"/>
        </w:rPr>
        <w:t xml:space="preserve">Nem ismert </w:t>
      </w:r>
      <w:r w:rsidRPr="00D045B3">
        <w:rPr>
          <w:sz w:val="22"/>
          <w:szCs w:val="22"/>
        </w:rPr>
        <w:t xml:space="preserve">(a gyakoriság a rendelkezésre álló adatokból nem állapítható meg): </w:t>
      </w:r>
    </w:p>
    <w:p w14:paraId="1E92826F" w14:textId="77777777" w:rsidR="00A65EE6" w:rsidRPr="00D045B3" w:rsidRDefault="00A65EE6" w:rsidP="00E95370">
      <w:pPr>
        <w:pStyle w:val="Default"/>
        <w:numPr>
          <w:ilvl w:val="0"/>
          <w:numId w:val="29"/>
        </w:numPr>
        <w:ind w:left="567" w:hanging="567"/>
        <w:rPr>
          <w:sz w:val="22"/>
          <w:szCs w:val="22"/>
        </w:rPr>
      </w:pPr>
      <w:r w:rsidRPr="00D045B3">
        <w:rPr>
          <w:sz w:val="22"/>
          <w:szCs w:val="22"/>
        </w:rPr>
        <w:t xml:space="preserve">Kiterjedt, súlyos bőrkiütés, hányinger, láz, bizonyos fehérvérsejtek magas számának vagy a bőr, illetve a szemfehérje besárgulásának (sárgaság tünetei) kombinációja, légszomjjal, mellkasi fájdalommal/kellemetlen érzéssel, nagymértékben csökkent vizeletürítéssel és szomjúsággal stb. (ezek a kezeléssel összefüggő allergiás reakció jelei). </w:t>
      </w:r>
    </w:p>
    <w:p w14:paraId="1E928270" w14:textId="77777777" w:rsidR="00C005AC" w:rsidRPr="00D045B3" w:rsidRDefault="00C005AC" w:rsidP="00E95370">
      <w:pPr>
        <w:pStyle w:val="Default"/>
        <w:numPr>
          <w:ilvl w:val="0"/>
          <w:numId w:val="29"/>
        </w:numPr>
        <w:ind w:left="567" w:hanging="567"/>
        <w:rPr>
          <w:sz w:val="22"/>
          <w:szCs w:val="22"/>
        </w:rPr>
      </w:pPr>
      <w:r w:rsidRPr="00D045B3">
        <w:rPr>
          <w:sz w:val="22"/>
          <w:szCs w:val="22"/>
        </w:rPr>
        <w:t>Krónikus veseelégtelenség</w:t>
      </w:r>
      <w:r w:rsidR="00F016AA" w:rsidRPr="00D045B3">
        <w:rPr>
          <w:sz w:val="22"/>
          <w:szCs w:val="22"/>
        </w:rPr>
        <w:t>.</w:t>
      </w:r>
    </w:p>
    <w:p w14:paraId="1E928271" w14:textId="77777777" w:rsidR="005B3F70" w:rsidRPr="00D045B3" w:rsidRDefault="005B3F70" w:rsidP="00E95370">
      <w:pPr>
        <w:pStyle w:val="Default"/>
        <w:numPr>
          <w:ilvl w:val="0"/>
          <w:numId w:val="29"/>
        </w:numPr>
        <w:ind w:left="567" w:hanging="567"/>
        <w:rPr>
          <w:sz w:val="22"/>
          <w:szCs w:val="22"/>
        </w:rPr>
      </w:pPr>
      <w:r w:rsidRPr="00D045B3">
        <w:rPr>
          <w:sz w:val="22"/>
          <w:szCs w:val="22"/>
        </w:rPr>
        <w:t>A hepatitisz B fertőzés kiújulása (reaktiválódása), ha Önnek korábban hepatitisz B fertőzése (egy májfertőzés) volt.</w:t>
      </w:r>
    </w:p>
    <w:p w14:paraId="1E928273" w14:textId="77777777" w:rsidR="00A65EE6" w:rsidRPr="00D045B3" w:rsidRDefault="00A65EE6" w:rsidP="00A65EE6">
      <w:pPr>
        <w:pStyle w:val="Default"/>
        <w:rPr>
          <w:sz w:val="22"/>
          <w:szCs w:val="22"/>
        </w:rPr>
      </w:pPr>
    </w:p>
    <w:p w14:paraId="1E928274" w14:textId="77777777" w:rsidR="00D069FF" w:rsidRPr="00D045B3" w:rsidRDefault="00D069FF" w:rsidP="00D069FF">
      <w:pPr>
        <w:spacing w:line="240" w:lineRule="auto"/>
        <w:rPr>
          <w:color w:val="000000"/>
          <w:lang w:val="hu-HU"/>
        </w:rPr>
      </w:pPr>
      <w:r w:rsidRPr="00D045B3">
        <w:rPr>
          <w:b/>
          <w:color w:val="000000"/>
          <w:lang w:val="hu-HU"/>
        </w:rPr>
        <w:t xml:space="preserve">Azonnal forduljon kezelőorvosához, </w:t>
      </w:r>
      <w:r w:rsidRPr="00D045B3">
        <w:rPr>
          <w:color w:val="000000"/>
          <w:lang w:val="hu-HU"/>
        </w:rPr>
        <w:t>ha a fentiek közül bármelyiket észleli!</w:t>
      </w:r>
    </w:p>
    <w:p w14:paraId="1E928275" w14:textId="77777777" w:rsidR="00D069FF" w:rsidRPr="00D045B3" w:rsidRDefault="00D069FF" w:rsidP="00D069FF">
      <w:pPr>
        <w:spacing w:line="240" w:lineRule="auto"/>
        <w:rPr>
          <w:color w:val="000000"/>
          <w:lang w:val="hu-HU"/>
        </w:rPr>
      </w:pPr>
    </w:p>
    <w:p w14:paraId="1E928276" w14:textId="77777777" w:rsidR="00D069FF" w:rsidRPr="00D045B3" w:rsidRDefault="00D069FF" w:rsidP="00D069FF">
      <w:pPr>
        <w:keepNext/>
        <w:spacing w:line="240" w:lineRule="auto"/>
        <w:rPr>
          <w:b/>
          <w:color w:val="000000"/>
          <w:lang w:val="hu-HU"/>
        </w:rPr>
      </w:pPr>
      <w:r w:rsidRPr="00D045B3">
        <w:rPr>
          <w:b/>
          <w:color w:val="000000"/>
          <w:lang w:val="hu-HU"/>
        </w:rPr>
        <w:t>További lehetséges mellékhatások:</w:t>
      </w:r>
    </w:p>
    <w:p w14:paraId="1E928277" w14:textId="77777777" w:rsidR="00D069FF" w:rsidRPr="00D045B3" w:rsidRDefault="00D069FF" w:rsidP="00D069FF">
      <w:pPr>
        <w:keepNext/>
        <w:spacing w:line="240" w:lineRule="auto"/>
        <w:rPr>
          <w:color w:val="000000"/>
          <w:lang w:val="hu-HU"/>
        </w:rPr>
      </w:pPr>
    </w:p>
    <w:p w14:paraId="1E928278" w14:textId="17F5C701" w:rsidR="00D069FF" w:rsidRPr="00D045B3" w:rsidRDefault="00D069FF" w:rsidP="00D069FF">
      <w:pPr>
        <w:keepNext/>
        <w:spacing w:line="240" w:lineRule="auto"/>
        <w:rPr>
          <w:b/>
          <w:color w:val="000000"/>
          <w:lang w:val="hu-HU"/>
        </w:rPr>
      </w:pPr>
      <w:r w:rsidRPr="00D045B3">
        <w:rPr>
          <w:b/>
          <w:color w:val="000000"/>
          <w:lang w:val="hu-HU"/>
        </w:rPr>
        <w:t>Nagyon gyakori</w:t>
      </w:r>
      <w:r w:rsidR="009127A1" w:rsidRPr="00D045B3">
        <w:rPr>
          <w:b/>
          <w:color w:val="000000"/>
          <w:lang w:val="hu-HU"/>
        </w:rPr>
        <w:t xml:space="preserve"> </w:t>
      </w:r>
      <w:r w:rsidRPr="00D045B3">
        <w:rPr>
          <w:b/>
          <w:color w:val="000000"/>
          <w:lang w:val="hu-HU"/>
        </w:rPr>
        <w:t>(</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color w:val="000000"/>
          <w:lang w:val="hu-HU"/>
        </w:rPr>
        <w:t>:</w:t>
      </w:r>
    </w:p>
    <w:p w14:paraId="1E928279" w14:textId="77777777" w:rsidR="00D069FF" w:rsidRPr="00D045B3" w:rsidRDefault="00D069F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Fejfájás vagy fáradtság.</w:t>
      </w:r>
    </w:p>
    <w:p w14:paraId="1E92827A" w14:textId="77777777" w:rsidR="00D069FF" w:rsidRPr="00D045B3" w:rsidRDefault="00D069F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Hányinger, hányás, hasmenés vagy emésztési zavarok.</w:t>
      </w:r>
    </w:p>
    <w:p w14:paraId="1E92827B" w14:textId="77777777" w:rsidR="00D069FF" w:rsidRPr="00D045B3" w:rsidRDefault="00D069F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Bőrkiütés.</w:t>
      </w:r>
    </w:p>
    <w:p w14:paraId="1E92827C" w14:textId="77777777" w:rsidR="00AB2A76" w:rsidRPr="00D045B3" w:rsidRDefault="00D069FF" w:rsidP="00E95370">
      <w:pPr>
        <w:numPr>
          <w:ilvl w:val="0"/>
          <w:numId w:val="15"/>
        </w:numPr>
        <w:tabs>
          <w:tab w:val="clear" w:pos="360"/>
          <w:tab w:val="clear" w:pos="567"/>
          <w:tab w:val="num" w:pos="600"/>
        </w:tabs>
        <w:suppressAutoHyphens/>
        <w:spacing w:line="240" w:lineRule="auto"/>
        <w:ind w:left="600" w:hanging="600"/>
        <w:rPr>
          <w:color w:val="000000"/>
          <w:lang w:val="hu-HU"/>
        </w:rPr>
      </w:pPr>
      <w:r w:rsidRPr="00D045B3">
        <w:rPr>
          <w:color w:val="000000"/>
          <w:lang w:val="hu-HU"/>
        </w:rPr>
        <w:t>Izomgörcsök, vagy ízületi-, izom</w:t>
      </w:r>
      <w:r w:rsidRPr="00D045B3">
        <w:rPr>
          <w:color w:val="000000"/>
          <w:lang w:val="hu-HU"/>
        </w:rPr>
        <w:noBreakHyphen/>
        <w:t xml:space="preserve"> vagy csontfájdalmak</w:t>
      </w:r>
      <w:r w:rsidR="00AB2A76" w:rsidRPr="00D045B3">
        <w:rPr>
          <w:color w:val="000000"/>
          <w:lang w:val="hu-HU"/>
        </w:rPr>
        <w:t>, az imatinib</w:t>
      </w:r>
      <w:r w:rsidR="00AB2A76" w:rsidRPr="00D045B3">
        <w:rPr>
          <w:color w:val="000000"/>
          <w:lang w:val="hu-HU"/>
        </w:rPr>
        <w:noBreakHyphen/>
        <w:t>kezelés alatt, vagy az imatinib szedésének abbahagyását követően.</w:t>
      </w:r>
    </w:p>
    <w:p w14:paraId="1E92827D" w14:textId="461D2241" w:rsidR="00D069FF" w:rsidRPr="00D045B3" w:rsidRDefault="00D069F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Duzzanat, mint a bokaduzzanat és a szem</w:t>
      </w:r>
      <w:r w:rsidR="00CB2CF7" w:rsidRPr="00D045B3">
        <w:rPr>
          <w:color w:val="000000"/>
          <w:lang w:val="hu-HU"/>
        </w:rPr>
        <w:t>tájé</w:t>
      </w:r>
      <w:r w:rsidRPr="00D045B3">
        <w:rPr>
          <w:color w:val="000000"/>
          <w:lang w:val="hu-HU"/>
        </w:rPr>
        <w:t>k duzzanata.</w:t>
      </w:r>
    </w:p>
    <w:p w14:paraId="1E92827E" w14:textId="77777777" w:rsidR="00D069FF" w:rsidRPr="00D045B3" w:rsidRDefault="00D069FF"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Testtömeg</w:t>
      </w:r>
      <w:r w:rsidRPr="00D045B3">
        <w:rPr>
          <w:color w:val="000000"/>
          <w:lang w:val="hu-HU"/>
        </w:rPr>
        <w:noBreakHyphen/>
        <w:t>gyarapodás.</w:t>
      </w:r>
    </w:p>
    <w:p w14:paraId="1E92827F" w14:textId="77777777" w:rsidR="00D069FF" w:rsidRPr="00D045B3" w:rsidRDefault="00D069FF" w:rsidP="00D069FF">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8280" w14:textId="77777777" w:rsidR="00D069FF" w:rsidRPr="00D045B3" w:rsidRDefault="00D069FF" w:rsidP="00D069FF">
      <w:pPr>
        <w:spacing w:line="240" w:lineRule="auto"/>
        <w:rPr>
          <w:color w:val="000000"/>
          <w:lang w:val="hu-HU"/>
        </w:rPr>
      </w:pPr>
    </w:p>
    <w:p w14:paraId="1E928281" w14:textId="4AE03207" w:rsidR="00D069FF" w:rsidRPr="00D045B3" w:rsidRDefault="00D069FF" w:rsidP="00CA41FD">
      <w:pPr>
        <w:keepNext/>
        <w:spacing w:line="240" w:lineRule="auto"/>
        <w:rPr>
          <w:b/>
          <w:color w:val="000000"/>
          <w:lang w:val="hu-HU"/>
        </w:rPr>
      </w:pPr>
      <w:r w:rsidRPr="00D045B3">
        <w:rPr>
          <w:b/>
          <w:color w:val="000000"/>
          <w:lang w:val="hu-HU"/>
        </w:rPr>
        <w:t>Gyakori</w:t>
      </w:r>
      <w:r w:rsidR="009127A1" w:rsidRPr="00D045B3">
        <w:rPr>
          <w:b/>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color w:val="000000"/>
          <w:lang w:val="hu-HU"/>
        </w:rPr>
        <w:t>:</w:t>
      </w:r>
    </w:p>
    <w:p w14:paraId="1E928282"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Étvágytalanság, testtömeg</w:t>
      </w:r>
      <w:r w:rsidRPr="00D045B3">
        <w:rPr>
          <w:color w:val="000000"/>
          <w:lang w:val="hu-HU"/>
        </w:rPr>
        <w:noBreakHyphen/>
        <w:t>csökkenés vagy ízérzési zavarok.</w:t>
      </w:r>
    </w:p>
    <w:p w14:paraId="1E928283"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Szédülés vagy gyengeség.</w:t>
      </w:r>
    </w:p>
    <w:p w14:paraId="1E928284"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Álmatlanság (inszomnia).</w:t>
      </w:r>
    </w:p>
    <w:p w14:paraId="1E928285"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Szemváladékozás viszketéssel, vörösséggel és duzzanattal (kötőhártya</w:t>
      </w:r>
      <w:r w:rsidR="006A6FE8" w:rsidRPr="00D045B3">
        <w:rPr>
          <w:color w:val="000000"/>
          <w:lang w:val="hu-HU"/>
        </w:rPr>
        <w:t xml:space="preserve"> </w:t>
      </w:r>
      <w:r w:rsidRPr="00D045B3">
        <w:rPr>
          <w:color w:val="000000"/>
          <w:lang w:val="hu-HU"/>
        </w:rPr>
        <w:t>gyulladás), fokozott könnyfolyás vagy homályos látás.</w:t>
      </w:r>
    </w:p>
    <w:p w14:paraId="1E928286"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Orrvérzés.</w:t>
      </w:r>
    </w:p>
    <w:p w14:paraId="1E928287"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Hasi fájdalom vagy haspuffadás, fokozott bélgáztermelődés, gyomorégés vagy székrekedés.</w:t>
      </w:r>
    </w:p>
    <w:p w14:paraId="1E928288"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Viszketés.</w:t>
      </w:r>
    </w:p>
    <w:p w14:paraId="1E928289"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Szokatlan hajhullás vagy hajritkulás.</w:t>
      </w:r>
    </w:p>
    <w:p w14:paraId="1E92828A"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Kéz</w:t>
      </w:r>
      <w:r w:rsidRPr="00D045B3">
        <w:rPr>
          <w:color w:val="000000"/>
          <w:lang w:val="hu-HU"/>
        </w:rPr>
        <w:noBreakHyphen/>
        <w:t xml:space="preserve"> és lábfejzsibbadás.</w:t>
      </w:r>
    </w:p>
    <w:p w14:paraId="1E92828B"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Szájfekély.</w:t>
      </w:r>
    </w:p>
    <w:p w14:paraId="1E92828C"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Ízületi fájdalom, duzzadással.</w:t>
      </w:r>
    </w:p>
    <w:p w14:paraId="1E92828D"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Szájszárazság, bőrszárazság vagy szemszárazság.</w:t>
      </w:r>
    </w:p>
    <w:p w14:paraId="1E92828E"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A bőr érzékenységének csökkenése vagy fokozódása.</w:t>
      </w:r>
    </w:p>
    <w:p w14:paraId="1E92828F" w14:textId="77777777" w:rsidR="00D069FF" w:rsidRPr="00D045B3" w:rsidRDefault="00D069FF"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Hőhullámok, hidegrázás vagy éjszakai izzadás.</w:t>
      </w:r>
    </w:p>
    <w:p w14:paraId="1E928290" w14:textId="77777777" w:rsidR="00D069FF" w:rsidRPr="00D045B3" w:rsidRDefault="00D069FF" w:rsidP="00D069FF">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8291" w14:textId="77777777" w:rsidR="00D069FF" w:rsidRPr="00D045B3" w:rsidRDefault="00D069FF" w:rsidP="00D069FF">
      <w:pPr>
        <w:spacing w:line="240" w:lineRule="auto"/>
        <w:rPr>
          <w:color w:val="000000"/>
          <w:lang w:val="hu-HU"/>
        </w:rPr>
      </w:pPr>
    </w:p>
    <w:p w14:paraId="1E928292" w14:textId="15EC1285" w:rsidR="00D069FF" w:rsidRPr="00D045B3" w:rsidRDefault="00D069FF" w:rsidP="00D069FF">
      <w:pPr>
        <w:keepNext/>
        <w:spacing w:line="240" w:lineRule="auto"/>
        <w:rPr>
          <w:b/>
          <w:color w:val="000000"/>
          <w:lang w:val="hu-HU"/>
        </w:rPr>
      </w:pPr>
      <w:r w:rsidRPr="00D045B3">
        <w:rPr>
          <w:b/>
          <w:color w:val="000000"/>
          <w:lang w:val="hu-HU"/>
        </w:rPr>
        <w:t xml:space="preserve">Nem ismert </w:t>
      </w:r>
      <w:r w:rsidRPr="00D045B3">
        <w:rPr>
          <w:color w:val="000000"/>
          <w:lang w:val="hu-HU"/>
        </w:rPr>
        <w:t>(a gyakoriság a rendelkezésre álló adatokból nem állapítható meg):</w:t>
      </w:r>
    </w:p>
    <w:p w14:paraId="1E928293" w14:textId="77777777" w:rsidR="00D069FF" w:rsidRPr="00D045B3" w:rsidRDefault="00D069FF" w:rsidP="00E95370">
      <w:pPr>
        <w:keepNext/>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A tenyér és a talp kivörösödése és/vagy duzzadása, mely zsibbadással és égő érzéssel járhat.</w:t>
      </w:r>
    </w:p>
    <w:p w14:paraId="1E928294" w14:textId="77777777" w:rsidR="005B3F70" w:rsidRPr="00D045B3" w:rsidRDefault="005B3F70"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Fájdalmas és/vagy hólyagos bőrelváltozások.</w:t>
      </w:r>
    </w:p>
    <w:p w14:paraId="1E928295" w14:textId="77777777" w:rsidR="00D069FF" w:rsidRPr="00D045B3" w:rsidRDefault="00D069FF"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Lassabb növekedés gyermekeknél és serdülőkorúaknál.</w:t>
      </w:r>
    </w:p>
    <w:p w14:paraId="1E928297" w14:textId="77777777" w:rsidR="00D069FF" w:rsidRPr="00D045B3" w:rsidRDefault="00D069FF" w:rsidP="00D069FF">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súlyosan érintik Önt.</w:t>
      </w:r>
    </w:p>
    <w:p w14:paraId="1E928298" w14:textId="77777777" w:rsidR="00D069FF" w:rsidRPr="00D045B3" w:rsidRDefault="00D069FF" w:rsidP="00D069FF">
      <w:pPr>
        <w:spacing w:line="240" w:lineRule="auto"/>
        <w:ind w:right="-2"/>
        <w:rPr>
          <w:color w:val="000000"/>
          <w:lang w:val="hu-HU"/>
        </w:rPr>
      </w:pPr>
    </w:p>
    <w:p w14:paraId="1E928299" w14:textId="77777777" w:rsidR="00600C7B" w:rsidRPr="00D045B3" w:rsidRDefault="00600C7B" w:rsidP="00600C7B">
      <w:pPr>
        <w:keepNext/>
        <w:rPr>
          <w:u w:val="single"/>
          <w:lang w:val="hu-HU"/>
        </w:rPr>
      </w:pPr>
      <w:r w:rsidRPr="00D045B3">
        <w:rPr>
          <w:u w:val="single"/>
          <w:lang w:val="hu-HU"/>
        </w:rPr>
        <w:t>Mellékhatások bejelentése</w:t>
      </w:r>
    </w:p>
    <w:p w14:paraId="1E92829A" w14:textId="77777777" w:rsidR="00600C7B" w:rsidRPr="00D045B3" w:rsidRDefault="00600C7B" w:rsidP="008A6837">
      <w:pPr>
        <w:rPr>
          <w:b/>
          <w:bCs/>
          <w:color w:val="000000"/>
          <w:lang w:val="hu-HU" w:eastAsia="hu-HU"/>
        </w:rPr>
      </w:pPr>
      <w:r w:rsidRPr="00D045B3">
        <w:rPr>
          <w:color w:val="000000"/>
          <w:lang w:val="hu-HU"/>
        </w:rPr>
        <w:t xml:space="preserve">Ha Önnél bármilyen mellékhatás jelentkezik, tájékoztassa kezelőorvosát, gyógyszerészét vagy a </w:t>
      </w:r>
      <w:r w:rsidRPr="00D045B3">
        <w:rPr>
          <w:lang w:val="hu-HU"/>
        </w:rPr>
        <w:t>gondozását végző egészségügyi szakembert</w:t>
      </w:r>
      <w:r w:rsidRPr="00D045B3">
        <w:rPr>
          <w:color w:val="000000"/>
          <w:lang w:val="hu-HU"/>
        </w:rPr>
        <w:t xml:space="preserve">. Ez a betegtájékoztatóban fel nem sorolt bármilyen lehetséges mellékhatásra is vonatkozik. </w:t>
      </w:r>
      <w:r w:rsidRPr="00D045B3">
        <w:rPr>
          <w:lang w:val="hu-HU"/>
        </w:rPr>
        <w:t>A mellékhatásokat közvetlenül a hatóság részére is bejelentheti a</w:t>
      </w:r>
      <w:r w:rsidR="00657C0B" w:rsidRPr="00D045B3">
        <w:rPr>
          <w:lang w:val="hu-HU"/>
        </w:rPr>
        <w:t>z</w:t>
      </w:r>
      <w:r w:rsidRPr="00D045B3">
        <w:rPr>
          <w:lang w:val="hu-HU"/>
        </w:rPr>
        <w:t xml:space="preserve"> </w:t>
      </w:r>
      <w:hyperlink r:id="rId21" w:history="1">
        <w:r w:rsidR="00AB2A76" w:rsidRPr="00D045B3">
          <w:rPr>
            <w:rStyle w:val="Hyperlink"/>
            <w:highlight w:val="lightGray"/>
            <w:shd w:val="pct15" w:color="auto" w:fill="FFFFFF"/>
            <w:lang w:val="hu-HU"/>
          </w:rPr>
          <w:t>V. függelékben</w:t>
        </w:r>
      </w:hyperlink>
      <w:r w:rsidR="00657C0B" w:rsidRPr="00D045B3">
        <w:rPr>
          <w:highlight w:val="lightGray"/>
          <w:lang w:val="hu-HU"/>
        </w:rPr>
        <w:t xml:space="preserve"> található</w:t>
      </w:r>
      <w:r w:rsidR="00657C0B" w:rsidRPr="00D045B3">
        <w:rPr>
          <w:lang w:val="hu-HU"/>
        </w:rPr>
        <w:t xml:space="preserve"> </w:t>
      </w:r>
      <w:r w:rsidRPr="00D045B3">
        <w:rPr>
          <w:lang w:val="hu-HU"/>
        </w:rPr>
        <w:t xml:space="preserve">elérhetőségeken keresztül. </w:t>
      </w:r>
      <w:r w:rsidR="00657C0B" w:rsidRPr="00D045B3">
        <w:rPr>
          <w:lang w:val="hu-HU"/>
        </w:rPr>
        <w:t>A mellékhatások bejelentésével Ön is hozzájárulhat ahhoz, hogy minél több információ álljon rendelkezésre a gyógyszer biztonságos alkalmazásával kapcsolatban.</w:t>
      </w:r>
    </w:p>
    <w:p w14:paraId="1E92829B" w14:textId="77777777" w:rsidR="00D069FF" w:rsidRPr="00D045B3" w:rsidRDefault="00D069FF" w:rsidP="00D069FF">
      <w:pPr>
        <w:spacing w:line="240" w:lineRule="auto"/>
        <w:ind w:right="-2"/>
        <w:rPr>
          <w:color w:val="000000"/>
          <w:lang w:val="hu-HU"/>
        </w:rPr>
      </w:pPr>
    </w:p>
    <w:p w14:paraId="1E92829C" w14:textId="77777777" w:rsidR="00D069FF" w:rsidRPr="00D045B3" w:rsidRDefault="00D069FF" w:rsidP="00D069FF">
      <w:pPr>
        <w:spacing w:line="240" w:lineRule="auto"/>
        <w:ind w:right="-2"/>
        <w:rPr>
          <w:color w:val="000000"/>
          <w:lang w:val="hu-HU"/>
        </w:rPr>
      </w:pPr>
    </w:p>
    <w:p w14:paraId="1E92829D" w14:textId="77777777" w:rsidR="00D069FF" w:rsidRPr="00D045B3" w:rsidRDefault="00D069FF" w:rsidP="00ED5963">
      <w:pPr>
        <w:keepNext/>
        <w:spacing w:line="240" w:lineRule="auto"/>
        <w:ind w:left="567" w:hanging="567"/>
        <w:rPr>
          <w:b/>
          <w:color w:val="000000"/>
          <w:lang w:val="hu-HU"/>
        </w:rPr>
      </w:pPr>
      <w:r w:rsidRPr="00D045B3">
        <w:rPr>
          <w:b/>
          <w:color w:val="000000"/>
          <w:lang w:val="hu-HU"/>
        </w:rPr>
        <w:t>5.</w:t>
      </w:r>
      <w:r w:rsidRPr="00D045B3">
        <w:rPr>
          <w:b/>
          <w:color w:val="000000"/>
          <w:lang w:val="hu-HU"/>
        </w:rPr>
        <w:tab/>
        <w:t>Hogyan kell az Imatinib Actavis</w:t>
      </w:r>
      <w:r w:rsidRPr="00D045B3">
        <w:rPr>
          <w:b/>
          <w:color w:val="000000"/>
          <w:lang w:val="hu-HU"/>
        </w:rPr>
        <w:noBreakHyphen/>
        <w:t>t tárolni?</w:t>
      </w:r>
    </w:p>
    <w:p w14:paraId="1E92829E" w14:textId="77777777" w:rsidR="00D069FF" w:rsidRPr="00D045B3" w:rsidRDefault="00D069FF" w:rsidP="00ED5963">
      <w:pPr>
        <w:keepNext/>
        <w:spacing w:line="240" w:lineRule="auto"/>
        <w:rPr>
          <w:color w:val="000000"/>
          <w:lang w:val="hu-HU"/>
        </w:rPr>
      </w:pPr>
    </w:p>
    <w:p w14:paraId="1E92829F" w14:textId="77777777" w:rsidR="00D069FF" w:rsidRPr="00D045B3" w:rsidRDefault="00D069FF" w:rsidP="00ED5963">
      <w:pPr>
        <w:keepNext/>
        <w:tabs>
          <w:tab w:val="clear" w:pos="567"/>
        </w:tabs>
        <w:suppressAutoHyphens/>
        <w:spacing w:line="240" w:lineRule="auto"/>
        <w:rPr>
          <w:color w:val="000000"/>
          <w:lang w:val="hu-HU"/>
        </w:rPr>
      </w:pPr>
      <w:r w:rsidRPr="00D045B3">
        <w:rPr>
          <w:color w:val="000000"/>
          <w:lang w:val="hu-HU"/>
        </w:rPr>
        <w:t>A gyógyszer gyermekektől elzárva tartandó!</w:t>
      </w:r>
    </w:p>
    <w:p w14:paraId="1E9282A0" w14:textId="77777777" w:rsidR="00D069FF" w:rsidRPr="00D045B3" w:rsidRDefault="00D069FF" w:rsidP="00D069FF">
      <w:pPr>
        <w:pStyle w:val="KeinLeerraum"/>
        <w:rPr>
          <w:rFonts w:ascii="Times New Roman" w:hAnsi="Times New Roman"/>
        </w:rPr>
      </w:pPr>
      <w:r w:rsidRPr="00D045B3">
        <w:rPr>
          <w:rFonts w:ascii="Times New Roman" w:hAnsi="Times New Roman"/>
          <w:color w:val="000000"/>
        </w:rPr>
        <w:t xml:space="preserve">A dobozon </w:t>
      </w:r>
      <w:r w:rsidR="00F016AA" w:rsidRPr="00D045B3">
        <w:rPr>
          <w:rFonts w:ascii="Times New Roman" w:hAnsi="Times New Roman"/>
          <w:color w:val="000000"/>
        </w:rPr>
        <w:t xml:space="preserve">és a buborékcsomagoláson </w:t>
      </w:r>
      <w:r w:rsidRPr="00D045B3">
        <w:rPr>
          <w:rFonts w:ascii="Times New Roman" w:hAnsi="Times New Roman"/>
          <w:color w:val="000000"/>
        </w:rPr>
        <w:t>feltüntetett lejárati idő</w:t>
      </w:r>
      <w:r w:rsidR="005B3F70" w:rsidRPr="00D045B3">
        <w:rPr>
          <w:rFonts w:ascii="Times New Roman" w:hAnsi="Times New Roman"/>
          <w:color w:val="000000"/>
        </w:rPr>
        <w:t xml:space="preserve"> (EXP)</w:t>
      </w:r>
      <w:r w:rsidRPr="00D045B3">
        <w:rPr>
          <w:rFonts w:ascii="Times New Roman" w:hAnsi="Times New Roman"/>
          <w:color w:val="000000"/>
        </w:rPr>
        <w:t xml:space="preserve"> után ne alkalmazza </w:t>
      </w:r>
      <w:r w:rsidR="00CB59B7" w:rsidRPr="00D045B3">
        <w:rPr>
          <w:rFonts w:ascii="Times New Roman" w:hAnsi="Times New Roman"/>
          <w:color w:val="000000"/>
        </w:rPr>
        <w:t xml:space="preserve">ezt </w:t>
      </w:r>
      <w:r w:rsidRPr="00D045B3">
        <w:rPr>
          <w:rFonts w:ascii="Times New Roman" w:hAnsi="Times New Roman"/>
          <w:noProof/>
          <w:szCs w:val="24"/>
        </w:rPr>
        <w:t>a gyógyszert</w:t>
      </w:r>
      <w:r w:rsidRPr="00D045B3">
        <w:rPr>
          <w:rFonts w:ascii="Times New Roman" w:hAnsi="Times New Roman"/>
          <w:color w:val="000000"/>
        </w:rPr>
        <w:t xml:space="preserve">. </w:t>
      </w:r>
      <w:r w:rsidRPr="00D045B3">
        <w:rPr>
          <w:rFonts w:ascii="Times New Roman" w:hAnsi="Times New Roman"/>
        </w:rPr>
        <w:t xml:space="preserve">A lejárati idő az adott hónap utolsó napjára vonatkozik </w:t>
      </w:r>
    </w:p>
    <w:p w14:paraId="1E9282A1" w14:textId="77777777" w:rsidR="00D069FF" w:rsidRPr="00D045B3" w:rsidRDefault="00D069FF" w:rsidP="00D069FF">
      <w:pPr>
        <w:tabs>
          <w:tab w:val="clear" w:pos="567"/>
        </w:tabs>
        <w:suppressAutoHyphens/>
        <w:ind w:right="-2"/>
        <w:rPr>
          <w:color w:val="000000"/>
          <w:lang w:val="hu-HU"/>
        </w:rPr>
      </w:pPr>
      <w:r w:rsidRPr="00D045B3">
        <w:rPr>
          <w:color w:val="000000"/>
          <w:lang w:val="hu-HU"/>
        </w:rPr>
        <w:t>Legfeljebb 30</w:t>
      </w:r>
      <w:r w:rsidRPr="00D045B3">
        <w:rPr>
          <w:color w:val="000000"/>
          <w:lang w:val="hu-HU"/>
        </w:rPr>
        <w:sym w:font="Symbol" w:char="F0B0"/>
      </w:r>
      <w:r w:rsidRPr="00D045B3">
        <w:rPr>
          <w:color w:val="000000"/>
          <w:lang w:val="hu-HU"/>
        </w:rPr>
        <w:t>C</w:t>
      </w:r>
      <w:r w:rsidRPr="00D045B3">
        <w:rPr>
          <w:color w:val="000000"/>
          <w:lang w:val="hu-HU"/>
        </w:rPr>
        <w:noBreakHyphen/>
        <w:t>on tárolandó. A nedvességtől való védelem érdekében az eredeti csomagolásban tárolandó.</w:t>
      </w:r>
    </w:p>
    <w:p w14:paraId="1E9282A2" w14:textId="77777777" w:rsidR="00D069FF" w:rsidRPr="00D045B3" w:rsidRDefault="00D069FF" w:rsidP="00D069FF">
      <w:pPr>
        <w:tabs>
          <w:tab w:val="clear" w:pos="567"/>
        </w:tabs>
        <w:suppressAutoHyphens/>
        <w:spacing w:line="240" w:lineRule="auto"/>
        <w:ind w:right="-2"/>
        <w:rPr>
          <w:color w:val="000000"/>
          <w:lang w:val="hu-HU"/>
        </w:rPr>
      </w:pPr>
      <w:r w:rsidRPr="00D045B3">
        <w:rPr>
          <w:color w:val="000000"/>
          <w:lang w:val="hu-HU"/>
        </w:rPr>
        <w:t>Ne használja fel azt a gyógyszercsomagot, melynek csomagolása sérült, vagy amelyen bármilyen előzetes felnyitásra utaló jel észlelhető.</w:t>
      </w:r>
    </w:p>
    <w:p w14:paraId="1E9282A3" w14:textId="77777777" w:rsidR="00D069FF" w:rsidRPr="00D045B3" w:rsidRDefault="00ED5963" w:rsidP="00D069FF">
      <w:pPr>
        <w:ind w:right="-2"/>
        <w:rPr>
          <w:color w:val="000000"/>
          <w:lang w:val="hu-HU"/>
        </w:rPr>
      </w:pPr>
      <w:r w:rsidRPr="00D045B3">
        <w:rPr>
          <w:noProof/>
          <w:szCs w:val="24"/>
          <w:lang w:val="hu-HU"/>
        </w:rPr>
        <w:t xml:space="preserve">Semmilyen gyógyszert ne dobjon a szennyvízbe </w:t>
      </w:r>
      <w:r w:rsidRPr="00D045B3">
        <w:rPr>
          <w:lang w:val="hu-HU"/>
        </w:rPr>
        <w:t xml:space="preserve">vagy a háztartási </w:t>
      </w:r>
      <w:r w:rsidRPr="00D045B3">
        <w:rPr>
          <w:noProof/>
          <w:szCs w:val="24"/>
          <w:lang w:val="hu-HU"/>
        </w:rPr>
        <w:t>hulladékba.</w:t>
      </w:r>
      <w:r w:rsidRPr="00D045B3">
        <w:rPr>
          <w:lang w:val="hu-HU"/>
        </w:rPr>
        <w:t xml:space="preserve"> Kérdezze meg gyógyszerészét, hogy mit tegyen </w:t>
      </w:r>
      <w:r w:rsidRPr="00D045B3">
        <w:rPr>
          <w:noProof/>
          <w:szCs w:val="24"/>
          <w:lang w:val="hu-HU"/>
        </w:rPr>
        <w:t>a már nem használt</w:t>
      </w:r>
      <w:r w:rsidRPr="00D045B3">
        <w:rPr>
          <w:lang w:val="hu-HU"/>
        </w:rPr>
        <w:t xml:space="preserve"> gyógyszereivel. Ezek az intézkedések elősegítik a környezet védelmét.</w:t>
      </w:r>
    </w:p>
    <w:p w14:paraId="1E9282A4" w14:textId="77777777" w:rsidR="00D069FF" w:rsidRPr="00D045B3" w:rsidRDefault="00D069FF" w:rsidP="00D069FF">
      <w:pPr>
        <w:ind w:right="-2"/>
        <w:rPr>
          <w:color w:val="000000"/>
          <w:lang w:val="hu-HU"/>
        </w:rPr>
      </w:pPr>
    </w:p>
    <w:p w14:paraId="1E9282A5" w14:textId="77777777" w:rsidR="00ED5963" w:rsidRPr="00D045B3" w:rsidRDefault="00ED5963" w:rsidP="00D069FF">
      <w:pPr>
        <w:ind w:right="-2"/>
        <w:rPr>
          <w:color w:val="000000"/>
          <w:lang w:val="hu-HU"/>
        </w:rPr>
      </w:pPr>
    </w:p>
    <w:p w14:paraId="1E9282A6" w14:textId="77777777" w:rsidR="00D069FF" w:rsidRPr="00D045B3" w:rsidRDefault="00D069FF" w:rsidP="00D069FF">
      <w:pPr>
        <w:keepNext/>
        <w:spacing w:line="240" w:lineRule="auto"/>
        <w:ind w:left="567" w:right="-2" w:hanging="567"/>
        <w:rPr>
          <w:b/>
          <w:color w:val="000000"/>
          <w:lang w:val="hu-HU"/>
        </w:rPr>
      </w:pPr>
      <w:r w:rsidRPr="00D045B3">
        <w:rPr>
          <w:b/>
          <w:color w:val="000000"/>
          <w:lang w:val="hu-HU"/>
        </w:rPr>
        <w:t>6.</w:t>
      </w:r>
      <w:r w:rsidRPr="00D045B3">
        <w:rPr>
          <w:b/>
          <w:color w:val="000000"/>
          <w:lang w:val="hu-HU"/>
        </w:rPr>
        <w:tab/>
      </w:r>
      <w:r w:rsidRPr="00D045B3">
        <w:rPr>
          <w:b/>
          <w:noProof/>
          <w:szCs w:val="24"/>
          <w:lang w:val="hu-HU"/>
        </w:rPr>
        <w:t>A csomagolás tartalma és egyéb információk</w:t>
      </w:r>
    </w:p>
    <w:p w14:paraId="1E9282A7" w14:textId="77777777" w:rsidR="00D069FF" w:rsidRPr="00D045B3" w:rsidRDefault="00D069FF" w:rsidP="00D069FF">
      <w:pPr>
        <w:keepNext/>
        <w:spacing w:line="240" w:lineRule="auto"/>
        <w:rPr>
          <w:color w:val="000000"/>
          <w:lang w:val="hu-HU"/>
        </w:rPr>
      </w:pPr>
    </w:p>
    <w:p w14:paraId="1E9282A8" w14:textId="77777777" w:rsidR="00D069FF" w:rsidRPr="00D045B3" w:rsidRDefault="00D069FF" w:rsidP="00CA41FD">
      <w:pPr>
        <w:keepNext/>
        <w:autoSpaceDE w:val="0"/>
        <w:autoSpaceDN w:val="0"/>
        <w:adjustRightInd w:val="0"/>
        <w:spacing w:line="240" w:lineRule="auto"/>
        <w:rPr>
          <w:lang w:val="hu-HU"/>
        </w:rPr>
      </w:pPr>
      <w:r w:rsidRPr="00D045B3">
        <w:rPr>
          <w:b/>
          <w:color w:val="000000"/>
          <w:lang w:val="hu-HU"/>
        </w:rPr>
        <w:t>Mit tartalmaz az Imatinib Actavis</w:t>
      </w:r>
      <w:r w:rsidR="00AB2A76" w:rsidRPr="00D045B3">
        <w:rPr>
          <w:b/>
          <w:color w:val="000000"/>
          <w:lang w:val="hu-HU"/>
        </w:rPr>
        <w:t>?</w:t>
      </w:r>
    </w:p>
    <w:p w14:paraId="1E9282A9" w14:textId="77777777" w:rsidR="00D069FF" w:rsidRPr="00D045B3" w:rsidRDefault="00D069FF" w:rsidP="00E95370">
      <w:pPr>
        <w:numPr>
          <w:ilvl w:val="0"/>
          <w:numId w:val="7"/>
        </w:numPr>
        <w:tabs>
          <w:tab w:val="clear" w:pos="360"/>
          <w:tab w:val="clear" w:pos="567"/>
        </w:tabs>
        <w:suppressAutoHyphens/>
        <w:spacing w:line="240" w:lineRule="auto"/>
        <w:ind w:left="567" w:hanging="567"/>
        <w:rPr>
          <w:color w:val="000000"/>
          <w:lang w:val="hu-HU"/>
        </w:rPr>
      </w:pPr>
      <w:r w:rsidRPr="00D045B3">
        <w:rPr>
          <w:color w:val="000000"/>
          <w:lang w:val="hu-HU"/>
        </w:rPr>
        <w:t>A készítmény hatóanyaga az imatinib (mezilát formájában).</w:t>
      </w:r>
      <w:r w:rsidRPr="00D045B3">
        <w:rPr>
          <w:color w:val="000000"/>
          <w:szCs w:val="22"/>
          <w:lang w:val="hu-HU"/>
        </w:rPr>
        <w:t xml:space="preserve"> Minden egyes </w:t>
      </w:r>
      <w:r w:rsidR="00ED5963" w:rsidRPr="00D045B3">
        <w:rPr>
          <w:color w:val="000000"/>
          <w:szCs w:val="22"/>
          <w:lang w:val="hu-HU"/>
        </w:rPr>
        <w:t>tabletta 10</w:t>
      </w:r>
      <w:r w:rsidRPr="00D045B3">
        <w:rPr>
          <w:color w:val="000000"/>
          <w:szCs w:val="22"/>
          <w:lang w:val="hu-HU"/>
        </w:rPr>
        <w:t xml:space="preserve">0 mg imatinibet tartalmaz </w:t>
      </w:r>
      <w:r w:rsidRPr="00D045B3">
        <w:rPr>
          <w:color w:val="000000"/>
          <w:lang w:val="hu-HU"/>
        </w:rPr>
        <w:t>(mezilát formájában)</w:t>
      </w:r>
      <w:r w:rsidRPr="00D045B3">
        <w:rPr>
          <w:color w:val="000000"/>
          <w:szCs w:val="22"/>
          <w:lang w:val="hu-HU"/>
        </w:rPr>
        <w:t>.</w:t>
      </w:r>
    </w:p>
    <w:p w14:paraId="1E9282AA" w14:textId="77777777" w:rsidR="00D069FF" w:rsidRPr="00D045B3" w:rsidRDefault="00D069FF" w:rsidP="00E95370">
      <w:pPr>
        <w:pStyle w:val="WW-BodyText3"/>
        <w:numPr>
          <w:ilvl w:val="0"/>
          <w:numId w:val="11"/>
        </w:numPr>
        <w:tabs>
          <w:tab w:val="clear" w:pos="360"/>
          <w:tab w:val="num" w:pos="567"/>
        </w:tabs>
        <w:ind w:left="567" w:hanging="567"/>
        <w:rPr>
          <w:color w:val="000000"/>
          <w:sz w:val="22"/>
        </w:rPr>
      </w:pPr>
      <w:r w:rsidRPr="00D045B3">
        <w:rPr>
          <w:color w:val="000000"/>
          <w:sz w:val="22"/>
        </w:rPr>
        <w:t>Egyéb összetevők: mikrokristályos cellulóz, kopovidon, kroszpovidon, nátrium</w:t>
      </w:r>
      <w:r w:rsidRPr="00D045B3">
        <w:rPr>
          <w:color w:val="000000"/>
          <w:sz w:val="22"/>
        </w:rPr>
        <w:noBreakHyphen/>
        <w:t>sztearil</w:t>
      </w:r>
      <w:r w:rsidRPr="00D045B3">
        <w:rPr>
          <w:color w:val="000000"/>
          <w:sz w:val="22"/>
        </w:rPr>
        <w:noBreakHyphen/>
        <w:t>fumarát, (kolloid hidrofób és kolloid vízm</w:t>
      </w:r>
      <w:r w:rsidR="006A6FE8" w:rsidRPr="00D045B3">
        <w:rPr>
          <w:color w:val="000000"/>
          <w:sz w:val="22"/>
        </w:rPr>
        <w:t>e</w:t>
      </w:r>
      <w:r w:rsidRPr="00D045B3">
        <w:rPr>
          <w:color w:val="000000"/>
          <w:sz w:val="22"/>
        </w:rPr>
        <w:t>ntes) szilícium</w:t>
      </w:r>
      <w:r w:rsidRPr="00D045B3">
        <w:rPr>
          <w:color w:val="000000"/>
          <w:sz w:val="22"/>
        </w:rPr>
        <w:noBreakHyphen/>
        <w:t>dioxid</w:t>
      </w:r>
      <w:r w:rsidR="00ED5963" w:rsidRPr="00D045B3">
        <w:rPr>
          <w:color w:val="000000"/>
          <w:sz w:val="22"/>
        </w:rPr>
        <w:t>, részben hidrolizált polivinil</w:t>
      </w:r>
      <w:r w:rsidR="00ED5963" w:rsidRPr="00D045B3">
        <w:rPr>
          <w:color w:val="000000"/>
          <w:sz w:val="22"/>
        </w:rPr>
        <w:noBreakHyphen/>
        <w:t>alkohol, talkum, sárga vas</w:t>
      </w:r>
      <w:r w:rsidR="00ED5963" w:rsidRPr="00D045B3">
        <w:rPr>
          <w:color w:val="000000"/>
          <w:sz w:val="22"/>
        </w:rPr>
        <w:noBreakHyphen/>
        <w:t xml:space="preserve">oxid (E172), </w:t>
      </w:r>
      <w:r w:rsidRPr="00D045B3">
        <w:rPr>
          <w:color w:val="000000"/>
          <w:sz w:val="22"/>
        </w:rPr>
        <w:t>titán</w:t>
      </w:r>
      <w:r w:rsidRPr="00D045B3">
        <w:rPr>
          <w:color w:val="000000"/>
          <w:sz w:val="22"/>
        </w:rPr>
        <w:noBreakHyphen/>
        <w:t>dioxid (E171)</w:t>
      </w:r>
      <w:r w:rsidR="00ED5963" w:rsidRPr="00D045B3">
        <w:rPr>
          <w:color w:val="000000"/>
          <w:sz w:val="22"/>
        </w:rPr>
        <w:t>, vörös</w:t>
      </w:r>
      <w:r w:rsidRPr="00D045B3">
        <w:rPr>
          <w:color w:val="000000"/>
          <w:sz w:val="22"/>
        </w:rPr>
        <w:t xml:space="preserve"> vas</w:t>
      </w:r>
      <w:r w:rsidRPr="00D045B3">
        <w:rPr>
          <w:color w:val="000000"/>
          <w:sz w:val="22"/>
        </w:rPr>
        <w:noBreakHyphen/>
        <w:t xml:space="preserve">oxid (E172), </w:t>
      </w:r>
      <w:r w:rsidR="00ED5963" w:rsidRPr="00D045B3">
        <w:rPr>
          <w:color w:val="000000"/>
          <w:sz w:val="22"/>
        </w:rPr>
        <w:t>(szója) lecitin (E322), xantángumi (E415)</w:t>
      </w:r>
      <w:r w:rsidRPr="00D045B3">
        <w:rPr>
          <w:color w:val="000000"/>
          <w:sz w:val="22"/>
        </w:rPr>
        <w:t>.</w:t>
      </w:r>
    </w:p>
    <w:p w14:paraId="1E9282AB" w14:textId="77777777" w:rsidR="00D069FF" w:rsidRPr="00D045B3" w:rsidRDefault="00D069FF" w:rsidP="00D069FF">
      <w:pPr>
        <w:spacing w:line="240" w:lineRule="auto"/>
        <w:ind w:right="-2"/>
        <w:rPr>
          <w:color w:val="000000"/>
          <w:lang w:val="hu-HU"/>
        </w:rPr>
      </w:pPr>
    </w:p>
    <w:p w14:paraId="1E9282AC" w14:textId="77777777" w:rsidR="00D069FF" w:rsidRPr="00D045B3" w:rsidRDefault="00D069FF" w:rsidP="008A6837">
      <w:pPr>
        <w:keepNext/>
        <w:spacing w:line="240" w:lineRule="auto"/>
        <w:ind w:right="-2"/>
        <w:rPr>
          <w:color w:val="000000"/>
          <w:lang w:val="hu-HU"/>
        </w:rPr>
      </w:pPr>
      <w:r w:rsidRPr="00D045B3">
        <w:rPr>
          <w:b/>
          <w:color w:val="000000"/>
          <w:lang w:val="hu-HU"/>
        </w:rPr>
        <w:t>Milyen az Imatinib Actavis külleme és mit tartalmaz a csomagolás</w:t>
      </w:r>
      <w:r w:rsidR="00AB2A76" w:rsidRPr="00D045B3">
        <w:rPr>
          <w:b/>
          <w:color w:val="000000"/>
          <w:lang w:val="hu-HU"/>
        </w:rPr>
        <w:t>?</w:t>
      </w:r>
    </w:p>
    <w:p w14:paraId="1E9282AD" w14:textId="77777777" w:rsidR="00AF5A7D" w:rsidRPr="00D045B3" w:rsidRDefault="00AF5A7D" w:rsidP="00CA41FD">
      <w:pPr>
        <w:pStyle w:val="KeinLeerraum"/>
        <w:rPr>
          <w:rFonts w:ascii="Times New Roman" w:eastAsia="Times New Roman" w:hAnsi="Times New Roman"/>
        </w:rPr>
      </w:pPr>
      <w:r w:rsidRPr="00D045B3">
        <w:rPr>
          <w:rFonts w:ascii="Times New Roman" w:eastAsia="Times New Roman" w:hAnsi="Times New Roman"/>
        </w:rPr>
        <w:t>Kerek, mindkét oldalán domború, sárga vagy barnás színű filmtabletta [tabletta], egyik oldalán dombornyomással a cég logója, a másikon a „36” jelölés és bemetszés található.</w:t>
      </w:r>
    </w:p>
    <w:p w14:paraId="1E9282AE" w14:textId="77777777" w:rsidR="00D069FF" w:rsidRPr="00D045B3" w:rsidRDefault="00D069FF" w:rsidP="00D069FF">
      <w:pPr>
        <w:pStyle w:val="KeinLeerraum"/>
        <w:rPr>
          <w:rFonts w:ascii="Times New Roman" w:eastAsia="Times New Roman" w:hAnsi="Times New Roman"/>
        </w:rPr>
      </w:pPr>
    </w:p>
    <w:p w14:paraId="1E9282AF" w14:textId="77777777" w:rsidR="00D75E86" w:rsidRPr="00D045B3" w:rsidRDefault="00D75E86" w:rsidP="008A6837">
      <w:pPr>
        <w:keepNext/>
        <w:spacing w:line="240" w:lineRule="auto"/>
        <w:rPr>
          <w:i/>
          <w:lang w:val="hu-HU"/>
        </w:rPr>
      </w:pPr>
      <w:r w:rsidRPr="00D045B3">
        <w:rPr>
          <w:i/>
          <w:lang w:val="hu-HU"/>
        </w:rPr>
        <w:t>Kiszerelések:</w:t>
      </w:r>
    </w:p>
    <w:p w14:paraId="1E9282B0" w14:textId="77777777" w:rsidR="00D069FF" w:rsidRPr="00D045B3" w:rsidRDefault="00A65EE6" w:rsidP="00CA41FD">
      <w:pPr>
        <w:spacing w:line="240" w:lineRule="auto"/>
        <w:rPr>
          <w:lang w:val="hu-HU"/>
        </w:rPr>
      </w:pPr>
      <w:r w:rsidRPr="00D045B3">
        <w:rPr>
          <w:lang w:val="hu-HU"/>
        </w:rPr>
        <w:t xml:space="preserve">A tabletták </w:t>
      </w:r>
      <w:r w:rsidR="00AF5A7D" w:rsidRPr="00D045B3">
        <w:rPr>
          <w:lang w:val="hu-HU"/>
        </w:rPr>
        <w:t xml:space="preserve">10, 20, 30, 60, 90, 120 vagy 180 filmtablettát tartalmazó </w:t>
      </w:r>
      <w:r w:rsidRPr="00D045B3">
        <w:rPr>
          <w:lang w:val="hu-HU"/>
        </w:rPr>
        <w:t>alumínium buborék</w:t>
      </w:r>
      <w:r w:rsidR="00AF5A7D" w:rsidRPr="00D045B3">
        <w:rPr>
          <w:lang w:val="hu-HU"/>
        </w:rPr>
        <w:t>csomagolásban kerül</w:t>
      </w:r>
      <w:r w:rsidRPr="00D045B3">
        <w:rPr>
          <w:lang w:val="hu-HU"/>
        </w:rPr>
        <w:t>nek</w:t>
      </w:r>
      <w:r w:rsidR="00AF5A7D" w:rsidRPr="00D045B3">
        <w:rPr>
          <w:lang w:val="hu-HU"/>
        </w:rPr>
        <w:t xml:space="preserve"> forgalomba.</w:t>
      </w:r>
    </w:p>
    <w:p w14:paraId="1E9282B1" w14:textId="77777777" w:rsidR="00AF5A7D" w:rsidRPr="00D045B3" w:rsidRDefault="00AF5A7D" w:rsidP="00D069FF">
      <w:pPr>
        <w:spacing w:line="240" w:lineRule="auto"/>
        <w:ind w:right="-2"/>
        <w:rPr>
          <w:b/>
          <w:color w:val="000000"/>
          <w:lang w:val="hu-HU"/>
        </w:rPr>
      </w:pPr>
    </w:p>
    <w:p w14:paraId="1E9282B2" w14:textId="77777777" w:rsidR="00D069FF" w:rsidRPr="00D045B3" w:rsidRDefault="00D069FF" w:rsidP="00D069FF">
      <w:pPr>
        <w:pStyle w:val="KeinLeerraum"/>
        <w:rPr>
          <w:rFonts w:ascii="Times New Roman" w:hAnsi="Times New Roman"/>
        </w:rPr>
      </w:pPr>
      <w:r w:rsidRPr="00D045B3">
        <w:rPr>
          <w:rFonts w:ascii="Times New Roman" w:hAnsi="Times New Roman"/>
        </w:rPr>
        <w:t xml:space="preserve">Nem feltétlenül mindegyik kiszerelés kerül kereskedelmi forgalomba. </w:t>
      </w:r>
    </w:p>
    <w:p w14:paraId="1E9282B3" w14:textId="77777777" w:rsidR="00D069FF" w:rsidRPr="00D045B3" w:rsidRDefault="00D069FF" w:rsidP="00D069FF">
      <w:pPr>
        <w:spacing w:line="240" w:lineRule="auto"/>
        <w:ind w:right="-2"/>
        <w:rPr>
          <w:color w:val="000000"/>
          <w:lang w:val="hu-HU"/>
        </w:rPr>
      </w:pPr>
    </w:p>
    <w:p w14:paraId="1E9282B4" w14:textId="77777777" w:rsidR="00D069FF" w:rsidRPr="00D045B3" w:rsidRDefault="00D069FF" w:rsidP="008A6837">
      <w:pPr>
        <w:keepNext/>
        <w:spacing w:line="240" w:lineRule="auto"/>
        <w:ind w:right="-2"/>
        <w:rPr>
          <w:b/>
          <w:color w:val="000000"/>
          <w:lang w:val="hu-HU"/>
        </w:rPr>
      </w:pPr>
      <w:r w:rsidRPr="00D045B3">
        <w:rPr>
          <w:b/>
          <w:color w:val="000000"/>
          <w:lang w:val="hu-HU"/>
        </w:rPr>
        <w:t>A forgalomba hozatali engedély jogosultja</w:t>
      </w:r>
    </w:p>
    <w:p w14:paraId="1E9282B5" w14:textId="77777777" w:rsidR="00D069FF" w:rsidRPr="00D045B3" w:rsidRDefault="00D069FF" w:rsidP="00CA41FD">
      <w:pPr>
        <w:autoSpaceDE w:val="0"/>
        <w:autoSpaceDN w:val="0"/>
        <w:adjustRightInd w:val="0"/>
        <w:spacing w:line="240" w:lineRule="auto"/>
        <w:rPr>
          <w:lang w:val="hu-HU"/>
        </w:rPr>
      </w:pPr>
      <w:r w:rsidRPr="00D045B3">
        <w:rPr>
          <w:lang w:val="hu-HU"/>
        </w:rPr>
        <w:t>Actavis Group PTC ehf.</w:t>
      </w:r>
    </w:p>
    <w:p w14:paraId="1E9282B6" w14:textId="77777777" w:rsidR="00D069FF" w:rsidRPr="00D045B3" w:rsidRDefault="00D069FF" w:rsidP="00D069FF">
      <w:pPr>
        <w:autoSpaceDE w:val="0"/>
        <w:autoSpaceDN w:val="0"/>
        <w:adjustRightInd w:val="0"/>
        <w:spacing w:line="240" w:lineRule="auto"/>
        <w:rPr>
          <w:lang w:val="hu-HU"/>
        </w:rPr>
      </w:pPr>
      <w:r w:rsidRPr="00D045B3">
        <w:rPr>
          <w:lang w:val="hu-HU"/>
        </w:rPr>
        <w:t>Reykjavíkurvegur 76-78,</w:t>
      </w:r>
    </w:p>
    <w:p w14:paraId="1E9282B7" w14:textId="77777777" w:rsidR="00D069FF" w:rsidRPr="00D045B3" w:rsidRDefault="00D069FF" w:rsidP="00D069FF">
      <w:pPr>
        <w:autoSpaceDE w:val="0"/>
        <w:autoSpaceDN w:val="0"/>
        <w:adjustRightInd w:val="0"/>
        <w:spacing w:line="240" w:lineRule="auto"/>
        <w:rPr>
          <w:lang w:val="hu-HU"/>
        </w:rPr>
      </w:pPr>
      <w:r w:rsidRPr="00D045B3">
        <w:rPr>
          <w:lang w:val="hu-HU"/>
        </w:rPr>
        <w:t>Hafnarfjörður</w:t>
      </w:r>
    </w:p>
    <w:p w14:paraId="1E9282B8" w14:textId="77777777" w:rsidR="00D069FF" w:rsidRPr="00D045B3" w:rsidRDefault="00D069FF" w:rsidP="00D069FF">
      <w:pPr>
        <w:spacing w:line="240" w:lineRule="auto"/>
        <w:ind w:right="-2"/>
        <w:rPr>
          <w:color w:val="000000"/>
          <w:lang w:val="hu-HU"/>
        </w:rPr>
      </w:pPr>
      <w:r w:rsidRPr="00D045B3">
        <w:rPr>
          <w:lang w:val="hu-HU"/>
        </w:rPr>
        <w:t>Izland</w:t>
      </w:r>
    </w:p>
    <w:p w14:paraId="1E9282B9" w14:textId="77777777" w:rsidR="00D069FF" w:rsidRPr="00D045B3" w:rsidRDefault="00D069FF" w:rsidP="00D069FF">
      <w:pPr>
        <w:spacing w:line="240" w:lineRule="auto"/>
        <w:ind w:right="-2"/>
        <w:rPr>
          <w:b/>
          <w:color w:val="000000"/>
          <w:lang w:val="hu-HU"/>
        </w:rPr>
      </w:pPr>
    </w:p>
    <w:p w14:paraId="1E9282BA" w14:textId="77777777" w:rsidR="00D069FF" w:rsidRPr="00D045B3" w:rsidRDefault="00D069FF" w:rsidP="008A6837">
      <w:pPr>
        <w:keepNext/>
        <w:spacing w:line="240" w:lineRule="auto"/>
        <w:ind w:right="-2"/>
        <w:rPr>
          <w:b/>
          <w:color w:val="000000"/>
          <w:lang w:val="hu-HU"/>
        </w:rPr>
      </w:pPr>
      <w:r w:rsidRPr="00D045B3">
        <w:rPr>
          <w:b/>
          <w:color w:val="000000"/>
          <w:lang w:val="hu-HU"/>
        </w:rPr>
        <w:t>Gyártó</w:t>
      </w:r>
    </w:p>
    <w:p w14:paraId="1E9282BB" w14:textId="77777777" w:rsidR="00D069FF" w:rsidRPr="00D045B3" w:rsidRDefault="00D069FF" w:rsidP="00CA41FD">
      <w:pPr>
        <w:pStyle w:val="KeinLeerraum"/>
        <w:rPr>
          <w:rFonts w:ascii="Times New Roman" w:hAnsi="Times New Roman"/>
        </w:rPr>
      </w:pPr>
      <w:r w:rsidRPr="00D045B3">
        <w:rPr>
          <w:rFonts w:ascii="Times New Roman" w:hAnsi="Times New Roman"/>
        </w:rPr>
        <w:t>S.C. Sindan</w:t>
      </w:r>
      <w:r w:rsidRPr="00D045B3">
        <w:rPr>
          <w:rFonts w:ascii="Times New Roman" w:hAnsi="Times New Roman"/>
        </w:rPr>
        <w:noBreakHyphen/>
        <w:t>Pharma S.R.L.</w:t>
      </w:r>
    </w:p>
    <w:p w14:paraId="1E9282BC" w14:textId="77777777" w:rsidR="00D069FF" w:rsidRPr="00D045B3" w:rsidRDefault="00D069FF" w:rsidP="00D069FF">
      <w:pPr>
        <w:pStyle w:val="KeinLeerraum"/>
        <w:rPr>
          <w:rFonts w:ascii="Times New Roman" w:hAnsi="Times New Roman"/>
        </w:rPr>
      </w:pPr>
      <w:r w:rsidRPr="00D045B3">
        <w:rPr>
          <w:rFonts w:ascii="Times New Roman" w:hAnsi="Times New Roman"/>
        </w:rPr>
        <w:t>11 Ion Mihalache Blvd</w:t>
      </w:r>
    </w:p>
    <w:p w14:paraId="1E9282BD" w14:textId="77777777" w:rsidR="00D069FF" w:rsidRPr="00D045B3" w:rsidRDefault="00D069FF" w:rsidP="00D069FF">
      <w:pPr>
        <w:pStyle w:val="KeinLeerraum"/>
        <w:rPr>
          <w:rFonts w:ascii="Times New Roman" w:hAnsi="Times New Roman"/>
        </w:rPr>
      </w:pPr>
      <w:r w:rsidRPr="00D045B3">
        <w:rPr>
          <w:rFonts w:ascii="Times New Roman" w:hAnsi="Times New Roman"/>
        </w:rPr>
        <w:t>Bucharest</w:t>
      </w:r>
    </w:p>
    <w:p w14:paraId="1E9282BE" w14:textId="77777777" w:rsidR="00D069FF" w:rsidRPr="00D045B3" w:rsidRDefault="00D069FF" w:rsidP="00D069FF">
      <w:pPr>
        <w:pStyle w:val="KeinLeerraum"/>
        <w:rPr>
          <w:rFonts w:ascii="Times New Roman" w:hAnsi="Times New Roman"/>
        </w:rPr>
      </w:pPr>
      <w:r w:rsidRPr="00D045B3">
        <w:rPr>
          <w:rFonts w:ascii="Times New Roman" w:hAnsi="Times New Roman"/>
        </w:rPr>
        <w:t>Románia</w:t>
      </w:r>
    </w:p>
    <w:p w14:paraId="1E9282BF" w14:textId="77777777" w:rsidR="00D069FF" w:rsidRPr="00D045B3" w:rsidRDefault="00D069FF" w:rsidP="00D069FF">
      <w:pPr>
        <w:spacing w:line="240" w:lineRule="auto"/>
        <w:ind w:right="-2"/>
        <w:rPr>
          <w:color w:val="000000"/>
          <w:lang w:val="hu-HU"/>
        </w:rPr>
      </w:pPr>
    </w:p>
    <w:p w14:paraId="1E9282C0" w14:textId="77777777" w:rsidR="00D069FF" w:rsidRPr="00D045B3" w:rsidRDefault="00D069FF" w:rsidP="00D069FF">
      <w:pPr>
        <w:spacing w:line="240" w:lineRule="auto"/>
        <w:rPr>
          <w:color w:val="000000"/>
          <w:lang w:val="hu-HU"/>
        </w:rPr>
      </w:pPr>
      <w:r w:rsidRPr="00D045B3">
        <w:rPr>
          <w:color w:val="000000"/>
          <w:lang w:val="hu-HU"/>
        </w:rPr>
        <w:t>A készítményhez kapcsolódó további kérdéseivel forduljon a forgalomba hozatali engedély jogosultjának helyi képviseletéhez:</w:t>
      </w:r>
    </w:p>
    <w:p w14:paraId="7C2E9EAE" w14:textId="77777777" w:rsidR="001B4B6C" w:rsidRPr="00F67173" w:rsidRDefault="001B4B6C" w:rsidP="001B4B6C">
      <w:pPr>
        <w:autoSpaceDE w:val="0"/>
        <w:autoSpaceDN w:val="0"/>
        <w:adjustRightInd w:val="0"/>
        <w:spacing w:line="240" w:lineRule="auto"/>
        <w:rPr>
          <w:color w:val="000000" w:themeColor="text1"/>
          <w:szCs w:val="22"/>
          <w:lang w:val="hu-HU"/>
        </w:rPr>
      </w:pPr>
    </w:p>
    <w:tbl>
      <w:tblPr>
        <w:tblW w:w="9360" w:type="dxa"/>
        <w:tblInd w:w="-34" w:type="dxa"/>
        <w:tblLayout w:type="fixed"/>
        <w:tblLook w:val="04A0" w:firstRow="1" w:lastRow="0" w:firstColumn="1" w:lastColumn="0" w:noHBand="0" w:noVBand="1"/>
      </w:tblPr>
      <w:tblGrid>
        <w:gridCol w:w="34"/>
        <w:gridCol w:w="4646"/>
        <w:gridCol w:w="4680"/>
      </w:tblGrid>
      <w:tr w:rsidR="001B4B6C" w:rsidRPr="00D045B3" w14:paraId="371BD9B7" w14:textId="77777777" w:rsidTr="006B2245">
        <w:trPr>
          <w:gridBefore w:val="1"/>
          <w:wBefore w:w="34" w:type="dxa"/>
          <w:cantSplit/>
        </w:trPr>
        <w:tc>
          <w:tcPr>
            <w:tcW w:w="4644" w:type="dxa"/>
          </w:tcPr>
          <w:p w14:paraId="238A67C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België/Belgique/Belgien</w:t>
            </w:r>
          </w:p>
          <w:p w14:paraId="0FBD279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66A3EEC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IJsland/Islande/Island</w:t>
            </w:r>
          </w:p>
          <w:p w14:paraId="3A0CCB0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Tél/Tel: +354 5503300</w:t>
            </w:r>
          </w:p>
          <w:p w14:paraId="17D56087" w14:textId="77777777" w:rsidR="001B4B6C" w:rsidRPr="00D045B3" w:rsidRDefault="001B4B6C" w:rsidP="006B2245">
            <w:pPr>
              <w:pStyle w:val="KeinLeerraum"/>
              <w:rPr>
                <w:rFonts w:ascii="Times New Roman" w:hAnsi="Times New Roman"/>
                <w:color w:val="000000" w:themeColor="text1"/>
              </w:rPr>
            </w:pPr>
          </w:p>
        </w:tc>
        <w:tc>
          <w:tcPr>
            <w:tcW w:w="4678" w:type="dxa"/>
          </w:tcPr>
          <w:p w14:paraId="6FE4C91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Lietuva</w:t>
            </w:r>
          </w:p>
          <w:p w14:paraId="37049F4D" w14:textId="66B7E816" w:rsidR="001B4B6C" w:rsidRPr="00D045B3" w:rsidRDefault="001B4B6C" w:rsidP="006B2245">
            <w:pPr>
              <w:spacing w:line="240" w:lineRule="auto"/>
              <w:ind w:right="567"/>
              <w:rPr>
                <w:noProof/>
                <w:color w:val="000000" w:themeColor="text1"/>
                <w:szCs w:val="22"/>
                <w:lang w:val="hu-HU"/>
              </w:rPr>
            </w:pPr>
            <w:r w:rsidRPr="00D045B3">
              <w:rPr>
                <w:noProof/>
                <w:color w:val="000000" w:themeColor="text1"/>
                <w:szCs w:val="22"/>
                <w:lang w:val="hu-HU"/>
              </w:rPr>
              <w:t>UAB Teva Baltics</w:t>
            </w:r>
          </w:p>
          <w:p w14:paraId="47601C2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+370 5</w:t>
            </w:r>
            <w:r w:rsidRPr="00D045B3">
              <w:rPr>
                <w:rFonts w:ascii="Times New Roman" w:hAnsi="Times New Roman"/>
                <w:noProof/>
                <w:color w:val="000000" w:themeColor="text1"/>
              </w:rPr>
              <w:t>2660203</w:t>
            </w:r>
          </w:p>
          <w:p w14:paraId="4D259D99" w14:textId="77777777" w:rsidR="001B4B6C" w:rsidRPr="00D045B3" w:rsidRDefault="001B4B6C" w:rsidP="006B2245">
            <w:pPr>
              <w:pStyle w:val="KeinLeerraum"/>
              <w:rPr>
                <w:rFonts w:ascii="Times New Roman" w:hAnsi="Times New Roman"/>
                <w:color w:val="000000" w:themeColor="text1"/>
              </w:rPr>
            </w:pPr>
          </w:p>
        </w:tc>
      </w:tr>
      <w:tr w:rsidR="001B4B6C" w:rsidRPr="00D045B3" w14:paraId="522DB819" w14:textId="77777777" w:rsidTr="006B2245">
        <w:trPr>
          <w:gridBefore w:val="1"/>
          <w:wBefore w:w="34" w:type="dxa"/>
          <w:cantSplit/>
        </w:trPr>
        <w:tc>
          <w:tcPr>
            <w:tcW w:w="4644" w:type="dxa"/>
          </w:tcPr>
          <w:p w14:paraId="427C00DF" w14:textId="77777777" w:rsidR="001B4B6C" w:rsidRPr="00D045B3" w:rsidRDefault="001B4B6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България</w:t>
            </w:r>
          </w:p>
          <w:p w14:paraId="2A3A381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Актавис ЕАД</w:t>
            </w:r>
          </w:p>
          <w:p w14:paraId="168786D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Teл: +359 24899585</w:t>
            </w:r>
          </w:p>
          <w:p w14:paraId="684D3C9F" w14:textId="77777777" w:rsidR="001B4B6C" w:rsidRPr="00D045B3" w:rsidRDefault="001B4B6C" w:rsidP="006B2245">
            <w:pPr>
              <w:pStyle w:val="KeinLeerraum"/>
              <w:rPr>
                <w:rFonts w:ascii="Times New Roman" w:hAnsi="Times New Roman"/>
                <w:color w:val="000000" w:themeColor="text1"/>
              </w:rPr>
            </w:pPr>
          </w:p>
        </w:tc>
        <w:tc>
          <w:tcPr>
            <w:tcW w:w="4678" w:type="dxa"/>
          </w:tcPr>
          <w:p w14:paraId="761BA16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Luxembourg/Luxemburg</w:t>
            </w:r>
          </w:p>
          <w:p w14:paraId="1D0B35F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52215CC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Islande/Island</w:t>
            </w:r>
          </w:p>
          <w:p w14:paraId="64F2272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Tél/Tel: +354 5503300</w:t>
            </w:r>
          </w:p>
          <w:p w14:paraId="38D4AE41" w14:textId="77777777" w:rsidR="001B4B6C" w:rsidRPr="00D045B3" w:rsidRDefault="001B4B6C" w:rsidP="006B2245">
            <w:pPr>
              <w:pStyle w:val="KeinLeerraum"/>
              <w:rPr>
                <w:rFonts w:ascii="Times New Roman" w:hAnsi="Times New Roman"/>
                <w:color w:val="000000" w:themeColor="text1"/>
              </w:rPr>
            </w:pPr>
          </w:p>
        </w:tc>
      </w:tr>
      <w:tr w:rsidR="001B4B6C" w:rsidRPr="00D045B3" w14:paraId="1C2825CF" w14:textId="77777777" w:rsidTr="006B2245">
        <w:trPr>
          <w:gridBefore w:val="1"/>
          <w:wBefore w:w="34" w:type="dxa"/>
          <w:cantSplit/>
          <w:trHeight w:val="751"/>
        </w:trPr>
        <w:tc>
          <w:tcPr>
            <w:tcW w:w="4644" w:type="dxa"/>
          </w:tcPr>
          <w:p w14:paraId="3EFC71A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Česká republika</w:t>
            </w:r>
          </w:p>
          <w:p w14:paraId="75A19E1C" w14:textId="77777777" w:rsidR="001B4B6C" w:rsidRPr="00F67173" w:rsidRDefault="001B4B6C" w:rsidP="006B2245">
            <w:pPr>
              <w:tabs>
                <w:tab w:val="left" w:pos="-720"/>
              </w:tabs>
              <w:suppressAutoHyphens/>
              <w:spacing w:line="240" w:lineRule="auto"/>
              <w:ind w:right="567"/>
              <w:rPr>
                <w:noProof/>
                <w:color w:val="000000" w:themeColor="text1"/>
                <w:szCs w:val="22"/>
                <w:lang w:val="hu-HU"/>
              </w:rPr>
            </w:pPr>
            <w:r w:rsidRPr="00F67173">
              <w:rPr>
                <w:noProof/>
                <w:color w:val="000000" w:themeColor="text1"/>
                <w:szCs w:val="22"/>
                <w:lang w:val="hu-HU"/>
              </w:rPr>
              <w:t>Teva Pharmaceuticals CR, s.r.o.</w:t>
            </w:r>
          </w:p>
          <w:p w14:paraId="543B9514"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+420 251007111</w:t>
            </w:r>
          </w:p>
          <w:p w14:paraId="0CD2F251" w14:textId="77777777" w:rsidR="001B4B6C" w:rsidRPr="00D045B3" w:rsidRDefault="001B4B6C" w:rsidP="006B2245">
            <w:pPr>
              <w:pStyle w:val="KeinLeerraum"/>
              <w:rPr>
                <w:rFonts w:ascii="Times New Roman" w:hAnsi="Times New Roman"/>
                <w:color w:val="000000" w:themeColor="text1"/>
              </w:rPr>
            </w:pPr>
          </w:p>
        </w:tc>
        <w:tc>
          <w:tcPr>
            <w:tcW w:w="4678" w:type="dxa"/>
          </w:tcPr>
          <w:p w14:paraId="13A6BCEF"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Magyarország</w:t>
            </w:r>
          </w:p>
          <w:p w14:paraId="7EAAD67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Gyógyszergyár Zrt.</w:t>
            </w:r>
          </w:p>
          <w:p w14:paraId="7AF1A10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+36 1</w:t>
            </w:r>
            <w:r w:rsidRPr="00D045B3">
              <w:rPr>
                <w:rFonts w:ascii="Times New Roman" w:hAnsi="Times New Roman"/>
                <w:noProof/>
                <w:color w:val="000000" w:themeColor="text1"/>
              </w:rPr>
              <w:t>2886400</w:t>
            </w:r>
          </w:p>
          <w:p w14:paraId="22BBDD5E" w14:textId="77777777" w:rsidR="001B4B6C" w:rsidRPr="00D045B3" w:rsidRDefault="001B4B6C" w:rsidP="006B2245">
            <w:pPr>
              <w:pStyle w:val="KeinLeerraum"/>
              <w:rPr>
                <w:rFonts w:ascii="Times New Roman" w:hAnsi="Times New Roman"/>
                <w:color w:val="000000" w:themeColor="text1"/>
              </w:rPr>
            </w:pPr>
          </w:p>
        </w:tc>
      </w:tr>
      <w:tr w:rsidR="001B4B6C" w:rsidRPr="00D045B3" w14:paraId="18A4D4A9" w14:textId="77777777" w:rsidTr="006B2245">
        <w:trPr>
          <w:gridBefore w:val="1"/>
          <w:wBefore w:w="34" w:type="dxa"/>
          <w:cantSplit/>
        </w:trPr>
        <w:tc>
          <w:tcPr>
            <w:tcW w:w="4644" w:type="dxa"/>
          </w:tcPr>
          <w:p w14:paraId="4B3F34B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Danmark</w:t>
            </w:r>
          </w:p>
          <w:p w14:paraId="52D5308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Denmark A/S</w:t>
            </w:r>
          </w:p>
          <w:p w14:paraId="57B2CCA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Tlf: +45 44985511</w:t>
            </w:r>
          </w:p>
          <w:p w14:paraId="016141CA" w14:textId="77777777" w:rsidR="001B4B6C" w:rsidRPr="00D045B3" w:rsidRDefault="001B4B6C" w:rsidP="006B2245">
            <w:pPr>
              <w:pStyle w:val="KeinLeerraum"/>
              <w:rPr>
                <w:rFonts w:ascii="Times New Roman" w:hAnsi="Times New Roman"/>
                <w:color w:val="000000" w:themeColor="text1"/>
              </w:rPr>
            </w:pPr>
          </w:p>
        </w:tc>
        <w:tc>
          <w:tcPr>
            <w:tcW w:w="4678" w:type="dxa"/>
          </w:tcPr>
          <w:p w14:paraId="0B259B2F"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Malta</w:t>
            </w:r>
          </w:p>
          <w:p w14:paraId="3CBF016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Ltd.</w:t>
            </w:r>
          </w:p>
          <w:p w14:paraId="06A60C5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+356 21693533</w:t>
            </w:r>
          </w:p>
          <w:p w14:paraId="2B34837B" w14:textId="77777777" w:rsidR="001B4B6C" w:rsidRPr="00D045B3" w:rsidRDefault="001B4B6C" w:rsidP="006B2245">
            <w:pPr>
              <w:pStyle w:val="KeinLeerraum"/>
              <w:rPr>
                <w:rFonts w:ascii="Times New Roman" w:hAnsi="Times New Roman"/>
                <w:color w:val="000000" w:themeColor="text1"/>
              </w:rPr>
            </w:pPr>
          </w:p>
        </w:tc>
      </w:tr>
      <w:tr w:rsidR="001B4B6C" w:rsidRPr="00D045B3" w14:paraId="339A64B7" w14:textId="77777777" w:rsidTr="006B2245">
        <w:trPr>
          <w:gridBefore w:val="1"/>
          <w:wBefore w:w="34" w:type="dxa"/>
          <w:cantSplit/>
        </w:trPr>
        <w:tc>
          <w:tcPr>
            <w:tcW w:w="4644" w:type="dxa"/>
          </w:tcPr>
          <w:p w14:paraId="067F1C1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Deutschland</w:t>
            </w:r>
          </w:p>
          <w:p w14:paraId="556600F0" w14:textId="77777777" w:rsidR="001B4B6C" w:rsidRPr="00D045B3" w:rsidRDefault="001B4B6C" w:rsidP="006B2245">
            <w:pPr>
              <w:spacing w:line="240" w:lineRule="auto"/>
              <w:rPr>
                <w:color w:val="000000" w:themeColor="text1"/>
                <w:szCs w:val="22"/>
                <w:lang w:val="hu-HU"/>
              </w:rPr>
            </w:pPr>
            <w:r w:rsidRPr="00D045B3">
              <w:rPr>
                <w:color w:val="000000" w:themeColor="text1"/>
                <w:szCs w:val="22"/>
                <w:lang w:val="hu-HU"/>
              </w:rPr>
              <w:t>Actavis Group PTC ehf.</w:t>
            </w:r>
          </w:p>
          <w:p w14:paraId="453EDBD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w:t>
            </w:r>
          </w:p>
          <w:p w14:paraId="1783B89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334D66A0" w14:textId="77777777" w:rsidR="001B4B6C" w:rsidRPr="00D045B3" w:rsidRDefault="001B4B6C" w:rsidP="006B2245">
            <w:pPr>
              <w:pStyle w:val="KeinLeerraum"/>
              <w:rPr>
                <w:rFonts w:ascii="Times New Roman" w:hAnsi="Times New Roman"/>
                <w:color w:val="000000" w:themeColor="text1"/>
              </w:rPr>
            </w:pPr>
          </w:p>
        </w:tc>
        <w:tc>
          <w:tcPr>
            <w:tcW w:w="4678" w:type="dxa"/>
          </w:tcPr>
          <w:p w14:paraId="3B66E5F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Nederland</w:t>
            </w:r>
          </w:p>
          <w:p w14:paraId="758FEB8C"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2D4C3F04"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IJsland</w:t>
            </w:r>
          </w:p>
          <w:p w14:paraId="611A382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45E9C0E8" w14:textId="77777777" w:rsidR="001B4B6C" w:rsidRPr="00D045B3" w:rsidRDefault="001B4B6C" w:rsidP="006B2245">
            <w:pPr>
              <w:pStyle w:val="KeinLeerraum"/>
              <w:rPr>
                <w:rFonts w:ascii="Times New Roman" w:hAnsi="Times New Roman"/>
                <w:color w:val="000000" w:themeColor="text1"/>
              </w:rPr>
            </w:pPr>
          </w:p>
        </w:tc>
      </w:tr>
      <w:tr w:rsidR="001B4B6C" w:rsidRPr="00D045B3" w14:paraId="6583FBA6" w14:textId="77777777" w:rsidTr="006B2245">
        <w:trPr>
          <w:gridBefore w:val="1"/>
          <w:wBefore w:w="34" w:type="dxa"/>
          <w:cantSplit/>
        </w:trPr>
        <w:tc>
          <w:tcPr>
            <w:tcW w:w="4644" w:type="dxa"/>
          </w:tcPr>
          <w:p w14:paraId="4516918E" w14:textId="77777777" w:rsidR="001B4B6C" w:rsidRPr="00D045B3" w:rsidRDefault="001B4B6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Eesti</w:t>
            </w:r>
          </w:p>
          <w:p w14:paraId="0DDABC98" w14:textId="5AAE109E"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UAB Teva Baltics</w:t>
            </w:r>
            <w:r w:rsidRPr="00D045B3">
              <w:rPr>
                <w:rFonts w:ascii="Times New Roman" w:hAnsi="Times New Roman"/>
                <w:noProof/>
                <w:color w:val="000000" w:themeColor="text1"/>
              </w:rPr>
              <w:t xml:space="preserve"> Eesti filiaal</w:t>
            </w:r>
          </w:p>
          <w:p w14:paraId="1B81DC0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 xml:space="preserve">Tel: +372 </w:t>
            </w:r>
            <w:r w:rsidRPr="00D045B3">
              <w:rPr>
                <w:rFonts w:ascii="Times New Roman" w:hAnsi="Times New Roman"/>
                <w:noProof/>
                <w:color w:val="000000" w:themeColor="text1"/>
              </w:rPr>
              <w:t>6610801</w:t>
            </w:r>
          </w:p>
          <w:p w14:paraId="5FE3A77A" w14:textId="77777777" w:rsidR="001B4B6C" w:rsidRPr="00D045B3" w:rsidRDefault="001B4B6C" w:rsidP="006B2245">
            <w:pPr>
              <w:pStyle w:val="KeinLeerraum"/>
              <w:rPr>
                <w:rFonts w:ascii="Times New Roman" w:hAnsi="Times New Roman"/>
                <w:color w:val="000000" w:themeColor="text1"/>
              </w:rPr>
            </w:pPr>
          </w:p>
        </w:tc>
        <w:tc>
          <w:tcPr>
            <w:tcW w:w="4678" w:type="dxa"/>
          </w:tcPr>
          <w:p w14:paraId="3B9CDB7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Norge</w:t>
            </w:r>
          </w:p>
          <w:p w14:paraId="0B9C76DE"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Teva Norway AS</w:t>
            </w:r>
          </w:p>
          <w:p w14:paraId="0C88E82F"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Tlf: +47 66775590</w:t>
            </w:r>
          </w:p>
          <w:p w14:paraId="7B401C20" w14:textId="77777777" w:rsidR="001B4B6C" w:rsidRPr="00D045B3" w:rsidRDefault="001B4B6C" w:rsidP="006B2245">
            <w:pPr>
              <w:pStyle w:val="KeinLeerraum"/>
              <w:rPr>
                <w:rFonts w:ascii="Times New Roman" w:hAnsi="Times New Roman"/>
                <w:color w:val="000000" w:themeColor="text1"/>
              </w:rPr>
            </w:pPr>
          </w:p>
        </w:tc>
      </w:tr>
      <w:tr w:rsidR="001B4B6C" w:rsidRPr="00D045B3" w14:paraId="2F49801B" w14:textId="77777777" w:rsidTr="006B2245">
        <w:trPr>
          <w:gridBefore w:val="1"/>
          <w:wBefore w:w="34" w:type="dxa"/>
          <w:cantSplit/>
        </w:trPr>
        <w:tc>
          <w:tcPr>
            <w:tcW w:w="4644" w:type="dxa"/>
          </w:tcPr>
          <w:p w14:paraId="1359EB1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Ελλάδα</w:t>
            </w:r>
          </w:p>
          <w:p w14:paraId="7B9CBEBF" w14:textId="77777777" w:rsidR="001B4B6C" w:rsidRPr="00D045B3" w:rsidRDefault="001B4B6C" w:rsidP="006B2245">
            <w:pPr>
              <w:pStyle w:val="NormalParagraphStyle"/>
              <w:spacing w:line="240" w:lineRule="auto"/>
              <w:rPr>
                <w:rFonts w:ascii="Times New Roman" w:hAnsi="Times New Roman"/>
                <w:color w:val="000000" w:themeColor="text1"/>
                <w:sz w:val="22"/>
                <w:szCs w:val="22"/>
                <w:lang w:val="hu-HU"/>
              </w:rPr>
            </w:pPr>
            <w:r w:rsidRPr="00F67173">
              <w:rPr>
                <w:rFonts w:ascii="Times New Roman" w:hAnsi="Times New Roman"/>
                <w:color w:val="000000" w:themeColor="text1"/>
                <w:sz w:val="22"/>
                <w:szCs w:val="22"/>
                <w:lang w:val="hu-HU"/>
              </w:rPr>
              <w:t>Specifar A.B.E.E</w:t>
            </w:r>
            <w:r w:rsidRPr="00D045B3">
              <w:rPr>
                <w:rFonts w:ascii="Times New Roman" w:hAnsi="Times New Roman"/>
                <w:color w:val="000000" w:themeColor="text1"/>
                <w:sz w:val="22"/>
                <w:szCs w:val="22"/>
                <w:lang w:val="hu-HU"/>
              </w:rPr>
              <w:t>.</w:t>
            </w:r>
          </w:p>
          <w:p w14:paraId="474EAD15" w14:textId="62C06985"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3052D6AC" w14:textId="77777777" w:rsidR="001B4B6C" w:rsidRPr="00D045B3" w:rsidRDefault="001B4B6C" w:rsidP="006B2245">
            <w:pPr>
              <w:pStyle w:val="KeinLeerraum"/>
              <w:rPr>
                <w:rFonts w:ascii="Times New Roman" w:hAnsi="Times New Roman"/>
                <w:color w:val="000000" w:themeColor="text1"/>
              </w:rPr>
            </w:pPr>
          </w:p>
        </w:tc>
        <w:tc>
          <w:tcPr>
            <w:tcW w:w="4678" w:type="dxa"/>
          </w:tcPr>
          <w:p w14:paraId="7502485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Österreich</w:t>
            </w:r>
          </w:p>
          <w:p w14:paraId="739F2DB7" w14:textId="77777777" w:rsidR="001B4B6C" w:rsidRPr="00D045B3" w:rsidRDefault="001B4B6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ratiopharm Arzneimittel Vertriebs-GmbH</w:t>
            </w:r>
          </w:p>
          <w:p w14:paraId="3CA9B127" w14:textId="77777777" w:rsidR="001B4B6C" w:rsidRPr="00D045B3" w:rsidRDefault="001B4B6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Tel: +43 1970070</w:t>
            </w:r>
          </w:p>
          <w:p w14:paraId="54FDFFC1" w14:textId="77777777" w:rsidR="001B4B6C" w:rsidRPr="00D045B3" w:rsidRDefault="001B4B6C" w:rsidP="006B2245">
            <w:pPr>
              <w:pStyle w:val="KeinLeerraum"/>
              <w:rPr>
                <w:rFonts w:ascii="Times New Roman" w:hAnsi="Times New Roman"/>
                <w:color w:val="000000" w:themeColor="text1"/>
              </w:rPr>
            </w:pPr>
          </w:p>
        </w:tc>
      </w:tr>
      <w:tr w:rsidR="001B4B6C" w:rsidRPr="00D045B3" w14:paraId="6C7FCBB3" w14:textId="77777777" w:rsidTr="006B2245">
        <w:trPr>
          <w:cantSplit/>
        </w:trPr>
        <w:tc>
          <w:tcPr>
            <w:tcW w:w="4678" w:type="dxa"/>
            <w:gridSpan w:val="2"/>
          </w:tcPr>
          <w:p w14:paraId="31C4625A"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España</w:t>
            </w:r>
          </w:p>
          <w:p w14:paraId="55FDE8AA"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08D3B706"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Islandia</w:t>
            </w:r>
          </w:p>
          <w:p w14:paraId="3D211EE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3AAC10FC" w14:textId="77777777" w:rsidR="001B4B6C" w:rsidRPr="00D045B3" w:rsidRDefault="001B4B6C" w:rsidP="006B2245">
            <w:pPr>
              <w:pStyle w:val="KeinLeerraum"/>
              <w:rPr>
                <w:rFonts w:ascii="Times New Roman" w:hAnsi="Times New Roman"/>
                <w:color w:val="000000" w:themeColor="text1"/>
              </w:rPr>
            </w:pPr>
          </w:p>
        </w:tc>
        <w:tc>
          <w:tcPr>
            <w:tcW w:w="4678" w:type="dxa"/>
          </w:tcPr>
          <w:p w14:paraId="761477CC" w14:textId="77777777" w:rsidR="001B4B6C" w:rsidRPr="00D045B3" w:rsidRDefault="001B4B6C" w:rsidP="006B2245">
            <w:pPr>
              <w:pStyle w:val="KeinLeerraum"/>
              <w:rPr>
                <w:rFonts w:ascii="Times New Roman" w:hAnsi="Times New Roman"/>
                <w:b/>
                <w:bCs/>
                <w:i/>
                <w:iCs/>
                <w:color w:val="000000" w:themeColor="text1"/>
              </w:rPr>
            </w:pPr>
            <w:r w:rsidRPr="00D045B3">
              <w:rPr>
                <w:rFonts w:ascii="Times New Roman" w:hAnsi="Times New Roman"/>
                <w:b/>
                <w:color w:val="000000" w:themeColor="text1"/>
              </w:rPr>
              <w:t>Polska</w:t>
            </w:r>
          </w:p>
          <w:p w14:paraId="0A44CEAA" w14:textId="77777777" w:rsidR="001B4B6C" w:rsidRPr="00D045B3" w:rsidRDefault="001B4B6C" w:rsidP="006B2245">
            <w:pPr>
              <w:spacing w:line="240" w:lineRule="auto"/>
              <w:rPr>
                <w:color w:val="000000" w:themeColor="text1"/>
                <w:szCs w:val="22"/>
                <w:lang w:val="hu-HU"/>
              </w:rPr>
            </w:pPr>
            <w:r w:rsidRPr="00D045B3">
              <w:rPr>
                <w:color w:val="000000" w:themeColor="text1"/>
                <w:szCs w:val="22"/>
                <w:lang w:val="hu-HU"/>
              </w:rPr>
              <w:t>Teva Pharmaceuticals Polska Sp. z o.o.</w:t>
            </w:r>
          </w:p>
          <w:p w14:paraId="0CB9057C" w14:textId="77777777" w:rsidR="001B4B6C" w:rsidRPr="00D045B3" w:rsidRDefault="001B4B6C" w:rsidP="006B2245">
            <w:pPr>
              <w:numPr>
                <w:ilvl w:val="12"/>
                <w:numId w:val="0"/>
              </w:numPr>
              <w:spacing w:line="240" w:lineRule="auto"/>
              <w:rPr>
                <w:color w:val="000000" w:themeColor="text1"/>
                <w:szCs w:val="22"/>
                <w:lang w:val="hu-HU" w:eastAsia="is-IS"/>
              </w:rPr>
            </w:pPr>
            <w:r w:rsidRPr="00D045B3">
              <w:rPr>
                <w:color w:val="000000" w:themeColor="text1"/>
                <w:szCs w:val="22"/>
                <w:lang w:val="hu-HU"/>
              </w:rPr>
              <w:t>Tel: +48 223459300</w:t>
            </w:r>
          </w:p>
          <w:p w14:paraId="31142297" w14:textId="77777777" w:rsidR="001B4B6C" w:rsidRPr="00D045B3" w:rsidRDefault="001B4B6C" w:rsidP="006B2245">
            <w:pPr>
              <w:pStyle w:val="KeinLeerraum"/>
              <w:rPr>
                <w:rFonts w:ascii="Times New Roman" w:hAnsi="Times New Roman"/>
                <w:color w:val="000000" w:themeColor="text1"/>
              </w:rPr>
            </w:pPr>
          </w:p>
        </w:tc>
      </w:tr>
      <w:tr w:rsidR="001B4B6C" w:rsidRPr="00D045B3" w14:paraId="0DB76ECE" w14:textId="77777777" w:rsidTr="006B2245">
        <w:trPr>
          <w:cantSplit/>
        </w:trPr>
        <w:tc>
          <w:tcPr>
            <w:tcW w:w="4678" w:type="dxa"/>
            <w:gridSpan w:val="2"/>
          </w:tcPr>
          <w:p w14:paraId="7DB691DA"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France</w:t>
            </w:r>
          </w:p>
          <w:p w14:paraId="600653C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6DC7DAD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Islande</w:t>
            </w:r>
          </w:p>
          <w:p w14:paraId="27227D9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lang w:eastAsia="en-GB"/>
              </w:rPr>
              <w:t>Tél</w:t>
            </w:r>
            <w:r w:rsidRPr="00D045B3">
              <w:rPr>
                <w:rFonts w:ascii="Times New Roman" w:hAnsi="Times New Roman"/>
                <w:noProof/>
                <w:color w:val="000000" w:themeColor="text1"/>
              </w:rPr>
              <w:t>:</w:t>
            </w:r>
            <w:r w:rsidRPr="00D045B3">
              <w:rPr>
                <w:rFonts w:ascii="Times New Roman" w:hAnsi="Times New Roman"/>
                <w:color w:val="000000" w:themeColor="text1"/>
              </w:rPr>
              <w:t xml:space="preserve"> +354 5503300</w:t>
            </w:r>
          </w:p>
          <w:p w14:paraId="7139A2E9" w14:textId="77777777" w:rsidR="001B4B6C" w:rsidRPr="00D045B3" w:rsidRDefault="001B4B6C" w:rsidP="006B2245">
            <w:pPr>
              <w:pStyle w:val="KeinLeerraum"/>
              <w:rPr>
                <w:rFonts w:ascii="Times New Roman" w:hAnsi="Times New Roman"/>
                <w:b/>
                <w:color w:val="000000" w:themeColor="text1"/>
              </w:rPr>
            </w:pPr>
          </w:p>
        </w:tc>
        <w:tc>
          <w:tcPr>
            <w:tcW w:w="4678" w:type="dxa"/>
          </w:tcPr>
          <w:p w14:paraId="4B2BAB4C"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Portugal</w:t>
            </w:r>
          </w:p>
          <w:p w14:paraId="6557569A"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62A2438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Islândia</w:t>
            </w:r>
          </w:p>
          <w:p w14:paraId="0605C6B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26A47208" w14:textId="77777777" w:rsidR="001B4B6C" w:rsidRPr="00D045B3" w:rsidRDefault="001B4B6C" w:rsidP="006B2245">
            <w:pPr>
              <w:pStyle w:val="KeinLeerraum"/>
              <w:rPr>
                <w:rFonts w:ascii="Times New Roman" w:hAnsi="Times New Roman"/>
                <w:color w:val="000000" w:themeColor="text1"/>
              </w:rPr>
            </w:pPr>
          </w:p>
        </w:tc>
      </w:tr>
      <w:tr w:rsidR="001B4B6C" w:rsidRPr="00D045B3" w14:paraId="26A7248D" w14:textId="77777777" w:rsidTr="006B2245">
        <w:trPr>
          <w:cantSplit/>
        </w:trPr>
        <w:tc>
          <w:tcPr>
            <w:tcW w:w="4678" w:type="dxa"/>
            <w:gridSpan w:val="2"/>
          </w:tcPr>
          <w:p w14:paraId="51229CC4" w14:textId="77777777" w:rsidR="001B4B6C" w:rsidRPr="00D045B3" w:rsidRDefault="001B4B6C" w:rsidP="006B2245">
            <w:pPr>
              <w:tabs>
                <w:tab w:val="left" w:pos="-720"/>
                <w:tab w:val="left" w:pos="4536"/>
              </w:tabs>
              <w:suppressAutoHyphens/>
              <w:spacing w:line="240" w:lineRule="auto"/>
              <w:ind w:right="567"/>
              <w:rPr>
                <w:b/>
                <w:noProof/>
                <w:color w:val="000000" w:themeColor="text1"/>
                <w:szCs w:val="22"/>
                <w:lang w:val="hu-HU" w:eastAsia="en-US"/>
              </w:rPr>
            </w:pPr>
            <w:r w:rsidRPr="00D045B3">
              <w:rPr>
                <w:color w:val="000000" w:themeColor="text1"/>
                <w:szCs w:val="22"/>
                <w:lang w:val="hu-HU"/>
              </w:rPr>
              <w:br w:type="page"/>
            </w:r>
            <w:r w:rsidRPr="00D045B3">
              <w:rPr>
                <w:b/>
                <w:noProof/>
                <w:color w:val="000000" w:themeColor="text1"/>
                <w:szCs w:val="22"/>
                <w:lang w:val="hu-HU"/>
              </w:rPr>
              <w:t>Hrvatska</w:t>
            </w:r>
          </w:p>
          <w:p w14:paraId="37E4F36E" w14:textId="77777777" w:rsidR="001B4B6C" w:rsidRPr="00D045B3" w:rsidRDefault="001B4B6C" w:rsidP="006B2245">
            <w:pPr>
              <w:tabs>
                <w:tab w:val="left" w:pos="-720"/>
                <w:tab w:val="left" w:pos="4536"/>
              </w:tabs>
              <w:suppressAutoHyphens/>
              <w:spacing w:line="240" w:lineRule="auto"/>
              <w:ind w:right="567"/>
              <w:rPr>
                <w:color w:val="000000" w:themeColor="text1"/>
                <w:szCs w:val="22"/>
                <w:lang w:val="hu-HU"/>
              </w:rPr>
            </w:pPr>
            <w:r w:rsidRPr="00D045B3">
              <w:rPr>
                <w:color w:val="000000" w:themeColor="text1"/>
                <w:szCs w:val="22"/>
                <w:lang w:val="hu-HU"/>
              </w:rPr>
              <w:t>Pliva Hrvatska d.o.o.</w:t>
            </w:r>
          </w:p>
          <w:p w14:paraId="655B8FD6"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+385 13720000</w:t>
            </w:r>
          </w:p>
          <w:p w14:paraId="04A9EC86" w14:textId="77777777" w:rsidR="001B4B6C" w:rsidRPr="00D045B3" w:rsidRDefault="001B4B6C" w:rsidP="006B2245">
            <w:pPr>
              <w:pStyle w:val="KeinLeerraum"/>
              <w:rPr>
                <w:rFonts w:ascii="Times New Roman" w:hAnsi="Times New Roman"/>
                <w:color w:val="000000" w:themeColor="text1"/>
              </w:rPr>
            </w:pPr>
          </w:p>
        </w:tc>
        <w:tc>
          <w:tcPr>
            <w:tcW w:w="4678" w:type="dxa"/>
          </w:tcPr>
          <w:p w14:paraId="05E373C0"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România</w:t>
            </w:r>
          </w:p>
          <w:p w14:paraId="01DC408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S.R.L.</w:t>
            </w:r>
          </w:p>
          <w:p w14:paraId="79A4423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w:t>
            </w:r>
            <w:r w:rsidRPr="00D045B3">
              <w:rPr>
                <w:rFonts w:ascii="Times New Roman" w:hAnsi="Times New Roman"/>
                <w:noProof/>
                <w:color w:val="000000" w:themeColor="text1"/>
              </w:rPr>
              <w:t>40 212306524</w:t>
            </w:r>
          </w:p>
          <w:p w14:paraId="2D8D73FB" w14:textId="77777777" w:rsidR="001B4B6C" w:rsidRPr="00D045B3" w:rsidRDefault="001B4B6C" w:rsidP="006B2245">
            <w:pPr>
              <w:pStyle w:val="KeinLeerraum"/>
              <w:rPr>
                <w:rFonts w:ascii="Times New Roman" w:hAnsi="Times New Roman"/>
                <w:color w:val="000000" w:themeColor="text1"/>
              </w:rPr>
            </w:pPr>
          </w:p>
        </w:tc>
      </w:tr>
      <w:tr w:rsidR="001B4B6C" w:rsidRPr="00D045B3" w14:paraId="2C191637" w14:textId="77777777" w:rsidTr="006B2245">
        <w:trPr>
          <w:cantSplit/>
        </w:trPr>
        <w:tc>
          <w:tcPr>
            <w:tcW w:w="4678" w:type="dxa"/>
            <w:gridSpan w:val="2"/>
          </w:tcPr>
          <w:p w14:paraId="7531E9D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Ireland</w:t>
            </w:r>
          </w:p>
          <w:p w14:paraId="16E40AC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Ireland</w:t>
            </w:r>
          </w:p>
          <w:p w14:paraId="457D9CDA" w14:textId="41E1021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+353 19127700</w:t>
            </w:r>
          </w:p>
          <w:p w14:paraId="7EF73201" w14:textId="77777777" w:rsidR="001B4B6C" w:rsidRPr="00D045B3" w:rsidRDefault="001B4B6C" w:rsidP="006B2245">
            <w:pPr>
              <w:pStyle w:val="KeinLeerraum"/>
              <w:rPr>
                <w:rFonts w:ascii="Times New Roman" w:hAnsi="Times New Roman"/>
                <w:color w:val="000000" w:themeColor="text1"/>
              </w:rPr>
            </w:pPr>
          </w:p>
        </w:tc>
        <w:tc>
          <w:tcPr>
            <w:tcW w:w="4678" w:type="dxa"/>
          </w:tcPr>
          <w:p w14:paraId="6C465642"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Slovenija</w:t>
            </w:r>
          </w:p>
          <w:p w14:paraId="6168129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Pliva Ljubljana d.o.o.</w:t>
            </w:r>
          </w:p>
          <w:p w14:paraId="709E2B5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+386 15890390</w:t>
            </w:r>
          </w:p>
          <w:p w14:paraId="7EF22F9A" w14:textId="77777777" w:rsidR="001B4B6C" w:rsidRPr="00D045B3" w:rsidRDefault="001B4B6C" w:rsidP="006B2245">
            <w:pPr>
              <w:pStyle w:val="KeinLeerraum"/>
              <w:rPr>
                <w:rFonts w:ascii="Times New Roman" w:hAnsi="Times New Roman"/>
                <w:b/>
                <w:color w:val="000000" w:themeColor="text1"/>
              </w:rPr>
            </w:pPr>
          </w:p>
        </w:tc>
      </w:tr>
      <w:tr w:rsidR="001B4B6C" w:rsidRPr="00D045B3" w14:paraId="1A65B4CA" w14:textId="77777777" w:rsidTr="006B2245">
        <w:trPr>
          <w:cantSplit/>
        </w:trPr>
        <w:tc>
          <w:tcPr>
            <w:tcW w:w="4678" w:type="dxa"/>
            <w:gridSpan w:val="2"/>
          </w:tcPr>
          <w:p w14:paraId="59760BC7"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Ísland</w:t>
            </w:r>
          </w:p>
          <w:p w14:paraId="20AEBC4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6A7A4B6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Sími: +354 5503300</w:t>
            </w:r>
          </w:p>
          <w:p w14:paraId="70ABBD87" w14:textId="77777777" w:rsidR="001B4B6C" w:rsidRPr="00D045B3" w:rsidRDefault="001B4B6C" w:rsidP="006B2245">
            <w:pPr>
              <w:pStyle w:val="KeinLeerraum"/>
              <w:rPr>
                <w:rFonts w:ascii="Times New Roman" w:hAnsi="Times New Roman"/>
                <w:b/>
                <w:color w:val="000000" w:themeColor="text1"/>
              </w:rPr>
            </w:pPr>
          </w:p>
        </w:tc>
        <w:tc>
          <w:tcPr>
            <w:tcW w:w="4678" w:type="dxa"/>
          </w:tcPr>
          <w:p w14:paraId="0792E1B4"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Slovenská republika</w:t>
            </w:r>
          </w:p>
          <w:p w14:paraId="28E95B0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Pharmaceuticals Slovakia s.r.o.</w:t>
            </w:r>
          </w:p>
          <w:p w14:paraId="1B5614E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+421 2</w:t>
            </w:r>
            <w:r w:rsidRPr="00D045B3">
              <w:rPr>
                <w:rFonts w:ascii="Times New Roman" w:hAnsi="Times New Roman"/>
                <w:noProof/>
                <w:color w:val="000000" w:themeColor="text1"/>
              </w:rPr>
              <w:t>57267911</w:t>
            </w:r>
          </w:p>
          <w:p w14:paraId="506DABD4" w14:textId="77777777" w:rsidR="001B4B6C" w:rsidRPr="00D045B3" w:rsidRDefault="001B4B6C" w:rsidP="006B2245">
            <w:pPr>
              <w:pStyle w:val="KeinLeerraum"/>
              <w:rPr>
                <w:rFonts w:ascii="Times New Roman" w:hAnsi="Times New Roman"/>
                <w:color w:val="000000" w:themeColor="text1"/>
              </w:rPr>
            </w:pPr>
          </w:p>
        </w:tc>
      </w:tr>
      <w:tr w:rsidR="001B4B6C" w:rsidRPr="00D045B3" w14:paraId="01B90947" w14:textId="77777777" w:rsidTr="006B2245">
        <w:trPr>
          <w:cantSplit/>
        </w:trPr>
        <w:tc>
          <w:tcPr>
            <w:tcW w:w="4678" w:type="dxa"/>
            <w:gridSpan w:val="2"/>
          </w:tcPr>
          <w:p w14:paraId="4AD57BE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Italia</w:t>
            </w:r>
          </w:p>
          <w:p w14:paraId="7AFE400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06EC205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Islanda</w:t>
            </w:r>
          </w:p>
          <w:p w14:paraId="2BA19FE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7280CCF0" w14:textId="77777777" w:rsidR="001B4B6C" w:rsidRPr="00D045B3" w:rsidRDefault="001B4B6C" w:rsidP="006B2245">
            <w:pPr>
              <w:pStyle w:val="KeinLeerraum"/>
              <w:rPr>
                <w:rFonts w:ascii="Times New Roman" w:hAnsi="Times New Roman"/>
                <w:b/>
                <w:color w:val="000000" w:themeColor="text1"/>
              </w:rPr>
            </w:pPr>
          </w:p>
        </w:tc>
        <w:tc>
          <w:tcPr>
            <w:tcW w:w="4678" w:type="dxa"/>
          </w:tcPr>
          <w:p w14:paraId="524319D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Suomi/Finland</w:t>
            </w:r>
          </w:p>
          <w:p w14:paraId="7342E9F3" w14:textId="701A0944"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Finland Oy</w:t>
            </w:r>
          </w:p>
          <w:p w14:paraId="69160CD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Puh/Tel: +358 201805900</w:t>
            </w:r>
          </w:p>
          <w:p w14:paraId="0DF817E3" w14:textId="77777777" w:rsidR="001B4B6C" w:rsidRPr="00D045B3" w:rsidRDefault="001B4B6C" w:rsidP="006B2245">
            <w:pPr>
              <w:pStyle w:val="KeinLeerraum"/>
              <w:rPr>
                <w:rFonts w:ascii="Times New Roman" w:hAnsi="Times New Roman"/>
                <w:b/>
                <w:color w:val="000000" w:themeColor="text1"/>
              </w:rPr>
            </w:pPr>
          </w:p>
        </w:tc>
      </w:tr>
      <w:tr w:rsidR="001B4B6C" w:rsidRPr="00D045B3" w14:paraId="078B584A" w14:textId="77777777" w:rsidTr="006B2245">
        <w:trPr>
          <w:cantSplit/>
        </w:trPr>
        <w:tc>
          <w:tcPr>
            <w:tcW w:w="4678" w:type="dxa"/>
            <w:gridSpan w:val="2"/>
          </w:tcPr>
          <w:p w14:paraId="32A5A9E8" w14:textId="77777777" w:rsidR="001B4B6C" w:rsidRPr="00D045B3" w:rsidRDefault="001B4B6C" w:rsidP="006B2245">
            <w:pPr>
              <w:pStyle w:val="KeinLeerraum"/>
              <w:rPr>
                <w:rFonts w:ascii="Times New Roman" w:hAnsi="Times New Roman"/>
                <w:b/>
                <w:color w:val="000000" w:themeColor="text1"/>
              </w:rPr>
            </w:pPr>
            <w:r w:rsidRPr="00F67173">
              <w:rPr>
                <w:rFonts w:ascii="Times New Roman" w:hAnsi="Times New Roman"/>
                <w:b/>
                <w:color w:val="000000" w:themeColor="text1"/>
              </w:rPr>
              <w:t>Κύπρος</w:t>
            </w:r>
          </w:p>
          <w:p w14:paraId="1873FD3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Specifar A.B.E.E.</w:t>
            </w:r>
          </w:p>
          <w:p w14:paraId="34C58F2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Ελλάδα</w:t>
            </w:r>
          </w:p>
          <w:p w14:paraId="1A11AE27" w14:textId="31E25889"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3352BF9F" w14:textId="77777777" w:rsidR="001B4B6C" w:rsidRPr="00D045B3" w:rsidRDefault="001B4B6C" w:rsidP="006B2245">
            <w:pPr>
              <w:pStyle w:val="KeinLeerraum"/>
              <w:rPr>
                <w:rFonts w:ascii="Times New Roman" w:hAnsi="Times New Roman"/>
                <w:color w:val="000000" w:themeColor="text1"/>
              </w:rPr>
            </w:pPr>
          </w:p>
        </w:tc>
        <w:tc>
          <w:tcPr>
            <w:tcW w:w="4678" w:type="dxa"/>
          </w:tcPr>
          <w:p w14:paraId="088E0C1C"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Sverige</w:t>
            </w:r>
          </w:p>
          <w:p w14:paraId="4C733D6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Sweden AB</w:t>
            </w:r>
          </w:p>
          <w:p w14:paraId="7C06765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+46 42121100</w:t>
            </w:r>
          </w:p>
          <w:p w14:paraId="1EF71272" w14:textId="77777777" w:rsidR="001B4B6C" w:rsidRPr="00D045B3" w:rsidRDefault="001B4B6C" w:rsidP="006B2245">
            <w:pPr>
              <w:pStyle w:val="KeinLeerraum"/>
              <w:rPr>
                <w:rFonts w:ascii="Times New Roman" w:hAnsi="Times New Roman"/>
                <w:color w:val="000000" w:themeColor="text1"/>
              </w:rPr>
            </w:pPr>
          </w:p>
        </w:tc>
      </w:tr>
      <w:tr w:rsidR="001B4B6C" w:rsidRPr="00D045B3" w14:paraId="2AFAB03C" w14:textId="77777777" w:rsidTr="006B2245">
        <w:trPr>
          <w:cantSplit/>
        </w:trPr>
        <w:tc>
          <w:tcPr>
            <w:tcW w:w="4678" w:type="dxa"/>
            <w:gridSpan w:val="2"/>
          </w:tcPr>
          <w:p w14:paraId="07C6BD31" w14:textId="77777777" w:rsidR="001B4B6C" w:rsidRPr="00D045B3" w:rsidRDefault="001B4B6C" w:rsidP="006B2245">
            <w:pPr>
              <w:pStyle w:val="KeinLeerraum"/>
              <w:rPr>
                <w:rFonts w:ascii="Times New Roman" w:hAnsi="Times New Roman"/>
                <w:b/>
                <w:bCs/>
                <w:color w:val="000000" w:themeColor="text1"/>
                <w:lang w:eastAsia="en-GB"/>
              </w:rPr>
            </w:pPr>
            <w:r w:rsidRPr="00D045B3">
              <w:rPr>
                <w:rFonts w:ascii="Times New Roman" w:hAnsi="Times New Roman"/>
                <w:b/>
                <w:bCs/>
                <w:color w:val="000000" w:themeColor="text1"/>
                <w:lang w:eastAsia="en-GB"/>
              </w:rPr>
              <w:t>Latvija</w:t>
            </w:r>
          </w:p>
          <w:p w14:paraId="6E54BE04" w14:textId="536B49B9" w:rsidR="001B4B6C" w:rsidRPr="00D045B3" w:rsidRDefault="001B4B6C" w:rsidP="006B2245">
            <w:pPr>
              <w:spacing w:line="240" w:lineRule="auto"/>
              <w:rPr>
                <w:color w:val="000000" w:themeColor="text1"/>
                <w:szCs w:val="22"/>
                <w:lang w:val="hu-HU" w:eastAsia="en-GB"/>
              </w:rPr>
            </w:pPr>
            <w:r w:rsidRPr="00D045B3">
              <w:rPr>
                <w:color w:val="000000" w:themeColor="text1"/>
                <w:szCs w:val="22"/>
                <w:lang w:val="hu-HU" w:eastAsia="en-GB"/>
              </w:rPr>
              <w:t>UAB Teva Baltics filiāle Latvijā</w:t>
            </w:r>
          </w:p>
          <w:p w14:paraId="440A88A7" w14:textId="77777777" w:rsidR="001B4B6C" w:rsidRPr="00D045B3" w:rsidRDefault="001B4B6C" w:rsidP="006B2245">
            <w:pPr>
              <w:pStyle w:val="KeinLeerraum"/>
              <w:rPr>
                <w:rFonts w:ascii="Times New Roman" w:hAnsi="Times New Roman"/>
                <w:color w:val="000000" w:themeColor="text1"/>
                <w:lang w:eastAsia="en-GB"/>
              </w:rPr>
            </w:pPr>
            <w:r w:rsidRPr="00D045B3">
              <w:rPr>
                <w:rFonts w:ascii="Times New Roman" w:hAnsi="Times New Roman"/>
                <w:color w:val="000000" w:themeColor="text1"/>
                <w:lang w:eastAsia="en-GB"/>
              </w:rPr>
              <w:t>Tel: +371 67323666</w:t>
            </w:r>
          </w:p>
          <w:p w14:paraId="63294968" w14:textId="77777777" w:rsidR="001B4B6C" w:rsidRPr="00D045B3" w:rsidRDefault="001B4B6C" w:rsidP="006B2245">
            <w:pPr>
              <w:pStyle w:val="KeinLeerraum"/>
              <w:rPr>
                <w:rFonts w:ascii="Times New Roman" w:hAnsi="Times New Roman"/>
                <w:color w:val="000000" w:themeColor="text1"/>
              </w:rPr>
            </w:pPr>
          </w:p>
        </w:tc>
        <w:tc>
          <w:tcPr>
            <w:tcW w:w="4678" w:type="dxa"/>
          </w:tcPr>
          <w:p w14:paraId="41F1F359"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United Kingdom</w:t>
            </w:r>
          </w:p>
          <w:p w14:paraId="7A116BA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UK Limited</w:t>
            </w:r>
          </w:p>
          <w:p w14:paraId="095AF89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+44 1271385257</w:t>
            </w:r>
          </w:p>
          <w:p w14:paraId="01FEE743" w14:textId="77777777" w:rsidR="001B4B6C" w:rsidRPr="00D045B3" w:rsidRDefault="001B4B6C" w:rsidP="006B2245">
            <w:pPr>
              <w:pStyle w:val="KeinLeerraum"/>
              <w:rPr>
                <w:rFonts w:ascii="Times New Roman" w:hAnsi="Times New Roman"/>
                <w:color w:val="000000" w:themeColor="text1"/>
              </w:rPr>
            </w:pPr>
          </w:p>
        </w:tc>
      </w:tr>
    </w:tbl>
    <w:p w14:paraId="6E47BECB" w14:textId="77777777" w:rsidR="001B4B6C" w:rsidRPr="00D045B3" w:rsidRDefault="001B4B6C" w:rsidP="001B4B6C">
      <w:pPr>
        <w:spacing w:line="240" w:lineRule="auto"/>
        <w:rPr>
          <w:color w:val="000000" w:themeColor="text1"/>
          <w:szCs w:val="22"/>
          <w:lang w:val="hu-HU" w:eastAsia="en-US"/>
        </w:rPr>
      </w:pPr>
    </w:p>
    <w:p w14:paraId="1E928354" w14:textId="77777777" w:rsidR="00D069FF" w:rsidRPr="00D045B3" w:rsidRDefault="00D069FF" w:rsidP="00C005AC">
      <w:pPr>
        <w:keepNext/>
        <w:spacing w:line="240" w:lineRule="auto"/>
        <w:ind w:right="-2"/>
        <w:rPr>
          <w:b/>
          <w:color w:val="000000"/>
          <w:lang w:val="hu-HU"/>
        </w:rPr>
      </w:pPr>
      <w:r w:rsidRPr="00D045B3">
        <w:rPr>
          <w:b/>
          <w:color w:val="000000"/>
          <w:lang w:val="hu-HU"/>
        </w:rPr>
        <w:t xml:space="preserve">A betegtájékoztató </w:t>
      </w:r>
      <w:r w:rsidRPr="00D045B3">
        <w:rPr>
          <w:b/>
          <w:noProof/>
          <w:szCs w:val="24"/>
          <w:lang w:val="hu-HU"/>
        </w:rPr>
        <w:t>legutóbbi felülvizsgálatának</w:t>
      </w:r>
      <w:r w:rsidRPr="00D045B3">
        <w:rPr>
          <w:b/>
          <w:lang w:val="hu-HU"/>
        </w:rPr>
        <w:t xml:space="preserve"> </w:t>
      </w:r>
      <w:r w:rsidRPr="00D045B3">
        <w:rPr>
          <w:b/>
          <w:color w:val="000000"/>
          <w:lang w:val="hu-HU"/>
        </w:rPr>
        <w:t>dátuma</w:t>
      </w:r>
    </w:p>
    <w:p w14:paraId="1E928355" w14:textId="77777777" w:rsidR="00D069FF" w:rsidRPr="00D045B3" w:rsidRDefault="00D069FF" w:rsidP="00C005AC">
      <w:pPr>
        <w:pStyle w:val="KeinLeerraum"/>
        <w:keepNext/>
        <w:rPr>
          <w:rFonts w:ascii="Times New Roman" w:hAnsi="Times New Roman"/>
        </w:rPr>
      </w:pPr>
    </w:p>
    <w:p w14:paraId="1E928356" w14:textId="77777777" w:rsidR="00D069FF" w:rsidRPr="00D045B3" w:rsidRDefault="00D069FF" w:rsidP="00C005AC">
      <w:pPr>
        <w:pStyle w:val="KeinLeerraum"/>
        <w:keepNext/>
        <w:rPr>
          <w:rFonts w:ascii="Times New Roman" w:hAnsi="Times New Roman"/>
          <w:b/>
        </w:rPr>
      </w:pPr>
      <w:r w:rsidRPr="00D045B3">
        <w:rPr>
          <w:rFonts w:ascii="Times New Roman" w:hAnsi="Times New Roman"/>
          <w:b/>
        </w:rPr>
        <w:t>Egyéb információforrások</w:t>
      </w:r>
    </w:p>
    <w:p w14:paraId="1E928357" w14:textId="77777777" w:rsidR="003B1531" w:rsidRPr="00D045B3" w:rsidRDefault="003B1531" w:rsidP="00C005AC">
      <w:pPr>
        <w:pStyle w:val="KeinLeerraum"/>
        <w:keepNext/>
        <w:rPr>
          <w:rFonts w:ascii="Times New Roman" w:hAnsi="Times New Roman"/>
          <w:noProof/>
        </w:rPr>
      </w:pPr>
    </w:p>
    <w:p w14:paraId="1E928358" w14:textId="77777777" w:rsidR="00D069FF" w:rsidRPr="00D045B3" w:rsidRDefault="00D069FF" w:rsidP="00CA41FD">
      <w:pPr>
        <w:autoSpaceDE w:val="0"/>
        <w:autoSpaceDN w:val="0"/>
        <w:adjustRightInd w:val="0"/>
        <w:spacing w:line="240" w:lineRule="auto"/>
        <w:contextualSpacing/>
        <w:rPr>
          <w:rFonts w:eastAsia="Calibri"/>
          <w:snapToGrid/>
          <w:szCs w:val="22"/>
          <w:lang w:val="hu-HU" w:eastAsia="en-US"/>
        </w:rPr>
      </w:pPr>
      <w:r w:rsidRPr="00D045B3">
        <w:rPr>
          <w:noProof/>
          <w:lang w:val="hu-HU"/>
        </w:rPr>
        <w:t>A gyógyszerről részletes információ az Európai Gyógyszerügynökség internetes honlapján (</w:t>
      </w:r>
      <w:hyperlink r:id="rId22" w:history="1">
        <w:r w:rsidR="00AB2A76" w:rsidRPr="00D045B3">
          <w:rPr>
            <w:rFonts w:eastAsia="Calibri"/>
            <w:snapToGrid/>
            <w:color w:val="0000FF"/>
            <w:szCs w:val="22"/>
            <w:u w:val="single"/>
            <w:lang w:val="hu-HU" w:eastAsia="en-US"/>
          </w:rPr>
          <w:t>http://www.ema.europa.eu</w:t>
        </w:r>
      </w:hyperlink>
      <w:r w:rsidRPr="00D045B3">
        <w:rPr>
          <w:iCs/>
          <w:noProof/>
          <w:lang w:val="hu-HU"/>
        </w:rPr>
        <w:t>) található.</w:t>
      </w:r>
    </w:p>
    <w:p w14:paraId="1E928359" w14:textId="77777777" w:rsidR="002014A3" w:rsidRPr="00D045B3" w:rsidRDefault="002014A3" w:rsidP="002014A3">
      <w:pPr>
        <w:widowControl w:val="0"/>
        <w:spacing w:line="240" w:lineRule="auto"/>
        <w:jc w:val="center"/>
        <w:rPr>
          <w:color w:val="000000"/>
          <w:szCs w:val="22"/>
          <w:lang w:val="hu-HU"/>
        </w:rPr>
      </w:pPr>
      <w:r w:rsidRPr="00D045B3">
        <w:rPr>
          <w:lang w:val="hu-HU"/>
        </w:rPr>
        <w:br w:type="page"/>
      </w:r>
      <w:r w:rsidRPr="00D045B3">
        <w:rPr>
          <w:b/>
          <w:noProof/>
          <w:szCs w:val="24"/>
          <w:lang w:val="hu-HU"/>
        </w:rPr>
        <w:t>Betegtájékoztató: Információk a felhasználó számára</w:t>
      </w:r>
    </w:p>
    <w:p w14:paraId="1E92835A" w14:textId="77777777" w:rsidR="002014A3" w:rsidRPr="00D045B3" w:rsidRDefault="002014A3" w:rsidP="002014A3">
      <w:pPr>
        <w:widowControl w:val="0"/>
        <w:spacing w:line="240" w:lineRule="auto"/>
        <w:jc w:val="center"/>
        <w:rPr>
          <w:color w:val="000000"/>
          <w:szCs w:val="22"/>
          <w:lang w:val="hu-HU"/>
        </w:rPr>
      </w:pPr>
    </w:p>
    <w:p w14:paraId="1E92835B" w14:textId="77777777" w:rsidR="002014A3" w:rsidRPr="00D045B3" w:rsidRDefault="002014A3" w:rsidP="002014A3">
      <w:pPr>
        <w:widowControl w:val="0"/>
        <w:spacing w:line="240" w:lineRule="auto"/>
        <w:jc w:val="center"/>
        <w:rPr>
          <w:color w:val="000000"/>
          <w:szCs w:val="22"/>
          <w:lang w:val="hu-HU"/>
        </w:rPr>
      </w:pPr>
      <w:r w:rsidRPr="00D045B3">
        <w:rPr>
          <w:b/>
          <w:color w:val="000000"/>
          <w:szCs w:val="22"/>
          <w:lang w:val="hu-HU"/>
        </w:rPr>
        <w:t>Imatinib Actavis 400 mg filmtabletta</w:t>
      </w:r>
    </w:p>
    <w:p w14:paraId="1E92835C" w14:textId="77777777" w:rsidR="002014A3" w:rsidRPr="00D045B3" w:rsidRDefault="002014A3" w:rsidP="002014A3">
      <w:pPr>
        <w:widowControl w:val="0"/>
        <w:spacing w:line="240" w:lineRule="auto"/>
        <w:jc w:val="center"/>
        <w:rPr>
          <w:color w:val="000000"/>
          <w:szCs w:val="22"/>
          <w:lang w:val="hu-HU"/>
        </w:rPr>
      </w:pPr>
      <w:r w:rsidRPr="00D045B3">
        <w:rPr>
          <w:color w:val="000000"/>
          <w:szCs w:val="22"/>
          <w:lang w:val="hu-HU"/>
        </w:rPr>
        <w:t>imatinib</w:t>
      </w:r>
    </w:p>
    <w:p w14:paraId="1E92835D" w14:textId="77777777" w:rsidR="002014A3" w:rsidRPr="00D045B3" w:rsidRDefault="002014A3" w:rsidP="002014A3">
      <w:pPr>
        <w:spacing w:line="240" w:lineRule="auto"/>
        <w:jc w:val="center"/>
        <w:rPr>
          <w:color w:val="000000"/>
          <w:lang w:val="hu-HU"/>
        </w:rPr>
      </w:pPr>
    </w:p>
    <w:p w14:paraId="1E92835E" w14:textId="77777777" w:rsidR="002014A3" w:rsidRPr="00D045B3" w:rsidRDefault="002014A3" w:rsidP="002014A3">
      <w:pPr>
        <w:spacing w:line="240" w:lineRule="auto"/>
        <w:jc w:val="center"/>
        <w:rPr>
          <w:color w:val="000000"/>
          <w:lang w:val="hu-HU"/>
        </w:rPr>
      </w:pPr>
    </w:p>
    <w:p w14:paraId="1E92835F" w14:textId="77777777" w:rsidR="002014A3" w:rsidRPr="00D045B3" w:rsidRDefault="002014A3" w:rsidP="002014A3">
      <w:pPr>
        <w:spacing w:line="240" w:lineRule="auto"/>
        <w:rPr>
          <w:b/>
          <w:color w:val="000000"/>
          <w:lang w:val="hu-HU"/>
        </w:rPr>
      </w:pPr>
      <w:r w:rsidRPr="00D045B3">
        <w:rPr>
          <w:b/>
          <w:color w:val="000000"/>
          <w:lang w:val="hu-HU"/>
        </w:rPr>
        <w:t>Mielőtt elkezdi szedni ezt a gyógyszert, olvassa el figyelmesen az alábbi betegtájékoztatót</w:t>
      </w:r>
      <w:r w:rsidRPr="00D045B3">
        <w:rPr>
          <w:b/>
          <w:noProof/>
          <w:szCs w:val="24"/>
          <w:lang w:val="hu-HU"/>
        </w:rPr>
        <w:t>, me</w:t>
      </w:r>
      <w:r w:rsidR="003B1531" w:rsidRPr="00D045B3">
        <w:rPr>
          <w:b/>
          <w:noProof/>
          <w:szCs w:val="24"/>
          <w:lang w:val="hu-HU"/>
        </w:rPr>
        <w:t>rt</w:t>
      </w:r>
      <w:r w:rsidRPr="00D045B3">
        <w:rPr>
          <w:b/>
          <w:noProof/>
          <w:szCs w:val="24"/>
          <w:lang w:val="hu-HU"/>
        </w:rPr>
        <w:t xml:space="preserve"> az Ön számára fontos információkat tartalmaz</w:t>
      </w:r>
      <w:r w:rsidRPr="00D045B3">
        <w:rPr>
          <w:b/>
          <w:color w:val="000000"/>
          <w:lang w:val="hu-HU"/>
        </w:rPr>
        <w:t>.</w:t>
      </w:r>
    </w:p>
    <w:p w14:paraId="1E928360" w14:textId="77777777" w:rsidR="002014A3" w:rsidRPr="00D045B3" w:rsidRDefault="002014A3" w:rsidP="00E95370">
      <w:pPr>
        <w:numPr>
          <w:ilvl w:val="0"/>
          <w:numId w:val="8"/>
        </w:numPr>
        <w:tabs>
          <w:tab w:val="clear" w:pos="360"/>
          <w:tab w:val="clear" w:pos="567"/>
        </w:tabs>
        <w:suppressAutoHyphens/>
        <w:spacing w:line="240" w:lineRule="auto"/>
        <w:ind w:left="567" w:hanging="567"/>
        <w:rPr>
          <w:color w:val="000000"/>
          <w:lang w:val="hu-HU"/>
        </w:rPr>
      </w:pPr>
      <w:r w:rsidRPr="00D045B3">
        <w:rPr>
          <w:color w:val="000000"/>
          <w:lang w:val="hu-HU"/>
        </w:rPr>
        <w:t>Tartsa meg a betegtájékoztatót, mert a benne szereplő információkra a későbbiekben is szüksége lehet.</w:t>
      </w:r>
    </w:p>
    <w:p w14:paraId="1E928361" w14:textId="77777777" w:rsidR="002014A3" w:rsidRPr="00D045B3" w:rsidRDefault="002014A3" w:rsidP="00E95370">
      <w:pPr>
        <w:numPr>
          <w:ilvl w:val="0"/>
          <w:numId w:val="8"/>
        </w:numPr>
        <w:tabs>
          <w:tab w:val="clear" w:pos="360"/>
          <w:tab w:val="clear" w:pos="567"/>
        </w:tabs>
        <w:suppressAutoHyphens/>
        <w:spacing w:line="240" w:lineRule="auto"/>
        <w:ind w:left="567" w:hanging="567"/>
        <w:rPr>
          <w:color w:val="000000"/>
          <w:lang w:val="hu-HU"/>
        </w:rPr>
      </w:pPr>
      <w:r w:rsidRPr="00D045B3">
        <w:rPr>
          <w:color w:val="000000"/>
          <w:lang w:val="hu-HU"/>
        </w:rPr>
        <w:t xml:space="preserve">További kérdéseivel forduljon </w:t>
      </w:r>
      <w:r w:rsidRPr="00D045B3">
        <w:rPr>
          <w:noProof/>
          <w:szCs w:val="24"/>
          <w:lang w:val="hu-HU"/>
        </w:rPr>
        <w:t>kezelőorvosához,</w:t>
      </w:r>
      <w:r w:rsidRPr="00D045B3">
        <w:rPr>
          <w:color w:val="000000"/>
          <w:lang w:val="hu-HU"/>
        </w:rPr>
        <w:t xml:space="preserve"> gyógyszerészéhez </w:t>
      </w:r>
      <w:r w:rsidRPr="00D045B3">
        <w:rPr>
          <w:noProof/>
          <w:szCs w:val="24"/>
          <w:lang w:val="hu-HU"/>
        </w:rPr>
        <w:t xml:space="preserve">vagy </w:t>
      </w:r>
      <w:r w:rsidR="003B1531" w:rsidRPr="00D045B3">
        <w:rPr>
          <w:noProof/>
          <w:szCs w:val="24"/>
          <w:lang w:val="hu-HU"/>
        </w:rPr>
        <w:t xml:space="preserve">a </w:t>
      </w:r>
      <w:r w:rsidR="003B1531" w:rsidRPr="00D045B3">
        <w:rPr>
          <w:lang w:val="hu-HU"/>
        </w:rPr>
        <w:t>gondozását végző egészségügyi szakemberhez</w:t>
      </w:r>
      <w:r w:rsidRPr="00D045B3">
        <w:rPr>
          <w:color w:val="000000"/>
          <w:lang w:val="hu-HU"/>
        </w:rPr>
        <w:t>.</w:t>
      </w:r>
    </w:p>
    <w:p w14:paraId="1E928362" w14:textId="77777777" w:rsidR="002014A3" w:rsidRPr="00D045B3" w:rsidRDefault="002014A3" w:rsidP="00E95370">
      <w:pPr>
        <w:pStyle w:val="WW-NormlWeb"/>
        <w:numPr>
          <w:ilvl w:val="0"/>
          <w:numId w:val="6"/>
        </w:numPr>
        <w:tabs>
          <w:tab w:val="clear" w:pos="360"/>
        </w:tabs>
        <w:spacing w:before="0" w:after="0" w:line="240" w:lineRule="auto"/>
        <w:ind w:left="567" w:hanging="567"/>
        <w:rPr>
          <w:rFonts w:ascii="Times New Roman" w:hAnsi="Times New Roman"/>
          <w:color w:val="000000"/>
          <w:sz w:val="22"/>
        </w:rPr>
      </w:pPr>
      <w:r w:rsidRPr="00D045B3">
        <w:rPr>
          <w:rFonts w:ascii="Times New Roman" w:hAnsi="Times New Roman"/>
          <w:color w:val="000000"/>
          <w:sz w:val="22"/>
        </w:rPr>
        <w:t>Ezt a gyógyszert az orvos kizárólag Önnek írta fel. Ne adja át a készítményt másnak, mert számára ártalmas lehet még abban az esetben is, ha a betegsége tünetei az Önéhez hasonlóak.</w:t>
      </w:r>
    </w:p>
    <w:p w14:paraId="1E928363" w14:textId="77777777" w:rsidR="002014A3" w:rsidRPr="00D045B3" w:rsidRDefault="002014A3" w:rsidP="00E95370">
      <w:pPr>
        <w:widowControl w:val="0"/>
        <w:numPr>
          <w:ilvl w:val="0"/>
          <w:numId w:val="16"/>
        </w:numPr>
        <w:tabs>
          <w:tab w:val="clear" w:pos="567"/>
        </w:tabs>
        <w:spacing w:line="240" w:lineRule="auto"/>
        <w:ind w:left="567" w:right="-2" w:hanging="567"/>
        <w:rPr>
          <w:color w:val="000000"/>
          <w:szCs w:val="22"/>
          <w:lang w:val="hu-HU"/>
        </w:rPr>
      </w:pPr>
      <w:r w:rsidRPr="00D045B3">
        <w:rPr>
          <w:color w:val="000000"/>
          <w:lang w:val="hu-HU"/>
        </w:rPr>
        <w:t xml:space="preserve">Ha Önnél bármilyen mellékhatás jelentkezik, tájékoztassa erről kezelőorvosát, gyógyszerészét vagy </w:t>
      </w:r>
      <w:r w:rsidR="003B1531" w:rsidRPr="00D045B3">
        <w:rPr>
          <w:color w:val="000000"/>
          <w:lang w:val="hu-HU"/>
        </w:rPr>
        <w:t xml:space="preserve">a </w:t>
      </w:r>
      <w:r w:rsidR="003B1531" w:rsidRPr="00D045B3">
        <w:rPr>
          <w:lang w:val="hu-HU"/>
        </w:rPr>
        <w:t>gondozását végző egészségügyi szakembert</w:t>
      </w:r>
      <w:r w:rsidRPr="00D045B3">
        <w:rPr>
          <w:color w:val="000000"/>
          <w:lang w:val="hu-HU"/>
        </w:rPr>
        <w:t>. Ez a betegtájékoztatóban fel nem sorolt bármilyen lehetséges mellékhatásra is vonatkozik.</w:t>
      </w:r>
      <w:r w:rsidR="003B1531" w:rsidRPr="00D045B3">
        <w:rPr>
          <w:color w:val="000000"/>
          <w:lang w:val="hu-HU"/>
        </w:rPr>
        <w:t xml:space="preserve"> Lásd 4. pont.</w:t>
      </w:r>
    </w:p>
    <w:p w14:paraId="1E928364" w14:textId="77777777" w:rsidR="002014A3" w:rsidRPr="00D045B3" w:rsidRDefault="002014A3" w:rsidP="002014A3">
      <w:pPr>
        <w:spacing w:line="240" w:lineRule="auto"/>
        <w:ind w:right="-2"/>
        <w:rPr>
          <w:color w:val="000000"/>
          <w:lang w:val="hu-HU"/>
        </w:rPr>
      </w:pPr>
    </w:p>
    <w:p w14:paraId="1E928365" w14:textId="77777777" w:rsidR="002014A3" w:rsidRPr="00D045B3" w:rsidRDefault="002014A3" w:rsidP="002014A3">
      <w:pPr>
        <w:keepNext/>
        <w:spacing w:line="240" w:lineRule="auto"/>
        <w:ind w:right="-2"/>
        <w:rPr>
          <w:b/>
          <w:color w:val="000000"/>
          <w:lang w:val="hu-HU"/>
        </w:rPr>
      </w:pPr>
      <w:r w:rsidRPr="00D045B3">
        <w:rPr>
          <w:b/>
          <w:color w:val="000000"/>
          <w:lang w:val="hu-HU"/>
        </w:rPr>
        <w:t>A betegtájékoztató tartalma</w:t>
      </w:r>
      <w:r w:rsidR="001B47B6" w:rsidRPr="00D045B3">
        <w:rPr>
          <w:b/>
          <w:color w:val="000000"/>
          <w:lang w:val="hu-HU"/>
        </w:rPr>
        <w:t>:</w:t>
      </w:r>
    </w:p>
    <w:p w14:paraId="1E928366" w14:textId="77777777" w:rsidR="0080052A" w:rsidRPr="00D045B3" w:rsidRDefault="0080052A" w:rsidP="002014A3">
      <w:pPr>
        <w:keepNext/>
        <w:spacing w:line="240" w:lineRule="auto"/>
        <w:ind w:right="-2"/>
        <w:rPr>
          <w:b/>
          <w:color w:val="000000"/>
          <w:lang w:val="hu-HU"/>
        </w:rPr>
      </w:pPr>
    </w:p>
    <w:p w14:paraId="1E928367" w14:textId="77777777" w:rsidR="002014A3" w:rsidRPr="00D045B3" w:rsidRDefault="002014A3" w:rsidP="00CA41FD">
      <w:pPr>
        <w:spacing w:line="240" w:lineRule="auto"/>
        <w:ind w:right="-28"/>
        <w:rPr>
          <w:color w:val="000000"/>
          <w:lang w:val="hu-HU"/>
        </w:rPr>
      </w:pPr>
      <w:r w:rsidRPr="00D045B3">
        <w:rPr>
          <w:color w:val="000000"/>
          <w:lang w:val="hu-HU"/>
        </w:rPr>
        <w:t>1.</w:t>
      </w:r>
      <w:r w:rsidRPr="00D045B3">
        <w:rPr>
          <w:color w:val="000000"/>
          <w:lang w:val="hu-HU"/>
        </w:rPr>
        <w:tab/>
        <w:t>Milyen típusú gyógyszer az Imatinib Actavis és milyen betegségek esetén alkalmazható?</w:t>
      </w:r>
    </w:p>
    <w:p w14:paraId="1E928368" w14:textId="77777777" w:rsidR="002014A3" w:rsidRPr="00D045B3" w:rsidRDefault="002014A3" w:rsidP="002014A3">
      <w:pPr>
        <w:spacing w:line="240" w:lineRule="auto"/>
        <w:ind w:right="-29"/>
        <w:rPr>
          <w:color w:val="000000"/>
          <w:lang w:val="hu-HU"/>
        </w:rPr>
      </w:pPr>
      <w:r w:rsidRPr="00D045B3">
        <w:rPr>
          <w:color w:val="000000"/>
          <w:lang w:val="hu-HU"/>
        </w:rPr>
        <w:t>2.</w:t>
      </w:r>
      <w:r w:rsidRPr="00D045B3">
        <w:rPr>
          <w:color w:val="000000"/>
          <w:lang w:val="hu-HU"/>
        </w:rPr>
        <w:tab/>
        <w:t>Tudnivalók az Imatinib Actavis szedése előtt</w:t>
      </w:r>
    </w:p>
    <w:p w14:paraId="1E928369" w14:textId="77777777" w:rsidR="002014A3" w:rsidRPr="00D045B3" w:rsidRDefault="002014A3" w:rsidP="002014A3">
      <w:pPr>
        <w:spacing w:line="240" w:lineRule="auto"/>
        <w:ind w:left="567" w:right="-29" w:hanging="567"/>
        <w:rPr>
          <w:color w:val="000000"/>
          <w:lang w:val="hu-HU"/>
        </w:rPr>
      </w:pPr>
      <w:r w:rsidRPr="00D045B3">
        <w:rPr>
          <w:color w:val="000000"/>
          <w:lang w:val="hu-HU"/>
        </w:rPr>
        <w:t>3.</w:t>
      </w:r>
      <w:r w:rsidRPr="00D045B3">
        <w:rPr>
          <w:color w:val="000000"/>
          <w:lang w:val="hu-HU"/>
        </w:rPr>
        <w:tab/>
        <w:t>Hogyan kell szedni az Imatinib Actavis</w:t>
      </w:r>
      <w:r w:rsidRPr="00D045B3">
        <w:rPr>
          <w:color w:val="000000"/>
          <w:lang w:val="hu-HU"/>
        </w:rPr>
        <w:noBreakHyphen/>
        <w:t>t?</w:t>
      </w:r>
    </w:p>
    <w:p w14:paraId="1E92836A" w14:textId="77777777" w:rsidR="002014A3" w:rsidRPr="00D045B3" w:rsidRDefault="002014A3" w:rsidP="002014A3">
      <w:pPr>
        <w:spacing w:line="240" w:lineRule="auto"/>
        <w:ind w:left="567" w:right="-29" w:hanging="567"/>
        <w:rPr>
          <w:color w:val="000000"/>
          <w:lang w:val="hu-HU"/>
        </w:rPr>
      </w:pPr>
      <w:r w:rsidRPr="00D045B3">
        <w:rPr>
          <w:color w:val="000000"/>
          <w:lang w:val="hu-HU"/>
        </w:rPr>
        <w:t>4.</w:t>
      </w:r>
      <w:r w:rsidRPr="00D045B3">
        <w:rPr>
          <w:color w:val="000000"/>
          <w:lang w:val="hu-HU"/>
        </w:rPr>
        <w:tab/>
        <w:t>Lehetséges mellékhatások</w:t>
      </w:r>
    </w:p>
    <w:p w14:paraId="1E92836B" w14:textId="77777777" w:rsidR="002014A3" w:rsidRPr="00D045B3" w:rsidRDefault="002014A3" w:rsidP="002014A3">
      <w:pPr>
        <w:spacing w:line="240" w:lineRule="auto"/>
        <w:ind w:left="567" w:right="-29" w:hanging="567"/>
        <w:rPr>
          <w:color w:val="000000"/>
          <w:lang w:val="hu-HU"/>
        </w:rPr>
      </w:pPr>
      <w:r w:rsidRPr="00D045B3">
        <w:rPr>
          <w:color w:val="000000"/>
          <w:lang w:val="hu-HU"/>
        </w:rPr>
        <w:t>5.</w:t>
      </w:r>
      <w:r w:rsidRPr="00D045B3">
        <w:rPr>
          <w:color w:val="000000"/>
          <w:lang w:val="hu-HU"/>
        </w:rPr>
        <w:tab/>
        <w:t>Hogyan kell az Imatinib Actavis</w:t>
      </w:r>
      <w:r w:rsidRPr="00D045B3">
        <w:rPr>
          <w:color w:val="000000"/>
          <w:lang w:val="hu-HU"/>
        </w:rPr>
        <w:noBreakHyphen/>
        <w:t>t tárolni?</w:t>
      </w:r>
    </w:p>
    <w:p w14:paraId="1E92836C" w14:textId="77777777" w:rsidR="002014A3" w:rsidRPr="00D045B3" w:rsidRDefault="002014A3" w:rsidP="002014A3">
      <w:pPr>
        <w:spacing w:line="240" w:lineRule="auto"/>
        <w:ind w:left="567" w:right="-29" w:hanging="567"/>
        <w:rPr>
          <w:color w:val="000000"/>
          <w:lang w:val="hu-HU"/>
        </w:rPr>
      </w:pPr>
      <w:r w:rsidRPr="00D045B3">
        <w:rPr>
          <w:color w:val="000000"/>
          <w:lang w:val="hu-HU"/>
        </w:rPr>
        <w:t>6.</w:t>
      </w:r>
      <w:r w:rsidRPr="00D045B3">
        <w:rPr>
          <w:color w:val="000000"/>
          <w:lang w:val="hu-HU"/>
        </w:rPr>
        <w:tab/>
      </w:r>
      <w:r w:rsidRPr="00D045B3">
        <w:rPr>
          <w:noProof/>
          <w:szCs w:val="24"/>
          <w:lang w:val="hu-HU"/>
        </w:rPr>
        <w:t xml:space="preserve">A csomagolás tartalma és egyéb </w:t>
      </w:r>
      <w:r w:rsidRPr="00D045B3">
        <w:rPr>
          <w:color w:val="000000"/>
          <w:lang w:val="hu-HU"/>
        </w:rPr>
        <w:t>információk</w:t>
      </w:r>
    </w:p>
    <w:p w14:paraId="1E92836D" w14:textId="77777777" w:rsidR="002014A3" w:rsidRPr="00D045B3" w:rsidRDefault="002014A3" w:rsidP="002014A3">
      <w:pPr>
        <w:spacing w:line="240" w:lineRule="auto"/>
        <w:ind w:right="-2"/>
        <w:rPr>
          <w:color w:val="000000"/>
          <w:lang w:val="hu-HU"/>
        </w:rPr>
      </w:pPr>
    </w:p>
    <w:p w14:paraId="1E92836E" w14:textId="77777777" w:rsidR="002014A3" w:rsidRPr="00D045B3" w:rsidRDefault="002014A3" w:rsidP="002014A3">
      <w:pPr>
        <w:spacing w:line="240" w:lineRule="auto"/>
        <w:ind w:right="-2"/>
        <w:rPr>
          <w:color w:val="000000"/>
          <w:lang w:val="hu-HU"/>
        </w:rPr>
      </w:pPr>
    </w:p>
    <w:p w14:paraId="1E92836F" w14:textId="77777777" w:rsidR="00E57DFF" w:rsidRPr="00D045B3" w:rsidRDefault="00E57DFF" w:rsidP="00E57DFF">
      <w:pPr>
        <w:keepNext/>
        <w:spacing w:line="240" w:lineRule="auto"/>
        <w:ind w:left="567" w:hanging="567"/>
        <w:rPr>
          <w:b/>
          <w:color w:val="000000"/>
          <w:szCs w:val="22"/>
          <w:lang w:val="hu-HU"/>
        </w:rPr>
      </w:pPr>
      <w:r w:rsidRPr="00D045B3">
        <w:rPr>
          <w:b/>
          <w:color w:val="000000"/>
          <w:szCs w:val="22"/>
          <w:lang w:val="hu-HU"/>
        </w:rPr>
        <w:t>1.</w:t>
      </w:r>
      <w:r w:rsidRPr="00D045B3">
        <w:rPr>
          <w:b/>
          <w:color w:val="000000"/>
          <w:szCs w:val="22"/>
          <w:lang w:val="hu-HU"/>
        </w:rPr>
        <w:tab/>
        <w:t>Milyen típusú gyógyszer az Imatinib Actavis és milyen betegségek esetén alkalmazható?</w:t>
      </w:r>
    </w:p>
    <w:p w14:paraId="1E928370" w14:textId="77777777" w:rsidR="00E57DFF" w:rsidRPr="00D045B3" w:rsidRDefault="00E57DFF" w:rsidP="00E57DFF">
      <w:pPr>
        <w:keepNext/>
        <w:spacing w:line="240" w:lineRule="auto"/>
        <w:rPr>
          <w:color w:val="000000"/>
          <w:szCs w:val="22"/>
          <w:lang w:val="hu-HU"/>
        </w:rPr>
      </w:pPr>
    </w:p>
    <w:p w14:paraId="1E928371" w14:textId="45A970A9" w:rsidR="00E57DFF" w:rsidRPr="00D045B3" w:rsidRDefault="00E57DFF" w:rsidP="00E57DFF">
      <w:pPr>
        <w:keepNext/>
        <w:spacing w:line="240" w:lineRule="auto"/>
        <w:rPr>
          <w:color w:val="000000"/>
          <w:szCs w:val="22"/>
          <w:lang w:val="hu-HU"/>
        </w:rPr>
      </w:pPr>
      <w:r w:rsidRPr="00D045B3">
        <w:rPr>
          <w:color w:val="000000"/>
          <w:szCs w:val="22"/>
          <w:lang w:val="hu-HU"/>
        </w:rPr>
        <w:t xml:space="preserve">Az Imatinib Actavis egy imatinib nevű hatóanyagot tartalmazó gyógyszer. Ez a gyógyszer a kóros sejtek szaporodását gátolja az alábbi betegségekben. </w:t>
      </w:r>
      <w:r w:rsidRPr="00D045B3">
        <w:rPr>
          <w:szCs w:val="22"/>
          <w:lang w:val="hu-HU"/>
        </w:rPr>
        <w:t xml:space="preserve">Ezek </w:t>
      </w:r>
      <w:r w:rsidR="00C7474B" w:rsidRPr="00D045B3">
        <w:rPr>
          <w:szCs w:val="22"/>
          <w:lang w:val="hu-HU"/>
        </w:rPr>
        <w:t>a betegségek bizonyos típusú rákos megbetegedések</w:t>
      </w:r>
      <w:r w:rsidRPr="00D045B3">
        <w:rPr>
          <w:szCs w:val="22"/>
          <w:lang w:val="hu-HU"/>
        </w:rPr>
        <w:t>.</w:t>
      </w:r>
    </w:p>
    <w:p w14:paraId="1E928372" w14:textId="77777777" w:rsidR="00E57DFF" w:rsidRPr="00D045B3" w:rsidRDefault="00E57DFF" w:rsidP="00E57DFF">
      <w:pPr>
        <w:spacing w:line="240" w:lineRule="auto"/>
        <w:ind w:right="-2"/>
        <w:rPr>
          <w:color w:val="000000"/>
          <w:szCs w:val="22"/>
          <w:lang w:val="hu-HU"/>
        </w:rPr>
      </w:pPr>
    </w:p>
    <w:p w14:paraId="1E928373" w14:textId="2AB742C9" w:rsidR="00E57DFF" w:rsidRPr="00D045B3" w:rsidRDefault="00E57DFF" w:rsidP="00E57DFF">
      <w:pPr>
        <w:keepNext/>
        <w:spacing w:line="240" w:lineRule="auto"/>
        <w:rPr>
          <w:b/>
          <w:color w:val="000000"/>
          <w:szCs w:val="22"/>
          <w:lang w:val="hu-HU"/>
        </w:rPr>
      </w:pPr>
      <w:r w:rsidRPr="00D045B3">
        <w:rPr>
          <w:b/>
          <w:color w:val="000000"/>
          <w:szCs w:val="22"/>
          <w:lang w:val="hu-HU"/>
        </w:rPr>
        <w:t>Az Imatinib Actavis az alábbiak kezelésére alkalmazható:</w:t>
      </w:r>
    </w:p>
    <w:p w14:paraId="1E928374" w14:textId="77777777" w:rsidR="004516E3" w:rsidRPr="00D045B3" w:rsidRDefault="004516E3" w:rsidP="00E57DFF">
      <w:pPr>
        <w:keepNext/>
        <w:spacing w:line="240" w:lineRule="auto"/>
        <w:rPr>
          <w:b/>
          <w:color w:val="000000"/>
          <w:szCs w:val="22"/>
          <w:lang w:val="hu-HU"/>
        </w:rPr>
      </w:pPr>
    </w:p>
    <w:p w14:paraId="1E928375" w14:textId="77777777" w:rsidR="00E57DFF" w:rsidRPr="00D045B3" w:rsidRDefault="00E57DFF" w:rsidP="00E95370">
      <w:pPr>
        <w:numPr>
          <w:ilvl w:val="0"/>
          <w:numId w:val="26"/>
        </w:numPr>
        <w:spacing w:line="240" w:lineRule="auto"/>
        <w:ind w:left="567" w:hanging="567"/>
        <w:rPr>
          <w:b/>
          <w:color w:val="000000"/>
          <w:szCs w:val="22"/>
          <w:lang w:val="hu-HU"/>
        </w:rPr>
      </w:pPr>
      <w:r w:rsidRPr="00D045B3">
        <w:rPr>
          <w:b/>
          <w:color w:val="000000"/>
          <w:szCs w:val="22"/>
          <w:lang w:val="hu-HU"/>
        </w:rPr>
        <w:t>krónikus mieloid leukémia (CML).</w:t>
      </w:r>
    </w:p>
    <w:p w14:paraId="1E928376" w14:textId="77777777" w:rsidR="00E57DFF" w:rsidRPr="00D045B3" w:rsidRDefault="00E57DFF" w:rsidP="00CA41FD">
      <w:pPr>
        <w:spacing w:line="240" w:lineRule="auto"/>
        <w:ind w:left="567"/>
        <w:rPr>
          <w:color w:val="000000"/>
          <w:szCs w:val="22"/>
          <w:lang w:val="hu-HU"/>
        </w:rPr>
      </w:pPr>
      <w:r w:rsidRPr="00D045B3">
        <w:rPr>
          <w:color w:val="000000"/>
          <w:szCs w:val="22"/>
          <w:lang w:val="hu-HU"/>
        </w:rPr>
        <w:t>A leukémia a fehérvérsejtek daganatos megbetegedése. Ezek a fehérvérsejtek általában segítik a szervezetet a fertőzések leküzdésében. A krónikus mieloid leukémia a leukémiák azon formája, amelyben egyes kóros fehérvérsejtek (mieloid sejtek) száma szabályozatlanul növekedni kezd.</w:t>
      </w:r>
    </w:p>
    <w:p w14:paraId="1E928377" w14:textId="77777777" w:rsidR="00E57DFF" w:rsidRPr="00D045B3" w:rsidRDefault="00E57DFF" w:rsidP="00E57DFF">
      <w:pPr>
        <w:spacing w:line="240" w:lineRule="auto"/>
        <w:ind w:right="-2"/>
        <w:rPr>
          <w:color w:val="000000"/>
          <w:szCs w:val="22"/>
          <w:lang w:val="hu-HU"/>
        </w:rPr>
      </w:pPr>
    </w:p>
    <w:p w14:paraId="1E928378" w14:textId="77777777" w:rsidR="00E57DFF" w:rsidRPr="00D045B3" w:rsidRDefault="00E57DFF" w:rsidP="00E57DFF">
      <w:pPr>
        <w:spacing w:line="240" w:lineRule="auto"/>
        <w:rPr>
          <w:color w:val="000000"/>
          <w:szCs w:val="22"/>
          <w:lang w:val="hu-HU"/>
        </w:rPr>
      </w:pPr>
      <w:r w:rsidRPr="00D045B3">
        <w:rPr>
          <w:color w:val="000000"/>
          <w:szCs w:val="22"/>
          <w:lang w:val="hu-HU"/>
        </w:rPr>
        <w:t xml:space="preserve">Felnőtt </w:t>
      </w:r>
      <w:r w:rsidR="0078534B" w:rsidRPr="00D045B3">
        <w:rPr>
          <w:color w:val="000000"/>
          <w:szCs w:val="22"/>
          <w:lang w:val="hu-HU"/>
        </w:rPr>
        <w:t xml:space="preserve">betegeknél </w:t>
      </w:r>
      <w:r w:rsidRPr="00D045B3">
        <w:rPr>
          <w:color w:val="000000"/>
          <w:szCs w:val="22"/>
          <w:lang w:val="hu-HU"/>
        </w:rPr>
        <w:t xml:space="preserve">az Imatinib Actavis a betegség legelőrehaladottabb stádiumának (az úgynevezett blasztos krízisnek) a kezelésére alkalmazható. Az Imatinib Actavis gyermekeknél a betegség különböző stádiumainak (krónikus, akcelerált fázis és blasztos krízis) kezelésére adható. </w:t>
      </w:r>
    </w:p>
    <w:p w14:paraId="1E928379" w14:textId="77777777" w:rsidR="00E57DFF" w:rsidRPr="00D045B3" w:rsidRDefault="00E57DFF" w:rsidP="00E57DFF">
      <w:pPr>
        <w:pStyle w:val="Default"/>
        <w:rPr>
          <w:sz w:val="22"/>
          <w:szCs w:val="22"/>
        </w:rPr>
      </w:pPr>
    </w:p>
    <w:p w14:paraId="1E92837C" w14:textId="77777777" w:rsidR="00E57DFF" w:rsidRPr="00D045B3" w:rsidRDefault="00E57DFF" w:rsidP="00E95370">
      <w:pPr>
        <w:pStyle w:val="Default"/>
        <w:numPr>
          <w:ilvl w:val="0"/>
          <w:numId w:val="26"/>
        </w:numPr>
        <w:ind w:left="567" w:hanging="567"/>
        <w:rPr>
          <w:sz w:val="22"/>
          <w:szCs w:val="22"/>
        </w:rPr>
      </w:pPr>
      <w:r w:rsidRPr="00D045B3">
        <w:rPr>
          <w:b/>
          <w:bCs/>
          <w:sz w:val="22"/>
          <w:szCs w:val="22"/>
        </w:rPr>
        <w:t xml:space="preserve">Filadelfia kromoszóma pozitív akut limfoblasztos leukémia (Ph-pozitív ALL). </w:t>
      </w:r>
      <w:r w:rsidRPr="00D045B3">
        <w:rPr>
          <w:b/>
          <w:bCs/>
          <w:sz w:val="22"/>
          <w:szCs w:val="22"/>
        </w:rPr>
        <w:br/>
      </w:r>
      <w:r w:rsidRPr="00D045B3">
        <w:rPr>
          <w:sz w:val="22"/>
          <w:szCs w:val="22"/>
        </w:rPr>
        <w:t xml:space="preserve">A leukémia a fehérvérsejtek daganatos megbetegedése. Ezek a fehérvérsejtek általában segítik a szervezetet a fertőzések leküzdésében. Az akut limfoblasztos leukémia a leukémiák azon formája, amelyben egyes kóros fehérvérsejtek (úgynevezett limfoblasztok) száma szabályozatlanul növekedni kezd. Az Imatinib Actavis gátolja ezeknek a sejteknek a szaporodását. </w:t>
      </w:r>
    </w:p>
    <w:p w14:paraId="1E92837D" w14:textId="1C83D59A" w:rsidR="0042093C" w:rsidRPr="00D045B3" w:rsidRDefault="0042093C" w:rsidP="0042093C">
      <w:pPr>
        <w:pStyle w:val="Default"/>
        <w:rPr>
          <w:sz w:val="22"/>
          <w:szCs w:val="22"/>
        </w:rPr>
      </w:pPr>
    </w:p>
    <w:p w14:paraId="1E92837E" w14:textId="0A78EA2B" w:rsidR="0042093C" w:rsidRPr="00D045B3" w:rsidRDefault="0042093C" w:rsidP="0042093C">
      <w:pPr>
        <w:pStyle w:val="Default"/>
        <w:keepNext/>
        <w:rPr>
          <w:b/>
          <w:sz w:val="22"/>
          <w:szCs w:val="22"/>
        </w:rPr>
      </w:pPr>
      <w:r w:rsidRPr="00D045B3">
        <w:rPr>
          <w:b/>
          <w:sz w:val="22"/>
          <w:szCs w:val="22"/>
        </w:rPr>
        <w:t xml:space="preserve">Az Imatinib Actavis </w:t>
      </w:r>
      <w:r w:rsidR="00F016AA" w:rsidRPr="00D045B3">
        <w:rPr>
          <w:b/>
          <w:sz w:val="22"/>
          <w:szCs w:val="22"/>
        </w:rPr>
        <w:t xml:space="preserve">ezenkívül felnőttkorban az alábbi kórkép </w:t>
      </w:r>
      <w:r w:rsidRPr="00D045B3">
        <w:rPr>
          <w:b/>
          <w:sz w:val="22"/>
          <w:szCs w:val="22"/>
        </w:rPr>
        <w:t>kezelésére is szolgál:</w:t>
      </w:r>
    </w:p>
    <w:p w14:paraId="1E92837F" w14:textId="77777777" w:rsidR="0042093C" w:rsidRPr="00D045B3" w:rsidRDefault="0042093C" w:rsidP="0042093C">
      <w:pPr>
        <w:pStyle w:val="Default"/>
        <w:keepNext/>
        <w:rPr>
          <w:sz w:val="22"/>
          <w:szCs w:val="22"/>
        </w:rPr>
      </w:pPr>
    </w:p>
    <w:p w14:paraId="1E928380" w14:textId="77777777" w:rsidR="00E57DFF" w:rsidRPr="00D045B3" w:rsidRDefault="00E57DFF" w:rsidP="00E20638">
      <w:pPr>
        <w:pStyle w:val="Default"/>
        <w:spacing w:after="11"/>
        <w:ind w:left="567"/>
        <w:rPr>
          <w:color w:val="auto"/>
          <w:sz w:val="22"/>
          <w:szCs w:val="22"/>
        </w:rPr>
      </w:pPr>
      <w:r w:rsidRPr="00D045B3">
        <w:rPr>
          <w:b/>
          <w:bCs/>
          <w:color w:val="auto"/>
          <w:sz w:val="22"/>
          <w:szCs w:val="22"/>
        </w:rPr>
        <w:t xml:space="preserve">Mielodiszpláziás/mieloproliferatív betegségek (MDS/MPD). </w:t>
      </w:r>
      <w:r w:rsidRPr="00D045B3">
        <w:rPr>
          <w:color w:val="auto"/>
          <w:sz w:val="22"/>
          <w:szCs w:val="22"/>
        </w:rPr>
        <w:t xml:space="preserve">Ezek a vér betegségeinek olyan csoportjai, amelyekben a vér egyes sejtjeinek száma szabályozatlanul növekedni kezd. Az Imatinib Actavis az ilyen betegségek bizonyos altípusában gátolja ezeknek a sejteknek a szaporodását. </w:t>
      </w:r>
    </w:p>
    <w:p w14:paraId="1E928381" w14:textId="77777777" w:rsidR="00E57DFF" w:rsidRPr="00D045B3" w:rsidRDefault="00E57DFF" w:rsidP="008A6837">
      <w:pPr>
        <w:pStyle w:val="Default"/>
        <w:spacing w:after="11"/>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Hipereozinofília szindróma (HES) és/vagy krónikus eozinofíliás leukémia (CEL). </w:t>
      </w:r>
      <w:r w:rsidRPr="00D045B3">
        <w:rPr>
          <w:color w:val="auto"/>
          <w:sz w:val="22"/>
          <w:szCs w:val="22"/>
        </w:rPr>
        <w:t xml:space="preserve">Ezek a vérképzőrendszer olyan betegségei, amelyekben egyes vérsejtek (eozinofil sejtek) szabályozatlanul szaporodni kezdenek. Az Imatinib Actavis gátolja ezeknek a sejteknek a szaporodását az ilyen betegségek bizonyos altípusában. </w:t>
      </w:r>
    </w:p>
    <w:p w14:paraId="1E928382" w14:textId="77777777" w:rsidR="00E57DFF" w:rsidRPr="00D045B3" w:rsidRDefault="00E57DFF" w:rsidP="008A6837">
      <w:pPr>
        <w:pStyle w:val="Default"/>
        <w:ind w:left="567" w:hanging="567"/>
        <w:rPr>
          <w:color w:val="auto"/>
          <w:sz w:val="22"/>
          <w:szCs w:val="22"/>
        </w:rPr>
      </w:pPr>
      <w:r w:rsidRPr="00D045B3">
        <w:rPr>
          <w:color w:val="auto"/>
          <w:sz w:val="22"/>
          <w:szCs w:val="22"/>
        </w:rPr>
        <w:t xml:space="preserve">- </w:t>
      </w:r>
      <w:r w:rsidRPr="00D045B3">
        <w:rPr>
          <w:color w:val="auto"/>
          <w:sz w:val="22"/>
          <w:szCs w:val="22"/>
        </w:rPr>
        <w:tab/>
      </w:r>
      <w:r w:rsidRPr="00D045B3">
        <w:rPr>
          <w:b/>
          <w:bCs/>
          <w:color w:val="auto"/>
          <w:sz w:val="22"/>
          <w:szCs w:val="22"/>
        </w:rPr>
        <w:t xml:space="preserve">Dermatifibroszarkóma protuberánsz (DFSP). </w:t>
      </w:r>
      <w:r w:rsidRPr="00D045B3">
        <w:rPr>
          <w:color w:val="auto"/>
          <w:sz w:val="22"/>
          <w:szCs w:val="22"/>
        </w:rPr>
        <w:t xml:space="preserve">A DFSP a bőr alatti szövet daganatos megbetegedése, melyben egyes sejtek szabályozatlanul szaporodni kezdenek. Az Imatinib Actavis ezeknek a sejteknek a szaporodását gátolja. </w:t>
      </w:r>
    </w:p>
    <w:p w14:paraId="1E928383" w14:textId="77777777" w:rsidR="00E57DFF" w:rsidRPr="00D045B3" w:rsidRDefault="00E57DFF" w:rsidP="00E57DFF">
      <w:pPr>
        <w:pStyle w:val="Default"/>
        <w:rPr>
          <w:color w:val="auto"/>
          <w:sz w:val="22"/>
          <w:szCs w:val="22"/>
        </w:rPr>
      </w:pPr>
    </w:p>
    <w:p w14:paraId="1E928384" w14:textId="77777777" w:rsidR="002014A3" w:rsidRPr="00D045B3" w:rsidRDefault="00E57DFF" w:rsidP="00E57DFF">
      <w:pPr>
        <w:spacing w:line="240" w:lineRule="auto"/>
        <w:rPr>
          <w:color w:val="000000"/>
          <w:lang w:val="hu-HU"/>
        </w:rPr>
      </w:pPr>
      <w:r w:rsidRPr="00D045B3">
        <w:rPr>
          <w:szCs w:val="22"/>
          <w:lang w:val="hu-HU"/>
        </w:rPr>
        <w:t>A betegtájékoztató további részeiben, ezeket a rövidítéseket fogjuk használni, ha ezekről a betegségekről teszünk említést.</w:t>
      </w:r>
      <w:r w:rsidR="002014A3" w:rsidRPr="00D045B3">
        <w:rPr>
          <w:color w:val="000000"/>
          <w:lang w:val="hu-HU"/>
        </w:rPr>
        <w:t xml:space="preserve"> </w:t>
      </w:r>
    </w:p>
    <w:p w14:paraId="1E928385" w14:textId="77777777" w:rsidR="002014A3" w:rsidRPr="00D045B3" w:rsidRDefault="002014A3" w:rsidP="002014A3">
      <w:pPr>
        <w:spacing w:line="240" w:lineRule="auto"/>
        <w:rPr>
          <w:color w:val="000000"/>
          <w:lang w:val="hu-HU"/>
        </w:rPr>
      </w:pPr>
    </w:p>
    <w:p w14:paraId="1E928386" w14:textId="0CDC6D16" w:rsidR="002014A3" w:rsidRPr="00D045B3" w:rsidRDefault="002014A3" w:rsidP="002014A3">
      <w:pPr>
        <w:spacing w:line="240" w:lineRule="auto"/>
        <w:rPr>
          <w:color w:val="000000"/>
          <w:lang w:val="hu-HU"/>
        </w:rPr>
      </w:pPr>
      <w:r w:rsidRPr="00D045B3">
        <w:rPr>
          <w:color w:val="000000"/>
          <w:lang w:val="hu-HU"/>
        </w:rPr>
        <w:t>Amennyiben bármilyen kérdése van azzal kapcsolatban, hogy miként hat az Imatinib Actavis, illetve</w:t>
      </w:r>
      <w:r w:rsidR="00C7474B" w:rsidRPr="00D045B3">
        <w:rPr>
          <w:color w:val="000000"/>
          <w:lang w:val="hu-HU"/>
        </w:rPr>
        <w:t>, hogy</w:t>
      </w:r>
      <w:r w:rsidRPr="00D045B3">
        <w:rPr>
          <w:color w:val="000000"/>
          <w:lang w:val="hu-HU"/>
        </w:rPr>
        <w:t xml:space="preserve"> miért írták fel Önnek ezt a gyógyszert, kérdezze meg kezelőorvosát.</w:t>
      </w:r>
    </w:p>
    <w:p w14:paraId="1E928387" w14:textId="77777777" w:rsidR="002014A3" w:rsidRPr="00D045B3" w:rsidRDefault="002014A3" w:rsidP="002014A3">
      <w:pPr>
        <w:spacing w:line="240" w:lineRule="auto"/>
        <w:ind w:right="-2"/>
        <w:rPr>
          <w:color w:val="000000"/>
          <w:lang w:val="hu-HU"/>
        </w:rPr>
      </w:pPr>
    </w:p>
    <w:p w14:paraId="1E928388" w14:textId="77777777" w:rsidR="002014A3" w:rsidRPr="00D045B3" w:rsidRDefault="002014A3" w:rsidP="002014A3">
      <w:pPr>
        <w:spacing w:line="240" w:lineRule="auto"/>
        <w:ind w:right="-2"/>
        <w:rPr>
          <w:color w:val="000000"/>
          <w:lang w:val="hu-HU"/>
        </w:rPr>
      </w:pPr>
    </w:p>
    <w:p w14:paraId="1E928389" w14:textId="77777777" w:rsidR="002014A3" w:rsidRPr="00D045B3" w:rsidRDefault="002014A3" w:rsidP="002014A3">
      <w:pPr>
        <w:keepNext/>
        <w:spacing w:line="240" w:lineRule="auto"/>
        <w:ind w:left="567" w:right="-2" w:hanging="567"/>
        <w:rPr>
          <w:b/>
          <w:color w:val="000000"/>
          <w:lang w:val="hu-HU"/>
        </w:rPr>
      </w:pPr>
      <w:r w:rsidRPr="00D045B3">
        <w:rPr>
          <w:b/>
          <w:color w:val="000000"/>
          <w:lang w:val="hu-HU"/>
        </w:rPr>
        <w:t>2.</w:t>
      </w:r>
      <w:r w:rsidRPr="00D045B3">
        <w:rPr>
          <w:b/>
          <w:color w:val="000000"/>
          <w:lang w:val="hu-HU"/>
        </w:rPr>
        <w:tab/>
        <w:t>Tudnivalók az Imatinib Actavis szedése előtt</w:t>
      </w:r>
    </w:p>
    <w:p w14:paraId="1E92838A" w14:textId="77777777" w:rsidR="002014A3" w:rsidRPr="00D045B3" w:rsidRDefault="002014A3" w:rsidP="002014A3">
      <w:pPr>
        <w:keepNext/>
        <w:spacing w:line="240" w:lineRule="auto"/>
        <w:rPr>
          <w:color w:val="000000"/>
          <w:lang w:val="hu-HU"/>
        </w:rPr>
      </w:pPr>
    </w:p>
    <w:p w14:paraId="1E92838B" w14:textId="77777777" w:rsidR="002014A3" w:rsidRPr="00D045B3" w:rsidRDefault="002014A3" w:rsidP="002014A3">
      <w:pPr>
        <w:keepNext/>
        <w:spacing w:line="240" w:lineRule="auto"/>
        <w:rPr>
          <w:color w:val="000000"/>
          <w:lang w:val="hu-HU"/>
        </w:rPr>
      </w:pPr>
      <w:r w:rsidRPr="00D045B3">
        <w:rPr>
          <w:color w:val="000000"/>
          <w:lang w:val="hu-HU"/>
        </w:rPr>
        <w:t>Az Imatinib Actavis</w:t>
      </w:r>
      <w:r w:rsidRPr="00D045B3">
        <w:rPr>
          <w:color w:val="000000"/>
          <w:lang w:val="hu-HU"/>
        </w:rPr>
        <w:noBreakHyphen/>
        <w:t xml:space="preserve">t kizárólag olyan orvos írhatja fel Önnek, aki tapasztalt a vér daganatos megbetegedéseinek </w:t>
      </w:r>
      <w:r w:rsidR="00A36728" w:rsidRPr="00D045B3">
        <w:rPr>
          <w:color w:val="000000"/>
          <w:szCs w:val="22"/>
          <w:lang w:val="hu-HU"/>
        </w:rPr>
        <w:t xml:space="preserve">vagy úgynevezett szolid tumoros betegségek </w:t>
      </w:r>
      <w:r w:rsidRPr="00D045B3">
        <w:rPr>
          <w:color w:val="000000"/>
          <w:lang w:val="hu-HU"/>
        </w:rPr>
        <w:t>kezelésében.</w:t>
      </w:r>
    </w:p>
    <w:p w14:paraId="1E92838C" w14:textId="77777777" w:rsidR="002014A3" w:rsidRPr="00D045B3" w:rsidRDefault="002014A3" w:rsidP="002014A3">
      <w:pPr>
        <w:spacing w:line="240" w:lineRule="auto"/>
        <w:rPr>
          <w:color w:val="000000"/>
          <w:lang w:val="hu-HU"/>
        </w:rPr>
      </w:pPr>
    </w:p>
    <w:p w14:paraId="1E92838D" w14:textId="77777777" w:rsidR="002014A3" w:rsidRPr="00D045B3" w:rsidRDefault="002014A3" w:rsidP="002014A3">
      <w:pPr>
        <w:spacing w:line="240" w:lineRule="auto"/>
        <w:rPr>
          <w:color w:val="000000"/>
          <w:lang w:val="hu-HU"/>
        </w:rPr>
      </w:pPr>
      <w:r w:rsidRPr="00D045B3">
        <w:rPr>
          <w:color w:val="000000"/>
          <w:lang w:val="hu-HU"/>
        </w:rPr>
        <w:t>Gondosan kövesse orvosa valamennyi utasítását, még akkor is, ha azok eltérnek attól, az ebben a betegtájékoztatóban szereplő általános információktól.</w:t>
      </w:r>
    </w:p>
    <w:p w14:paraId="1E92838E" w14:textId="77777777" w:rsidR="002014A3" w:rsidRPr="00D045B3" w:rsidRDefault="002014A3" w:rsidP="002014A3">
      <w:pPr>
        <w:spacing w:line="240" w:lineRule="auto"/>
        <w:rPr>
          <w:color w:val="000000"/>
          <w:lang w:val="hu-HU"/>
        </w:rPr>
      </w:pPr>
    </w:p>
    <w:p w14:paraId="1E92838F" w14:textId="77777777" w:rsidR="002014A3" w:rsidRPr="00D045B3" w:rsidRDefault="002014A3" w:rsidP="002014A3">
      <w:pPr>
        <w:keepNext/>
        <w:spacing w:line="240" w:lineRule="auto"/>
        <w:rPr>
          <w:b/>
          <w:color w:val="000000"/>
          <w:lang w:val="hu-HU"/>
        </w:rPr>
      </w:pPr>
      <w:r w:rsidRPr="00D045B3">
        <w:rPr>
          <w:b/>
          <w:color w:val="000000"/>
          <w:lang w:val="hu-HU"/>
        </w:rPr>
        <w:t>Ne szedje az Imatinib Actavis</w:t>
      </w:r>
      <w:r w:rsidRPr="00D045B3">
        <w:rPr>
          <w:b/>
          <w:color w:val="000000"/>
          <w:lang w:val="hu-HU"/>
        </w:rPr>
        <w:noBreakHyphen/>
        <w:t>t</w:t>
      </w:r>
    </w:p>
    <w:p w14:paraId="1E928390" w14:textId="77777777" w:rsidR="002014A3" w:rsidRPr="00D045B3" w:rsidRDefault="002014A3" w:rsidP="00E95370">
      <w:pPr>
        <w:keepNext/>
        <w:numPr>
          <w:ilvl w:val="0"/>
          <w:numId w:val="9"/>
        </w:numPr>
        <w:tabs>
          <w:tab w:val="clear" w:pos="360"/>
          <w:tab w:val="clear" w:pos="567"/>
        </w:tabs>
        <w:suppressAutoHyphens/>
        <w:spacing w:line="240" w:lineRule="auto"/>
        <w:ind w:left="567" w:hanging="567"/>
        <w:rPr>
          <w:color w:val="000000"/>
          <w:lang w:val="hu-HU"/>
        </w:rPr>
      </w:pPr>
      <w:r w:rsidRPr="00D045B3">
        <w:rPr>
          <w:color w:val="000000"/>
          <w:lang w:val="hu-HU"/>
        </w:rPr>
        <w:t xml:space="preserve">ha allergiás az imatinibre, szójára, mogyoróra vagy a </w:t>
      </w:r>
      <w:r w:rsidRPr="00D045B3">
        <w:rPr>
          <w:noProof/>
          <w:szCs w:val="24"/>
          <w:lang w:val="hu-HU"/>
        </w:rPr>
        <w:t xml:space="preserve">gyógyszer (6. pontban felsorolt) </w:t>
      </w:r>
      <w:r w:rsidRPr="00D045B3">
        <w:rPr>
          <w:color w:val="000000"/>
          <w:lang w:val="hu-HU"/>
        </w:rPr>
        <w:t>egyéb összetevőjére.</w:t>
      </w:r>
    </w:p>
    <w:p w14:paraId="1E928391" w14:textId="77777777" w:rsidR="002014A3" w:rsidRPr="00D045B3" w:rsidRDefault="002014A3" w:rsidP="002014A3">
      <w:pPr>
        <w:spacing w:line="240" w:lineRule="auto"/>
        <w:rPr>
          <w:color w:val="000000"/>
          <w:lang w:val="hu-HU"/>
        </w:rPr>
      </w:pPr>
    </w:p>
    <w:p w14:paraId="1E928392" w14:textId="77777777" w:rsidR="002014A3" w:rsidRPr="00D045B3" w:rsidRDefault="002014A3" w:rsidP="002014A3">
      <w:pPr>
        <w:spacing w:line="240" w:lineRule="auto"/>
        <w:rPr>
          <w:color w:val="000000"/>
          <w:lang w:val="hu-HU"/>
        </w:rPr>
      </w:pPr>
      <w:r w:rsidRPr="00D045B3">
        <w:rPr>
          <w:color w:val="000000"/>
          <w:lang w:val="hu-HU"/>
        </w:rPr>
        <w:t xml:space="preserve">Amennyiben ez vonatkozik Önre, </w:t>
      </w:r>
      <w:r w:rsidRPr="00D045B3">
        <w:rPr>
          <w:b/>
          <w:color w:val="000000"/>
          <w:lang w:val="hu-HU"/>
        </w:rPr>
        <w:t>tájékoztassa erről kezelőorvosát, mielőtt bevenné az Imatinib Actavis</w:t>
      </w:r>
      <w:r w:rsidRPr="00D045B3">
        <w:rPr>
          <w:b/>
          <w:color w:val="000000"/>
          <w:lang w:val="hu-HU"/>
        </w:rPr>
        <w:noBreakHyphen/>
        <w:t>t.</w:t>
      </w:r>
    </w:p>
    <w:p w14:paraId="1E928393" w14:textId="77777777" w:rsidR="002014A3" w:rsidRPr="00D045B3" w:rsidRDefault="002014A3" w:rsidP="002014A3">
      <w:pPr>
        <w:spacing w:line="240" w:lineRule="auto"/>
        <w:rPr>
          <w:color w:val="000000"/>
          <w:lang w:val="hu-HU"/>
        </w:rPr>
      </w:pPr>
    </w:p>
    <w:p w14:paraId="1E928394" w14:textId="77777777" w:rsidR="002014A3" w:rsidRPr="00D045B3" w:rsidRDefault="002014A3" w:rsidP="002014A3">
      <w:pPr>
        <w:spacing w:line="240" w:lineRule="auto"/>
        <w:rPr>
          <w:color w:val="000000"/>
          <w:lang w:val="hu-HU"/>
        </w:rPr>
      </w:pPr>
      <w:r w:rsidRPr="00D045B3">
        <w:rPr>
          <w:color w:val="000000"/>
          <w:lang w:val="hu-HU"/>
        </w:rPr>
        <w:t>Ha Ön úgy véli, hogy allergiás lehet, de nem biztos benne, forduljon orvosához további tanácsért.</w:t>
      </w:r>
    </w:p>
    <w:p w14:paraId="1E928395" w14:textId="77777777" w:rsidR="002014A3" w:rsidRPr="00D045B3" w:rsidRDefault="002014A3" w:rsidP="002014A3">
      <w:pPr>
        <w:spacing w:line="240" w:lineRule="auto"/>
        <w:rPr>
          <w:color w:val="000000"/>
          <w:lang w:val="hu-HU"/>
        </w:rPr>
      </w:pPr>
    </w:p>
    <w:p w14:paraId="1E928396" w14:textId="77777777" w:rsidR="002014A3" w:rsidRPr="00D045B3" w:rsidRDefault="002014A3" w:rsidP="002014A3">
      <w:pPr>
        <w:keepNext/>
        <w:spacing w:line="240" w:lineRule="auto"/>
        <w:ind w:right="-2"/>
        <w:rPr>
          <w:b/>
          <w:color w:val="000000"/>
          <w:lang w:val="hu-HU"/>
        </w:rPr>
      </w:pPr>
      <w:r w:rsidRPr="00D045B3">
        <w:rPr>
          <w:b/>
          <w:noProof/>
          <w:szCs w:val="24"/>
          <w:lang w:val="hu-HU"/>
        </w:rPr>
        <w:t>Figyelmeztetések és óvintézkedések</w:t>
      </w:r>
    </w:p>
    <w:p w14:paraId="1E928397" w14:textId="77777777" w:rsidR="002014A3" w:rsidRPr="00D045B3" w:rsidRDefault="002014A3" w:rsidP="00CA41FD">
      <w:pPr>
        <w:spacing w:line="240" w:lineRule="auto"/>
        <w:rPr>
          <w:color w:val="000000"/>
          <w:lang w:val="hu-HU"/>
        </w:rPr>
      </w:pPr>
      <w:r w:rsidRPr="00D045B3">
        <w:rPr>
          <w:color w:val="000000"/>
          <w:lang w:val="hu-HU"/>
        </w:rPr>
        <w:t>Az Imatinib Actavis szedése előtt beszéljen kezelőorvosával:</w:t>
      </w:r>
    </w:p>
    <w:p w14:paraId="1E928398" w14:textId="77777777" w:rsidR="002014A3" w:rsidRPr="00D045B3" w:rsidRDefault="002014A3" w:rsidP="00E95370">
      <w:pPr>
        <w:numPr>
          <w:ilvl w:val="0"/>
          <w:numId w:val="10"/>
        </w:numPr>
        <w:tabs>
          <w:tab w:val="clear" w:pos="360"/>
          <w:tab w:val="clear" w:pos="567"/>
        </w:tabs>
        <w:suppressAutoHyphens/>
        <w:spacing w:line="240" w:lineRule="auto"/>
        <w:ind w:left="567" w:hanging="567"/>
        <w:rPr>
          <w:color w:val="000000"/>
          <w:lang w:val="hu-HU"/>
        </w:rPr>
      </w:pPr>
      <w:r w:rsidRPr="00D045B3">
        <w:rPr>
          <w:color w:val="000000"/>
          <w:lang w:val="hu-HU"/>
        </w:rPr>
        <w:t>ha máj</w:t>
      </w:r>
      <w:r w:rsidRPr="00D045B3">
        <w:rPr>
          <w:color w:val="000000"/>
          <w:lang w:val="hu-HU"/>
        </w:rPr>
        <w:noBreakHyphen/>
        <w:t>, vese</w:t>
      </w:r>
      <w:r w:rsidRPr="00D045B3">
        <w:rPr>
          <w:color w:val="000000"/>
          <w:lang w:val="hu-HU"/>
        </w:rPr>
        <w:noBreakHyphen/>
        <w:t xml:space="preserve"> vagy szívproblémái vannak, vagy korábban bármikor voltak.</w:t>
      </w:r>
    </w:p>
    <w:p w14:paraId="1E928399" w14:textId="77777777" w:rsidR="002014A3" w:rsidRPr="00D045B3" w:rsidRDefault="002014A3" w:rsidP="00E95370">
      <w:pPr>
        <w:numPr>
          <w:ilvl w:val="0"/>
          <w:numId w:val="10"/>
        </w:numPr>
        <w:tabs>
          <w:tab w:val="clear" w:pos="360"/>
          <w:tab w:val="clear" w:pos="567"/>
        </w:tabs>
        <w:suppressAutoHyphens/>
        <w:spacing w:line="240" w:lineRule="auto"/>
        <w:ind w:left="567" w:hanging="567"/>
        <w:rPr>
          <w:color w:val="000000"/>
          <w:lang w:val="hu-HU"/>
        </w:rPr>
      </w:pPr>
      <w:r w:rsidRPr="00D045B3">
        <w:rPr>
          <w:color w:val="000000"/>
          <w:lang w:val="hu-HU"/>
        </w:rPr>
        <w:t>ha levotiroxin</w:t>
      </w:r>
      <w:r w:rsidRPr="00D045B3">
        <w:rPr>
          <w:color w:val="000000"/>
          <w:lang w:val="hu-HU"/>
        </w:rPr>
        <w:noBreakHyphen/>
        <w:t>tartalmú gyógyszert szed, mert eltávolították a pajzsmirigyét.</w:t>
      </w:r>
    </w:p>
    <w:p w14:paraId="1E92839A" w14:textId="2F21751E" w:rsidR="000234C7" w:rsidRPr="00D045B3" w:rsidRDefault="000234C7" w:rsidP="00E95370">
      <w:pPr>
        <w:pStyle w:val="KeinLeerraum"/>
        <w:numPr>
          <w:ilvl w:val="0"/>
          <w:numId w:val="10"/>
        </w:numPr>
        <w:tabs>
          <w:tab w:val="clear" w:pos="360"/>
          <w:tab w:val="num" w:pos="567"/>
        </w:tabs>
        <w:ind w:left="567" w:hanging="567"/>
        <w:rPr>
          <w:rFonts w:ascii="Times New Roman" w:hAnsi="Times New Roman"/>
        </w:rPr>
      </w:pPr>
      <w:r w:rsidRPr="00D045B3">
        <w:rPr>
          <w:rFonts w:ascii="Times New Roman" w:hAnsi="Times New Roman"/>
        </w:rPr>
        <w:t xml:space="preserve">ha Önnek valaha hepatitisz B fertőzése volt vagy jelenleg fennáll annak lehetősége. Erre azért van szükség, mert az Imatinib Actavis a hepatitisz B fertőzés kiújulását válthatja ki, ami egyes esetekben halálos lehet. A betegeket kezelőorvosuk gondosan ellenőrizni fogja, hogy nem alakultak-e ki a fertőzés jelei, mielőtt a kezelést elkezdi. </w:t>
      </w:r>
    </w:p>
    <w:p w14:paraId="3196D4A5" w14:textId="7198C900" w:rsidR="00057EB8" w:rsidRPr="00D045B3" w:rsidRDefault="00057EB8" w:rsidP="00FE2796">
      <w:pPr>
        <w:numPr>
          <w:ilvl w:val="0"/>
          <w:numId w:val="10"/>
        </w:numPr>
        <w:tabs>
          <w:tab w:val="clear" w:pos="360"/>
          <w:tab w:val="clear" w:pos="567"/>
        </w:tabs>
        <w:suppressAutoHyphens/>
        <w:spacing w:line="240" w:lineRule="auto"/>
        <w:ind w:left="567" w:hanging="567"/>
        <w:rPr>
          <w:lang w:val="hu-HU"/>
        </w:rPr>
      </w:pPr>
      <w:r w:rsidRPr="00D045B3">
        <w:rPr>
          <w:color w:val="000000"/>
          <w:lang w:val="hu-HU"/>
        </w:rPr>
        <w:t>ha az Imatinib Actavis szedése közben véraláfutást, vérzést, lázat, fáradtságot és zavartságot tapasztal, keresse fel kezelőorvosát. Ez a vérerek sérülésének, más néven a trom</w:t>
      </w:r>
      <w:r w:rsidR="00283A18" w:rsidRPr="00D045B3">
        <w:rPr>
          <w:color w:val="000000"/>
          <w:lang w:val="hu-HU"/>
        </w:rPr>
        <w:t>b</w:t>
      </w:r>
      <w:r w:rsidRPr="00D045B3">
        <w:rPr>
          <w:color w:val="000000"/>
          <w:lang w:val="hu-HU"/>
        </w:rPr>
        <w:t>otikus mikroangiopátiának (TMA) a jele lehet.</w:t>
      </w:r>
    </w:p>
    <w:p w14:paraId="1E92839B" w14:textId="1267F22E" w:rsidR="002014A3" w:rsidRPr="00D045B3" w:rsidRDefault="002014A3" w:rsidP="002014A3">
      <w:pPr>
        <w:tabs>
          <w:tab w:val="left" w:pos="5245"/>
        </w:tabs>
        <w:spacing w:line="240" w:lineRule="auto"/>
        <w:rPr>
          <w:b/>
          <w:color w:val="000000"/>
          <w:lang w:val="hu-HU"/>
        </w:rPr>
      </w:pPr>
      <w:r w:rsidRPr="00D045B3">
        <w:rPr>
          <w:color w:val="000000"/>
          <w:lang w:val="hu-HU"/>
        </w:rPr>
        <w:t xml:space="preserve">Ha a fentiek bármelyike vonatkozik Önre, ezt </w:t>
      </w:r>
      <w:r w:rsidRPr="00D045B3">
        <w:rPr>
          <w:b/>
          <w:color w:val="000000"/>
          <w:lang w:val="hu-HU"/>
        </w:rPr>
        <w:t>még az Imatinib Actavis bevétele előtt közölje kezelőorvosával.</w:t>
      </w:r>
    </w:p>
    <w:p w14:paraId="1E92839C" w14:textId="77777777" w:rsidR="002014A3" w:rsidRPr="00D045B3" w:rsidRDefault="002014A3" w:rsidP="002014A3">
      <w:pPr>
        <w:spacing w:line="240" w:lineRule="auto"/>
        <w:ind w:right="-2"/>
        <w:rPr>
          <w:color w:val="000000"/>
          <w:lang w:val="hu-HU"/>
        </w:rPr>
      </w:pPr>
    </w:p>
    <w:p w14:paraId="1E92839D" w14:textId="77777777" w:rsidR="0042093C" w:rsidRPr="00D045B3" w:rsidRDefault="0042093C" w:rsidP="0042093C">
      <w:pPr>
        <w:pStyle w:val="Endnotentext"/>
        <w:widowControl w:val="0"/>
        <w:tabs>
          <w:tab w:val="left" w:pos="720"/>
        </w:tabs>
        <w:rPr>
          <w:snapToGrid w:val="0"/>
          <w:color w:val="000000"/>
          <w:szCs w:val="22"/>
          <w:lang w:val="hu-HU"/>
        </w:rPr>
      </w:pPr>
      <w:r w:rsidRPr="00D045B3">
        <w:rPr>
          <w:snapToGrid w:val="0"/>
          <w:color w:val="000000"/>
          <w:szCs w:val="22"/>
          <w:lang w:val="hu-HU"/>
        </w:rPr>
        <w:t>Az Imatinib Actavis szedése alatt Ön érzékenyebb lehet a napsugárzásra. Fontos, hogy öltözékével takarja a napsütésnek kitett bőrterületeket, valamint, hogy magas fényvédő faktorszámú naptejet használjon. Ezek a szabályok gyermekekre is vonatkoznak.</w:t>
      </w:r>
    </w:p>
    <w:p w14:paraId="1E92839E" w14:textId="77777777" w:rsidR="0042093C" w:rsidRPr="00D045B3" w:rsidRDefault="0042093C" w:rsidP="002014A3">
      <w:pPr>
        <w:spacing w:line="240" w:lineRule="auto"/>
        <w:ind w:right="-2"/>
        <w:rPr>
          <w:color w:val="000000"/>
          <w:lang w:val="hu-HU"/>
        </w:rPr>
      </w:pPr>
    </w:p>
    <w:p w14:paraId="1E92839F" w14:textId="77777777" w:rsidR="002014A3" w:rsidRPr="00D045B3" w:rsidRDefault="002014A3" w:rsidP="00CA41FD">
      <w:pPr>
        <w:spacing w:line="240" w:lineRule="auto"/>
        <w:rPr>
          <w:b/>
          <w:color w:val="000000"/>
          <w:lang w:val="hu-HU"/>
        </w:rPr>
      </w:pPr>
      <w:r w:rsidRPr="00D045B3">
        <w:rPr>
          <w:b/>
          <w:color w:val="000000"/>
          <w:lang w:val="hu-HU"/>
        </w:rPr>
        <w:t>Az Imatinib Actavis</w:t>
      </w:r>
      <w:r w:rsidRPr="00D045B3">
        <w:rPr>
          <w:b/>
          <w:color w:val="000000"/>
          <w:lang w:val="hu-HU"/>
        </w:rPr>
        <w:noBreakHyphen/>
        <w:t>kezelés során azonnal értesítse kezelőorvosát</w:t>
      </w:r>
      <w:r w:rsidRPr="00D045B3">
        <w:rPr>
          <w:color w:val="000000"/>
          <w:lang w:val="hu-HU"/>
        </w:rPr>
        <w:t>, ha hirtelen testtömeg</w:t>
      </w:r>
      <w:r w:rsidRPr="00D045B3">
        <w:rPr>
          <w:color w:val="000000"/>
          <w:lang w:val="hu-HU"/>
        </w:rPr>
        <w:noBreakHyphen/>
        <w:t>növekedést észlel. Az Imatinib Actavis az Ön testében a víz visszatartását okozhatja (úgynevezett súlyos folyadékretenció).</w:t>
      </w:r>
    </w:p>
    <w:p w14:paraId="1E9283A0" w14:textId="77777777" w:rsidR="002014A3" w:rsidRPr="00D045B3" w:rsidRDefault="002014A3" w:rsidP="002014A3">
      <w:pPr>
        <w:spacing w:line="240" w:lineRule="auto"/>
        <w:ind w:right="-2"/>
        <w:rPr>
          <w:color w:val="000000"/>
          <w:lang w:val="hu-HU"/>
        </w:rPr>
      </w:pPr>
    </w:p>
    <w:p w14:paraId="1E9283A1" w14:textId="77777777" w:rsidR="002014A3" w:rsidRPr="00D045B3" w:rsidRDefault="002014A3" w:rsidP="002014A3">
      <w:pPr>
        <w:spacing w:line="240" w:lineRule="auto"/>
        <w:rPr>
          <w:color w:val="000000"/>
          <w:lang w:val="hu-HU"/>
        </w:rPr>
      </w:pPr>
      <w:r w:rsidRPr="00D045B3">
        <w:rPr>
          <w:color w:val="000000"/>
          <w:lang w:val="hu-HU"/>
        </w:rPr>
        <w:t>Mialatt Ön szedi az Imatinib Actavis</w:t>
      </w:r>
      <w:r w:rsidRPr="00D045B3">
        <w:rPr>
          <w:color w:val="000000"/>
          <w:lang w:val="hu-HU"/>
        </w:rPr>
        <w:noBreakHyphen/>
        <w:t>t, kezelőorvosa rendszeresen ellenőrizni fogja, hogy a gyógyszer hat</w:t>
      </w:r>
      <w:r w:rsidRPr="00D045B3">
        <w:rPr>
          <w:color w:val="000000"/>
          <w:lang w:val="hu-HU"/>
        </w:rPr>
        <w:noBreakHyphen/>
        <w:t>e. Vérképét és testtömegét is rendszeresen ellenőrzik majd.</w:t>
      </w:r>
    </w:p>
    <w:p w14:paraId="1E9283A2" w14:textId="77777777" w:rsidR="002014A3" w:rsidRPr="00D045B3" w:rsidRDefault="002014A3" w:rsidP="002014A3">
      <w:pPr>
        <w:spacing w:line="240" w:lineRule="auto"/>
        <w:rPr>
          <w:color w:val="000000"/>
          <w:lang w:val="hu-HU"/>
        </w:rPr>
      </w:pPr>
    </w:p>
    <w:p w14:paraId="1E9283A3" w14:textId="77777777" w:rsidR="002014A3" w:rsidRPr="00D045B3" w:rsidRDefault="002014A3" w:rsidP="002014A3">
      <w:pPr>
        <w:keepNext/>
        <w:spacing w:line="240" w:lineRule="auto"/>
        <w:rPr>
          <w:b/>
          <w:noProof/>
          <w:szCs w:val="24"/>
          <w:lang w:val="hu-HU"/>
        </w:rPr>
      </w:pPr>
      <w:r w:rsidRPr="00D045B3">
        <w:rPr>
          <w:b/>
          <w:noProof/>
          <w:szCs w:val="24"/>
          <w:lang w:val="hu-HU"/>
        </w:rPr>
        <w:t>Gyermekek és serdülők</w:t>
      </w:r>
    </w:p>
    <w:p w14:paraId="1E9283A4" w14:textId="5D3A4FFC" w:rsidR="002014A3" w:rsidRPr="00D045B3" w:rsidRDefault="002014A3" w:rsidP="00CA41FD">
      <w:pPr>
        <w:spacing w:line="240" w:lineRule="auto"/>
        <w:rPr>
          <w:color w:val="000000"/>
          <w:lang w:val="hu-HU"/>
        </w:rPr>
      </w:pPr>
      <w:r w:rsidRPr="00D045B3">
        <w:rPr>
          <w:color w:val="000000"/>
          <w:lang w:val="hu-HU"/>
        </w:rPr>
        <w:t>Az Imatinib Actavis krónikus mieloid leukémiában (CML</w:t>
      </w:r>
      <w:r w:rsidRPr="00D045B3">
        <w:rPr>
          <w:color w:val="000000"/>
          <w:lang w:val="hu-HU"/>
        </w:rPr>
        <w:noBreakHyphen/>
        <w:t xml:space="preserve">ben) szenvedő gyermekek kezelésére is adható. Két éves kor alatti, krónikus mieloid leukémiában szenvedő gyermekekre vonatkozóan nincs tapasztalat. </w:t>
      </w:r>
      <w:r w:rsidR="00A36728" w:rsidRPr="00D045B3">
        <w:rPr>
          <w:szCs w:val="22"/>
          <w:lang w:val="hu-HU"/>
        </w:rPr>
        <w:t>Ph</w:t>
      </w:r>
      <w:r w:rsidR="00A36728" w:rsidRPr="00D045B3">
        <w:rPr>
          <w:szCs w:val="22"/>
          <w:lang w:val="hu-HU"/>
        </w:rPr>
        <w:noBreakHyphen/>
        <w:t>pozitív ALL</w:t>
      </w:r>
      <w:r w:rsidR="00A36728" w:rsidRPr="00D045B3">
        <w:rPr>
          <w:szCs w:val="22"/>
          <w:lang w:val="hu-HU"/>
        </w:rPr>
        <w:noBreakHyphen/>
        <w:t>es gyermekek esetében korlátozott, míg MDS/MPD, DFSP és HES/CEL</w:t>
      </w:r>
      <w:r w:rsidR="00A36728" w:rsidRPr="00D045B3">
        <w:rPr>
          <w:szCs w:val="22"/>
          <w:lang w:val="hu-HU"/>
        </w:rPr>
        <w:noBreakHyphen/>
        <w:t>ben szenvedő gyermekekre vonatkozóan csak nagyon korlátozott mennyiségű tapasztalat áll rendelkezésre.</w:t>
      </w:r>
    </w:p>
    <w:p w14:paraId="1E9283A5" w14:textId="77777777" w:rsidR="002014A3" w:rsidRPr="00D045B3" w:rsidRDefault="002014A3" w:rsidP="002014A3">
      <w:pPr>
        <w:spacing w:line="240" w:lineRule="auto"/>
        <w:ind w:right="-2"/>
        <w:rPr>
          <w:color w:val="000000"/>
          <w:lang w:val="hu-HU"/>
        </w:rPr>
      </w:pPr>
    </w:p>
    <w:p w14:paraId="1E9283A6" w14:textId="77777777" w:rsidR="002014A3" w:rsidRPr="00D045B3" w:rsidRDefault="002014A3" w:rsidP="002014A3">
      <w:pPr>
        <w:spacing w:line="240" w:lineRule="auto"/>
        <w:ind w:right="-2"/>
        <w:rPr>
          <w:color w:val="000000"/>
          <w:lang w:val="hu-HU"/>
        </w:rPr>
      </w:pPr>
      <w:r w:rsidRPr="00D045B3">
        <w:rPr>
          <w:color w:val="000000"/>
          <w:lang w:val="hu-HU"/>
        </w:rPr>
        <w:t>Néhány Imatinib Actavis</w:t>
      </w:r>
      <w:r w:rsidRPr="00D045B3">
        <w:rPr>
          <w:color w:val="000000"/>
          <w:lang w:val="hu-HU"/>
        </w:rPr>
        <w:noBreakHyphen/>
        <w:t>t szedő gyermek és serdülőkorú növekedése a normálisnál lassabb lehet. Az orvos a rendszeres kontrollvizsgálatok alkalmával ellenőrizni fogja a növekedést.</w:t>
      </w:r>
    </w:p>
    <w:p w14:paraId="1E9283A7" w14:textId="77777777" w:rsidR="002014A3" w:rsidRPr="00D045B3" w:rsidRDefault="002014A3" w:rsidP="002014A3">
      <w:pPr>
        <w:spacing w:line="240" w:lineRule="auto"/>
        <w:rPr>
          <w:color w:val="000000"/>
          <w:lang w:val="hu-HU"/>
        </w:rPr>
      </w:pPr>
    </w:p>
    <w:p w14:paraId="1E9283A8" w14:textId="77777777" w:rsidR="002014A3" w:rsidRPr="00D045B3" w:rsidRDefault="002014A3" w:rsidP="002014A3">
      <w:pPr>
        <w:keepNext/>
        <w:spacing w:line="240" w:lineRule="auto"/>
        <w:rPr>
          <w:b/>
          <w:color w:val="000000"/>
          <w:lang w:val="hu-HU"/>
        </w:rPr>
      </w:pPr>
      <w:r w:rsidRPr="00D045B3">
        <w:rPr>
          <w:b/>
          <w:color w:val="000000"/>
          <w:lang w:val="hu-HU"/>
        </w:rPr>
        <w:t>Egyéb gyógyszerek és az Imatinib Actavis</w:t>
      </w:r>
    </w:p>
    <w:p w14:paraId="1E9283A9" w14:textId="77777777" w:rsidR="002014A3" w:rsidRPr="00D045B3" w:rsidRDefault="002014A3" w:rsidP="00CA41FD">
      <w:pPr>
        <w:spacing w:line="240" w:lineRule="auto"/>
        <w:rPr>
          <w:color w:val="000000"/>
          <w:lang w:val="hu-HU"/>
        </w:rPr>
      </w:pPr>
      <w:r w:rsidRPr="00D045B3">
        <w:rPr>
          <w:color w:val="000000"/>
          <w:lang w:val="hu-HU"/>
        </w:rPr>
        <w:t>Feltétlenül tájékoztassa kezelőorvosát vagy gyógyszerészét a jelenleg vagy nemrégiben szedett</w:t>
      </w:r>
      <w:r w:rsidRPr="00D045B3">
        <w:rPr>
          <w:noProof/>
          <w:szCs w:val="24"/>
          <w:lang w:val="hu-HU"/>
        </w:rPr>
        <w:t>, valamint szedni tervezett</w:t>
      </w:r>
      <w:r w:rsidRPr="00D045B3">
        <w:rPr>
          <w:color w:val="000000"/>
          <w:lang w:val="hu-HU"/>
        </w:rPr>
        <w:t xml:space="preserve"> egyéb gyógyszereiről, beleértve a vény nélkül kapható készítményeket (pl. a paracetamolt) és a gyógynövény készítményeket (pl. az orbáncfüvet) is. Néhány gyógyszer egyidejű alkalmazás esetén befolyásolhatja az Imatinib Actavis hatását. Fokozhatják, illetve csökkenthetik az Imatinib Actavis hatását, ami a mellékhatások előfordulási gyakoriságának növekedéséhez, illetve az Imatinib Actavis hatásosságának csökkenéséhez vezethet. Az Imatinib Actavis ugyanígy hathat néhány más gyógyszerre.</w:t>
      </w:r>
    </w:p>
    <w:p w14:paraId="1E9283AA" w14:textId="77777777" w:rsidR="002014A3" w:rsidRPr="00D045B3" w:rsidRDefault="002014A3" w:rsidP="002014A3">
      <w:pPr>
        <w:spacing w:line="240" w:lineRule="auto"/>
        <w:rPr>
          <w:color w:val="000000"/>
          <w:lang w:val="hu-HU"/>
        </w:rPr>
      </w:pPr>
    </w:p>
    <w:p w14:paraId="1E9283AB" w14:textId="77777777" w:rsidR="002014A3" w:rsidRPr="00D045B3" w:rsidRDefault="002014A3" w:rsidP="002014A3">
      <w:pPr>
        <w:spacing w:line="240" w:lineRule="auto"/>
        <w:rPr>
          <w:color w:val="000000"/>
          <w:lang w:val="hu-HU"/>
        </w:rPr>
      </w:pPr>
      <w:r w:rsidRPr="00D045B3">
        <w:rPr>
          <w:color w:val="000000"/>
          <w:lang w:val="hu-HU"/>
        </w:rPr>
        <w:t>Tájékoztassa kezelőorvosát, ha vérrögképződést gátló gyógyszert alkalmaz.</w:t>
      </w:r>
    </w:p>
    <w:p w14:paraId="1E9283AC" w14:textId="77777777" w:rsidR="002014A3" w:rsidRPr="00D045B3" w:rsidRDefault="002014A3" w:rsidP="002014A3">
      <w:pPr>
        <w:spacing w:line="240" w:lineRule="auto"/>
        <w:ind w:right="-2"/>
        <w:rPr>
          <w:color w:val="000000"/>
          <w:lang w:val="hu-HU"/>
        </w:rPr>
      </w:pPr>
    </w:p>
    <w:p w14:paraId="1E9283AD" w14:textId="77777777" w:rsidR="002014A3" w:rsidRPr="00D045B3" w:rsidRDefault="002014A3" w:rsidP="002014A3">
      <w:pPr>
        <w:keepNext/>
        <w:ind w:right="-29"/>
        <w:rPr>
          <w:b/>
          <w:color w:val="000000"/>
          <w:lang w:val="hu-HU"/>
        </w:rPr>
      </w:pPr>
      <w:r w:rsidRPr="00D045B3">
        <w:rPr>
          <w:b/>
          <w:color w:val="000000"/>
          <w:lang w:val="hu-HU"/>
        </w:rPr>
        <w:t>Terhesség, szoptatás és termékenység</w:t>
      </w:r>
    </w:p>
    <w:p w14:paraId="1E9283AE" w14:textId="77777777" w:rsidR="002014A3" w:rsidRPr="00D045B3" w:rsidRDefault="002014A3" w:rsidP="00E95370">
      <w:pPr>
        <w:widowControl w:val="0"/>
        <w:numPr>
          <w:ilvl w:val="0"/>
          <w:numId w:val="12"/>
        </w:numPr>
        <w:tabs>
          <w:tab w:val="clear" w:pos="0"/>
          <w:tab w:val="clear" w:pos="567"/>
        </w:tabs>
        <w:spacing w:line="240" w:lineRule="auto"/>
        <w:ind w:left="567" w:hanging="567"/>
        <w:rPr>
          <w:color w:val="000000"/>
          <w:lang w:val="hu-HU"/>
        </w:rPr>
      </w:pPr>
      <w:r w:rsidRPr="00D045B3">
        <w:rPr>
          <w:color w:val="000000"/>
          <w:lang w:val="hu-HU"/>
        </w:rPr>
        <w:t xml:space="preserve">Ha Ön terhes vagy szoptat, illetve ha fennáll Önnél a terhesség lehetősége vagy gyermeket szeretne, a gyógyszer </w:t>
      </w:r>
      <w:r w:rsidR="00AA799F" w:rsidRPr="00D045B3">
        <w:rPr>
          <w:color w:val="000000"/>
          <w:lang w:val="hu-HU"/>
        </w:rPr>
        <w:t xml:space="preserve">alkalmazása </w:t>
      </w:r>
      <w:r w:rsidRPr="00D045B3">
        <w:rPr>
          <w:color w:val="000000"/>
          <w:lang w:val="hu-HU"/>
        </w:rPr>
        <w:t>előtt beszéljen kezelőorvosával.</w:t>
      </w:r>
    </w:p>
    <w:p w14:paraId="1E9283AF" w14:textId="1053E0D5" w:rsidR="002014A3" w:rsidRPr="00D045B3" w:rsidRDefault="002014A3" w:rsidP="00283A18">
      <w:pPr>
        <w:numPr>
          <w:ilvl w:val="0"/>
          <w:numId w:val="12"/>
        </w:numPr>
        <w:tabs>
          <w:tab w:val="clear" w:pos="0"/>
          <w:tab w:val="clear" w:pos="567"/>
        </w:tabs>
        <w:suppressAutoHyphens/>
        <w:spacing w:line="240" w:lineRule="auto"/>
        <w:ind w:left="567" w:hanging="567"/>
        <w:rPr>
          <w:color w:val="000000"/>
          <w:lang w:val="hu-HU"/>
        </w:rPr>
      </w:pPr>
      <w:r w:rsidRPr="00D045B3">
        <w:rPr>
          <w:color w:val="000000"/>
          <w:lang w:val="hu-HU"/>
        </w:rPr>
        <w:t xml:space="preserve">Az Imatinib Actavis nem javasolt a terhesség ideje alatt, csak ha az egyértelműen szükséges, mert károsíthatja gyermekét. </w:t>
      </w:r>
      <w:r w:rsidR="00283A18" w:rsidRPr="00D045B3">
        <w:rPr>
          <w:color w:val="000000"/>
          <w:szCs w:val="22"/>
          <w:lang w:val="hu-HU"/>
        </w:rPr>
        <w:t>Kezelőorvosa</w:t>
      </w:r>
      <w:r w:rsidRPr="00D045B3">
        <w:rPr>
          <w:color w:val="000000"/>
          <w:lang w:val="hu-HU"/>
        </w:rPr>
        <w:t xml:space="preserve"> megbeszéli Önnel a terhesség ideje alatti Imatinib Actavis</w:t>
      </w:r>
      <w:r w:rsidRPr="00D045B3">
        <w:rPr>
          <w:color w:val="000000"/>
          <w:lang w:val="hu-HU"/>
        </w:rPr>
        <w:noBreakHyphen/>
        <w:t>kezelés lehetséges kockázatait.</w:t>
      </w:r>
    </w:p>
    <w:p w14:paraId="1E9283B0" w14:textId="33694C74" w:rsidR="002014A3" w:rsidRPr="00D045B3" w:rsidRDefault="002014A3" w:rsidP="00E95370">
      <w:pPr>
        <w:numPr>
          <w:ilvl w:val="0"/>
          <w:numId w:val="12"/>
        </w:numPr>
        <w:tabs>
          <w:tab w:val="clear" w:pos="0"/>
          <w:tab w:val="clear" w:pos="567"/>
        </w:tabs>
        <w:suppressAutoHyphens/>
        <w:spacing w:line="240" w:lineRule="auto"/>
        <w:ind w:left="567" w:hanging="567"/>
        <w:rPr>
          <w:color w:val="000000"/>
          <w:lang w:val="hu-HU"/>
        </w:rPr>
      </w:pPr>
      <w:r w:rsidRPr="00D045B3">
        <w:rPr>
          <w:color w:val="000000"/>
          <w:lang w:val="hu-HU"/>
        </w:rPr>
        <w:t>A fogamzóképes életkorú nőknek hatékony fogamzásgátló módszer alkalmazása javasolt a kezelés időtartama alatt</w:t>
      </w:r>
      <w:r w:rsidR="00363A97" w:rsidRPr="00D045B3">
        <w:rPr>
          <w:color w:val="000000"/>
          <w:lang w:val="hu-HU"/>
        </w:rPr>
        <w:t xml:space="preserve">, </w:t>
      </w:r>
      <w:r w:rsidR="00363A97" w:rsidRPr="00D045B3">
        <w:rPr>
          <w:color w:val="000000"/>
          <w:szCs w:val="22"/>
          <w:lang w:val="hu-HU"/>
        </w:rPr>
        <w:t>és még további 15 napig az Imatinib Actavis-kezelés befejezését követően</w:t>
      </w:r>
      <w:r w:rsidRPr="00D045B3">
        <w:rPr>
          <w:color w:val="000000"/>
          <w:lang w:val="hu-HU"/>
        </w:rPr>
        <w:t>.</w:t>
      </w:r>
    </w:p>
    <w:p w14:paraId="1E9283B1" w14:textId="32B80EB6" w:rsidR="002014A3" w:rsidRPr="00D045B3" w:rsidRDefault="002014A3" w:rsidP="00E95370">
      <w:pPr>
        <w:numPr>
          <w:ilvl w:val="0"/>
          <w:numId w:val="12"/>
        </w:numPr>
        <w:tabs>
          <w:tab w:val="clear" w:pos="0"/>
          <w:tab w:val="clear" w:pos="567"/>
        </w:tabs>
        <w:suppressAutoHyphens/>
        <w:spacing w:line="240" w:lineRule="auto"/>
        <w:ind w:left="567" w:hanging="567"/>
        <w:rPr>
          <w:color w:val="000000"/>
          <w:lang w:val="hu-HU"/>
        </w:rPr>
      </w:pPr>
      <w:r w:rsidRPr="00D045B3">
        <w:rPr>
          <w:color w:val="000000"/>
          <w:lang w:val="hu-HU"/>
        </w:rPr>
        <w:t>Ne szoptasson az Imatinib Actavis</w:t>
      </w:r>
      <w:r w:rsidRPr="00D045B3">
        <w:rPr>
          <w:color w:val="000000"/>
          <w:lang w:val="hu-HU"/>
        </w:rPr>
        <w:noBreakHyphen/>
        <w:t>kezelés időtartama alatt</w:t>
      </w:r>
      <w:r w:rsidR="00363A97" w:rsidRPr="00D045B3">
        <w:rPr>
          <w:color w:val="000000"/>
          <w:lang w:val="hu-HU"/>
        </w:rPr>
        <w:t xml:space="preserve">, </w:t>
      </w:r>
      <w:r w:rsidR="00363A97" w:rsidRPr="00D045B3">
        <w:rPr>
          <w:szCs w:val="22"/>
          <w:lang w:val="hu-HU"/>
        </w:rPr>
        <w:t>és még további 15 napig az Imatinib Actavis-kezelés befejezését követően, mert ez káros hatással lehet csecsemőjére</w:t>
      </w:r>
      <w:r w:rsidRPr="00D045B3">
        <w:rPr>
          <w:color w:val="000000"/>
          <w:lang w:val="hu-HU"/>
        </w:rPr>
        <w:t>.</w:t>
      </w:r>
    </w:p>
    <w:p w14:paraId="1E9283B2" w14:textId="77777777" w:rsidR="002014A3" w:rsidRPr="00D045B3" w:rsidRDefault="002014A3" w:rsidP="00E95370">
      <w:pPr>
        <w:widowControl w:val="0"/>
        <w:numPr>
          <w:ilvl w:val="0"/>
          <w:numId w:val="17"/>
        </w:numPr>
        <w:tabs>
          <w:tab w:val="clear" w:pos="567"/>
        </w:tabs>
        <w:spacing w:line="240" w:lineRule="auto"/>
        <w:ind w:left="567" w:hanging="567"/>
        <w:rPr>
          <w:color w:val="000000"/>
          <w:szCs w:val="22"/>
          <w:lang w:val="hu-HU"/>
        </w:rPr>
      </w:pPr>
      <w:r w:rsidRPr="00D045B3">
        <w:rPr>
          <w:lang w:val="hu-HU"/>
        </w:rPr>
        <w:t>Azon betegek, akiket aggasztanak a termékenységükkel kapcsolatos kérdések, az Imatinib Actavis szedése alatt, forduljanak tanácsért kezelőorvosukhoz.</w:t>
      </w:r>
    </w:p>
    <w:p w14:paraId="1E9283B3" w14:textId="77777777" w:rsidR="002014A3" w:rsidRPr="00D045B3" w:rsidRDefault="002014A3" w:rsidP="002014A3">
      <w:pPr>
        <w:spacing w:line="240" w:lineRule="auto"/>
        <w:rPr>
          <w:color w:val="000000"/>
          <w:lang w:val="hu-HU"/>
        </w:rPr>
      </w:pPr>
    </w:p>
    <w:p w14:paraId="1E9283B4" w14:textId="77777777" w:rsidR="002014A3" w:rsidRPr="00D045B3" w:rsidRDefault="002014A3" w:rsidP="002014A3">
      <w:pPr>
        <w:keepNext/>
        <w:spacing w:line="240" w:lineRule="auto"/>
        <w:ind w:right="-28"/>
        <w:rPr>
          <w:b/>
          <w:color w:val="000000"/>
          <w:lang w:val="hu-HU"/>
        </w:rPr>
      </w:pPr>
      <w:r w:rsidRPr="00D045B3">
        <w:rPr>
          <w:b/>
          <w:color w:val="000000"/>
          <w:lang w:val="hu-HU"/>
        </w:rPr>
        <w:t xml:space="preserve">A készítmény hatásai a gépjárművezetéshez és </w:t>
      </w:r>
      <w:r w:rsidR="00B442B6" w:rsidRPr="00D045B3">
        <w:rPr>
          <w:b/>
          <w:color w:val="000000"/>
          <w:lang w:val="hu-HU"/>
        </w:rPr>
        <w:t xml:space="preserve">a </w:t>
      </w:r>
      <w:r w:rsidRPr="00D045B3">
        <w:rPr>
          <w:b/>
          <w:color w:val="000000"/>
          <w:lang w:val="hu-HU"/>
        </w:rPr>
        <w:t>gépek kezeléséhez szükséges képességekre</w:t>
      </w:r>
    </w:p>
    <w:p w14:paraId="1E9283B5" w14:textId="77777777" w:rsidR="002014A3" w:rsidRPr="00D045B3" w:rsidRDefault="002014A3" w:rsidP="00CA41FD">
      <w:pPr>
        <w:spacing w:line="240" w:lineRule="auto"/>
        <w:ind w:right="-28"/>
        <w:rPr>
          <w:color w:val="000000"/>
          <w:lang w:val="hu-HU"/>
        </w:rPr>
      </w:pPr>
      <w:r w:rsidRPr="00D045B3">
        <w:rPr>
          <w:color w:val="000000"/>
          <w:lang w:val="hu-HU"/>
        </w:rPr>
        <w:t>A gyógyszer szedésének ideje alatt szédülhet, vagy látása homályossá válhat. Ilyenkor ne vezessen, illetve ne használjon gépeket, amíg nem érzi ismét jól magát.</w:t>
      </w:r>
    </w:p>
    <w:p w14:paraId="1E9283B6" w14:textId="77777777" w:rsidR="002014A3" w:rsidRPr="00D045B3" w:rsidRDefault="002014A3" w:rsidP="002014A3">
      <w:pPr>
        <w:spacing w:line="240" w:lineRule="auto"/>
        <w:ind w:right="-29"/>
        <w:rPr>
          <w:color w:val="000000"/>
          <w:lang w:val="hu-HU"/>
        </w:rPr>
      </w:pPr>
    </w:p>
    <w:p w14:paraId="1E9283B7" w14:textId="77777777" w:rsidR="002014A3" w:rsidRPr="00D045B3" w:rsidRDefault="002014A3" w:rsidP="00CA41FD">
      <w:pPr>
        <w:keepNext/>
        <w:spacing w:line="240" w:lineRule="auto"/>
        <w:rPr>
          <w:b/>
          <w:color w:val="000000"/>
          <w:lang w:val="hu-HU"/>
        </w:rPr>
      </w:pPr>
      <w:r w:rsidRPr="00D045B3">
        <w:rPr>
          <w:b/>
          <w:color w:val="000000"/>
          <w:lang w:val="hu-HU"/>
        </w:rPr>
        <w:t>Az Imatinib Actavis (szója) lecitint tartalmaz</w:t>
      </w:r>
    </w:p>
    <w:p w14:paraId="1E9283B8" w14:textId="77777777" w:rsidR="002014A3" w:rsidRPr="00D045B3" w:rsidRDefault="002014A3" w:rsidP="002014A3">
      <w:pPr>
        <w:spacing w:line="240" w:lineRule="auto"/>
        <w:ind w:right="-2"/>
        <w:rPr>
          <w:color w:val="000000"/>
          <w:lang w:val="hu-HU"/>
        </w:rPr>
      </w:pPr>
      <w:r w:rsidRPr="00D045B3">
        <w:rPr>
          <w:color w:val="000000"/>
          <w:lang w:val="hu-HU"/>
        </w:rPr>
        <w:t xml:space="preserve">Ne szedje ezt a készítményt, ha Ön allergiás mogyoróra vagy szójára. </w:t>
      </w:r>
    </w:p>
    <w:p w14:paraId="14048C45" w14:textId="77777777" w:rsidR="00FE2796" w:rsidRPr="00D045B3" w:rsidRDefault="00FE2796" w:rsidP="00FE2796">
      <w:pPr>
        <w:spacing w:line="240" w:lineRule="auto"/>
        <w:ind w:right="-28"/>
        <w:rPr>
          <w:b/>
          <w:bCs/>
          <w:color w:val="000000"/>
          <w:szCs w:val="22"/>
          <w:lang w:val="hu-HU"/>
        </w:rPr>
      </w:pPr>
    </w:p>
    <w:p w14:paraId="51C7568E" w14:textId="77777777" w:rsidR="00FE2796" w:rsidRPr="00D045B3" w:rsidRDefault="00FE2796" w:rsidP="00FE2796">
      <w:pPr>
        <w:spacing w:line="240" w:lineRule="auto"/>
        <w:ind w:right="-28"/>
        <w:rPr>
          <w:b/>
          <w:bCs/>
          <w:color w:val="000000"/>
          <w:szCs w:val="22"/>
          <w:lang w:val="hu-HU"/>
        </w:rPr>
      </w:pPr>
      <w:r w:rsidRPr="00D045B3">
        <w:rPr>
          <w:b/>
          <w:bCs/>
          <w:color w:val="000000"/>
          <w:szCs w:val="22"/>
          <w:lang w:val="hu-HU"/>
        </w:rPr>
        <w:t>Az Imatinib Activis nátriumot tartalmaz</w:t>
      </w:r>
    </w:p>
    <w:p w14:paraId="675070CE" w14:textId="49BCA335" w:rsidR="00FE2796" w:rsidRPr="00D045B3" w:rsidRDefault="00FE2796" w:rsidP="00FE2796">
      <w:pPr>
        <w:rPr>
          <w:b/>
          <w:bCs/>
          <w:color w:val="000000"/>
          <w:szCs w:val="22"/>
          <w:lang w:val="hu-HU"/>
        </w:rPr>
      </w:pPr>
      <w:r w:rsidRPr="00D045B3">
        <w:rPr>
          <w:lang w:val="hu-HU"/>
        </w:rPr>
        <w:t xml:space="preserve">A készítmény kevesebb, mint 1 mmol (23 mg) nátriumot tartalmaz </w:t>
      </w:r>
      <w:r w:rsidR="00054C3F" w:rsidRPr="00D045B3">
        <w:rPr>
          <w:lang w:val="hu-HU"/>
        </w:rPr>
        <w:t>filmtablettánként</w:t>
      </w:r>
      <w:r w:rsidRPr="00D045B3">
        <w:rPr>
          <w:lang w:val="hu-HU"/>
        </w:rPr>
        <w:t>, azaz gyakorlatilag „nátriummentes”.</w:t>
      </w:r>
    </w:p>
    <w:p w14:paraId="1E9283B9" w14:textId="77777777" w:rsidR="002014A3" w:rsidRPr="00D045B3" w:rsidRDefault="002014A3" w:rsidP="002014A3">
      <w:pPr>
        <w:spacing w:line="240" w:lineRule="auto"/>
        <w:ind w:right="-2"/>
        <w:rPr>
          <w:color w:val="000000"/>
          <w:lang w:val="hu-HU"/>
        </w:rPr>
      </w:pPr>
    </w:p>
    <w:p w14:paraId="1E9283BA" w14:textId="77777777" w:rsidR="002014A3" w:rsidRPr="00D045B3" w:rsidRDefault="002014A3" w:rsidP="002014A3">
      <w:pPr>
        <w:spacing w:line="240" w:lineRule="auto"/>
        <w:ind w:right="-2"/>
        <w:rPr>
          <w:color w:val="000000"/>
          <w:lang w:val="hu-HU"/>
        </w:rPr>
      </w:pPr>
    </w:p>
    <w:p w14:paraId="1E9283BB" w14:textId="77777777" w:rsidR="002014A3" w:rsidRPr="00D045B3" w:rsidRDefault="002014A3" w:rsidP="002014A3">
      <w:pPr>
        <w:keepNext/>
        <w:spacing w:line="240" w:lineRule="auto"/>
        <w:ind w:left="567" w:right="-29" w:hanging="567"/>
        <w:rPr>
          <w:b/>
          <w:color w:val="000000"/>
          <w:lang w:val="hu-HU"/>
        </w:rPr>
      </w:pPr>
      <w:r w:rsidRPr="00D045B3">
        <w:rPr>
          <w:b/>
          <w:color w:val="000000"/>
          <w:lang w:val="hu-HU"/>
        </w:rPr>
        <w:t>3.</w:t>
      </w:r>
      <w:r w:rsidRPr="00D045B3">
        <w:rPr>
          <w:b/>
          <w:color w:val="000000"/>
          <w:lang w:val="hu-HU"/>
        </w:rPr>
        <w:tab/>
        <w:t>Hogyan kell szedni az Imatinib Actavis</w:t>
      </w:r>
      <w:r w:rsidRPr="00D045B3">
        <w:rPr>
          <w:b/>
          <w:color w:val="000000"/>
          <w:lang w:val="hu-HU"/>
        </w:rPr>
        <w:noBreakHyphen/>
        <w:t>t?</w:t>
      </w:r>
    </w:p>
    <w:p w14:paraId="1E9283BC" w14:textId="77777777" w:rsidR="002014A3" w:rsidRPr="00D045B3" w:rsidRDefault="002014A3" w:rsidP="002014A3">
      <w:pPr>
        <w:keepNext/>
        <w:spacing w:line="240" w:lineRule="auto"/>
        <w:ind w:left="567" w:right="-2" w:hanging="567"/>
        <w:rPr>
          <w:color w:val="000000"/>
          <w:lang w:val="hu-HU"/>
        </w:rPr>
      </w:pPr>
    </w:p>
    <w:p w14:paraId="1E9283BD" w14:textId="77777777" w:rsidR="002014A3" w:rsidRPr="00D045B3" w:rsidRDefault="002014A3" w:rsidP="00CA41FD">
      <w:pPr>
        <w:spacing w:line="240" w:lineRule="auto"/>
        <w:rPr>
          <w:color w:val="000000"/>
          <w:lang w:val="hu-HU"/>
        </w:rPr>
      </w:pPr>
      <w:r w:rsidRPr="00D045B3">
        <w:rPr>
          <w:color w:val="000000"/>
          <w:lang w:val="hu-HU"/>
        </w:rPr>
        <w:t>Kezelőorvosa azért rendelte Önnek az Imatinib Actavis</w:t>
      </w:r>
      <w:r w:rsidRPr="00D045B3">
        <w:rPr>
          <w:color w:val="000000"/>
          <w:lang w:val="hu-HU"/>
        </w:rPr>
        <w:noBreakHyphen/>
        <w:t>t, mert Ön súlyos betegségben szenved. Az Imatinib Actavis segíthet Önnek a betegséggel szembeni küzdelemben.</w:t>
      </w:r>
    </w:p>
    <w:p w14:paraId="1E9283BE" w14:textId="77777777" w:rsidR="002014A3" w:rsidRPr="00D045B3" w:rsidRDefault="002014A3" w:rsidP="002014A3">
      <w:pPr>
        <w:spacing w:line="240" w:lineRule="auto"/>
        <w:ind w:right="-2"/>
        <w:rPr>
          <w:color w:val="000000"/>
          <w:lang w:val="hu-HU"/>
        </w:rPr>
      </w:pPr>
    </w:p>
    <w:p w14:paraId="1E9283BF" w14:textId="77777777" w:rsidR="002014A3" w:rsidRPr="00D045B3" w:rsidRDefault="002014A3" w:rsidP="002014A3">
      <w:pPr>
        <w:spacing w:line="240" w:lineRule="auto"/>
        <w:ind w:right="-2"/>
        <w:rPr>
          <w:color w:val="000000"/>
          <w:lang w:val="hu-HU"/>
        </w:rPr>
      </w:pPr>
      <w:r w:rsidRPr="00D045B3">
        <w:rPr>
          <w:color w:val="000000"/>
          <w:lang w:val="hu-HU"/>
        </w:rPr>
        <w:t xml:space="preserve">Azonban, </w:t>
      </w:r>
      <w:r w:rsidRPr="00D045B3">
        <w:rPr>
          <w:noProof/>
          <w:color w:val="000000"/>
          <w:lang w:val="hu-HU"/>
        </w:rPr>
        <w:t xml:space="preserve">a </w:t>
      </w:r>
      <w:r w:rsidRPr="00D045B3">
        <w:rPr>
          <w:noProof/>
          <w:szCs w:val="24"/>
          <w:lang w:val="hu-HU"/>
        </w:rPr>
        <w:t>gyógyszert</w:t>
      </w:r>
      <w:r w:rsidRPr="00D045B3">
        <w:rPr>
          <w:lang w:val="hu-HU"/>
        </w:rPr>
        <w:t xml:space="preserve"> </w:t>
      </w:r>
      <w:r w:rsidRPr="00D045B3">
        <w:rPr>
          <w:noProof/>
          <w:color w:val="000000"/>
          <w:lang w:val="hu-HU"/>
        </w:rPr>
        <w:t xml:space="preserve">mindig a </w:t>
      </w:r>
      <w:r w:rsidRPr="00D045B3">
        <w:rPr>
          <w:noProof/>
          <w:szCs w:val="24"/>
          <w:lang w:val="hu-HU"/>
        </w:rPr>
        <w:t>kezelőorvosa vagy gyógyszerésze</w:t>
      </w:r>
      <w:r w:rsidRPr="00D045B3">
        <w:rPr>
          <w:noProof/>
          <w:color w:val="000000"/>
          <w:lang w:val="hu-HU"/>
        </w:rPr>
        <w:t xml:space="preserve"> által elmondottaknak megfelelően szedje. Fontos, hogy ezt mindaddig tegye, amíg kezelőorvosa előírja. </w:t>
      </w:r>
      <w:r w:rsidRPr="00D045B3">
        <w:rPr>
          <w:color w:val="000000"/>
          <w:lang w:val="hu-HU"/>
        </w:rPr>
        <w:t xml:space="preserve">Amennyiben nem biztos az adagolást illetően, kérdezze meg </w:t>
      </w:r>
      <w:r w:rsidRPr="00D045B3">
        <w:rPr>
          <w:noProof/>
          <w:szCs w:val="24"/>
          <w:lang w:val="hu-HU"/>
        </w:rPr>
        <w:t xml:space="preserve">kezelőorvosát </w:t>
      </w:r>
      <w:r w:rsidRPr="00D045B3">
        <w:rPr>
          <w:color w:val="000000"/>
          <w:lang w:val="hu-HU"/>
        </w:rPr>
        <w:t>vagy gyógyszerészét.</w:t>
      </w:r>
    </w:p>
    <w:p w14:paraId="1E9283C0" w14:textId="77777777" w:rsidR="002014A3" w:rsidRPr="00D045B3" w:rsidRDefault="002014A3" w:rsidP="002014A3">
      <w:pPr>
        <w:spacing w:line="240" w:lineRule="auto"/>
        <w:ind w:right="-2"/>
        <w:rPr>
          <w:color w:val="000000"/>
          <w:lang w:val="hu-HU"/>
        </w:rPr>
      </w:pPr>
    </w:p>
    <w:p w14:paraId="1E9283C1" w14:textId="77777777" w:rsidR="002014A3" w:rsidRPr="00D045B3" w:rsidRDefault="002014A3" w:rsidP="002014A3">
      <w:pPr>
        <w:spacing w:line="240" w:lineRule="auto"/>
        <w:ind w:right="-2"/>
        <w:rPr>
          <w:color w:val="000000"/>
          <w:lang w:val="hu-HU"/>
        </w:rPr>
      </w:pPr>
      <w:r w:rsidRPr="00D045B3">
        <w:rPr>
          <w:color w:val="000000"/>
          <w:lang w:val="hu-HU"/>
        </w:rPr>
        <w:t>Ne hagyja abba az Imatinib Actavis szedését, csak akkor, ha orvosa mondja Önnek. Amennyiben nem tudja a gyógyszert az orvos által előírtaknak megfelelően szedni, vagy ha úgy érzi, hogy már nincs rá szüksége, azonnal forduljon kezelőorvosához.</w:t>
      </w:r>
    </w:p>
    <w:p w14:paraId="1E9283C2" w14:textId="77777777" w:rsidR="002014A3" w:rsidRPr="00D045B3" w:rsidRDefault="002014A3" w:rsidP="002014A3">
      <w:pPr>
        <w:spacing w:line="240" w:lineRule="auto"/>
        <w:ind w:right="-2"/>
        <w:rPr>
          <w:color w:val="000000"/>
          <w:lang w:val="hu-HU"/>
        </w:rPr>
      </w:pPr>
    </w:p>
    <w:p w14:paraId="1E9283C3" w14:textId="77777777" w:rsidR="002014A3" w:rsidRPr="00D045B3" w:rsidRDefault="002014A3" w:rsidP="002014A3">
      <w:pPr>
        <w:keepNext/>
        <w:spacing w:line="240" w:lineRule="auto"/>
        <w:rPr>
          <w:b/>
          <w:color w:val="000000"/>
          <w:lang w:val="hu-HU"/>
        </w:rPr>
      </w:pPr>
      <w:r w:rsidRPr="00D045B3">
        <w:rPr>
          <w:b/>
          <w:color w:val="000000"/>
          <w:lang w:val="hu-HU"/>
        </w:rPr>
        <w:t>Mennyi Imatinib Actavis</w:t>
      </w:r>
      <w:r w:rsidRPr="00D045B3">
        <w:rPr>
          <w:b/>
          <w:color w:val="000000"/>
          <w:lang w:val="hu-HU"/>
        </w:rPr>
        <w:noBreakHyphen/>
        <w:t>t kell bevennie?</w:t>
      </w:r>
    </w:p>
    <w:p w14:paraId="1E9283C4" w14:textId="77777777" w:rsidR="002014A3" w:rsidRPr="00D045B3" w:rsidRDefault="002014A3" w:rsidP="002014A3">
      <w:pPr>
        <w:keepNext/>
        <w:spacing w:line="240" w:lineRule="auto"/>
        <w:rPr>
          <w:color w:val="000000"/>
          <w:lang w:val="hu-HU"/>
        </w:rPr>
      </w:pPr>
    </w:p>
    <w:p w14:paraId="1E9283C5" w14:textId="77777777" w:rsidR="002014A3" w:rsidRPr="00D045B3" w:rsidRDefault="002014A3" w:rsidP="002014A3">
      <w:pPr>
        <w:keepNext/>
        <w:spacing w:line="240" w:lineRule="auto"/>
        <w:rPr>
          <w:b/>
          <w:color w:val="000000"/>
          <w:lang w:val="hu-HU"/>
        </w:rPr>
      </w:pPr>
      <w:r w:rsidRPr="00D045B3">
        <w:rPr>
          <w:b/>
          <w:color w:val="000000"/>
          <w:lang w:val="hu-HU"/>
        </w:rPr>
        <w:t>Alkalmazása felnőtteknél</w:t>
      </w:r>
    </w:p>
    <w:p w14:paraId="1E9283C6" w14:textId="77777777" w:rsidR="002014A3" w:rsidRPr="00D045B3" w:rsidRDefault="002014A3" w:rsidP="00CA41FD">
      <w:pPr>
        <w:spacing w:line="240" w:lineRule="auto"/>
        <w:rPr>
          <w:color w:val="000000"/>
          <w:lang w:val="hu-HU"/>
        </w:rPr>
      </w:pPr>
      <w:r w:rsidRPr="00D045B3">
        <w:rPr>
          <w:color w:val="000000"/>
          <w:lang w:val="hu-HU"/>
        </w:rPr>
        <w:t>Kezelőorvosa megmondja, hogy pontosan hány Imatinib Actavis tablettát kell bevennie.</w:t>
      </w:r>
    </w:p>
    <w:p w14:paraId="1E9283C7" w14:textId="77777777" w:rsidR="000176DA" w:rsidRPr="00D045B3" w:rsidRDefault="000176DA" w:rsidP="00CA41FD">
      <w:pPr>
        <w:spacing w:line="240" w:lineRule="auto"/>
        <w:rPr>
          <w:color w:val="000000"/>
          <w:lang w:val="hu-HU"/>
        </w:rPr>
      </w:pPr>
    </w:p>
    <w:p w14:paraId="1E9283C8" w14:textId="77777777" w:rsidR="000176DA" w:rsidRPr="00D045B3" w:rsidRDefault="000176DA" w:rsidP="00E95370">
      <w:pPr>
        <w:keepNext/>
        <w:numPr>
          <w:ilvl w:val="0"/>
          <w:numId w:val="28"/>
        </w:numPr>
        <w:spacing w:line="240" w:lineRule="auto"/>
        <w:ind w:left="567" w:right="-2" w:hanging="567"/>
        <w:rPr>
          <w:b/>
          <w:color w:val="000000"/>
          <w:lang w:val="hu-HU"/>
        </w:rPr>
      </w:pPr>
      <w:r w:rsidRPr="00D045B3">
        <w:rPr>
          <w:b/>
          <w:color w:val="000000"/>
          <w:lang w:val="hu-HU"/>
        </w:rPr>
        <w:t>Ha CML miatt kezelik:</w:t>
      </w:r>
    </w:p>
    <w:p w14:paraId="1E9283CC" w14:textId="77777777" w:rsidR="002014A3" w:rsidRPr="00D045B3" w:rsidRDefault="002014A3" w:rsidP="002014A3">
      <w:pPr>
        <w:spacing w:line="240" w:lineRule="auto"/>
        <w:ind w:right="-2"/>
        <w:rPr>
          <w:color w:val="000000"/>
          <w:lang w:val="hu-HU"/>
        </w:rPr>
      </w:pPr>
      <w:r w:rsidRPr="00D045B3">
        <w:rPr>
          <w:color w:val="000000"/>
          <w:lang w:val="hu-HU"/>
        </w:rPr>
        <w:t xml:space="preserve">Az ajánlott kezdő adag 600 mg, amit naponta </w:t>
      </w:r>
      <w:r w:rsidRPr="00D045B3">
        <w:rPr>
          <w:b/>
          <w:color w:val="000000"/>
          <w:lang w:val="hu-HU"/>
        </w:rPr>
        <w:t xml:space="preserve">egyszer, </w:t>
      </w:r>
      <w:r w:rsidRPr="00D045B3">
        <w:rPr>
          <w:color w:val="000000"/>
          <w:lang w:val="hu-HU"/>
        </w:rPr>
        <w:t>egy darab 400 mg</w:t>
      </w:r>
      <w:r w:rsidRPr="00D045B3">
        <w:rPr>
          <w:color w:val="000000"/>
          <w:lang w:val="hu-HU"/>
        </w:rPr>
        <w:noBreakHyphen/>
        <w:t>os, valamint két darab 100 mg</w:t>
      </w:r>
      <w:r w:rsidRPr="00D045B3">
        <w:rPr>
          <w:color w:val="000000"/>
          <w:lang w:val="hu-HU"/>
        </w:rPr>
        <w:noBreakHyphen/>
        <w:t>os tabletta formájában kell bevennie.</w:t>
      </w:r>
    </w:p>
    <w:p w14:paraId="1E9283CD" w14:textId="77777777" w:rsidR="002014A3" w:rsidRPr="00D045B3" w:rsidRDefault="002014A3" w:rsidP="002014A3">
      <w:pPr>
        <w:spacing w:line="240" w:lineRule="auto"/>
        <w:ind w:right="-2"/>
        <w:rPr>
          <w:color w:val="000000"/>
          <w:lang w:val="hu-HU"/>
        </w:rPr>
      </w:pPr>
    </w:p>
    <w:p w14:paraId="1E9283CE" w14:textId="77777777" w:rsidR="002014A3" w:rsidRPr="00D045B3" w:rsidRDefault="002014A3" w:rsidP="002014A3">
      <w:pPr>
        <w:spacing w:line="240" w:lineRule="auto"/>
        <w:ind w:right="-2"/>
        <w:rPr>
          <w:color w:val="000000"/>
          <w:lang w:val="hu-HU"/>
        </w:rPr>
      </w:pPr>
      <w:r w:rsidRPr="00D045B3">
        <w:rPr>
          <w:color w:val="000000"/>
          <w:lang w:val="hu-HU"/>
        </w:rPr>
        <w:t xml:space="preserve">Kezelőorvosa nagyobb vagy kisebb adagokat írhat elő, attól függően, hogy Ön miként reagál a kezelésre. </w:t>
      </w:r>
    </w:p>
    <w:p w14:paraId="1E9283CF" w14:textId="77777777" w:rsidR="002014A3" w:rsidRPr="00D045B3" w:rsidRDefault="002014A3" w:rsidP="002014A3">
      <w:pPr>
        <w:spacing w:line="240" w:lineRule="auto"/>
        <w:ind w:right="-2"/>
        <w:rPr>
          <w:color w:val="000000"/>
          <w:lang w:val="hu-HU"/>
        </w:rPr>
      </w:pPr>
    </w:p>
    <w:p w14:paraId="1E9283D0" w14:textId="77777777" w:rsidR="002014A3" w:rsidRPr="00D045B3" w:rsidRDefault="002014A3" w:rsidP="002014A3">
      <w:pPr>
        <w:spacing w:line="240" w:lineRule="auto"/>
        <w:ind w:right="-2"/>
        <w:rPr>
          <w:color w:val="000000"/>
          <w:lang w:val="hu-HU"/>
        </w:rPr>
      </w:pPr>
      <w:r w:rsidRPr="00D045B3">
        <w:rPr>
          <w:color w:val="000000"/>
          <w:lang w:val="hu-HU"/>
        </w:rPr>
        <w:t>Ha az Ön napi adagja 800 mg (2 tabletta), akkor egy tablettát kell bevennie reggel és egy tablettát este.</w:t>
      </w:r>
    </w:p>
    <w:p w14:paraId="1E9283D1" w14:textId="77777777" w:rsidR="00F72505" w:rsidRPr="00D045B3" w:rsidRDefault="00F72505" w:rsidP="00F72505">
      <w:pPr>
        <w:spacing w:line="240" w:lineRule="auto"/>
        <w:ind w:right="-2"/>
        <w:rPr>
          <w:color w:val="000000"/>
          <w:lang w:val="hu-HU"/>
        </w:rPr>
      </w:pPr>
    </w:p>
    <w:p w14:paraId="1E9283D2" w14:textId="77777777" w:rsidR="00F72505" w:rsidRPr="00D045B3" w:rsidRDefault="00F72505" w:rsidP="00E95370">
      <w:pPr>
        <w:pStyle w:val="Default"/>
        <w:keepNext/>
        <w:numPr>
          <w:ilvl w:val="0"/>
          <w:numId w:val="27"/>
        </w:numPr>
        <w:ind w:left="567" w:hanging="567"/>
        <w:rPr>
          <w:sz w:val="22"/>
          <w:szCs w:val="22"/>
        </w:rPr>
      </w:pPr>
      <w:r w:rsidRPr="00D045B3">
        <w:rPr>
          <w:b/>
          <w:bCs/>
          <w:sz w:val="22"/>
          <w:szCs w:val="22"/>
        </w:rPr>
        <w:t xml:space="preserve">Ha Önt Ph-pozitív ALL miatt kezelik: </w:t>
      </w:r>
    </w:p>
    <w:p w14:paraId="1E9283D3" w14:textId="77777777" w:rsidR="00F72505" w:rsidRPr="00D045B3" w:rsidRDefault="00F72505" w:rsidP="00CA41FD">
      <w:pPr>
        <w:pStyle w:val="Default"/>
        <w:ind w:left="567"/>
        <w:rPr>
          <w:sz w:val="22"/>
          <w:szCs w:val="22"/>
        </w:rPr>
      </w:pPr>
      <w:r w:rsidRPr="00D045B3">
        <w:rPr>
          <w:sz w:val="22"/>
          <w:szCs w:val="22"/>
        </w:rPr>
        <w:t xml:space="preserve">A kezdő adag 600 mg, amit </w:t>
      </w:r>
      <w:r w:rsidR="00D44372" w:rsidRPr="00D045B3">
        <w:rPr>
          <w:sz w:val="22"/>
          <w:szCs w:val="22"/>
        </w:rPr>
        <w:t>egy</w:t>
      </w:r>
      <w:r w:rsidRPr="00D045B3">
        <w:rPr>
          <w:sz w:val="22"/>
          <w:szCs w:val="22"/>
        </w:rPr>
        <w:t xml:space="preserve"> db </w:t>
      </w:r>
      <w:r w:rsidR="00D44372" w:rsidRPr="00D045B3">
        <w:rPr>
          <w:sz w:val="22"/>
          <w:szCs w:val="22"/>
        </w:rPr>
        <w:t>400 mg</w:t>
      </w:r>
      <w:r w:rsidR="00D44372" w:rsidRPr="00D045B3">
        <w:rPr>
          <w:sz w:val="22"/>
          <w:szCs w:val="22"/>
        </w:rPr>
        <w:noBreakHyphen/>
        <w:t>os, plusz 2 db 100 mg</w:t>
      </w:r>
      <w:r w:rsidR="00D44372" w:rsidRPr="00D045B3">
        <w:rPr>
          <w:sz w:val="22"/>
          <w:szCs w:val="22"/>
        </w:rPr>
        <w:noBreakHyphen/>
        <w:t xml:space="preserve">os </w:t>
      </w:r>
      <w:r w:rsidRPr="00D045B3">
        <w:rPr>
          <w:sz w:val="22"/>
          <w:szCs w:val="22"/>
        </w:rPr>
        <w:t xml:space="preserve">tabletta formájában, naponta </w:t>
      </w:r>
      <w:r w:rsidRPr="00D045B3">
        <w:rPr>
          <w:b/>
          <w:bCs/>
          <w:sz w:val="22"/>
          <w:szCs w:val="22"/>
        </w:rPr>
        <w:t xml:space="preserve">egy alkalommal </w:t>
      </w:r>
      <w:r w:rsidRPr="00D045B3">
        <w:rPr>
          <w:sz w:val="22"/>
          <w:szCs w:val="22"/>
        </w:rPr>
        <w:t xml:space="preserve">kell bevennie. </w:t>
      </w:r>
    </w:p>
    <w:p w14:paraId="1E9283D4" w14:textId="77777777" w:rsidR="00F72505" w:rsidRPr="00D045B3" w:rsidRDefault="00F72505" w:rsidP="00CA41FD">
      <w:pPr>
        <w:pStyle w:val="Default"/>
        <w:ind w:firstLine="708"/>
        <w:rPr>
          <w:sz w:val="22"/>
          <w:szCs w:val="22"/>
        </w:rPr>
      </w:pPr>
    </w:p>
    <w:p w14:paraId="1E9283D5" w14:textId="77777777" w:rsidR="00F72505" w:rsidRPr="00D045B3" w:rsidRDefault="00F72505"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MDS/MPD miatt kezelik: </w:t>
      </w:r>
    </w:p>
    <w:p w14:paraId="1E9283D6" w14:textId="77777777" w:rsidR="00F72505" w:rsidRPr="00D045B3" w:rsidRDefault="00F72505" w:rsidP="008A6837">
      <w:pPr>
        <w:pStyle w:val="Default"/>
        <w:ind w:left="567"/>
        <w:rPr>
          <w:sz w:val="22"/>
          <w:szCs w:val="22"/>
        </w:rPr>
      </w:pPr>
      <w:r w:rsidRPr="00D045B3">
        <w:rPr>
          <w:sz w:val="22"/>
          <w:szCs w:val="22"/>
        </w:rPr>
        <w:t xml:space="preserve">A kezdő adag 400 mg, amit </w:t>
      </w:r>
      <w:r w:rsidR="00D44372" w:rsidRPr="00D045B3">
        <w:rPr>
          <w:sz w:val="22"/>
          <w:szCs w:val="22"/>
        </w:rPr>
        <w:t>egy</w:t>
      </w:r>
      <w:r w:rsidRPr="00D045B3">
        <w:rPr>
          <w:sz w:val="22"/>
          <w:szCs w:val="22"/>
        </w:rPr>
        <w:t xml:space="preserve"> db tabletta formájában, naponta </w:t>
      </w:r>
      <w:r w:rsidRPr="00D045B3">
        <w:rPr>
          <w:b/>
          <w:bCs/>
          <w:sz w:val="22"/>
          <w:szCs w:val="22"/>
        </w:rPr>
        <w:t xml:space="preserve">egy alkalommal </w:t>
      </w:r>
      <w:r w:rsidRPr="00D045B3">
        <w:rPr>
          <w:sz w:val="22"/>
          <w:szCs w:val="22"/>
        </w:rPr>
        <w:t>kell bevennie.</w:t>
      </w:r>
    </w:p>
    <w:p w14:paraId="1E9283D7" w14:textId="77777777" w:rsidR="00F72505" w:rsidRPr="00D045B3" w:rsidRDefault="00F72505" w:rsidP="008A6837">
      <w:pPr>
        <w:pStyle w:val="Default"/>
        <w:ind w:left="567"/>
        <w:rPr>
          <w:sz w:val="22"/>
          <w:szCs w:val="22"/>
        </w:rPr>
      </w:pPr>
    </w:p>
    <w:p w14:paraId="1E9283D8" w14:textId="77777777" w:rsidR="00F72505" w:rsidRPr="00D045B3" w:rsidRDefault="00F72505"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HES/CEL miatt kezelik: </w:t>
      </w:r>
    </w:p>
    <w:p w14:paraId="1E9283D9" w14:textId="77777777" w:rsidR="00F72505" w:rsidRPr="00D045B3" w:rsidRDefault="00F72505" w:rsidP="008A6837">
      <w:pPr>
        <w:pStyle w:val="Default"/>
        <w:ind w:left="567"/>
        <w:rPr>
          <w:sz w:val="22"/>
          <w:szCs w:val="22"/>
        </w:rPr>
      </w:pPr>
      <w:r w:rsidRPr="00D045B3">
        <w:rPr>
          <w:sz w:val="22"/>
          <w:szCs w:val="22"/>
        </w:rPr>
        <w:t xml:space="preserve">A kezdő adag 100 mg, amit egy db </w:t>
      </w:r>
      <w:r w:rsidR="00D44372" w:rsidRPr="00D045B3">
        <w:rPr>
          <w:sz w:val="22"/>
          <w:szCs w:val="22"/>
        </w:rPr>
        <w:t>100 mg</w:t>
      </w:r>
      <w:r w:rsidR="00D44372" w:rsidRPr="00D045B3">
        <w:rPr>
          <w:sz w:val="22"/>
          <w:szCs w:val="22"/>
        </w:rPr>
        <w:noBreakHyphen/>
        <w:t xml:space="preserve">os </w:t>
      </w:r>
      <w:r w:rsidRPr="00D045B3">
        <w:rPr>
          <w:sz w:val="22"/>
          <w:szCs w:val="22"/>
        </w:rPr>
        <w:t>tablett</w:t>
      </w:r>
      <w:r w:rsidR="00D44372" w:rsidRPr="00D045B3">
        <w:rPr>
          <w:sz w:val="22"/>
          <w:szCs w:val="22"/>
        </w:rPr>
        <w:t>ában</w:t>
      </w:r>
      <w:r w:rsidRPr="00D045B3">
        <w:rPr>
          <w:sz w:val="22"/>
          <w:szCs w:val="22"/>
        </w:rPr>
        <w:t xml:space="preserve">, naponta </w:t>
      </w:r>
      <w:r w:rsidRPr="00D045B3">
        <w:rPr>
          <w:b/>
          <w:bCs/>
          <w:sz w:val="22"/>
          <w:szCs w:val="22"/>
        </w:rPr>
        <w:t xml:space="preserve">egy alkalommal </w:t>
      </w:r>
      <w:r w:rsidRPr="00D045B3">
        <w:rPr>
          <w:sz w:val="22"/>
          <w:szCs w:val="22"/>
        </w:rPr>
        <w:t>kell bevennie. Attól függően, hogy betegsége miként reagál a kezelésre, orvosa 400 mg</w:t>
      </w:r>
      <w:r w:rsidRPr="00D045B3">
        <w:rPr>
          <w:sz w:val="22"/>
          <w:szCs w:val="22"/>
        </w:rPr>
        <w:noBreakHyphen/>
        <w:t xml:space="preserve">ra növelheti az adagot, melyet </w:t>
      </w:r>
      <w:r w:rsidR="00D44372" w:rsidRPr="00D045B3">
        <w:rPr>
          <w:sz w:val="22"/>
          <w:szCs w:val="22"/>
        </w:rPr>
        <w:t>egy</w:t>
      </w:r>
      <w:r w:rsidRPr="00D045B3">
        <w:rPr>
          <w:sz w:val="22"/>
          <w:szCs w:val="22"/>
        </w:rPr>
        <w:t xml:space="preserve"> db </w:t>
      </w:r>
      <w:r w:rsidR="003A55EB" w:rsidRPr="00D045B3">
        <w:rPr>
          <w:sz w:val="22"/>
          <w:szCs w:val="22"/>
        </w:rPr>
        <w:t>400 mg</w:t>
      </w:r>
      <w:r w:rsidR="003A55EB" w:rsidRPr="00D045B3">
        <w:rPr>
          <w:sz w:val="22"/>
          <w:szCs w:val="22"/>
        </w:rPr>
        <w:noBreakHyphen/>
        <w:t xml:space="preserve">os </w:t>
      </w:r>
      <w:r w:rsidRPr="00D045B3">
        <w:rPr>
          <w:sz w:val="22"/>
          <w:szCs w:val="22"/>
        </w:rPr>
        <w:t xml:space="preserve">tabletta formájában, naponta </w:t>
      </w:r>
      <w:r w:rsidRPr="00D045B3">
        <w:rPr>
          <w:b/>
          <w:bCs/>
          <w:sz w:val="22"/>
          <w:szCs w:val="22"/>
        </w:rPr>
        <w:t xml:space="preserve">egy alkalommal </w:t>
      </w:r>
      <w:r w:rsidRPr="00D045B3">
        <w:rPr>
          <w:sz w:val="22"/>
          <w:szCs w:val="22"/>
        </w:rPr>
        <w:t>kell bevennie.</w:t>
      </w:r>
    </w:p>
    <w:p w14:paraId="1E9283DA" w14:textId="77777777" w:rsidR="00F72505" w:rsidRPr="00D045B3" w:rsidRDefault="00F72505" w:rsidP="008A6837">
      <w:pPr>
        <w:pStyle w:val="Default"/>
        <w:ind w:left="708"/>
        <w:rPr>
          <w:sz w:val="22"/>
          <w:szCs w:val="22"/>
        </w:rPr>
      </w:pPr>
    </w:p>
    <w:p w14:paraId="1E9283DB" w14:textId="77777777" w:rsidR="00F72505" w:rsidRPr="00D045B3" w:rsidRDefault="00F72505" w:rsidP="008A6837">
      <w:pPr>
        <w:pStyle w:val="Default"/>
        <w:tabs>
          <w:tab w:val="left" w:pos="567"/>
        </w:tabs>
        <w:rPr>
          <w:sz w:val="22"/>
          <w:szCs w:val="22"/>
        </w:rPr>
      </w:pPr>
      <w:r w:rsidRPr="00D045B3">
        <w:rPr>
          <w:sz w:val="22"/>
          <w:szCs w:val="22"/>
        </w:rPr>
        <w:t xml:space="preserve">- </w:t>
      </w:r>
      <w:r w:rsidRPr="00D045B3">
        <w:rPr>
          <w:sz w:val="22"/>
          <w:szCs w:val="22"/>
        </w:rPr>
        <w:tab/>
      </w:r>
      <w:r w:rsidRPr="00D045B3">
        <w:rPr>
          <w:b/>
          <w:bCs/>
          <w:sz w:val="22"/>
          <w:szCs w:val="22"/>
        </w:rPr>
        <w:t xml:space="preserve">Ha Önt DFSP miatt kezelik: </w:t>
      </w:r>
    </w:p>
    <w:p w14:paraId="1E9283DC" w14:textId="77777777" w:rsidR="00F72505" w:rsidRPr="00D045B3" w:rsidRDefault="00F72505" w:rsidP="008A6837">
      <w:pPr>
        <w:spacing w:line="240" w:lineRule="auto"/>
        <w:ind w:left="567" w:right="-2"/>
        <w:rPr>
          <w:szCs w:val="22"/>
          <w:lang w:val="hu-HU"/>
        </w:rPr>
      </w:pPr>
      <w:r w:rsidRPr="00D045B3">
        <w:rPr>
          <w:szCs w:val="22"/>
          <w:lang w:val="hu-HU"/>
        </w:rPr>
        <w:t>Az adag napi 800 mg (</w:t>
      </w:r>
      <w:r w:rsidR="00D44372" w:rsidRPr="00D045B3">
        <w:rPr>
          <w:szCs w:val="22"/>
          <w:lang w:val="hu-HU"/>
        </w:rPr>
        <w:t>2</w:t>
      </w:r>
      <w:r w:rsidRPr="00D045B3">
        <w:rPr>
          <w:szCs w:val="22"/>
          <w:lang w:val="hu-HU"/>
        </w:rPr>
        <w:t xml:space="preserve"> tabletta), amit reggel </w:t>
      </w:r>
      <w:r w:rsidR="00D44372" w:rsidRPr="00D045B3">
        <w:rPr>
          <w:szCs w:val="22"/>
          <w:lang w:val="hu-HU"/>
        </w:rPr>
        <w:t>egy</w:t>
      </w:r>
      <w:r w:rsidRPr="00D045B3">
        <w:rPr>
          <w:szCs w:val="22"/>
          <w:lang w:val="hu-HU"/>
        </w:rPr>
        <w:t xml:space="preserve"> db tabletta és este </w:t>
      </w:r>
      <w:r w:rsidR="00D44372" w:rsidRPr="00D045B3">
        <w:rPr>
          <w:szCs w:val="22"/>
          <w:lang w:val="hu-HU"/>
        </w:rPr>
        <w:t>egy</w:t>
      </w:r>
      <w:r w:rsidRPr="00D045B3">
        <w:rPr>
          <w:szCs w:val="22"/>
          <w:lang w:val="hu-HU"/>
        </w:rPr>
        <w:t> db tabletta formájában kell bevennie.</w:t>
      </w:r>
    </w:p>
    <w:p w14:paraId="1E9283DD" w14:textId="77777777" w:rsidR="002014A3" w:rsidRPr="00D045B3" w:rsidRDefault="002014A3" w:rsidP="002014A3">
      <w:pPr>
        <w:spacing w:line="240" w:lineRule="auto"/>
        <w:ind w:right="-2"/>
        <w:rPr>
          <w:color w:val="000000"/>
          <w:lang w:val="hu-HU"/>
        </w:rPr>
      </w:pPr>
    </w:p>
    <w:p w14:paraId="1E9283DE" w14:textId="77777777" w:rsidR="002014A3" w:rsidRPr="00D045B3" w:rsidRDefault="002014A3" w:rsidP="002014A3">
      <w:pPr>
        <w:keepNext/>
        <w:spacing w:line="240" w:lineRule="auto"/>
        <w:rPr>
          <w:b/>
          <w:color w:val="000000"/>
          <w:lang w:val="hu-HU"/>
        </w:rPr>
      </w:pPr>
      <w:r w:rsidRPr="00D045B3">
        <w:rPr>
          <w:b/>
          <w:color w:val="000000"/>
          <w:lang w:val="hu-HU"/>
        </w:rPr>
        <w:t>Alkalmazása gyermekeknél és serdülőknél</w:t>
      </w:r>
    </w:p>
    <w:p w14:paraId="1E9283DF" w14:textId="7CE51242" w:rsidR="00A65EE6" w:rsidRPr="00D045B3" w:rsidRDefault="002014A3" w:rsidP="00CA41FD">
      <w:pPr>
        <w:spacing w:line="240" w:lineRule="auto"/>
        <w:rPr>
          <w:color w:val="000000"/>
          <w:lang w:val="hu-HU"/>
        </w:rPr>
      </w:pPr>
      <w:r w:rsidRPr="00D045B3">
        <w:rPr>
          <w:color w:val="000000"/>
          <w:lang w:val="hu-HU"/>
        </w:rPr>
        <w:t>A</w:t>
      </w:r>
      <w:r w:rsidR="00C7474B" w:rsidRPr="00D045B3">
        <w:rPr>
          <w:color w:val="000000"/>
          <w:lang w:val="hu-HU"/>
        </w:rPr>
        <w:t xml:space="preserve"> kezelő</w:t>
      </w:r>
      <w:r w:rsidRPr="00D045B3">
        <w:rPr>
          <w:color w:val="000000"/>
          <w:lang w:val="hu-HU"/>
        </w:rPr>
        <w:t xml:space="preserve">orvos megmondja, hogy mennyi Imatinib Actavis tablettát kell adnia gyermekének. Az alkalmazandó Imatinib Actavis mennyiség gyermeke állapotától, testtömegétől és testmagasságától függ. </w:t>
      </w:r>
    </w:p>
    <w:p w14:paraId="1E9283E1" w14:textId="211B588E" w:rsidR="002014A3" w:rsidRPr="00D045B3" w:rsidRDefault="002014A3" w:rsidP="00CA41FD">
      <w:pPr>
        <w:spacing w:line="240" w:lineRule="auto"/>
        <w:rPr>
          <w:color w:val="000000"/>
          <w:lang w:val="hu-HU"/>
        </w:rPr>
      </w:pPr>
      <w:r w:rsidRPr="00D045B3">
        <w:rPr>
          <w:color w:val="000000"/>
          <w:lang w:val="hu-HU"/>
        </w:rPr>
        <w:t xml:space="preserve">A gyermekeknek beadandó teljes napi adag </w:t>
      </w:r>
      <w:r w:rsidR="00A65EE6" w:rsidRPr="00D045B3">
        <w:rPr>
          <w:color w:val="000000"/>
          <w:lang w:val="hu-HU"/>
        </w:rPr>
        <w:t xml:space="preserve">CML esetében </w:t>
      </w:r>
      <w:r w:rsidRPr="00D045B3">
        <w:rPr>
          <w:color w:val="000000"/>
          <w:lang w:val="hu-HU"/>
        </w:rPr>
        <w:t>nem lépheti túl a 800 mg</w:t>
      </w:r>
      <w:r w:rsidRPr="00D045B3">
        <w:rPr>
          <w:color w:val="000000"/>
          <w:lang w:val="hu-HU"/>
        </w:rPr>
        <w:noBreakHyphen/>
        <w:t>ot</w:t>
      </w:r>
      <w:r w:rsidR="0042093C" w:rsidRPr="00D045B3">
        <w:rPr>
          <w:color w:val="000000"/>
          <w:lang w:val="hu-HU"/>
        </w:rPr>
        <w:t xml:space="preserve"> és 600 mg-ot Ph+ALL esetén</w:t>
      </w:r>
      <w:r w:rsidRPr="00D045B3">
        <w:rPr>
          <w:color w:val="000000"/>
          <w:lang w:val="hu-HU"/>
        </w:rPr>
        <w:t>. A napi adagot egyszerre vagy két részre elosztva is be lehet venni (felét reggel, másik felét este).</w:t>
      </w:r>
    </w:p>
    <w:p w14:paraId="1E9283E2" w14:textId="77777777" w:rsidR="002014A3" w:rsidRPr="00D045B3" w:rsidRDefault="002014A3" w:rsidP="002014A3">
      <w:pPr>
        <w:spacing w:line="240" w:lineRule="auto"/>
        <w:ind w:right="-2"/>
        <w:rPr>
          <w:color w:val="000000"/>
          <w:lang w:val="hu-HU"/>
        </w:rPr>
      </w:pPr>
    </w:p>
    <w:p w14:paraId="1E9283E3" w14:textId="77777777" w:rsidR="002014A3" w:rsidRPr="00D045B3" w:rsidRDefault="002014A3" w:rsidP="002014A3">
      <w:pPr>
        <w:keepNext/>
        <w:spacing w:line="240" w:lineRule="auto"/>
        <w:ind w:right="-2"/>
        <w:rPr>
          <w:b/>
          <w:color w:val="000000"/>
          <w:lang w:val="hu-HU"/>
        </w:rPr>
      </w:pPr>
      <w:r w:rsidRPr="00D045B3">
        <w:rPr>
          <w:b/>
          <w:color w:val="000000"/>
          <w:lang w:val="hu-HU"/>
        </w:rPr>
        <w:t>Mikor és hogyan kell szedni az Imatinib Actavis</w:t>
      </w:r>
      <w:r w:rsidRPr="00D045B3">
        <w:rPr>
          <w:b/>
          <w:color w:val="000000"/>
          <w:lang w:val="hu-HU"/>
        </w:rPr>
        <w:noBreakHyphen/>
        <w:t>t?</w:t>
      </w:r>
    </w:p>
    <w:p w14:paraId="1E9283E4" w14:textId="77777777" w:rsidR="002014A3" w:rsidRPr="00D045B3" w:rsidRDefault="002014A3" w:rsidP="00E95370">
      <w:pPr>
        <w:numPr>
          <w:ilvl w:val="0"/>
          <w:numId w:val="13"/>
        </w:numPr>
        <w:tabs>
          <w:tab w:val="clear" w:pos="576"/>
          <w:tab w:val="num" w:pos="0"/>
        </w:tabs>
        <w:suppressAutoHyphens/>
        <w:rPr>
          <w:color w:val="000000"/>
          <w:lang w:val="hu-HU"/>
        </w:rPr>
      </w:pPr>
      <w:r w:rsidRPr="00D045B3">
        <w:rPr>
          <w:b/>
          <w:color w:val="000000"/>
          <w:lang w:val="hu-HU"/>
        </w:rPr>
        <w:t>Az Imatinib Actavis</w:t>
      </w:r>
      <w:r w:rsidRPr="00D045B3">
        <w:rPr>
          <w:b/>
          <w:color w:val="000000"/>
          <w:lang w:val="hu-HU"/>
        </w:rPr>
        <w:noBreakHyphen/>
        <w:t xml:space="preserve">t étkezés közben vegye be. </w:t>
      </w:r>
      <w:r w:rsidRPr="00D045B3">
        <w:rPr>
          <w:color w:val="000000"/>
          <w:lang w:val="hu-HU"/>
        </w:rPr>
        <w:t>Ez segít elkerülni az Imatinib Actavis szedése alatt jelentkező gyomorpanaszokat.</w:t>
      </w:r>
      <w:r w:rsidRPr="00D045B3">
        <w:rPr>
          <w:color w:val="000000"/>
          <w:lang w:val="hu-HU"/>
        </w:rPr>
        <w:br/>
      </w:r>
    </w:p>
    <w:p w14:paraId="1E9283E5" w14:textId="77777777" w:rsidR="002014A3" w:rsidRPr="00D045B3" w:rsidRDefault="002014A3" w:rsidP="00CA41FD">
      <w:pPr>
        <w:tabs>
          <w:tab w:val="clear" w:pos="567"/>
        </w:tabs>
        <w:suppressAutoHyphens/>
        <w:ind w:left="576" w:hanging="576"/>
        <w:rPr>
          <w:color w:val="000000"/>
          <w:lang w:val="hu-HU"/>
        </w:rPr>
      </w:pPr>
      <w:r w:rsidRPr="00D045B3">
        <w:rPr>
          <w:color w:val="000000"/>
          <w:lang w:val="hu-HU"/>
        </w:rPr>
        <w:t>[Kizárólag az Imatinib Actavis 100 mg tablettára vonatkozóan]</w:t>
      </w:r>
    </w:p>
    <w:p w14:paraId="1E9283E6" w14:textId="77777777" w:rsidR="002014A3" w:rsidRPr="00D045B3" w:rsidRDefault="002014A3" w:rsidP="00E95370">
      <w:pPr>
        <w:numPr>
          <w:ilvl w:val="0"/>
          <w:numId w:val="23"/>
        </w:numPr>
        <w:tabs>
          <w:tab w:val="clear" w:pos="567"/>
        </w:tabs>
        <w:suppressAutoHyphens/>
        <w:ind w:left="567" w:hanging="567"/>
        <w:rPr>
          <w:color w:val="000000"/>
          <w:lang w:val="hu-HU"/>
        </w:rPr>
      </w:pPr>
      <w:r w:rsidRPr="00D045B3">
        <w:rPr>
          <w:b/>
          <w:color w:val="000000"/>
          <w:lang w:val="hu-HU"/>
        </w:rPr>
        <w:t>A tablettát egészben, egy nagy pohárnyi vízzel kell lenyelni.</w:t>
      </w:r>
      <w:r w:rsidRPr="00D045B3">
        <w:rPr>
          <w:color w:val="000000"/>
          <w:lang w:val="hu-HU"/>
        </w:rPr>
        <w:t xml:space="preserve"> </w:t>
      </w:r>
    </w:p>
    <w:p w14:paraId="1E9283E7" w14:textId="77777777" w:rsidR="002014A3" w:rsidRPr="00D045B3" w:rsidRDefault="002014A3" w:rsidP="00CA41FD">
      <w:pPr>
        <w:tabs>
          <w:tab w:val="clear" w:pos="567"/>
        </w:tabs>
        <w:suppressAutoHyphens/>
        <w:ind w:left="576" w:hanging="576"/>
        <w:rPr>
          <w:color w:val="000000"/>
          <w:lang w:val="hu-HU"/>
        </w:rPr>
      </w:pPr>
      <w:r w:rsidRPr="00D045B3">
        <w:rPr>
          <w:color w:val="000000"/>
          <w:lang w:val="hu-HU"/>
        </w:rPr>
        <w:t>A tabletta egyenlő adagokra osztható.</w:t>
      </w:r>
    </w:p>
    <w:p w14:paraId="1E9283E8" w14:textId="77777777" w:rsidR="002014A3" w:rsidRPr="00D045B3" w:rsidRDefault="002014A3" w:rsidP="002014A3">
      <w:pPr>
        <w:tabs>
          <w:tab w:val="clear" w:pos="567"/>
        </w:tabs>
        <w:suppressAutoHyphens/>
        <w:rPr>
          <w:color w:val="000000"/>
          <w:highlight w:val="lightGray"/>
          <w:lang w:val="hu-HU"/>
        </w:rPr>
      </w:pPr>
    </w:p>
    <w:p w14:paraId="1E9283E9" w14:textId="77777777" w:rsidR="002014A3" w:rsidRPr="00D045B3" w:rsidRDefault="002014A3" w:rsidP="002014A3">
      <w:pPr>
        <w:tabs>
          <w:tab w:val="clear" w:pos="567"/>
        </w:tabs>
        <w:suppressAutoHyphens/>
        <w:rPr>
          <w:color w:val="000000"/>
          <w:lang w:val="hu-HU"/>
        </w:rPr>
      </w:pPr>
      <w:r w:rsidRPr="00D045B3">
        <w:rPr>
          <w:color w:val="000000"/>
          <w:lang w:val="hu-HU"/>
        </w:rPr>
        <w:t>Ha Ön nem tudja lenyelni a tablettát, feloldhatja azokat egy pohár tiszta vízben</w:t>
      </w:r>
      <w:r w:rsidR="0058218E" w:rsidRPr="00D045B3">
        <w:rPr>
          <w:color w:val="000000"/>
          <w:lang w:val="hu-HU"/>
        </w:rPr>
        <w:t>, ásványvízben</w:t>
      </w:r>
      <w:r w:rsidRPr="00D045B3">
        <w:rPr>
          <w:color w:val="000000"/>
          <w:lang w:val="hu-HU"/>
        </w:rPr>
        <w:t xml:space="preserve"> vagy almalében.</w:t>
      </w:r>
    </w:p>
    <w:p w14:paraId="1E9283EA" w14:textId="77777777" w:rsidR="002014A3" w:rsidRPr="00D045B3" w:rsidRDefault="002014A3" w:rsidP="00E95370">
      <w:pPr>
        <w:pStyle w:val="KeinLeerraum"/>
        <w:numPr>
          <w:ilvl w:val="0"/>
          <w:numId w:val="13"/>
        </w:numPr>
        <w:rPr>
          <w:rFonts w:ascii="Times New Roman" w:hAnsi="Times New Roman"/>
        </w:rPr>
      </w:pPr>
      <w:r w:rsidRPr="00D045B3">
        <w:rPr>
          <w:rFonts w:ascii="Times New Roman" w:hAnsi="Times New Roman"/>
        </w:rPr>
        <w:t>Minden 400 mg</w:t>
      </w:r>
      <w:r w:rsidRPr="00D045B3">
        <w:rPr>
          <w:rFonts w:ascii="Times New Roman" w:hAnsi="Times New Roman"/>
        </w:rPr>
        <w:noBreakHyphen/>
        <w:t>os tablettához körülbelül 200 ml folyadékot használjon.</w:t>
      </w:r>
    </w:p>
    <w:p w14:paraId="1E9283EB" w14:textId="77777777" w:rsidR="002014A3" w:rsidRPr="00D045B3" w:rsidRDefault="002014A3" w:rsidP="00E95370">
      <w:pPr>
        <w:pStyle w:val="KeinLeerraum"/>
        <w:numPr>
          <w:ilvl w:val="0"/>
          <w:numId w:val="13"/>
        </w:numPr>
        <w:rPr>
          <w:rFonts w:ascii="Times New Roman" w:hAnsi="Times New Roman"/>
        </w:rPr>
      </w:pPr>
      <w:r w:rsidRPr="00D045B3">
        <w:rPr>
          <w:rFonts w:ascii="Times New Roman" w:hAnsi="Times New Roman"/>
        </w:rPr>
        <w:t xml:space="preserve">Az oldatot addig keverje egy kanállal, amíg a tabletták teljesen fel nem oldódnak. </w:t>
      </w:r>
    </w:p>
    <w:p w14:paraId="1E9283EC" w14:textId="77777777" w:rsidR="002014A3" w:rsidRPr="00D045B3" w:rsidRDefault="002014A3" w:rsidP="00E95370">
      <w:pPr>
        <w:numPr>
          <w:ilvl w:val="0"/>
          <w:numId w:val="23"/>
        </w:numPr>
        <w:tabs>
          <w:tab w:val="clear" w:pos="567"/>
        </w:tabs>
        <w:suppressAutoHyphens/>
        <w:ind w:left="567" w:hanging="567"/>
        <w:rPr>
          <w:color w:val="000000"/>
          <w:lang w:val="hu-HU"/>
        </w:rPr>
      </w:pPr>
      <w:r w:rsidRPr="00D045B3">
        <w:rPr>
          <w:lang w:val="hu-HU"/>
        </w:rPr>
        <w:t>Amint a tabletták feloldódtak, az egész pohár tartalmát igya meg. A feloldódott tabletta maradványai rátapadhatnak a pohár falára.</w:t>
      </w:r>
    </w:p>
    <w:p w14:paraId="1E9283ED" w14:textId="77777777" w:rsidR="002014A3" w:rsidRPr="00D045B3" w:rsidRDefault="002014A3" w:rsidP="002014A3">
      <w:pPr>
        <w:spacing w:line="240" w:lineRule="auto"/>
        <w:ind w:right="-2"/>
        <w:rPr>
          <w:color w:val="000000"/>
          <w:lang w:val="hu-HU"/>
        </w:rPr>
      </w:pPr>
    </w:p>
    <w:p w14:paraId="1E9283EE" w14:textId="77777777" w:rsidR="002014A3" w:rsidRPr="00D045B3" w:rsidRDefault="002014A3" w:rsidP="002014A3">
      <w:pPr>
        <w:keepNext/>
        <w:spacing w:line="240" w:lineRule="auto"/>
        <w:rPr>
          <w:b/>
          <w:color w:val="000000"/>
          <w:lang w:val="hu-HU"/>
        </w:rPr>
      </w:pPr>
      <w:r w:rsidRPr="00D045B3">
        <w:rPr>
          <w:b/>
          <w:color w:val="000000"/>
          <w:lang w:val="hu-HU"/>
        </w:rPr>
        <w:t>Mennyi ideig kell szednie az Imatinib Actavis</w:t>
      </w:r>
      <w:r w:rsidRPr="00D045B3">
        <w:rPr>
          <w:b/>
          <w:color w:val="000000"/>
          <w:lang w:val="hu-HU"/>
        </w:rPr>
        <w:noBreakHyphen/>
        <w:t>t?</w:t>
      </w:r>
    </w:p>
    <w:p w14:paraId="1E9283EF" w14:textId="77777777" w:rsidR="002014A3" w:rsidRPr="00D045B3" w:rsidRDefault="002014A3" w:rsidP="00CA41FD">
      <w:pPr>
        <w:rPr>
          <w:color w:val="000000"/>
          <w:lang w:val="hu-HU"/>
        </w:rPr>
      </w:pPr>
      <w:r w:rsidRPr="00D045B3">
        <w:rPr>
          <w:color w:val="000000"/>
          <w:lang w:val="hu-HU"/>
        </w:rPr>
        <w:t>Az Imatinib Actavis</w:t>
      </w:r>
      <w:r w:rsidRPr="00D045B3">
        <w:rPr>
          <w:color w:val="000000"/>
          <w:lang w:val="hu-HU"/>
        </w:rPr>
        <w:noBreakHyphen/>
        <w:t>t naponta szedje mindaddig, amíg kezelőorvosa előírja.</w:t>
      </w:r>
    </w:p>
    <w:p w14:paraId="1E9283F0" w14:textId="77777777" w:rsidR="002014A3" w:rsidRPr="00D045B3" w:rsidRDefault="002014A3" w:rsidP="002014A3">
      <w:pPr>
        <w:spacing w:line="240" w:lineRule="auto"/>
        <w:ind w:right="-2"/>
        <w:rPr>
          <w:color w:val="000000"/>
          <w:lang w:val="hu-HU"/>
        </w:rPr>
      </w:pPr>
    </w:p>
    <w:p w14:paraId="1E9283F1" w14:textId="77777777" w:rsidR="002014A3" w:rsidRPr="00D045B3" w:rsidRDefault="002014A3" w:rsidP="002014A3">
      <w:pPr>
        <w:spacing w:line="240" w:lineRule="auto"/>
        <w:ind w:right="-2"/>
        <w:rPr>
          <w:b/>
          <w:color w:val="000000"/>
          <w:lang w:val="hu-HU"/>
        </w:rPr>
      </w:pPr>
      <w:r w:rsidRPr="00D045B3">
        <w:rPr>
          <w:b/>
          <w:color w:val="000000"/>
          <w:lang w:val="hu-HU"/>
        </w:rPr>
        <w:t>Ha az előírtnál több Imatinib Actavis</w:t>
      </w:r>
      <w:r w:rsidRPr="00D045B3">
        <w:rPr>
          <w:b/>
          <w:color w:val="000000"/>
          <w:lang w:val="hu-HU"/>
        </w:rPr>
        <w:noBreakHyphen/>
        <w:t>t vett be</w:t>
      </w:r>
    </w:p>
    <w:p w14:paraId="1E9283F2" w14:textId="77777777" w:rsidR="002014A3" w:rsidRPr="00D045B3" w:rsidRDefault="002014A3" w:rsidP="002014A3">
      <w:pPr>
        <w:spacing w:line="240" w:lineRule="auto"/>
        <w:ind w:right="-2"/>
        <w:rPr>
          <w:color w:val="000000"/>
          <w:lang w:val="hu-HU"/>
        </w:rPr>
      </w:pPr>
      <w:r w:rsidRPr="00D045B3">
        <w:rPr>
          <w:color w:val="000000"/>
          <w:lang w:val="hu-HU"/>
        </w:rPr>
        <w:t xml:space="preserve">Ha véletlenül az előírtnál több tablettát vett be, </w:t>
      </w:r>
      <w:r w:rsidRPr="00D045B3">
        <w:rPr>
          <w:b/>
          <w:color w:val="000000"/>
          <w:lang w:val="hu-HU"/>
        </w:rPr>
        <w:t>azonnal</w:t>
      </w:r>
      <w:r w:rsidRPr="00D045B3">
        <w:rPr>
          <w:color w:val="000000"/>
          <w:lang w:val="hu-HU"/>
        </w:rPr>
        <w:t xml:space="preserve"> forduljon kezelőorvosához. Orvosi megfigyelésre lehet szüksége. A gyógyszer csomagolását vigye magával.</w:t>
      </w:r>
    </w:p>
    <w:p w14:paraId="1E9283F3" w14:textId="77777777" w:rsidR="002014A3" w:rsidRPr="00D045B3" w:rsidRDefault="002014A3" w:rsidP="002014A3">
      <w:pPr>
        <w:spacing w:line="240" w:lineRule="auto"/>
        <w:ind w:right="-2"/>
        <w:rPr>
          <w:color w:val="000000"/>
          <w:lang w:val="hu-HU"/>
        </w:rPr>
      </w:pPr>
    </w:p>
    <w:p w14:paraId="1E9283F4" w14:textId="77777777" w:rsidR="002014A3" w:rsidRPr="00D045B3" w:rsidRDefault="002014A3" w:rsidP="002014A3">
      <w:pPr>
        <w:keepNext/>
        <w:spacing w:line="240" w:lineRule="auto"/>
        <w:rPr>
          <w:b/>
          <w:color w:val="000000"/>
          <w:lang w:val="hu-HU"/>
        </w:rPr>
      </w:pPr>
      <w:r w:rsidRPr="00D045B3">
        <w:rPr>
          <w:b/>
          <w:color w:val="000000"/>
          <w:lang w:val="hu-HU"/>
        </w:rPr>
        <w:t>Ha elfelejtette bevenni az Imatinib Actavis</w:t>
      </w:r>
      <w:r w:rsidRPr="00D045B3">
        <w:rPr>
          <w:b/>
          <w:color w:val="000000"/>
          <w:lang w:val="hu-HU"/>
        </w:rPr>
        <w:noBreakHyphen/>
        <w:t>t</w:t>
      </w:r>
    </w:p>
    <w:p w14:paraId="1E9283F5" w14:textId="77777777" w:rsidR="002014A3" w:rsidRPr="00D045B3" w:rsidRDefault="002014A3" w:rsidP="00E95370">
      <w:pPr>
        <w:numPr>
          <w:ilvl w:val="0"/>
          <w:numId w:val="14"/>
        </w:numPr>
        <w:suppressAutoHyphens/>
        <w:spacing w:line="240" w:lineRule="auto"/>
        <w:rPr>
          <w:color w:val="000000"/>
          <w:lang w:val="hu-HU"/>
        </w:rPr>
      </w:pPr>
      <w:r w:rsidRPr="00D045B3">
        <w:rPr>
          <w:color w:val="000000"/>
          <w:lang w:val="hu-HU"/>
        </w:rPr>
        <w:t>Ha elfelejtett egy adagot, vegye be, amint eszébe jut. Azonban, ha ez már majdnem a következő esedékes adag idejében történik, hagyja ki az elfelejtett adagot.</w:t>
      </w:r>
    </w:p>
    <w:p w14:paraId="1E9283F6" w14:textId="77777777" w:rsidR="002014A3" w:rsidRPr="00D045B3" w:rsidRDefault="002014A3" w:rsidP="00E95370">
      <w:pPr>
        <w:numPr>
          <w:ilvl w:val="0"/>
          <w:numId w:val="14"/>
        </w:numPr>
        <w:suppressAutoHyphens/>
        <w:spacing w:line="240" w:lineRule="auto"/>
        <w:ind w:right="-2"/>
        <w:rPr>
          <w:color w:val="000000"/>
          <w:lang w:val="hu-HU"/>
        </w:rPr>
      </w:pPr>
      <w:r w:rsidRPr="00D045B3">
        <w:rPr>
          <w:color w:val="000000"/>
          <w:lang w:val="hu-HU"/>
        </w:rPr>
        <w:t>Ezután folytassa a gyógyszer szedését</w:t>
      </w:r>
      <w:r w:rsidRPr="00D045B3" w:rsidDel="003509F8">
        <w:rPr>
          <w:color w:val="000000"/>
          <w:lang w:val="hu-HU"/>
        </w:rPr>
        <w:t xml:space="preserve"> </w:t>
      </w:r>
      <w:r w:rsidRPr="00D045B3">
        <w:rPr>
          <w:color w:val="000000"/>
          <w:lang w:val="hu-HU"/>
        </w:rPr>
        <w:t>a szokásos menetrend szerint.</w:t>
      </w:r>
    </w:p>
    <w:p w14:paraId="1E9283F7" w14:textId="77777777" w:rsidR="002014A3" w:rsidRPr="00D045B3" w:rsidRDefault="002014A3" w:rsidP="00E95370">
      <w:pPr>
        <w:numPr>
          <w:ilvl w:val="0"/>
          <w:numId w:val="14"/>
        </w:numPr>
        <w:suppressAutoHyphens/>
        <w:spacing w:line="240" w:lineRule="auto"/>
        <w:ind w:right="-2"/>
        <w:rPr>
          <w:color w:val="000000"/>
          <w:lang w:val="hu-HU"/>
        </w:rPr>
      </w:pPr>
      <w:r w:rsidRPr="00D045B3">
        <w:rPr>
          <w:noProof/>
          <w:color w:val="000000"/>
          <w:lang w:val="hu-HU"/>
        </w:rPr>
        <w:t>Ne vegyen be kétszeres adagot a kihagyott adag pótlására.</w:t>
      </w:r>
    </w:p>
    <w:p w14:paraId="1E9283F8" w14:textId="77777777" w:rsidR="002014A3" w:rsidRPr="00D045B3" w:rsidRDefault="002014A3" w:rsidP="002014A3">
      <w:pPr>
        <w:spacing w:line="240" w:lineRule="auto"/>
        <w:ind w:right="-2"/>
        <w:rPr>
          <w:color w:val="000000"/>
          <w:lang w:val="hu-HU"/>
        </w:rPr>
      </w:pPr>
    </w:p>
    <w:p w14:paraId="1E9283F9" w14:textId="77777777" w:rsidR="002014A3" w:rsidRPr="00D045B3" w:rsidRDefault="002014A3" w:rsidP="002014A3">
      <w:pPr>
        <w:spacing w:line="240" w:lineRule="auto"/>
        <w:ind w:right="-2"/>
        <w:rPr>
          <w:color w:val="000000"/>
          <w:lang w:val="hu-HU"/>
        </w:rPr>
      </w:pPr>
      <w:r w:rsidRPr="00D045B3">
        <w:rPr>
          <w:color w:val="000000"/>
          <w:lang w:val="hu-HU"/>
        </w:rPr>
        <w:t xml:space="preserve">Ha bármilyen további kérdése van a gyógyszer alkalmazásával kapcsolatban, kérdezze meg kezelőorvosát, gyógyszerészét vagy a </w:t>
      </w:r>
      <w:r w:rsidR="00D57215" w:rsidRPr="00D045B3">
        <w:rPr>
          <w:lang w:val="hu-HU"/>
        </w:rPr>
        <w:t>gondozását végző egészségügyi szakembert</w:t>
      </w:r>
      <w:r w:rsidRPr="00D045B3">
        <w:rPr>
          <w:color w:val="000000"/>
          <w:lang w:val="hu-HU"/>
        </w:rPr>
        <w:t>.</w:t>
      </w:r>
    </w:p>
    <w:p w14:paraId="1E9283FA" w14:textId="77777777" w:rsidR="002014A3" w:rsidRPr="00D045B3" w:rsidRDefault="002014A3" w:rsidP="002014A3">
      <w:pPr>
        <w:spacing w:line="240" w:lineRule="auto"/>
        <w:ind w:right="-2"/>
        <w:rPr>
          <w:color w:val="000000"/>
          <w:lang w:val="hu-HU"/>
        </w:rPr>
      </w:pPr>
    </w:p>
    <w:p w14:paraId="1E9283FB" w14:textId="77777777" w:rsidR="002014A3" w:rsidRPr="00D045B3" w:rsidRDefault="002014A3" w:rsidP="002014A3">
      <w:pPr>
        <w:spacing w:line="240" w:lineRule="auto"/>
        <w:ind w:right="-2"/>
        <w:rPr>
          <w:color w:val="000000"/>
          <w:lang w:val="hu-HU"/>
        </w:rPr>
      </w:pPr>
    </w:p>
    <w:p w14:paraId="1E9283FC" w14:textId="77777777" w:rsidR="002014A3" w:rsidRPr="00D045B3" w:rsidRDefault="002014A3" w:rsidP="002014A3">
      <w:pPr>
        <w:keepNext/>
        <w:spacing w:line="240" w:lineRule="auto"/>
        <w:ind w:left="567" w:right="-2" w:hanging="567"/>
        <w:rPr>
          <w:b/>
          <w:color w:val="000000"/>
          <w:lang w:val="hu-HU"/>
        </w:rPr>
      </w:pPr>
      <w:r w:rsidRPr="00D045B3">
        <w:rPr>
          <w:b/>
          <w:color w:val="000000"/>
          <w:lang w:val="hu-HU"/>
        </w:rPr>
        <w:t>4.</w:t>
      </w:r>
      <w:r w:rsidRPr="00D045B3">
        <w:rPr>
          <w:b/>
          <w:color w:val="000000"/>
          <w:lang w:val="hu-HU"/>
        </w:rPr>
        <w:tab/>
        <w:t>Lehetséges mellékhatások</w:t>
      </w:r>
    </w:p>
    <w:p w14:paraId="1E9283FD" w14:textId="77777777" w:rsidR="002014A3" w:rsidRPr="00D045B3" w:rsidRDefault="002014A3" w:rsidP="002014A3">
      <w:pPr>
        <w:keepNext/>
        <w:spacing w:line="240" w:lineRule="auto"/>
        <w:ind w:right="-29"/>
        <w:rPr>
          <w:color w:val="000000"/>
          <w:lang w:val="hu-HU"/>
        </w:rPr>
      </w:pPr>
    </w:p>
    <w:p w14:paraId="1E9283FE" w14:textId="77777777" w:rsidR="002014A3" w:rsidRPr="00D045B3" w:rsidRDefault="002014A3" w:rsidP="002014A3">
      <w:pPr>
        <w:keepNext/>
        <w:ind w:right="-29"/>
        <w:rPr>
          <w:color w:val="000000"/>
          <w:lang w:val="hu-HU"/>
        </w:rPr>
      </w:pPr>
      <w:r w:rsidRPr="00D045B3">
        <w:rPr>
          <w:color w:val="000000"/>
          <w:lang w:val="hu-HU"/>
        </w:rPr>
        <w:t xml:space="preserve">Mint minden gyógyszer, így </w:t>
      </w:r>
      <w:r w:rsidRPr="00D045B3">
        <w:rPr>
          <w:noProof/>
          <w:szCs w:val="24"/>
          <w:lang w:val="hu-HU"/>
        </w:rPr>
        <w:t>ez a gyógyszer</w:t>
      </w:r>
      <w:r w:rsidRPr="00D045B3">
        <w:rPr>
          <w:lang w:val="hu-HU"/>
        </w:rPr>
        <w:t xml:space="preserve"> </w:t>
      </w:r>
      <w:r w:rsidRPr="00D045B3">
        <w:rPr>
          <w:color w:val="000000"/>
          <w:lang w:val="hu-HU"/>
        </w:rPr>
        <w:t>is okozhat mellékhatásokat, amelyek azonban nem mindenkinél jelentkeznek. A mellékhatások rendszerint enyhék vagy mérsékeltek.</w:t>
      </w:r>
    </w:p>
    <w:p w14:paraId="1E9283FF" w14:textId="77777777" w:rsidR="002014A3" w:rsidRPr="00D045B3" w:rsidRDefault="002014A3" w:rsidP="002014A3">
      <w:pPr>
        <w:ind w:right="-29"/>
        <w:rPr>
          <w:color w:val="000000"/>
          <w:lang w:val="hu-HU"/>
        </w:rPr>
      </w:pPr>
    </w:p>
    <w:p w14:paraId="1E928400" w14:textId="77777777" w:rsidR="002014A3" w:rsidRPr="00D045B3" w:rsidRDefault="002014A3" w:rsidP="00CA41FD">
      <w:pPr>
        <w:keepNext/>
        <w:spacing w:line="240" w:lineRule="auto"/>
        <w:rPr>
          <w:b/>
          <w:color w:val="000000"/>
          <w:lang w:val="hu-HU"/>
        </w:rPr>
      </w:pPr>
      <w:r w:rsidRPr="00D045B3">
        <w:rPr>
          <w:b/>
          <w:color w:val="000000"/>
          <w:lang w:val="hu-HU"/>
        </w:rPr>
        <w:t>Néhány mellékhatás súlyos lehet. Azonnal forduljon kezelőorvosához, ha az alábbiak közül bármelyiket észleli:</w:t>
      </w:r>
    </w:p>
    <w:p w14:paraId="1E928401" w14:textId="77777777" w:rsidR="002014A3" w:rsidRPr="00D045B3" w:rsidRDefault="002014A3" w:rsidP="00CA41FD">
      <w:pPr>
        <w:keepNext/>
        <w:spacing w:line="240" w:lineRule="auto"/>
        <w:rPr>
          <w:iCs/>
          <w:color w:val="000000"/>
          <w:lang w:val="hu-HU"/>
        </w:rPr>
      </w:pPr>
    </w:p>
    <w:p w14:paraId="1E928402" w14:textId="5B77D7AF" w:rsidR="002014A3" w:rsidRPr="00D045B3" w:rsidRDefault="002014A3" w:rsidP="002014A3">
      <w:pPr>
        <w:keepNext/>
        <w:spacing w:line="240" w:lineRule="auto"/>
        <w:rPr>
          <w:b/>
          <w:bCs/>
          <w:iCs/>
          <w:color w:val="000000"/>
          <w:lang w:val="hu-HU"/>
        </w:rPr>
      </w:pPr>
      <w:r w:rsidRPr="00D045B3">
        <w:rPr>
          <w:b/>
          <w:bCs/>
          <w:iCs/>
          <w:color w:val="000000"/>
          <w:lang w:val="hu-HU"/>
        </w:rPr>
        <w:t>Nagyon gyakori</w:t>
      </w:r>
      <w:r w:rsidR="00512475" w:rsidRPr="00D045B3">
        <w:rPr>
          <w:b/>
          <w:bCs/>
          <w:iCs/>
          <w:color w:val="000000"/>
          <w:lang w:val="hu-HU"/>
        </w:rPr>
        <w:t xml:space="preserve"> </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bCs/>
          <w:iCs/>
          <w:color w:val="000000"/>
          <w:lang w:val="hu-HU"/>
        </w:rPr>
        <w:t xml:space="preserve"> vagy gyakori</w:t>
      </w:r>
      <w:r w:rsidR="00606619" w:rsidRPr="00D045B3">
        <w:rPr>
          <w:b/>
          <w:bCs/>
          <w:iCs/>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bCs/>
          <w:iCs/>
          <w:color w:val="000000"/>
          <w:lang w:val="hu-HU"/>
        </w:rPr>
        <w:t>:</w:t>
      </w:r>
    </w:p>
    <w:p w14:paraId="1E928403" w14:textId="77777777" w:rsidR="002014A3" w:rsidRPr="00D045B3" w:rsidRDefault="002014A3"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Gyors testtömeg</w:t>
      </w:r>
      <w:r w:rsidRPr="00D045B3">
        <w:rPr>
          <w:color w:val="000000"/>
          <w:lang w:val="hu-HU"/>
        </w:rPr>
        <w:noBreakHyphen/>
        <w:t>gyarapodás. Az Imatinib Actavis hatására szervezete vizet tarthat vissza (úgynevezett súlyos folyadékretenció).</w:t>
      </w:r>
    </w:p>
    <w:p w14:paraId="1E928404" w14:textId="77777777" w:rsidR="002014A3" w:rsidRPr="00D045B3" w:rsidRDefault="002014A3"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Fertőzésre utaló jelek, pl. láz, nagyfokú hidegrázás, torokfájás, szájfekélyek. Az Imatinib Actavis csökkentheti a vérben a fehérvérsejtek számát, ezáltal Ön könnyebben kapja el a fertőzéseket.</w:t>
      </w:r>
    </w:p>
    <w:p w14:paraId="1E928405" w14:textId="77777777" w:rsidR="002014A3" w:rsidRPr="00D045B3" w:rsidRDefault="002014A3" w:rsidP="00E95370">
      <w:pPr>
        <w:numPr>
          <w:ilvl w:val="0"/>
          <w:numId w:val="18"/>
        </w:numPr>
        <w:tabs>
          <w:tab w:val="clear" w:pos="360"/>
          <w:tab w:val="num" w:pos="567"/>
        </w:tabs>
        <w:suppressAutoHyphens/>
        <w:spacing w:line="240" w:lineRule="auto"/>
        <w:ind w:left="567" w:hanging="567"/>
        <w:rPr>
          <w:color w:val="000000"/>
          <w:lang w:val="hu-HU"/>
        </w:rPr>
      </w:pPr>
      <w:r w:rsidRPr="00D045B3">
        <w:rPr>
          <w:color w:val="000000"/>
          <w:lang w:val="hu-HU"/>
        </w:rPr>
        <w:t>Váratlan vérzés vagy véraláfutás (olyankor, amikor nem sértette meg magát).</w:t>
      </w:r>
    </w:p>
    <w:p w14:paraId="1E928406" w14:textId="77777777" w:rsidR="002014A3" w:rsidRPr="00D045B3" w:rsidRDefault="002014A3" w:rsidP="002014A3">
      <w:pPr>
        <w:spacing w:line="240" w:lineRule="auto"/>
        <w:rPr>
          <w:color w:val="000000"/>
          <w:lang w:val="hu-HU"/>
        </w:rPr>
      </w:pPr>
    </w:p>
    <w:p w14:paraId="1E928407" w14:textId="7D5477BD" w:rsidR="002014A3" w:rsidRPr="00D045B3" w:rsidRDefault="002014A3" w:rsidP="002014A3">
      <w:pPr>
        <w:keepNext/>
        <w:spacing w:line="240" w:lineRule="auto"/>
        <w:rPr>
          <w:b/>
          <w:bCs/>
          <w:iCs/>
          <w:color w:val="000000"/>
          <w:lang w:val="hu-HU"/>
        </w:rPr>
      </w:pPr>
      <w:r w:rsidRPr="00D045B3">
        <w:rPr>
          <w:b/>
          <w:bCs/>
          <w:iCs/>
          <w:color w:val="000000"/>
          <w:lang w:val="hu-HU"/>
        </w:rPr>
        <w:t>Nem gyakori</w:t>
      </w:r>
      <w:r w:rsidR="00512475" w:rsidRPr="00D045B3">
        <w:rPr>
          <w:b/>
          <w:bCs/>
          <w:iCs/>
          <w:color w:val="000000"/>
          <w:lang w:val="hu-HU"/>
        </w:rPr>
        <w:t xml:space="preserve"> </w:t>
      </w:r>
      <w:r w:rsidRPr="00D045B3">
        <w:rPr>
          <w:bCs/>
          <w:iCs/>
          <w:color w:val="000000"/>
          <w:lang w:val="hu-HU"/>
        </w:rPr>
        <w:t>(100</w:t>
      </w:r>
      <w:r w:rsidRPr="00D045B3">
        <w:rPr>
          <w:bCs/>
          <w:iCs/>
          <w:color w:val="000000"/>
          <w:lang w:val="hu-HU"/>
        </w:rPr>
        <w:noBreakHyphen/>
        <w:t xml:space="preserve">ból legfeljebb1 beteget érinthetnek) </w:t>
      </w:r>
      <w:r w:rsidRPr="00D045B3">
        <w:rPr>
          <w:b/>
          <w:bCs/>
          <w:iCs/>
          <w:color w:val="000000"/>
          <w:lang w:val="hu-HU"/>
        </w:rPr>
        <w:t>vagy ritka</w:t>
      </w:r>
      <w:r w:rsidR="00606619" w:rsidRPr="00D045B3">
        <w:rPr>
          <w:b/>
          <w:bCs/>
          <w:iCs/>
          <w:color w:val="000000"/>
          <w:lang w:val="hu-HU"/>
        </w:rPr>
        <w:t xml:space="preserve"> </w:t>
      </w:r>
      <w:r w:rsidRPr="00D045B3">
        <w:rPr>
          <w:bCs/>
          <w:iCs/>
          <w:color w:val="000000"/>
          <w:lang w:val="hu-HU"/>
        </w:rPr>
        <w:t>(1000</w:t>
      </w:r>
      <w:r w:rsidRPr="00D045B3">
        <w:rPr>
          <w:bCs/>
          <w:iCs/>
          <w:color w:val="000000"/>
          <w:lang w:val="hu-HU"/>
        </w:rPr>
        <w:noBreakHyphen/>
        <w:t>ből legfeljebb1 beteget érinthetnek)</w:t>
      </w:r>
      <w:r w:rsidRPr="00D045B3">
        <w:rPr>
          <w:b/>
          <w:bCs/>
          <w:iCs/>
          <w:color w:val="000000"/>
          <w:lang w:val="hu-HU"/>
        </w:rPr>
        <w:t>:</w:t>
      </w:r>
    </w:p>
    <w:p w14:paraId="1E928408"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Mellkasi fájdalom, szabálytalan szívverés (szívproblémákra utaló jelek).</w:t>
      </w:r>
    </w:p>
    <w:p w14:paraId="1E928409"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Köhögés, légszomj vagy fájdalmas légzés (tüdőproblémákra utaló jelek).</w:t>
      </w:r>
    </w:p>
    <w:p w14:paraId="1E92840A"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Kábultság, szédülés vagy ájulás közeli érzés (alacsony vérnyomásra utaló jelek).</w:t>
      </w:r>
    </w:p>
    <w:p w14:paraId="1E92840B"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 xml:space="preserve">Émelygés (hányinger) étvágytalansággal, </w:t>
      </w:r>
      <w:r w:rsidR="00A353BD" w:rsidRPr="00D045B3">
        <w:rPr>
          <w:color w:val="000000"/>
          <w:lang w:val="hu-HU"/>
        </w:rPr>
        <w:t xml:space="preserve">sötét </w:t>
      </w:r>
      <w:r w:rsidRPr="00D045B3">
        <w:rPr>
          <w:color w:val="000000"/>
          <w:lang w:val="hu-HU"/>
        </w:rPr>
        <w:t>színű vizelettel vagy a bőr, illetve a szemfehérje besárgulásával (májrendellenességre utaló jelek).</w:t>
      </w:r>
    </w:p>
    <w:p w14:paraId="1E92840C"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Bőrkiütés, bőrpír, hólyagokkal az ajkakon, szemeken, bőrön vagy a szájban, a bőr hámlása, láz, a bőr felszínéből kiemelkedő vörös vagy lila foltok, viszketés, égő érzés, gennyes hólyagokkal jelentkező bőrkiütés (bőrproblémákra utaló jelek).</w:t>
      </w:r>
    </w:p>
    <w:p w14:paraId="1E92840D"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hasi fájdalom, vér a hányadékban, a székletben vagy a vizeletben, fekete széklet (gyomor-bélrendszeri problémákra utaló jelek).</w:t>
      </w:r>
    </w:p>
    <w:p w14:paraId="1E92840E"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vizelet mennyiségének nagymértékű csökkenése, szomjúság érzés (veseproblémákra utaló jelek).</w:t>
      </w:r>
    </w:p>
    <w:p w14:paraId="1E92840F"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Émelygés (hányinger) hasmenéssel és hányással, hasfájás vagy láz (bélrendellenességre utaló jelek).</w:t>
      </w:r>
    </w:p>
    <w:p w14:paraId="1E928410" w14:textId="37CD4B03"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Súlyos fejfájás, a végtagok vagy az arc</w:t>
      </w:r>
      <w:r w:rsidR="00C7474B" w:rsidRPr="00D045B3">
        <w:rPr>
          <w:color w:val="000000"/>
          <w:lang w:val="hu-HU"/>
        </w:rPr>
        <w:t>izmok</w:t>
      </w:r>
      <w:r w:rsidRPr="00D045B3">
        <w:rPr>
          <w:color w:val="000000"/>
          <w:lang w:val="hu-HU"/>
        </w:rPr>
        <w:t xml:space="preserve"> gyengesége vagy bénulása, nehezített beszéd, hirtelen eszméletvesztés (idegrendszeri problémákra, mint például a koponyán belüli vagy az agyban kialakuló vérzésre vagy vizenyőre utaló jelek).</w:t>
      </w:r>
    </w:p>
    <w:p w14:paraId="1E928411"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Sápadt bőr, fáradtság és légszomj, valamint sötét vizelet (alacsony vörösvértestszámra utaló jelek).</w:t>
      </w:r>
    </w:p>
    <w:p w14:paraId="1E928412"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Szemfájdalom vagy a látás romlása</w:t>
      </w:r>
      <w:r w:rsidR="00A353BD" w:rsidRPr="00D045B3">
        <w:rPr>
          <w:color w:val="000000"/>
          <w:lang w:val="hu-HU"/>
        </w:rPr>
        <w:t>, szemen belüli vérzés</w:t>
      </w:r>
      <w:r w:rsidRPr="00D045B3">
        <w:rPr>
          <w:color w:val="000000"/>
          <w:lang w:val="hu-HU"/>
        </w:rPr>
        <w:t>.</w:t>
      </w:r>
    </w:p>
    <w:p w14:paraId="1E928413"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Csípőfájdalom vagy a járás nehezítettsége.</w:t>
      </w:r>
    </w:p>
    <w:p w14:paraId="1E928414"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láb- és kézujjak zsibbadása vagy hidegsége (Raynaud-szindrómára utaló jelek).</w:t>
      </w:r>
    </w:p>
    <w:p w14:paraId="1E928415"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A bőr hirtelen duzzadása és vörössége (cellulitisz nevű bőrfertőzésre utaló jelek).</w:t>
      </w:r>
    </w:p>
    <w:p w14:paraId="1E928416"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Halláscsökkenés.</w:t>
      </w:r>
    </w:p>
    <w:p w14:paraId="1E928417"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Izomgyengeség és izomgörcsök szívritmuszavarral (a vérben lévő kálium</w:t>
      </w:r>
      <w:r w:rsidRPr="00D045B3">
        <w:rPr>
          <w:color w:val="000000"/>
          <w:lang w:val="hu-HU"/>
        </w:rPr>
        <w:noBreakHyphen/>
        <w:t>mennyiség változásának jelei).</w:t>
      </w:r>
    </w:p>
    <w:p w14:paraId="1E928418"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Véraláfutás.</w:t>
      </w:r>
    </w:p>
    <w:p w14:paraId="1E928419"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Gyomorfájdalom émelygéssel (hányingerrel).</w:t>
      </w:r>
    </w:p>
    <w:p w14:paraId="1E92841A"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Izomgörcsök lázzal, vöröses-barna színű vizelettel, izomfájdalommal vagy izomgyengeséggel (izomproblémákra utaló jelek).</w:t>
      </w:r>
    </w:p>
    <w:p w14:paraId="1E92841B" w14:textId="77777777" w:rsidR="002014A3" w:rsidRPr="00D045B3" w:rsidRDefault="002014A3"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Kismedencei fájdalom, néha hányingerrel és hányással, váratlan hüvelyi vérzéssel, szédüléssel vagy ájulás közeli érzéssel, mely az alacsony vérnyomásnak tulajdonítható (petefészek- vagy méhproblémákra utaló jelek).</w:t>
      </w:r>
    </w:p>
    <w:p w14:paraId="1E92841C" w14:textId="44F12576" w:rsidR="00A65EE6" w:rsidRPr="00D045B3" w:rsidRDefault="00A65EE6" w:rsidP="00E95370">
      <w:pPr>
        <w:numPr>
          <w:ilvl w:val="0"/>
          <w:numId w:val="19"/>
        </w:numPr>
        <w:tabs>
          <w:tab w:val="clear" w:pos="360"/>
          <w:tab w:val="num" w:pos="567"/>
        </w:tabs>
        <w:suppressAutoHyphens/>
        <w:spacing w:line="240" w:lineRule="auto"/>
        <w:ind w:left="567" w:hanging="567"/>
        <w:rPr>
          <w:color w:val="000000"/>
          <w:lang w:val="hu-HU"/>
        </w:rPr>
      </w:pPr>
      <w:r w:rsidRPr="00D045B3">
        <w:rPr>
          <w:color w:val="000000"/>
          <w:lang w:val="hu-HU"/>
        </w:rPr>
        <w:t>Kóros laboratóriumi vizsgálati eredményekkel (pl. magas kálium-, húgysav- és kalciumszint, valamint alacsony foszforszint, a vérben) összefüggő hányinger, légszomj, rendszertelen szívverés, zavaros vizelet, fáradtság és/vagy ízületi fájdalom.</w:t>
      </w:r>
    </w:p>
    <w:p w14:paraId="7236EB18" w14:textId="17615086" w:rsidR="00DB606B" w:rsidRPr="00D045B3" w:rsidRDefault="00DB606B" w:rsidP="001511DA">
      <w:pPr>
        <w:numPr>
          <w:ilvl w:val="0"/>
          <w:numId w:val="19"/>
        </w:numPr>
        <w:tabs>
          <w:tab w:val="clear" w:pos="360"/>
          <w:tab w:val="clear" w:pos="567"/>
        </w:tabs>
        <w:suppressAutoHyphens/>
        <w:spacing w:line="240" w:lineRule="auto"/>
        <w:ind w:left="567" w:hanging="567"/>
        <w:rPr>
          <w:color w:val="000000"/>
          <w:lang w:val="hu-HU"/>
        </w:rPr>
      </w:pPr>
      <w:r w:rsidRPr="00D045B3">
        <w:rPr>
          <w:color w:val="000000"/>
          <w:lang w:val="hu-HU"/>
        </w:rPr>
        <w:t>Vérrögök a kis vérerekben (trombotikus mikroangiopátia).</w:t>
      </w:r>
    </w:p>
    <w:p w14:paraId="1E92841D" w14:textId="77777777" w:rsidR="00A65EE6" w:rsidRPr="00D045B3" w:rsidRDefault="00A65EE6" w:rsidP="00A65EE6">
      <w:pPr>
        <w:tabs>
          <w:tab w:val="clear" w:pos="567"/>
        </w:tabs>
        <w:suppressAutoHyphens/>
        <w:spacing w:line="240" w:lineRule="auto"/>
        <w:rPr>
          <w:color w:val="000000"/>
          <w:lang w:val="hu-HU"/>
        </w:rPr>
      </w:pPr>
    </w:p>
    <w:p w14:paraId="1E92841E" w14:textId="77777777" w:rsidR="00A65EE6" w:rsidRPr="00D045B3" w:rsidRDefault="00A65EE6" w:rsidP="00CA41FD">
      <w:pPr>
        <w:pStyle w:val="Default"/>
        <w:keepNext/>
        <w:rPr>
          <w:sz w:val="22"/>
          <w:szCs w:val="22"/>
        </w:rPr>
      </w:pPr>
      <w:r w:rsidRPr="00D045B3">
        <w:rPr>
          <w:b/>
          <w:bCs/>
          <w:sz w:val="22"/>
          <w:szCs w:val="22"/>
        </w:rPr>
        <w:t xml:space="preserve">Nem ismert </w:t>
      </w:r>
      <w:r w:rsidRPr="00D045B3">
        <w:rPr>
          <w:sz w:val="22"/>
          <w:szCs w:val="22"/>
        </w:rPr>
        <w:t xml:space="preserve">(a gyakoriság a rendelkezésre álló adatokból nem állapítható meg): </w:t>
      </w:r>
    </w:p>
    <w:p w14:paraId="1E92841F" w14:textId="77777777" w:rsidR="002014A3" w:rsidRPr="00D045B3" w:rsidRDefault="00A65EE6" w:rsidP="00E95370">
      <w:pPr>
        <w:numPr>
          <w:ilvl w:val="0"/>
          <w:numId w:val="19"/>
        </w:numPr>
        <w:tabs>
          <w:tab w:val="clear" w:pos="360"/>
          <w:tab w:val="num" w:pos="567"/>
        </w:tabs>
        <w:suppressAutoHyphens/>
        <w:spacing w:line="240" w:lineRule="auto"/>
        <w:ind w:left="567" w:hanging="567"/>
        <w:rPr>
          <w:color w:val="000000"/>
          <w:lang w:val="hu-HU"/>
        </w:rPr>
      </w:pPr>
      <w:r w:rsidRPr="00D045B3">
        <w:rPr>
          <w:szCs w:val="22"/>
          <w:lang w:val="hu-HU"/>
        </w:rPr>
        <w:t>Kiterjedt, súlyos bőrkiütés, hányinger, láz, bizonyos fehérvérsejtek magas számának vagy a bőr, illetve a szemfehérje besárgulásának (sárgaság tünetei) kombinációja, légszomjjal, mellkasi fájdalommal/kellemetlen érzéssel, nagymértékben csökkent vizeletürítéssel és szomjúsággal stb. (ezek a kezeléssel összefüggő allergiás reakció jelei).</w:t>
      </w:r>
    </w:p>
    <w:p w14:paraId="1E928420" w14:textId="2C829176" w:rsidR="007D3E82" w:rsidRPr="00D045B3" w:rsidRDefault="00C005AC" w:rsidP="00E95370">
      <w:pPr>
        <w:numPr>
          <w:ilvl w:val="0"/>
          <w:numId w:val="19"/>
        </w:numPr>
        <w:tabs>
          <w:tab w:val="clear" w:pos="360"/>
          <w:tab w:val="num" w:pos="567"/>
        </w:tabs>
        <w:suppressAutoHyphens/>
        <w:spacing w:line="240" w:lineRule="auto"/>
        <w:ind w:left="567" w:hanging="567"/>
        <w:rPr>
          <w:szCs w:val="22"/>
          <w:lang w:val="hu-HU"/>
        </w:rPr>
      </w:pPr>
      <w:r w:rsidRPr="00D045B3">
        <w:rPr>
          <w:szCs w:val="22"/>
          <w:lang w:val="hu-HU"/>
        </w:rPr>
        <w:t>Krónikus veseelégtelenség</w:t>
      </w:r>
      <w:r w:rsidR="00F016AA" w:rsidRPr="00D045B3">
        <w:rPr>
          <w:szCs w:val="22"/>
          <w:lang w:val="hu-HU"/>
        </w:rPr>
        <w:t>.</w:t>
      </w:r>
    </w:p>
    <w:p w14:paraId="1E928421" w14:textId="77777777" w:rsidR="007D3E82" w:rsidRPr="00D045B3" w:rsidRDefault="007D3E82" w:rsidP="00E95370">
      <w:pPr>
        <w:numPr>
          <w:ilvl w:val="0"/>
          <w:numId w:val="19"/>
        </w:numPr>
        <w:tabs>
          <w:tab w:val="clear" w:pos="360"/>
          <w:tab w:val="num" w:pos="567"/>
        </w:tabs>
        <w:suppressAutoHyphens/>
        <w:spacing w:line="240" w:lineRule="auto"/>
        <w:ind w:left="567" w:hanging="567"/>
        <w:rPr>
          <w:szCs w:val="22"/>
          <w:lang w:val="hu-HU"/>
        </w:rPr>
      </w:pPr>
      <w:r w:rsidRPr="00D045B3">
        <w:rPr>
          <w:szCs w:val="22"/>
          <w:lang w:val="hu-HU"/>
        </w:rPr>
        <w:t>A hepatitisz B fertőzés kiújulása (reaktiválódása), ha Önnek korábban hepatitisz B fertőzése (egy májfertőzés) volt.</w:t>
      </w:r>
    </w:p>
    <w:p w14:paraId="1E928422" w14:textId="77777777" w:rsidR="009261A4" w:rsidRPr="00D045B3" w:rsidRDefault="009261A4" w:rsidP="002014A3">
      <w:pPr>
        <w:spacing w:line="240" w:lineRule="auto"/>
        <w:rPr>
          <w:b/>
          <w:color w:val="000000"/>
          <w:lang w:val="hu-HU"/>
        </w:rPr>
      </w:pPr>
    </w:p>
    <w:p w14:paraId="1E928423" w14:textId="77777777" w:rsidR="002014A3" w:rsidRPr="00D045B3" w:rsidRDefault="002014A3" w:rsidP="002014A3">
      <w:pPr>
        <w:spacing w:line="240" w:lineRule="auto"/>
        <w:rPr>
          <w:color w:val="000000"/>
          <w:lang w:val="hu-HU"/>
        </w:rPr>
      </w:pPr>
      <w:r w:rsidRPr="00D045B3">
        <w:rPr>
          <w:b/>
          <w:color w:val="000000"/>
          <w:lang w:val="hu-HU"/>
        </w:rPr>
        <w:t xml:space="preserve">Azonnal forduljon kezelőorvosához, </w:t>
      </w:r>
      <w:r w:rsidRPr="00D045B3">
        <w:rPr>
          <w:color w:val="000000"/>
          <w:lang w:val="hu-HU"/>
        </w:rPr>
        <w:t>ha a fentiek közül bármelyiket észleli!</w:t>
      </w:r>
    </w:p>
    <w:p w14:paraId="1E928424" w14:textId="77777777" w:rsidR="002014A3" w:rsidRPr="00D045B3" w:rsidRDefault="002014A3" w:rsidP="002014A3">
      <w:pPr>
        <w:spacing w:line="240" w:lineRule="auto"/>
        <w:rPr>
          <w:color w:val="000000"/>
          <w:lang w:val="hu-HU"/>
        </w:rPr>
      </w:pPr>
    </w:p>
    <w:p w14:paraId="1E928425" w14:textId="77777777" w:rsidR="002014A3" w:rsidRPr="00D045B3" w:rsidRDefault="002014A3" w:rsidP="002014A3">
      <w:pPr>
        <w:keepNext/>
        <w:spacing w:line="240" w:lineRule="auto"/>
        <w:rPr>
          <w:b/>
          <w:color w:val="000000"/>
          <w:lang w:val="hu-HU"/>
        </w:rPr>
      </w:pPr>
      <w:r w:rsidRPr="00D045B3">
        <w:rPr>
          <w:b/>
          <w:color w:val="000000"/>
          <w:lang w:val="hu-HU"/>
        </w:rPr>
        <w:t>További lehetséges mellékhatások:</w:t>
      </w:r>
    </w:p>
    <w:p w14:paraId="1E928426" w14:textId="77777777" w:rsidR="002014A3" w:rsidRPr="00D045B3" w:rsidRDefault="002014A3" w:rsidP="002014A3">
      <w:pPr>
        <w:keepNext/>
        <w:spacing w:line="240" w:lineRule="auto"/>
        <w:rPr>
          <w:color w:val="000000"/>
          <w:lang w:val="hu-HU"/>
        </w:rPr>
      </w:pPr>
    </w:p>
    <w:p w14:paraId="1E928427" w14:textId="281322D3" w:rsidR="002014A3" w:rsidRPr="00D045B3" w:rsidRDefault="002014A3" w:rsidP="002014A3">
      <w:pPr>
        <w:keepNext/>
        <w:spacing w:line="240" w:lineRule="auto"/>
        <w:rPr>
          <w:b/>
          <w:color w:val="000000"/>
          <w:lang w:val="hu-HU"/>
        </w:rPr>
      </w:pPr>
      <w:r w:rsidRPr="00D045B3">
        <w:rPr>
          <w:b/>
          <w:color w:val="000000"/>
          <w:lang w:val="hu-HU"/>
        </w:rPr>
        <w:t>Nagyon gyakori</w:t>
      </w:r>
      <w:r w:rsidR="009127A1" w:rsidRPr="00D045B3">
        <w:rPr>
          <w:b/>
          <w:color w:val="000000"/>
          <w:lang w:val="hu-HU"/>
        </w:rPr>
        <w:t xml:space="preserve"> </w:t>
      </w:r>
      <w:r w:rsidRPr="00D045B3">
        <w:rPr>
          <w:b/>
          <w:color w:val="000000"/>
          <w:lang w:val="hu-HU"/>
        </w:rPr>
        <w:t>(</w:t>
      </w:r>
      <w:r w:rsidRPr="00D045B3">
        <w:rPr>
          <w:bCs/>
          <w:iCs/>
          <w:color w:val="000000"/>
          <w:lang w:val="hu-HU"/>
        </w:rPr>
        <w:t>10</w:t>
      </w:r>
      <w:r w:rsidRPr="00D045B3">
        <w:rPr>
          <w:bCs/>
          <w:iCs/>
          <w:color w:val="000000"/>
          <w:lang w:val="hu-HU"/>
        </w:rPr>
        <w:noBreakHyphen/>
        <w:t>ből 1</w:t>
      </w:r>
      <w:r w:rsidRPr="00D045B3">
        <w:rPr>
          <w:bCs/>
          <w:iCs/>
          <w:color w:val="000000"/>
          <w:lang w:val="hu-HU"/>
        </w:rPr>
        <w:noBreakHyphen/>
        <w:t>nél több beteget érinthetnek)</w:t>
      </w:r>
      <w:r w:rsidRPr="00D045B3">
        <w:rPr>
          <w:b/>
          <w:color w:val="000000"/>
          <w:lang w:val="hu-HU"/>
        </w:rPr>
        <w:t>:</w:t>
      </w:r>
    </w:p>
    <w:p w14:paraId="1E928428" w14:textId="77777777" w:rsidR="002014A3" w:rsidRPr="00D045B3" w:rsidRDefault="002014A3"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Fejfájás vagy fáradtság.</w:t>
      </w:r>
    </w:p>
    <w:p w14:paraId="1E928429" w14:textId="77777777" w:rsidR="002014A3" w:rsidRPr="00D045B3" w:rsidRDefault="002014A3"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Hányinger, hányás, hasmenés vagy emésztési zavarok.</w:t>
      </w:r>
    </w:p>
    <w:p w14:paraId="1E92842A" w14:textId="77777777" w:rsidR="002014A3" w:rsidRPr="00D045B3" w:rsidRDefault="002014A3"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Bőrkiütés.</w:t>
      </w:r>
    </w:p>
    <w:p w14:paraId="1E92842B" w14:textId="77777777" w:rsidR="00B4569A" w:rsidRPr="00D045B3" w:rsidRDefault="002014A3" w:rsidP="00E95370">
      <w:pPr>
        <w:numPr>
          <w:ilvl w:val="0"/>
          <w:numId w:val="15"/>
        </w:numPr>
        <w:tabs>
          <w:tab w:val="clear" w:pos="360"/>
          <w:tab w:val="clear" w:pos="567"/>
          <w:tab w:val="num" w:pos="600"/>
        </w:tabs>
        <w:suppressAutoHyphens/>
        <w:spacing w:line="240" w:lineRule="auto"/>
        <w:ind w:left="600" w:hanging="600"/>
        <w:rPr>
          <w:color w:val="000000"/>
          <w:lang w:val="hu-HU"/>
        </w:rPr>
      </w:pPr>
      <w:r w:rsidRPr="00D045B3">
        <w:rPr>
          <w:color w:val="000000"/>
          <w:lang w:val="hu-HU"/>
        </w:rPr>
        <w:t>Izomgörcsök, vagy ízületi-, izom</w:t>
      </w:r>
      <w:r w:rsidRPr="00D045B3">
        <w:rPr>
          <w:color w:val="000000"/>
          <w:lang w:val="hu-HU"/>
        </w:rPr>
        <w:noBreakHyphen/>
        <w:t xml:space="preserve"> vagy csontfájdalmak</w:t>
      </w:r>
      <w:r w:rsidR="00B4569A" w:rsidRPr="00D045B3">
        <w:rPr>
          <w:color w:val="000000"/>
          <w:lang w:val="hu-HU"/>
        </w:rPr>
        <w:t>, az imatinib</w:t>
      </w:r>
      <w:r w:rsidR="00B4569A" w:rsidRPr="00D045B3">
        <w:rPr>
          <w:color w:val="000000"/>
          <w:lang w:val="hu-HU"/>
        </w:rPr>
        <w:noBreakHyphen/>
        <w:t>kezelés alatt, vagy az imatinib szedésének abbahagyását követően.</w:t>
      </w:r>
    </w:p>
    <w:p w14:paraId="1E92842C" w14:textId="7AFA67BB" w:rsidR="002014A3" w:rsidRPr="00D045B3" w:rsidRDefault="002014A3"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Duzzanat, mint a bokaduzzanat és a szem</w:t>
      </w:r>
      <w:r w:rsidR="00CB2CF7" w:rsidRPr="00D045B3">
        <w:rPr>
          <w:color w:val="000000"/>
          <w:lang w:val="hu-HU"/>
        </w:rPr>
        <w:t>tájé</w:t>
      </w:r>
      <w:r w:rsidRPr="00D045B3">
        <w:rPr>
          <w:color w:val="000000"/>
          <w:lang w:val="hu-HU"/>
        </w:rPr>
        <w:t>k duzzanata.</w:t>
      </w:r>
    </w:p>
    <w:p w14:paraId="1E92842D" w14:textId="77777777" w:rsidR="002014A3" w:rsidRPr="00D045B3" w:rsidRDefault="002014A3" w:rsidP="00E95370">
      <w:pPr>
        <w:numPr>
          <w:ilvl w:val="0"/>
          <w:numId w:val="20"/>
        </w:numPr>
        <w:tabs>
          <w:tab w:val="clear" w:pos="360"/>
          <w:tab w:val="num" w:pos="567"/>
        </w:tabs>
        <w:suppressAutoHyphens/>
        <w:spacing w:line="240" w:lineRule="auto"/>
        <w:ind w:left="567" w:hanging="567"/>
        <w:rPr>
          <w:color w:val="000000"/>
          <w:lang w:val="hu-HU"/>
        </w:rPr>
      </w:pPr>
      <w:r w:rsidRPr="00D045B3">
        <w:rPr>
          <w:color w:val="000000"/>
          <w:lang w:val="hu-HU"/>
        </w:rPr>
        <w:t>Testtömeg</w:t>
      </w:r>
      <w:r w:rsidRPr="00D045B3">
        <w:rPr>
          <w:color w:val="000000"/>
          <w:lang w:val="hu-HU"/>
        </w:rPr>
        <w:noBreakHyphen/>
        <w:t>gyarapodás.</w:t>
      </w:r>
    </w:p>
    <w:p w14:paraId="1E92842F" w14:textId="77777777" w:rsidR="002014A3" w:rsidRPr="00D045B3" w:rsidRDefault="002014A3" w:rsidP="002014A3">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8430" w14:textId="77777777" w:rsidR="002014A3" w:rsidRPr="00D045B3" w:rsidRDefault="002014A3" w:rsidP="002014A3">
      <w:pPr>
        <w:spacing w:line="240" w:lineRule="auto"/>
        <w:rPr>
          <w:color w:val="000000"/>
          <w:lang w:val="hu-HU"/>
        </w:rPr>
      </w:pPr>
    </w:p>
    <w:p w14:paraId="1E928431" w14:textId="094B1C8B" w:rsidR="002014A3" w:rsidRPr="00D045B3" w:rsidRDefault="002014A3" w:rsidP="00CA41FD">
      <w:pPr>
        <w:keepNext/>
        <w:spacing w:line="240" w:lineRule="auto"/>
        <w:rPr>
          <w:b/>
          <w:color w:val="000000"/>
          <w:lang w:val="hu-HU"/>
        </w:rPr>
      </w:pPr>
      <w:r w:rsidRPr="00D045B3">
        <w:rPr>
          <w:b/>
          <w:color w:val="000000"/>
          <w:lang w:val="hu-HU"/>
        </w:rPr>
        <w:t>Gyakori</w:t>
      </w:r>
      <w:r w:rsidR="009127A1" w:rsidRPr="00D045B3">
        <w:rPr>
          <w:b/>
          <w:color w:val="000000"/>
          <w:lang w:val="hu-HU"/>
        </w:rPr>
        <w:t xml:space="preserve"> </w:t>
      </w:r>
      <w:r w:rsidRPr="00D045B3">
        <w:rPr>
          <w:bCs/>
          <w:iCs/>
          <w:color w:val="000000"/>
          <w:lang w:val="hu-HU"/>
        </w:rPr>
        <w:t>(10</w:t>
      </w:r>
      <w:r w:rsidRPr="00D045B3">
        <w:rPr>
          <w:bCs/>
          <w:iCs/>
          <w:color w:val="000000"/>
          <w:lang w:val="hu-HU"/>
        </w:rPr>
        <w:noBreakHyphen/>
        <w:t>ből legfeljebb1 beteget érinthetnek)</w:t>
      </w:r>
      <w:r w:rsidRPr="00D045B3">
        <w:rPr>
          <w:b/>
          <w:color w:val="000000"/>
          <w:lang w:val="hu-HU"/>
        </w:rPr>
        <w:t>:</w:t>
      </w:r>
    </w:p>
    <w:p w14:paraId="1E928432"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Étvágytalanság, testtömeg</w:t>
      </w:r>
      <w:r w:rsidRPr="00D045B3">
        <w:rPr>
          <w:color w:val="000000"/>
          <w:lang w:val="hu-HU"/>
        </w:rPr>
        <w:noBreakHyphen/>
        <w:t>csökkenés vagy ízérzési zavarok.</w:t>
      </w:r>
    </w:p>
    <w:p w14:paraId="1E928433"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Szédülés vagy gyengeség.</w:t>
      </w:r>
    </w:p>
    <w:p w14:paraId="1E928434"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Álmatlanság (inszomnia).</w:t>
      </w:r>
    </w:p>
    <w:p w14:paraId="1E928435"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Szemváladékozás viszketéssel, vörösséggel és duzzanattal (kötőhártya gyulladás), fokozott könnyfolyás vagy homályos látás.</w:t>
      </w:r>
    </w:p>
    <w:p w14:paraId="1E928436"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Orrvérzés.</w:t>
      </w:r>
    </w:p>
    <w:p w14:paraId="1E928437"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Hasi fájdalom vagy haspuffadás, fokozott bélgáztermelődés, gyomorégés vagy székrekedés.</w:t>
      </w:r>
    </w:p>
    <w:p w14:paraId="1E928438"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Viszketés.</w:t>
      </w:r>
    </w:p>
    <w:p w14:paraId="1E928439"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Szokatlan hajhullás vagy hajritkulás.</w:t>
      </w:r>
    </w:p>
    <w:p w14:paraId="1E92843A"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Kéz</w:t>
      </w:r>
      <w:r w:rsidRPr="00D045B3">
        <w:rPr>
          <w:color w:val="000000"/>
          <w:lang w:val="hu-HU"/>
        </w:rPr>
        <w:noBreakHyphen/>
        <w:t xml:space="preserve"> és lábfejzsibbadás.</w:t>
      </w:r>
    </w:p>
    <w:p w14:paraId="1E92843B"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Szájfekély.</w:t>
      </w:r>
    </w:p>
    <w:p w14:paraId="1E92843C"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Ízületi fájdalom, duzzadással.</w:t>
      </w:r>
    </w:p>
    <w:p w14:paraId="1E92843D"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Szájszárazság, bőrszárazság vagy szemszárazság.</w:t>
      </w:r>
    </w:p>
    <w:p w14:paraId="1E92843E"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A bőr érzékenységének csökkenése vagy fokozódása.</w:t>
      </w:r>
    </w:p>
    <w:p w14:paraId="1E92843F" w14:textId="77777777" w:rsidR="002014A3" w:rsidRPr="00D045B3" w:rsidRDefault="002014A3" w:rsidP="00E95370">
      <w:pPr>
        <w:numPr>
          <w:ilvl w:val="0"/>
          <w:numId w:val="21"/>
        </w:numPr>
        <w:tabs>
          <w:tab w:val="clear" w:pos="567"/>
        </w:tabs>
        <w:suppressAutoHyphens/>
        <w:spacing w:line="240" w:lineRule="auto"/>
        <w:ind w:left="567" w:hanging="567"/>
        <w:rPr>
          <w:color w:val="000000"/>
          <w:lang w:val="hu-HU"/>
        </w:rPr>
      </w:pPr>
      <w:r w:rsidRPr="00D045B3">
        <w:rPr>
          <w:color w:val="000000"/>
          <w:lang w:val="hu-HU"/>
        </w:rPr>
        <w:t>Hőhullámok, hidegrázás vagy éjszakai izzadás.</w:t>
      </w:r>
    </w:p>
    <w:p w14:paraId="1E928440" w14:textId="77777777" w:rsidR="002014A3" w:rsidRPr="00D045B3" w:rsidRDefault="002014A3" w:rsidP="002014A3">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 formában jelentkeznek.</w:t>
      </w:r>
    </w:p>
    <w:p w14:paraId="1E928441" w14:textId="77777777" w:rsidR="002014A3" w:rsidRPr="00D045B3" w:rsidRDefault="002014A3" w:rsidP="002014A3">
      <w:pPr>
        <w:spacing w:line="240" w:lineRule="auto"/>
        <w:rPr>
          <w:color w:val="000000"/>
          <w:lang w:val="hu-HU"/>
        </w:rPr>
      </w:pPr>
    </w:p>
    <w:p w14:paraId="1E928442" w14:textId="2192BD0B" w:rsidR="002014A3" w:rsidRPr="00D045B3" w:rsidRDefault="002014A3" w:rsidP="002014A3">
      <w:pPr>
        <w:keepNext/>
        <w:spacing w:line="240" w:lineRule="auto"/>
        <w:rPr>
          <w:b/>
          <w:color w:val="000000"/>
          <w:lang w:val="hu-HU"/>
        </w:rPr>
      </w:pPr>
      <w:r w:rsidRPr="00D045B3">
        <w:rPr>
          <w:b/>
          <w:color w:val="000000"/>
          <w:lang w:val="hu-HU"/>
        </w:rPr>
        <w:t xml:space="preserve">Nem ismert </w:t>
      </w:r>
      <w:r w:rsidRPr="00D045B3">
        <w:rPr>
          <w:color w:val="000000"/>
          <w:lang w:val="hu-HU"/>
        </w:rPr>
        <w:t>(a gyakoriság a rendelkezésre álló adatokból nem állapítható meg):</w:t>
      </w:r>
    </w:p>
    <w:p w14:paraId="1E928443" w14:textId="77777777" w:rsidR="002014A3" w:rsidRPr="00D045B3" w:rsidRDefault="002014A3"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A tenyér és a talp kivörösödése és/vagy duzzadása, mely zsibbadással és égő érzéssel járhat.</w:t>
      </w:r>
    </w:p>
    <w:p w14:paraId="1E928444" w14:textId="77777777" w:rsidR="0068297C" w:rsidRPr="00D045B3" w:rsidRDefault="0068297C"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Fájdalmas és/vagy hólyagos bőrelváltozások.</w:t>
      </w:r>
    </w:p>
    <w:p w14:paraId="1E928445" w14:textId="77777777" w:rsidR="002014A3" w:rsidRPr="00D045B3" w:rsidRDefault="002014A3" w:rsidP="00E95370">
      <w:pPr>
        <w:numPr>
          <w:ilvl w:val="0"/>
          <w:numId w:val="22"/>
        </w:numPr>
        <w:tabs>
          <w:tab w:val="clear" w:pos="360"/>
          <w:tab w:val="num" w:pos="567"/>
        </w:tabs>
        <w:suppressAutoHyphens/>
        <w:spacing w:line="240" w:lineRule="auto"/>
        <w:ind w:left="567" w:hanging="567"/>
        <w:rPr>
          <w:color w:val="000000"/>
          <w:lang w:val="hu-HU"/>
        </w:rPr>
      </w:pPr>
      <w:r w:rsidRPr="00D045B3">
        <w:rPr>
          <w:color w:val="000000"/>
          <w:lang w:val="hu-HU"/>
        </w:rPr>
        <w:t>Lassabb növekedés gyermekeknél és serdülőkorúaknál.</w:t>
      </w:r>
    </w:p>
    <w:p w14:paraId="1E928446" w14:textId="77777777" w:rsidR="002014A3" w:rsidRPr="00D045B3" w:rsidRDefault="002014A3" w:rsidP="002014A3">
      <w:pPr>
        <w:spacing w:line="240" w:lineRule="auto"/>
        <w:rPr>
          <w:color w:val="000000"/>
          <w:lang w:val="hu-HU"/>
        </w:rPr>
      </w:pPr>
      <w:r w:rsidRPr="00D045B3">
        <w:rPr>
          <w:b/>
          <w:color w:val="000000"/>
          <w:lang w:val="hu-HU"/>
        </w:rPr>
        <w:t>Forduljon kezelőorvosához</w:t>
      </w:r>
      <w:r w:rsidRPr="00D045B3">
        <w:rPr>
          <w:color w:val="000000"/>
          <w:lang w:val="hu-HU"/>
        </w:rPr>
        <w:t>, ha a fent felsorolt mellékhatások súlyosan érintik Önt.</w:t>
      </w:r>
    </w:p>
    <w:p w14:paraId="1E928447" w14:textId="77777777" w:rsidR="002014A3" w:rsidRPr="00D045B3" w:rsidRDefault="002014A3" w:rsidP="002014A3">
      <w:pPr>
        <w:spacing w:line="240" w:lineRule="auto"/>
        <w:ind w:right="-2"/>
        <w:rPr>
          <w:color w:val="000000"/>
          <w:lang w:val="hu-HU"/>
        </w:rPr>
      </w:pPr>
    </w:p>
    <w:p w14:paraId="1E928448" w14:textId="77777777" w:rsidR="006720F0" w:rsidRPr="00D045B3" w:rsidRDefault="006720F0" w:rsidP="006720F0">
      <w:pPr>
        <w:keepNext/>
        <w:rPr>
          <w:u w:val="single"/>
          <w:lang w:val="hu-HU"/>
        </w:rPr>
      </w:pPr>
      <w:r w:rsidRPr="00D045B3">
        <w:rPr>
          <w:u w:val="single"/>
          <w:lang w:val="hu-HU"/>
        </w:rPr>
        <w:t>Mellékhatások bejelentése</w:t>
      </w:r>
    </w:p>
    <w:p w14:paraId="1E928449" w14:textId="77777777" w:rsidR="006720F0" w:rsidRPr="00D045B3" w:rsidRDefault="006720F0" w:rsidP="00570BEC">
      <w:pPr>
        <w:rPr>
          <w:b/>
          <w:bCs/>
          <w:color w:val="000000"/>
          <w:lang w:val="hu-HU" w:eastAsia="hu-HU"/>
        </w:rPr>
      </w:pPr>
      <w:r w:rsidRPr="00D045B3">
        <w:rPr>
          <w:color w:val="000000"/>
          <w:lang w:val="hu-HU"/>
        </w:rPr>
        <w:t xml:space="preserve">Ha Önnél bármilyen mellékhatás jelentkezik, tájékoztassa kezelőorvosát, gyógyszerészét vagy a </w:t>
      </w:r>
      <w:r w:rsidRPr="00D045B3">
        <w:rPr>
          <w:lang w:val="hu-HU"/>
        </w:rPr>
        <w:t>gondozását végző egészségügyi szakembert</w:t>
      </w:r>
      <w:r w:rsidRPr="00D045B3">
        <w:rPr>
          <w:color w:val="000000"/>
          <w:lang w:val="hu-HU"/>
        </w:rPr>
        <w:t xml:space="preserve">. Ez a betegtájékoztatóban fel nem sorolt bármilyen lehetséges mellékhatásra is vonatkozik. </w:t>
      </w:r>
      <w:r w:rsidRPr="00D045B3">
        <w:rPr>
          <w:lang w:val="hu-HU"/>
        </w:rPr>
        <w:t xml:space="preserve">A mellékhatásokat közvetlenül a hatóság részére is bejelentheti </w:t>
      </w:r>
      <w:r w:rsidR="00A353BD" w:rsidRPr="00D045B3">
        <w:rPr>
          <w:lang w:val="hu-HU"/>
        </w:rPr>
        <w:t xml:space="preserve">az </w:t>
      </w:r>
      <w:hyperlink r:id="rId23" w:history="1">
        <w:r w:rsidR="00B4569A" w:rsidRPr="00D045B3">
          <w:rPr>
            <w:rStyle w:val="Hyperlink"/>
            <w:highlight w:val="lightGray"/>
            <w:shd w:val="pct15" w:color="auto" w:fill="FFFFFF"/>
            <w:lang w:val="hu-HU"/>
          </w:rPr>
          <w:t>V. függelékben</w:t>
        </w:r>
      </w:hyperlink>
      <w:r w:rsidR="00A353BD" w:rsidRPr="00D045B3">
        <w:rPr>
          <w:highlight w:val="lightGray"/>
          <w:lang w:val="hu-HU"/>
        </w:rPr>
        <w:t xml:space="preserve"> található</w:t>
      </w:r>
      <w:r w:rsidR="00A353BD" w:rsidRPr="00D045B3">
        <w:rPr>
          <w:lang w:val="hu-HU"/>
        </w:rPr>
        <w:t xml:space="preserve"> elérhetőségeken keresztül. A mellékhatások bejelentésével Ön is hozzájárulhat ahhoz, hogy minél több információ álljon rendelkezésre a gyógyszer biztonságos alkalmazásával kapcsolatban.</w:t>
      </w:r>
    </w:p>
    <w:p w14:paraId="1E92844A" w14:textId="77777777" w:rsidR="002014A3" w:rsidRPr="00D045B3" w:rsidRDefault="002014A3" w:rsidP="002014A3">
      <w:pPr>
        <w:spacing w:line="240" w:lineRule="auto"/>
        <w:ind w:right="-2"/>
        <w:rPr>
          <w:color w:val="000000"/>
          <w:lang w:val="hu-HU"/>
        </w:rPr>
      </w:pPr>
    </w:p>
    <w:p w14:paraId="1E92844B" w14:textId="77777777" w:rsidR="002014A3" w:rsidRPr="00D045B3" w:rsidRDefault="002014A3" w:rsidP="002014A3">
      <w:pPr>
        <w:spacing w:line="240" w:lineRule="auto"/>
        <w:ind w:right="-2"/>
        <w:rPr>
          <w:color w:val="000000"/>
          <w:lang w:val="hu-HU"/>
        </w:rPr>
      </w:pPr>
    </w:p>
    <w:p w14:paraId="1E92844C" w14:textId="77777777" w:rsidR="002014A3" w:rsidRPr="00D045B3" w:rsidRDefault="002014A3" w:rsidP="002014A3">
      <w:pPr>
        <w:keepNext/>
        <w:spacing w:line="240" w:lineRule="auto"/>
        <w:ind w:left="567" w:hanging="567"/>
        <w:rPr>
          <w:b/>
          <w:color w:val="000000"/>
          <w:lang w:val="hu-HU"/>
        </w:rPr>
      </w:pPr>
      <w:r w:rsidRPr="00D045B3">
        <w:rPr>
          <w:b/>
          <w:color w:val="000000"/>
          <w:lang w:val="hu-HU"/>
        </w:rPr>
        <w:t>5.</w:t>
      </w:r>
      <w:r w:rsidRPr="00D045B3">
        <w:rPr>
          <w:b/>
          <w:color w:val="000000"/>
          <w:lang w:val="hu-HU"/>
        </w:rPr>
        <w:tab/>
        <w:t>Hogyan kell az Imatinib Actavis</w:t>
      </w:r>
      <w:r w:rsidRPr="00D045B3">
        <w:rPr>
          <w:b/>
          <w:color w:val="000000"/>
          <w:lang w:val="hu-HU"/>
        </w:rPr>
        <w:noBreakHyphen/>
        <w:t>t tárolni?</w:t>
      </w:r>
    </w:p>
    <w:p w14:paraId="1E92844D" w14:textId="77777777" w:rsidR="002014A3" w:rsidRPr="00D045B3" w:rsidRDefault="002014A3" w:rsidP="002014A3">
      <w:pPr>
        <w:keepNext/>
        <w:spacing w:line="240" w:lineRule="auto"/>
        <w:rPr>
          <w:color w:val="000000"/>
          <w:lang w:val="hu-HU"/>
        </w:rPr>
      </w:pPr>
    </w:p>
    <w:p w14:paraId="1E92844E" w14:textId="77777777" w:rsidR="002014A3" w:rsidRPr="00D045B3" w:rsidRDefault="002014A3" w:rsidP="002014A3">
      <w:pPr>
        <w:keepNext/>
        <w:tabs>
          <w:tab w:val="clear" w:pos="567"/>
        </w:tabs>
        <w:suppressAutoHyphens/>
        <w:spacing w:line="240" w:lineRule="auto"/>
        <w:rPr>
          <w:color w:val="000000"/>
          <w:lang w:val="hu-HU"/>
        </w:rPr>
      </w:pPr>
      <w:r w:rsidRPr="00D045B3">
        <w:rPr>
          <w:color w:val="000000"/>
          <w:lang w:val="hu-HU"/>
        </w:rPr>
        <w:t>A gyógyszer gyermekektől elzárva tartandó!</w:t>
      </w:r>
    </w:p>
    <w:p w14:paraId="1E92844F" w14:textId="77777777" w:rsidR="002014A3" w:rsidRPr="00D045B3" w:rsidRDefault="002014A3" w:rsidP="002014A3">
      <w:pPr>
        <w:pStyle w:val="KeinLeerraum"/>
        <w:rPr>
          <w:rFonts w:ascii="Times New Roman" w:hAnsi="Times New Roman"/>
        </w:rPr>
      </w:pPr>
      <w:r w:rsidRPr="00D045B3">
        <w:rPr>
          <w:rFonts w:ascii="Times New Roman" w:hAnsi="Times New Roman"/>
          <w:color w:val="000000"/>
        </w:rPr>
        <w:t xml:space="preserve">A dobozon </w:t>
      </w:r>
      <w:r w:rsidR="00525356" w:rsidRPr="00D045B3">
        <w:rPr>
          <w:rFonts w:ascii="Times New Roman" w:hAnsi="Times New Roman"/>
          <w:color w:val="000000"/>
        </w:rPr>
        <w:t xml:space="preserve">és a buborékcsomagoláson </w:t>
      </w:r>
      <w:r w:rsidRPr="00D045B3">
        <w:rPr>
          <w:rFonts w:ascii="Times New Roman" w:hAnsi="Times New Roman"/>
          <w:color w:val="000000"/>
        </w:rPr>
        <w:t>feltüntetett lejárati idő</w:t>
      </w:r>
      <w:r w:rsidR="0068297C" w:rsidRPr="00D045B3">
        <w:rPr>
          <w:rFonts w:ascii="Times New Roman" w:hAnsi="Times New Roman"/>
          <w:color w:val="000000"/>
        </w:rPr>
        <w:t xml:space="preserve"> (EXP)</w:t>
      </w:r>
      <w:r w:rsidRPr="00D045B3">
        <w:rPr>
          <w:rFonts w:ascii="Times New Roman" w:hAnsi="Times New Roman"/>
          <w:color w:val="000000"/>
        </w:rPr>
        <w:t xml:space="preserve"> után ne alkalmazza </w:t>
      </w:r>
      <w:r w:rsidR="00D57215" w:rsidRPr="00D045B3">
        <w:rPr>
          <w:rFonts w:ascii="Times New Roman" w:hAnsi="Times New Roman"/>
          <w:color w:val="000000"/>
        </w:rPr>
        <w:t xml:space="preserve">ezt </w:t>
      </w:r>
      <w:r w:rsidRPr="00D045B3">
        <w:rPr>
          <w:rFonts w:ascii="Times New Roman" w:hAnsi="Times New Roman"/>
          <w:noProof/>
          <w:szCs w:val="24"/>
        </w:rPr>
        <w:t>a gyógyszert</w:t>
      </w:r>
      <w:r w:rsidRPr="00D045B3">
        <w:rPr>
          <w:rFonts w:ascii="Times New Roman" w:hAnsi="Times New Roman"/>
          <w:color w:val="000000"/>
        </w:rPr>
        <w:t xml:space="preserve">. </w:t>
      </w:r>
      <w:r w:rsidRPr="00D045B3">
        <w:rPr>
          <w:rFonts w:ascii="Times New Roman" w:hAnsi="Times New Roman"/>
        </w:rPr>
        <w:t xml:space="preserve">A lejárati idő az adott hónap utolsó napjára vonatkozik </w:t>
      </w:r>
    </w:p>
    <w:p w14:paraId="1E928450" w14:textId="77777777" w:rsidR="002014A3" w:rsidRPr="00D045B3" w:rsidRDefault="002014A3" w:rsidP="002014A3">
      <w:pPr>
        <w:tabs>
          <w:tab w:val="clear" w:pos="567"/>
        </w:tabs>
        <w:suppressAutoHyphens/>
        <w:ind w:right="-2"/>
        <w:rPr>
          <w:color w:val="000000"/>
          <w:lang w:val="hu-HU"/>
        </w:rPr>
      </w:pPr>
      <w:r w:rsidRPr="00D045B3">
        <w:rPr>
          <w:color w:val="000000"/>
          <w:lang w:val="hu-HU"/>
        </w:rPr>
        <w:t>Legfeljebb 30</w:t>
      </w:r>
      <w:r w:rsidRPr="00D045B3">
        <w:rPr>
          <w:color w:val="000000"/>
          <w:lang w:val="hu-HU"/>
        </w:rPr>
        <w:sym w:font="Symbol" w:char="F0B0"/>
      </w:r>
      <w:r w:rsidRPr="00D045B3">
        <w:rPr>
          <w:color w:val="000000"/>
          <w:lang w:val="hu-HU"/>
        </w:rPr>
        <w:t>C</w:t>
      </w:r>
      <w:r w:rsidRPr="00D045B3">
        <w:rPr>
          <w:color w:val="000000"/>
          <w:lang w:val="hu-HU"/>
        </w:rPr>
        <w:noBreakHyphen/>
        <w:t>on tárolandó. A nedvességtől való védelem érdekében az eredeti csomagolásban tárolandó.</w:t>
      </w:r>
    </w:p>
    <w:p w14:paraId="1E928451" w14:textId="77777777" w:rsidR="002014A3" w:rsidRPr="00D045B3" w:rsidRDefault="002014A3" w:rsidP="002014A3">
      <w:pPr>
        <w:tabs>
          <w:tab w:val="clear" w:pos="567"/>
        </w:tabs>
        <w:suppressAutoHyphens/>
        <w:spacing w:line="240" w:lineRule="auto"/>
        <w:ind w:right="-2"/>
        <w:rPr>
          <w:color w:val="000000"/>
          <w:lang w:val="hu-HU"/>
        </w:rPr>
      </w:pPr>
      <w:r w:rsidRPr="00D045B3">
        <w:rPr>
          <w:color w:val="000000"/>
          <w:lang w:val="hu-HU"/>
        </w:rPr>
        <w:t>Ne használja fel azt a gyógyszercsomagot, melynek csomagolása sérült, vagy amelyen bármilyen előzetes felnyitásra utaló jel észlelhető.</w:t>
      </w:r>
    </w:p>
    <w:p w14:paraId="1E928452" w14:textId="77777777" w:rsidR="002014A3" w:rsidRPr="00D045B3" w:rsidRDefault="002014A3" w:rsidP="002014A3">
      <w:pPr>
        <w:ind w:right="-2"/>
        <w:rPr>
          <w:noProof/>
          <w:szCs w:val="24"/>
          <w:lang w:val="hu-HU"/>
        </w:rPr>
      </w:pPr>
    </w:p>
    <w:p w14:paraId="1E928453" w14:textId="77777777" w:rsidR="002014A3" w:rsidRPr="00D045B3" w:rsidRDefault="002014A3" w:rsidP="002014A3">
      <w:pPr>
        <w:ind w:right="-2"/>
        <w:rPr>
          <w:color w:val="000000"/>
          <w:lang w:val="hu-HU"/>
        </w:rPr>
      </w:pPr>
      <w:r w:rsidRPr="00D045B3">
        <w:rPr>
          <w:noProof/>
          <w:szCs w:val="24"/>
          <w:lang w:val="hu-HU"/>
        </w:rPr>
        <w:t xml:space="preserve">Semmilyen gyógyszert ne dobjon a szennyvízbe </w:t>
      </w:r>
      <w:r w:rsidRPr="00D045B3">
        <w:rPr>
          <w:lang w:val="hu-HU"/>
        </w:rPr>
        <w:t xml:space="preserve">vagy a háztartási </w:t>
      </w:r>
      <w:r w:rsidRPr="00D045B3">
        <w:rPr>
          <w:noProof/>
          <w:szCs w:val="24"/>
          <w:lang w:val="hu-HU"/>
        </w:rPr>
        <w:t>hulladékba.</w:t>
      </w:r>
      <w:r w:rsidRPr="00D045B3">
        <w:rPr>
          <w:lang w:val="hu-HU"/>
        </w:rPr>
        <w:t xml:space="preserve"> Kérdezze meg gyógyszerészét, hogy mit tegyen </w:t>
      </w:r>
      <w:r w:rsidRPr="00D045B3">
        <w:rPr>
          <w:noProof/>
          <w:szCs w:val="24"/>
          <w:lang w:val="hu-HU"/>
        </w:rPr>
        <w:t>a már nem használt</w:t>
      </w:r>
      <w:r w:rsidRPr="00D045B3">
        <w:rPr>
          <w:lang w:val="hu-HU"/>
        </w:rPr>
        <w:t xml:space="preserve"> gyógyszereivel. Ezek az intézkedések elősegítik a környezet védelmét.</w:t>
      </w:r>
    </w:p>
    <w:p w14:paraId="1E928454" w14:textId="77777777" w:rsidR="002014A3" w:rsidRPr="00D045B3" w:rsidRDefault="002014A3" w:rsidP="002014A3">
      <w:pPr>
        <w:ind w:right="-2"/>
        <w:rPr>
          <w:color w:val="000000"/>
          <w:lang w:val="hu-HU"/>
        </w:rPr>
      </w:pPr>
    </w:p>
    <w:p w14:paraId="1E928455" w14:textId="77777777" w:rsidR="002014A3" w:rsidRPr="00D045B3" w:rsidRDefault="002014A3" w:rsidP="002014A3">
      <w:pPr>
        <w:ind w:right="-2"/>
        <w:rPr>
          <w:color w:val="000000"/>
          <w:lang w:val="hu-HU"/>
        </w:rPr>
      </w:pPr>
    </w:p>
    <w:p w14:paraId="1E928456" w14:textId="77777777" w:rsidR="002014A3" w:rsidRPr="00D045B3" w:rsidRDefault="002014A3" w:rsidP="002014A3">
      <w:pPr>
        <w:keepNext/>
        <w:spacing w:line="240" w:lineRule="auto"/>
        <w:ind w:left="567" w:right="-2" w:hanging="567"/>
        <w:rPr>
          <w:b/>
          <w:color w:val="000000"/>
          <w:lang w:val="hu-HU"/>
        </w:rPr>
      </w:pPr>
      <w:r w:rsidRPr="00D045B3">
        <w:rPr>
          <w:b/>
          <w:color w:val="000000"/>
          <w:lang w:val="hu-HU"/>
        </w:rPr>
        <w:t>6.</w:t>
      </w:r>
      <w:r w:rsidRPr="00D045B3">
        <w:rPr>
          <w:b/>
          <w:color w:val="000000"/>
          <w:lang w:val="hu-HU"/>
        </w:rPr>
        <w:tab/>
      </w:r>
      <w:r w:rsidRPr="00D045B3">
        <w:rPr>
          <w:b/>
          <w:noProof/>
          <w:szCs w:val="24"/>
          <w:lang w:val="hu-HU"/>
        </w:rPr>
        <w:t>A csomagolás tartalma és egyéb információk</w:t>
      </w:r>
    </w:p>
    <w:p w14:paraId="1E928457" w14:textId="77777777" w:rsidR="002014A3" w:rsidRPr="00D045B3" w:rsidRDefault="002014A3" w:rsidP="002014A3">
      <w:pPr>
        <w:keepNext/>
        <w:spacing w:line="240" w:lineRule="auto"/>
        <w:rPr>
          <w:color w:val="000000"/>
          <w:lang w:val="hu-HU"/>
        </w:rPr>
      </w:pPr>
    </w:p>
    <w:p w14:paraId="1E928458" w14:textId="77777777" w:rsidR="002014A3" w:rsidRPr="00D045B3" w:rsidRDefault="002014A3" w:rsidP="00CA41FD">
      <w:pPr>
        <w:keepNext/>
        <w:autoSpaceDE w:val="0"/>
        <w:autoSpaceDN w:val="0"/>
        <w:adjustRightInd w:val="0"/>
        <w:spacing w:line="240" w:lineRule="auto"/>
        <w:rPr>
          <w:lang w:val="hu-HU"/>
        </w:rPr>
      </w:pPr>
      <w:r w:rsidRPr="00D045B3">
        <w:rPr>
          <w:b/>
          <w:color w:val="000000"/>
          <w:lang w:val="hu-HU"/>
        </w:rPr>
        <w:t>Mit tartalmaz az Imatinib Actavis</w:t>
      </w:r>
      <w:r w:rsidR="00B4569A" w:rsidRPr="00D045B3">
        <w:rPr>
          <w:b/>
          <w:color w:val="000000"/>
          <w:lang w:val="hu-HU"/>
        </w:rPr>
        <w:t>?</w:t>
      </w:r>
    </w:p>
    <w:p w14:paraId="1E928459" w14:textId="77777777" w:rsidR="002014A3" w:rsidRPr="00D045B3" w:rsidRDefault="002014A3" w:rsidP="00E95370">
      <w:pPr>
        <w:numPr>
          <w:ilvl w:val="0"/>
          <w:numId w:val="7"/>
        </w:numPr>
        <w:tabs>
          <w:tab w:val="clear" w:pos="360"/>
          <w:tab w:val="clear" w:pos="567"/>
        </w:tabs>
        <w:suppressAutoHyphens/>
        <w:spacing w:line="240" w:lineRule="auto"/>
        <w:ind w:left="567" w:hanging="567"/>
        <w:rPr>
          <w:color w:val="000000"/>
          <w:lang w:val="hu-HU"/>
        </w:rPr>
      </w:pPr>
      <w:r w:rsidRPr="00D045B3">
        <w:rPr>
          <w:color w:val="000000"/>
          <w:lang w:val="hu-HU"/>
        </w:rPr>
        <w:t>A készítmény hatóanyaga az imatinib (mezilát formájában).</w:t>
      </w:r>
      <w:r w:rsidRPr="00D045B3">
        <w:rPr>
          <w:color w:val="000000"/>
          <w:szCs w:val="22"/>
          <w:lang w:val="hu-HU"/>
        </w:rPr>
        <w:t xml:space="preserve"> Minden egyes tabletta 400 mg imatinibet tartalmaz </w:t>
      </w:r>
      <w:r w:rsidRPr="00D045B3">
        <w:rPr>
          <w:color w:val="000000"/>
          <w:lang w:val="hu-HU"/>
        </w:rPr>
        <w:t>(mezilát formájában)</w:t>
      </w:r>
      <w:r w:rsidRPr="00D045B3">
        <w:rPr>
          <w:color w:val="000000"/>
          <w:szCs w:val="22"/>
          <w:lang w:val="hu-HU"/>
        </w:rPr>
        <w:t>.</w:t>
      </w:r>
    </w:p>
    <w:p w14:paraId="1E92845A" w14:textId="77777777" w:rsidR="002014A3" w:rsidRPr="00D045B3" w:rsidRDefault="002014A3" w:rsidP="00E95370">
      <w:pPr>
        <w:pStyle w:val="WW-BodyText3"/>
        <w:numPr>
          <w:ilvl w:val="0"/>
          <w:numId w:val="11"/>
        </w:numPr>
        <w:tabs>
          <w:tab w:val="clear" w:pos="360"/>
          <w:tab w:val="num" w:pos="567"/>
        </w:tabs>
        <w:ind w:left="567" w:hanging="567"/>
        <w:rPr>
          <w:color w:val="000000"/>
          <w:sz w:val="22"/>
        </w:rPr>
      </w:pPr>
      <w:r w:rsidRPr="00D045B3">
        <w:rPr>
          <w:color w:val="000000"/>
          <w:sz w:val="22"/>
        </w:rPr>
        <w:t>Egyéb összetevők: mikrokristályos cellulóz, kopovidon, kroszpovidon, nátrium</w:t>
      </w:r>
      <w:r w:rsidRPr="00D045B3">
        <w:rPr>
          <w:color w:val="000000"/>
          <w:sz w:val="22"/>
        </w:rPr>
        <w:noBreakHyphen/>
        <w:t>sztearil</w:t>
      </w:r>
      <w:r w:rsidRPr="00D045B3">
        <w:rPr>
          <w:color w:val="000000"/>
          <w:sz w:val="22"/>
        </w:rPr>
        <w:noBreakHyphen/>
        <w:t>fumarát, (kolloid hidrofób és kolloid vízmentes) szilícium</w:t>
      </w:r>
      <w:r w:rsidRPr="00D045B3">
        <w:rPr>
          <w:color w:val="000000"/>
          <w:sz w:val="22"/>
        </w:rPr>
        <w:noBreakHyphen/>
        <w:t>dioxid, részben hidrolizált polivinil</w:t>
      </w:r>
      <w:r w:rsidRPr="00D045B3">
        <w:rPr>
          <w:color w:val="000000"/>
          <w:sz w:val="22"/>
        </w:rPr>
        <w:noBreakHyphen/>
        <w:t>alkohol, talkum, sárga vas</w:t>
      </w:r>
      <w:r w:rsidRPr="00D045B3">
        <w:rPr>
          <w:color w:val="000000"/>
          <w:sz w:val="22"/>
        </w:rPr>
        <w:noBreakHyphen/>
        <w:t>oxid (E172), titán</w:t>
      </w:r>
      <w:r w:rsidRPr="00D045B3">
        <w:rPr>
          <w:color w:val="000000"/>
          <w:sz w:val="22"/>
        </w:rPr>
        <w:noBreakHyphen/>
        <w:t>dioxid (E171), vörös vas</w:t>
      </w:r>
      <w:r w:rsidRPr="00D045B3">
        <w:rPr>
          <w:color w:val="000000"/>
          <w:sz w:val="22"/>
        </w:rPr>
        <w:noBreakHyphen/>
        <w:t>oxid (E172), (szója) lecitin (E322), xantángumi (E415).</w:t>
      </w:r>
    </w:p>
    <w:p w14:paraId="1E92845B" w14:textId="77777777" w:rsidR="002014A3" w:rsidRPr="00D045B3" w:rsidRDefault="002014A3" w:rsidP="002014A3">
      <w:pPr>
        <w:spacing w:line="240" w:lineRule="auto"/>
        <w:ind w:right="-2"/>
        <w:rPr>
          <w:color w:val="000000"/>
          <w:lang w:val="hu-HU"/>
        </w:rPr>
      </w:pPr>
    </w:p>
    <w:p w14:paraId="1E92845C" w14:textId="77777777" w:rsidR="002014A3" w:rsidRPr="00D045B3" w:rsidRDefault="002014A3" w:rsidP="00CA41FD">
      <w:pPr>
        <w:keepNext/>
        <w:spacing w:line="240" w:lineRule="auto"/>
        <w:rPr>
          <w:b/>
          <w:color w:val="000000"/>
          <w:lang w:val="hu-HU"/>
        </w:rPr>
      </w:pPr>
      <w:r w:rsidRPr="00D045B3">
        <w:rPr>
          <w:b/>
          <w:color w:val="000000"/>
          <w:lang w:val="hu-HU"/>
        </w:rPr>
        <w:t>Milyen az Imatinib Actavis külleme és mit tartalmaz a csomagolás</w:t>
      </w:r>
      <w:r w:rsidR="00B4569A" w:rsidRPr="00D045B3">
        <w:rPr>
          <w:b/>
          <w:color w:val="000000"/>
          <w:lang w:val="hu-HU"/>
        </w:rPr>
        <w:t>?</w:t>
      </w:r>
    </w:p>
    <w:p w14:paraId="1E92845D" w14:textId="77777777" w:rsidR="002014A3" w:rsidRPr="00D045B3" w:rsidRDefault="002014A3" w:rsidP="002014A3">
      <w:pPr>
        <w:pStyle w:val="KeinLeerraum"/>
        <w:rPr>
          <w:rFonts w:ascii="Times New Roman" w:eastAsia="Times New Roman" w:hAnsi="Times New Roman"/>
        </w:rPr>
      </w:pPr>
      <w:r w:rsidRPr="00D045B3">
        <w:rPr>
          <w:rFonts w:ascii="Times New Roman" w:eastAsia="Times New Roman" w:hAnsi="Times New Roman"/>
        </w:rPr>
        <w:t>Ovális, mindkét oldalán domború, sötét sárga vagy barnás színű filmtabletta [tabletta], egyik oldalán dombornyomással a cég logója, a másikon a „37” jelölés és bemetszés található.</w:t>
      </w:r>
    </w:p>
    <w:p w14:paraId="1E92845E" w14:textId="77777777" w:rsidR="002014A3" w:rsidRPr="00D045B3" w:rsidRDefault="002014A3" w:rsidP="002014A3">
      <w:pPr>
        <w:pStyle w:val="KeinLeerraum"/>
        <w:rPr>
          <w:rFonts w:ascii="Times New Roman" w:eastAsia="Times New Roman" w:hAnsi="Times New Roman"/>
        </w:rPr>
      </w:pPr>
    </w:p>
    <w:p w14:paraId="1E92845F" w14:textId="77777777" w:rsidR="00570BEC" w:rsidRPr="00D045B3" w:rsidRDefault="00570BEC" w:rsidP="00CA41FD">
      <w:pPr>
        <w:keepNext/>
        <w:spacing w:line="240" w:lineRule="auto"/>
        <w:rPr>
          <w:i/>
          <w:lang w:val="hu-HU"/>
        </w:rPr>
      </w:pPr>
      <w:r w:rsidRPr="00D045B3">
        <w:rPr>
          <w:i/>
          <w:lang w:val="hu-HU"/>
        </w:rPr>
        <w:t>Kiszerelések:</w:t>
      </w:r>
    </w:p>
    <w:p w14:paraId="1E928460" w14:textId="77777777" w:rsidR="002014A3" w:rsidRPr="00D045B3" w:rsidRDefault="009261A4" w:rsidP="002014A3">
      <w:pPr>
        <w:spacing w:line="240" w:lineRule="auto"/>
        <w:ind w:right="-2"/>
        <w:rPr>
          <w:lang w:val="hu-HU"/>
        </w:rPr>
      </w:pPr>
      <w:r w:rsidRPr="00D045B3">
        <w:rPr>
          <w:lang w:val="hu-HU"/>
        </w:rPr>
        <w:t xml:space="preserve">A tabletták </w:t>
      </w:r>
      <w:r w:rsidR="002014A3" w:rsidRPr="00D045B3">
        <w:rPr>
          <w:lang w:val="hu-HU"/>
        </w:rPr>
        <w:t xml:space="preserve">10, 30, 60 vagy 90 filmtablettát tartalmazó </w:t>
      </w:r>
      <w:r w:rsidRPr="00D045B3">
        <w:rPr>
          <w:lang w:val="hu-HU"/>
        </w:rPr>
        <w:t>alumínium buborék</w:t>
      </w:r>
      <w:r w:rsidR="002014A3" w:rsidRPr="00D045B3">
        <w:rPr>
          <w:lang w:val="hu-HU"/>
        </w:rPr>
        <w:t>csomagolásban kerül</w:t>
      </w:r>
      <w:r w:rsidRPr="00D045B3">
        <w:rPr>
          <w:lang w:val="hu-HU"/>
        </w:rPr>
        <w:t>nek</w:t>
      </w:r>
      <w:r w:rsidR="002014A3" w:rsidRPr="00D045B3">
        <w:rPr>
          <w:lang w:val="hu-HU"/>
        </w:rPr>
        <w:t xml:space="preserve"> forgalomba.</w:t>
      </w:r>
    </w:p>
    <w:p w14:paraId="1E928461" w14:textId="77777777" w:rsidR="002014A3" w:rsidRPr="00D045B3" w:rsidRDefault="002014A3" w:rsidP="002014A3">
      <w:pPr>
        <w:spacing w:line="240" w:lineRule="auto"/>
        <w:ind w:right="-2"/>
        <w:rPr>
          <w:b/>
          <w:color w:val="000000"/>
          <w:lang w:val="hu-HU"/>
        </w:rPr>
      </w:pPr>
    </w:p>
    <w:p w14:paraId="1E928462" w14:textId="77777777" w:rsidR="002014A3" w:rsidRPr="00D045B3" w:rsidRDefault="002014A3" w:rsidP="002014A3">
      <w:pPr>
        <w:pStyle w:val="KeinLeerraum"/>
        <w:rPr>
          <w:rFonts w:ascii="Times New Roman" w:hAnsi="Times New Roman"/>
        </w:rPr>
      </w:pPr>
      <w:r w:rsidRPr="00D045B3">
        <w:rPr>
          <w:rFonts w:ascii="Times New Roman" w:hAnsi="Times New Roman"/>
        </w:rPr>
        <w:t xml:space="preserve">Nem feltétlenül mindegyik kiszerelés kerül kereskedelmi forgalomba. </w:t>
      </w:r>
    </w:p>
    <w:p w14:paraId="1E928463" w14:textId="77777777" w:rsidR="002014A3" w:rsidRPr="00D045B3" w:rsidRDefault="002014A3" w:rsidP="002014A3">
      <w:pPr>
        <w:spacing w:line="240" w:lineRule="auto"/>
        <w:ind w:right="-2"/>
        <w:rPr>
          <w:color w:val="000000"/>
          <w:lang w:val="hu-HU"/>
        </w:rPr>
      </w:pPr>
    </w:p>
    <w:p w14:paraId="1E928464" w14:textId="77777777" w:rsidR="002014A3" w:rsidRPr="00D045B3" w:rsidRDefault="002014A3" w:rsidP="008A6837">
      <w:pPr>
        <w:keepNext/>
        <w:spacing w:line="240" w:lineRule="auto"/>
        <w:ind w:right="-2"/>
        <w:rPr>
          <w:b/>
          <w:color w:val="000000"/>
          <w:lang w:val="hu-HU"/>
        </w:rPr>
      </w:pPr>
      <w:r w:rsidRPr="00D045B3">
        <w:rPr>
          <w:b/>
          <w:color w:val="000000"/>
          <w:lang w:val="hu-HU"/>
        </w:rPr>
        <w:t>A forgalomba hozatali engedély jogosultja</w:t>
      </w:r>
    </w:p>
    <w:p w14:paraId="1E928465" w14:textId="77777777" w:rsidR="002014A3" w:rsidRPr="00D045B3" w:rsidRDefault="002014A3" w:rsidP="00CA41FD">
      <w:pPr>
        <w:autoSpaceDE w:val="0"/>
        <w:autoSpaceDN w:val="0"/>
        <w:adjustRightInd w:val="0"/>
        <w:spacing w:line="240" w:lineRule="auto"/>
        <w:rPr>
          <w:lang w:val="hu-HU"/>
        </w:rPr>
      </w:pPr>
      <w:r w:rsidRPr="00D045B3">
        <w:rPr>
          <w:lang w:val="hu-HU"/>
        </w:rPr>
        <w:t>Actavis Group PTC ehf.</w:t>
      </w:r>
    </w:p>
    <w:p w14:paraId="1E928466" w14:textId="77777777" w:rsidR="002014A3" w:rsidRPr="00D045B3" w:rsidRDefault="002014A3" w:rsidP="002014A3">
      <w:pPr>
        <w:autoSpaceDE w:val="0"/>
        <w:autoSpaceDN w:val="0"/>
        <w:adjustRightInd w:val="0"/>
        <w:spacing w:line="240" w:lineRule="auto"/>
        <w:rPr>
          <w:lang w:val="hu-HU"/>
        </w:rPr>
      </w:pPr>
      <w:r w:rsidRPr="00D045B3">
        <w:rPr>
          <w:lang w:val="hu-HU"/>
        </w:rPr>
        <w:t>Reykjavíkurvegur 76-78,</w:t>
      </w:r>
    </w:p>
    <w:p w14:paraId="1E928467" w14:textId="77777777" w:rsidR="002014A3" w:rsidRPr="00D045B3" w:rsidRDefault="002014A3" w:rsidP="002014A3">
      <w:pPr>
        <w:autoSpaceDE w:val="0"/>
        <w:autoSpaceDN w:val="0"/>
        <w:adjustRightInd w:val="0"/>
        <w:spacing w:line="240" w:lineRule="auto"/>
        <w:rPr>
          <w:lang w:val="hu-HU"/>
        </w:rPr>
      </w:pPr>
      <w:r w:rsidRPr="00D045B3">
        <w:rPr>
          <w:lang w:val="hu-HU"/>
        </w:rPr>
        <w:t>Hafnarfjörður</w:t>
      </w:r>
    </w:p>
    <w:p w14:paraId="1E928468" w14:textId="77777777" w:rsidR="002014A3" w:rsidRPr="00D045B3" w:rsidRDefault="002014A3" w:rsidP="002014A3">
      <w:pPr>
        <w:spacing w:line="240" w:lineRule="auto"/>
        <w:ind w:right="-2"/>
        <w:rPr>
          <w:color w:val="000000"/>
          <w:lang w:val="hu-HU"/>
        </w:rPr>
      </w:pPr>
      <w:r w:rsidRPr="00D045B3">
        <w:rPr>
          <w:lang w:val="hu-HU"/>
        </w:rPr>
        <w:t>Izland</w:t>
      </w:r>
    </w:p>
    <w:p w14:paraId="1E928469" w14:textId="77777777" w:rsidR="002014A3" w:rsidRPr="00D045B3" w:rsidRDefault="002014A3" w:rsidP="002014A3">
      <w:pPr>
        <w:spacing w:line="240" w:lineRule="auto"/>
        <w:ind w:right="-2"/>
        <w:rPr>
          <w:b/>
          <w:color w:val="000000"/>
          <w:lang w:val="hu-HU"/>
        </w:rPr>
      </w:pPr>
    </w:p>
    <w:p w14:paraId="1E92846A" w14:textId="77777777" w:rsidR="002014A3" w:rsidRPr="00D045B3" w:rsidRDefault="002014A3" w:rsidP="00C52208">
      <w:pPr>
        <w:keepNext/>
        <w:spacing w:line="240" w:lineRule="auto"/>
        <w:ind w:right="-2"/>
        <w:rPr>
          <w:b/>
          <w:color w:val="000000"/>
          <w:lang w:val="hu-HU"/>
        </w:rPr>
      </w:pPr>
      <w:r w:rsidRPr="00D045B3">
        <w:rPr>
          <w:b/>
          <w:color w:val="000000"/>
          <w:lang w:val="hu-HU"/>
        </w:rPr>
        <w:t>Gyártó</w:t>
      </w:r>
    </w:p>
    <w:p w14:paraId="1E92846B" w14:textId="77777777" w:rsidR="002014A3" w:rsidRPr="00D045B3" w:rsidRDefault="002014A3" w:rsidP="00CA41FD">
      <w:pPr>
        <w:pStyle w:val="KeinLeerraum"/>
        <w:rPr>
          <w:rFonts w:ascii="Times New Roman" w:hAnsi="Times New Roman"/>
        </w:rPr>
      </w:pPr>
      <w:r w:rsidRPr="00D045B3">
        <w:rPr>
          <w:rFonts w:ascii="Times New Roman" w:hAnsi="Times New Roman"/>
        </w:rPr>
        <w:t>S.C. Sindan</w:t>
      </w:r>
      <w:r w:rsidRPr="00D045B3">
        <w:rPr>
          <w:rFonts w:ascii="Times New Roman" w:hAnsi="Times New Roman"/>
        </w:rPr>
        <w:noBreakHyphen/>
        <w:t>Pharma S.R.L.</w:t>
      </w:r>
    </w:p>
    <w:p w14:paraId="1E92846C" w14:textId="77777777" w:rsidR="002014A3" w:rsidRPr="00D045B3" w:rsidRDefault="002014A3" w:rsidP="002014A3">
      <w:pPr>
        <w:pStyle w:val="KeinLeerraum"/>
        <w:rPr>
          <w:rFonts w:ascii="Times New Roman" w:hAnsi="Times New Roman"/>
        </w:rPr>
      </w:pPr>
      <w:r w:rsidRPr="00D045B3">
        <w:rPr>
          <w:rFonts w:ascii="Times New Roman" w:hAnsi="Times New Roman"/>
        </w:rPr>
        <w:t>11 Ion Mihalache Blvd</w:t>
      </w:r>
    </w:p>
    <w:p w14:paraId="1E92846D" w14:textId="77777777" w:rsidR="002014A3" w:rsidRPr="00D045B3" w:rsidRDefault="002014A3" w:rsidP="002014A3">
      <w:pPr>
        <w:pStyle w:val="KeinLeerraum"/>
        <w:rPr>
          <w:rFonts w:ascii="Times New Roman" w:hAnsi="Times New Roman"/>
        </w:rPr>
      </w:pPr>
      <w:r w:rsidRPr="00D045B3">
        <w:rPr>
          <w:rFonts w:ascii="Times New Roman" w:hAnsi="Times New Roman"/>
        </w:rPr>
        <w:t>Bucharest</w:t>
      </w:r>
    </w:p>
    <w:p w14:paraId="1E92846E" w14:textId="77777777" w:rsidR="002014A3" w:rsidRPr="00D045B3" w:rsidRDefault="002014A3" w:rsidP="002014A3">
      <w:pPr>
        <w:pStyle w:val="KeinLeerraum"/>
        <w:rPr>
          <w:rFonts w:ascii="Times New Roman" w:hAnsi="Times New Roman"/>
        </w:rPr>
      </w:pPr>
      <w:r w:rsidRPr="00D045B3">
        <w:rPr>
          <w:rFonts w:ascii="Times New Roman" w:hAnsi="Times New Roman"/>
        </w:rPr>
        <w:t>Románia</w:t>
      </w:r>
    </w:p>
    <w:p w14:paraId="1E92846F" w14:textId="77777777" w:rsidR="002014A3" w:rsidRPr="00D045B3" w:rsidRDefault="002014A3" w:rsidP="002014A3">
      <w:pPr>
        <w:spacing w:line="240" w:lineRule="auto"/>
        <w:ind w:right="-2"/>
        <w:rPr>
          <w:color w:val="000000"/>
          <w:lang w:val="hu-HU"/>
        </w:rPr>
      </w:pPr>
    </w:p>
    <w:p w14:paraId="1E928470" w14:textId="77777777" w:rsidR="002014A3" w:rsidRPr="00D045B3" w:rsidRDefault="002014A3" w:rsidP="002014A3">
      <w:pPr>
        <w:spacing w:line="240" w:lineRule="auto"/>
        <w:rPr>
          <w:color w:val="000000"/>
          <w:lang w:val="hu-HU"/>
        </w:rPr>
      </w:pPr>
      <w:r w:rsidRPr="00D045B3">
        <w:rPr>
          <w:color w:val="000000"/>
          <w:lang w:val="hu-HU"/>
        </w:rPr>
        <w:t>A készítményhez kapcsolódó további kérdéseivel forduljon a forgalomba hozatali engedély jogosultjának helyi képviseletéhez:</w:t>
      </w:r>
    </w:p>
    <w:p w14:paraId="516F7026" w14:textId="77777777" w:rsidR="001B4B6C" w:rsidRPr="00F67173" w:rsidRDefault="001B4B6C" w:rsidP="001B4B6C">
      <w:pPr>
        <w:autoSpaceDE w:val="0"/>
        <w:autoSpaceDN w:val="0"/>
        <w:adjustRightInd w:val="0"/>
        <w:spacing w:line="240" w:lineRule="auto"/>
        <w:rPr>
          <w:color w:val="000000" w:themeColor="text1"/>
          <w:szCs w:val="22"/>
          <w:lang w:val="hu-HU"/>
        </w:rPr>
      </w:pPr>
    </w:p>
    <w:tbl>
      <w:tblPr>
        <w:tblW w:w="9360" w:type="dxa"/>
        <w:tblInd w:w="-34" w:type="dxa"/>
        <w:tblLayout w:type="fixed"/>
        <w:tblLook w:val="04A0" w:firstRow="1" w:lastRow="0" w:firstColumn="1" w:lastColumn="0" w:noHBand="0" w:noVBand="1"/>
      </w:tblPr>
      <w:tblGrid>
        <w:gridCol w:w="34"/>
        <w:gridCol w:w="4646"/>
        <w:gridCol w:w="4680"/>
      </w:tblGrid>
      <w:tr w:rsidR="001B4B6C" w:rsidRPr="00D045B3" w14:paraId="245127E5" w14:textId="77777777" w:rsidTr="006B2245">
        <w:trPr>
          <w:gridBefore w:val="1"/>
          <w:wBefore w:w="34" w:type="dxa"/>
          <w:cantSplit/>
        </w:trPr>
        <w:tc>
          <w:tcPr>
            <w:tcW w:w="4644" w:type="dxa"/>
          </w:tcPr>
          <w:p w14:paraId="3B2E4C2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België/Belgique/Belgien</w:t>
            </w:r>
          </w:p>
          <w:p w14:paraId="7A2B5E2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6CC8325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IJsland/Islande/Island</w:t>
            </w:r>
          </w:p>
          <w:p w14:paraId="57413A8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Tél/Tel: +354 5503300</w:t>
            </w:r>
          </w:p>
          <w:p w14:paraId="7C6E5887" w14:textId="77777777" w:rsidR="001B4B6C" w:rsidRPr="00D045B3" w:rsidRDefault="001B4B6C" w:rsidP="006B2245">
            <w:pPr>
              <w:pStyle w:val="KeinLeerraum"/>
              <w:rPr>
                <w:rFonts w:ascii="Times New Roman" w:hAnsi="Times New Roman"/>
                <w:color w:val="000000" w:themeColor="text1"/>
              </w:rPr>
            </w:pPr>
          </w:p>
        </w:tc>
        <w:tc>
          <w:tcPr>
            <w:tcW w:w="4678" w:type="dxa"/>
          </w:tcPr>
          <w:p w14:paraId="304721F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Lietuva</w:t>
            </w:r>
          </w:p>
          <w:p w14:paraId="33EDC76F" w14:textId="736A7794" w:rsidR="001B4B6C" w:rsidRPr="00D045B3" w:rsidRDefault="001B4B6C" w:rsidP="006B2245">
            <w:pPr>
              <w:spacing w:line="240" w:lineRule="auto"/>
              <w:ind w:right="567"/>
              <w:rPr>
                <w:noProof/>
                <w:color w:val="000000" w:themeColor="text1"/>
                <w:szCs w:val="22"/>
                <w:lang w:val="hu-HU"/>
              </w:rPr>
            </w:pPr>
            <w:r w:rsidRPr="00D045B3">
              <w:rPr>
                <w:noProof/>
                <w:color w:val="000000" w:themeColor="text1"/>
                <w:szCs w:val="22"/>
                <w:lang w:val="hu-HU"/>
              </w:rPr>
              <w:t>UAB Teva Baltics</w:t>
            </w:r>
          </w:p>
          <w:p w14:paraId="4408BF9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+370 5</w:t>
            </w:r>
            <w:r w:rsidRPr="00D045B3">
              <w:rPr>
                <w:rFonts w:ascii="Times New Roman" w:hAnsi="Times New Roman"/>
                <w:noProof/>
                <w:color w:val="000000" w:themeColor="text1"/>
              </w:rPr>
              <w:t>2660203</w:t>
            </w:r>
          </w:p>
          <w:p w14:paraId="1EAB14FE" w14:textId="77777777" w:rsidR="001B4B6C" w:rsidRPr="00D045B3" w:rsidRDefault="001B4B6C" w:rsidP="006B2245">
            <w:pPr>
              <w:pStyle w:val="KeinLeerraum"/>
              <w:rPr>
                <w:rFonts w:ascii="Times New Roman" w:hAnsi="Times New Roman"/>
                <w:color w:val="000000" w:themeColor="text1"/>
              </w:rPr>
            </w:pPr>
          </w:p>
        </w:tc>
      </w:tr>
      <w:tr w:rsidR="001B4B6C" w:rsidRPr="00D045B3" w14:paraId="7C64DCE7" w14:textId="77777777" w:rsidTr="006B2245">
        <w:trPr>
          <w:gridBefore w:val="1"/>
          <w:wBefore w:w="34" w:type="dxa"/>
          <w:cantSplit/>
        </w:trPr>
        <w:tc>
          <w:tcPr>
            <w:tcW w:w="4644" w:type="dxa"/>
          </w:tcPr>
          <w:p w14:paraId="58744AF1" w14:textId="77777777" w:rsidR="001B4B6C" w:rsidRPr="00D045B3" w:rsidRDefault="001B4B6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България</w:t>
            </w:r>
          </w:p>
          <w:p w14:paraId="006BD5B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Актавис ЕАД</w:t>
            </w:r>
          </w:p>
          <w:p w14:paraId="43F2C956"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Teл: +359 24899585</w:t>
            </w:r>
          </w:p>
          <w:p w14:paraId="5422CBBF" w14:textId="77777777" w:rsidR="001B4B6C" w:rsidRPr="00D045B3" w:rsidRDefault="001B4B6C" w:rsidP="006B2245">
            <w:pPr>
              <w:pStyle w:val="KeinLeerraum"/>
              <w:rPr>
                <w:rFonts w:ascii="Times New Roman" w:hAnsi="Times New Roman"/>
                <w:color w:val="000000" w:themeColor="text1"/>
              </w:rPr>
            </w:pPr>
          </w:p>
        </w:tc>
        <w:tc>
          <w:tcPr>
            <w:tcW w:w="4678" w:type="dxa"/>
          </w:tcPr>
          <w:p w14:paraId="55EF4C1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Luxembourg/Luxemburg</w:t>
            </w:r>
          </w:p>
          <w:p w14:paraId="5846987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2754217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Islande/Island</w:t>
            </w:r>
          </w:p>
          <w:p w14:paraId="6193AA7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Tél/Tel: +354 5503300</w:t>
            </w:r>
          </w:p>
          <w:p w14:paraId="78FF7CD5" w14:textId="77777777" w:rsidR="001B4B6C" w:rsidRPr="00D045B3" w:rsidRDefault="001B4B6C" w:rsidP="006B2245">
            <w:pPr>
              <w:pStyle w:val="KeinLeerraum"/>
              <w:rPr>
                <w:rFonts w:ascii="Times New Roman" w:hAnsi="Times New Roman"/>
                <w:color w:val="000000" w:themeColor="text1"/>
              </w:rPr>
            </w:pPr>
          </w:p>
        </w:tc>
      </w:tr>
      <w:tr w:rsidR="001B4B6C" w:rsidRPr="00D045B3" w14:paraId="6456E9E7" w14:textId="77777777" w:rsidTr="006B2245">
        <w:trPr>
          <w:gridBefore w:val="1"/>
          <w:wBefore w:w="34" w:type="dxa"/>
          <w:cantSplit/>
          <w:trHeight w:val="751"/>
        </w:trPr>
        <w:tc>
          <w:tcPr>
            <w:tcW w:w="4644" w:type="dxa"/>
          </w:tcPr>
          <w:p w14:paraId="447B8EE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Česká republika</w:t>
            </w:r>
          </w:p>
          <w:p w14:paraId="532690BB" w14:textId="77777777" w:rsidR="001B4B6C" w:rsidRPr="00F67173" w:rsidRDefault="001B4B6C" w:rsidP="006B2245">
            <w:pPr>
              <w:tabs>
                <w:tab w:val="left" w:pos="-720"/>
              </w:tabs>
              <w:suppressAutoHyphens/>
              <w:spacing w:line="240" w:lineRule="auto"/>
              <w:ind w:right="567"/>
              <w:rPr>
                <w:noProof/>
                <w:color w:val="000000" w:themeColor="text1"/>
                <w:szCs w:val="22"/>
                <w:lang w:val="hu-HU"/>
              </w:rPr>
            </w:pPr>
            <w:r w:rsidRPr="00F67173">
              <w:rPr>
                <w:noProof/>
                <w:color w:val="000000" w:themeColor="text1"/>
                <w:szCs w:val="22"/>
                <w:lang w:val="hu-HU"/>
              </w:rPr>
              <w:t>Teva Pharmaceuticals CR, s.r.o.</w:t>
            </w:r>
          </w:p>
          <w:p w14:paraId="098B3B1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+420 251007111</w:t>
            </w:r>
          </w:p>
          <w:p w14:paraId="3D669D13" w14:textId="77777777" w:rsidR="001B4B6C" w:rsidRPr="00D045B3" w:rsidRDefault="001B4B6C" w:rsidP="006B2245">
            <w:pPr>
              <w:pStyle w:val="KeinLeerraum"/>
              <w:rPr>
                <w:rFonts w:ascii="Times New Roman" w:hAnsi="Times New Roman"/>
                <w:color w:val="000000" w:themeColor="text1"/>
              </w:rPr>
            </w:pPr>
          </w:p>
        </w:tc>
        <w:tc>
          <w:tcPr>
            <w:tcW w:w="4678" w:type="dxa"/>
          </w:tcPr>
          <w:p w14:paraId="24A4B2D4"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Magyarország</w:t>
            </w:r>
          </w:p>
          <w:p w14:paraId="5D6D291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Gyógyszergyár Zrt.</w:t>
            </w:r>
          </w:p>
          <w:p w14:paraId="3FCE021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+36 1</w:t>
            </w:r>
            <w:r w:rsidRPr="00D045B3">
              <w:rPr>
                <w:rFonts w:ascii="Times New Roman" w:hAnsi="Times New Roman"/>
                <w:noProof/>
                <w:color w:val="000000" w:themeColor="text1"/>
              </w:rPr>
              <w:t>2886400</w:t>
            </w:r>
          </w:p>
          <w:p w14:paraId="5D320E2E" w14:textId="77777777" w:rsidR="001B4B6C" w:rsidRPr="00D045B3" w:rsidRDefault="001B4B6C" w:rsidP="006B2245">
            <w:pPr>
              <w:pStyle w:val="KeinLeerraum"/>
              <w:rPr>
                <w:rFonts w:ascii="Times New Roman" w:hAnsi="Times New Roman"/>
                <w:color w:val="000000" w:themeColor="text1"/>
              </w:rPr>
            </w:pPr>
          </w:p>
        </w:tc>
      </w:tr>
      <w:tr w:rsidR="001B4B6C" w:rsidRPr="00D045B3" w14:paraId="1A85C939" w14:textId="77777777" w:rsidTr="006B2245">
        <w:trPr>
          <w:gridBefore w:val="1"/>
          <w:wBefore w:w="34" w:type="dxa"/>
          <w:cantSplit/>
        </w:trPr>
        <w:tc>
          <w:tcPr>
            <w:tcW w:w="4644" w:type="dxa"/>
          </w:tcPr>
          <w:p w14:paraId="7558320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Danmark</w:t>
            </w:r>
          </w:p>
          <w:p w14:paraId="53846B6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Denmark A/S</w:t>
            </w:r>
          </w:p>
          <w:p w14:paraId="1A19D42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Tlf: +45 44985511</w:t>
            </w:r>
          </w:p>
          <w:p w14:paraId="6BEC54F9" w14:textId="77777777" w:rsidR="001B4B6C" w:rsidRPr="00D045B3" w:rsidRDefault="001B4B6C" w:rsidP="006B2245">
            <w:pPr>
              <w:pStyle w:val="KeinLeerraum"/>
              <w:rPr>
                <w:rFonts w:ascii="Times New Roman" w:hAnsi="Times New Roman"/>
                <w:color w:val="000000" w:themeColor="text1"/>
              </w:rPr>
            </w:pPr>
          </w:p>
        </w:tc>
        <w:tc>
          <w:tcPr>
            <w:tcW w:w="4678" w:type="dxa"/>
          </w:tcPr>
          <w:p w14:paraId="6484C3E0"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Malta</w:t>
            </w:r>
          </w:p>
          <w:p w14:paraId="545B461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Ltd.</w:t>
            </w:r>
          </w:p>
          <w:p w14:paraId="4C9D82E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+356 21693533</w:t>
            </w:r>
          </w:p>
          <w:p w14:paraId="51B4A75F" w14:textId="77777777" w:rsidR="001B4B6C" w:rsidRPr="00D045B3" w:rsidRDefault="001B4B6C" w:rsidP="006B2245">
            <w:pPr>
              <w:pStyle w:val="KeinLeerraum"/>
              <w:rPr>
                <w:rFonts w:ascii="Times New Roman" w:hAnsi="Times New Roman"/>
                <w:color w:val="000000" w:themeColor="text1"/>
              </w:rPr>
            </w:pPr>
          </w:p>
        </w:tc>
      </w:tr>
      <w:tr w:rsidR="001B4B6C" w:rsidRPr="00D045B3" w14:paraId="49886DAC" w14:textId="77777777" w:rsidTr="006B2245">
        <w:trPr>
          <w:gridBefore w:val="1"/>
          <w:wBefore w:w="34" w:type="dxa"/>
          <w:cantSplit/>
        </w:trPr>
        <w:tc>
          <w:tcPr>
            <w:tcW w:w="4644" w:type="dxa"/>
          </w:tcPr>
          <w:p w14:paraId="19853DC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Deutschland</w:t>
            </w:r>
          </w:p>
          <w:p w14:paraId="27A03D0F" w14:textId="77777777" w:rsidR="001B4B6C" w:rsidRPr="00D045B3" w:rsidRDefault="001B4B6C" w:rsidP="006B2245">
            <w:pPr>
              <w:spacing w:line="240" w:lineRule="auto"/>
              <w:rPr>
                <w:color w:val="000000" w:themeColor="text1"/>
                <w:szCs w:val="22"/>
                <w:lang w:val="hu-HU"/>
              </w:rPr>
            </w:pPr>
            <w:r w:rsidRPr="00D045B3">
              <w:rPr>
                <w:color w:val="000000" w:themeColor="text1"/>
                <w:szCs w:val="22"/>
                <w:lang w:val="hu-HU"/>
              </w:rPr>
              <w:t>Actavis Group PTC ehf.</w:t>
            </w:r>
          </w:p>
          <w:p w14:paraId="495337A6"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w:t>
            </w:r>
          </w:p>
          <w:p w14:paraId="188AB4E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1C4B7E81" w14:textId="77777777" w:rsidR="001B4B6C" w:rsidRPr="00D045B3" w:rsidRDefault="001B4B6C" w:rsidP="006B2245">
            <w:pPr>
              <w:pStyle w:val="KeinLeerraum"/>
              <w:rPr>
                <w:rFonts w:ascii="Times New Roman" w:hAnsi="Times New Roman"/>
                <w:color w:val="000000" w:themeColor="text1"/>
              </w:rPr>
            </w:pPr>
          </w:p>
        </w:tc>
        <w:tc>
          <w:tcPr>
            <w:tcW w:w="4678" w:type="dxa"/>
          </w:tcPr>
          <w:p w14:paraId="1740DA4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Nederland</w:t>
            </w:r>
          </w:p>
          <w:p w14:paraId="2E01BCB7"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13B18ECD"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IJsland</w:t>
            </w:r>
          </w:p>
          <w:p w14:paraId="1DC00B8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6B878865" w14:textId="77777777" w:rsidR="001B4B6C" w:rsidRPr="00D045B3" w:rsidRDefault="001B4B6C" w:rsidP="006B2245">
            <w:pPr>
              <w:pStyle w:val="KeinLeerraum"/>
              <w:rPr>
                <w:rFonts w:ascii="Times New Roman" w:hAnsi="Times New Roman"/>
                <w:color w:val="000000" w:themeColor="text1"/>
              </w:rPr>
            </w:pPr>
          </w:p>
        </w:tc>
      </w:tr>
      <w:tr w:rsidR="001B4B6C" w:rsidRPr="00D045B3" w14:paraId="77092FAD" w14:textId="77777777" w:rsidTr="006B2245">
        <w:trPr>
          <w:gridBefore w:val="1"/>
          <w:wBefore w:w="34" w:type="dxa"/>
          <w:cantSplit/>
        </w:trPr>
        <w:tc>
          <w:tcPr>
            <w:tcW w:w="4644" w:type="dxa"/>
          </w:tcPr>
          <w:p w14:paraId="11E43761" w14:textId="77777777" w:rsidR="001B4B6C" w:rsidRPr="00D045B3" w:rsidRDefault="001B4B6C" w:rsidP="006B2245">
            <w:pPr>
              <w:pStyle w:val="KeinLeerraum"/>
              <w:rPr>
                <w:rFonts w:ascii="Times New Roman" w:hAnsi="Times New Roman"/>
                <w:b/>
                <w:bCs/>
                <w:color w:val="000000" w:themeColor="text1"/>
              </w:rPr>
            </w:pPr>
            <w:r w:rsidRPr="00D045B3">
              <w:rPr>
                <w:rFonts w:ascii="Times New Roman" w:hAnsi="Times New Roman"/>
                <w:b/>
                <w:bCs/>
                <w:color w:val="000000" w:themeColor="text1"/>
              </w:rPr>
              <w:t>Eesti</w:t>
            </w:r>
          </w:p>
          <w:p w14:paraId="7B2D3A2F" w14:textId="2DB5AAE6"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UAB Teva Baltics</w:t>
            </w:r>
            <w:r w:rsidRPr="00D045B3">
              <w:rPr>
                <w:rFonts w:ascii="Times New Roman" w:hAnsi="Times New Roman"/>
                <w:noProof/>
                <w:color w:val="000000" w:themeColor="text1"/>
              </w:rPr>
              <w:t xml:space="preserve"> Eesti filiaal</w:t>
            </w:r>
          </w:p>
          <w:p w14:paraId="111E14E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 xml:space="preserve">Tel: +372 </w:t>
            </w:r>
            <w:r w:rsidRPr="00D045B3">
              <w:rPr>
                <w:rFonts w:ascii="Times New Roman" w:hAnsi="Times New Roman"/>
                <w:noProof/>
                <w:color w:val="000000" w:themeColor="text1"/>
              </w:rPr>
              <w:t>6610801</w:t>
            </w:r>
          </w:p>
          <w:p w14:paraId="4A140D06" w14:textId="77777777" w:rsidR="001B4B6C" w:rsidRPr="00D045B3" w:rsidRDefault="001B4B6C" w:rsidP="006B2245">
            <w:pPr>
              <w:pStyle w:val="KeinLeerraum"/>
              <w:rPr>
                <w:rFonts w:ascii="Times New Roman" w:hAnsi="Times New Roman"/>
                <w:color w:val="000000" w:themeColor="text1"/>
              </w:rPr>
            </w:pPr>
          </w:p>
        </w:tc>
        <w:tc>
          <w:tcPr>
            <w:tcW w:w="4678" w:type="dxa"/>
          </w:tcPr>
          <w:p w14:paraId="7E4480B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Norge</w:t>
            </w:r>
          </w:p>
          <w:p w14:paraId="250B992B"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Teva Norway AS</w:t>
            </w:r>
          </w:p>
          <w:p w14:paraId="48FFDD9D"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Tlf: +47 66775590</w:t>
            </w:r>
          </w:p>
          <w:p w14:paraId="1AE5A575" w14:textId="77777777" w:rsidR="001B4B6C" w:rsidRPr="00D045B3" w:rsidRDefault="001B4B6C" w:rsidP="006B2245">
            <w:pPr>
              <w:pStyle w:val="KeinLeerraum"/>
              <w:rPr>
                <w:rFonts w:ascii="Times New Roman" w:hAnsi="Times New Roman"/>
                <w:color w:val="000000" w:themeColor="text1"/>
              </w:rPr>
            </w:pPr>
          </w:p>
        </w:tc>
      </w:tr>
      <w:tr w:rsidR="001B4B6C" w:rsidRPr="00D045B3" w14:paraId="59401459" w14:textId="77777777" w:rsidTr="006B2245">
        <w:trPr>
          <w:gridBefore w:val="1"/>
          <w:wBefore w:w="34" w:type="dxa"/>
          <w:cantSplit/>
        </w:trPr>
        <w:tc>
          <w:tcPr>
            <w:tcW w:w="4644" w:type="dxa"/>
          </w:tcPr>
          <w:p w14:paraId="3676E633"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Ελλάδα</w:t>
            </w:r>
          </w:p>
          <w:p w14:paraId="0A6A1104" w14:textId="77777777" w:rsidR="001B4B6C" w:rsidRPr="00D045B3" w:rsidRDefault="001B4B6C" w:rsidP="006B2245">
            <w:pPr>
              <w:pStyle w:val="NormalParagraphStyle"/>
              <w:spacing w:line="240" w:lineRule="auto"/>
              <w:rPr>
                <w:rFonts w:ascii="Times New Roman" w:hAnsi="Times New Roman"/>
                <w:color w:val="000000" w:themeColor="text1"/>
                <w:sz w:val="22"/>
                <w:szCs w:val="22"/>
                <w:lang w:val="hu-HU"/>
              </w:rPr>
            </w:pPr>
            <w:r w:rsidRPr="00F67173">
              <w:rPr>
                <w:rFonts w:ascii="Times New Roman" w:hAnsi="Times New Roman"/>
                <w:color w:val="000000" w:themeColor="text1"/>
                <w:sz w:val="22"/>
                <w:szCs w:val="22"/>
                <w:lang w:val="hu-HU"/>
              </w:rPr>
              <w:t>Specifar A.B.E.E</w:t>
            </w:r>
            <w:r w:rsidRPr="00D045B3">
              <w:rPr>
                <w:rFonts w:ascii="Times New Roman" w:hAnsi="Times New Roman"/>
                <w:color w:val="000000" w:themeColor="text1"/>
                <w:sz w:val="22"/>
                <w:szCs w:val="22"/>
                <w:lang w:val="hu-HU"/>
              </w:rPr>
              <w:t>.</w:t>
            </w:r>
          </w:p>
          <w:p w14:paraId="221B7BCE" w14:textId="2D6A047C"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13694DE7" w14:textId="77777777" w:rsidR="001B4B6C" w:rsidRPr="00D045B3" w:rsidRDefault="001B4B6C" w:rsidP="006B2245">
            <w:pPr>
              <w:pStyle w:val="KeinLeerraum"/>
              <w:rPr>
                <w:rFonts w:ascii="Times New Roman" w:hAnsi="Times New Roman"/>
                <w:color w:val="000000" w:themeColor="text1"/>
              </w:rPr>
            </w:pPr>
          </w:p>
        </w:tc>
        <w:tc>
          <w:tcPr>
            <w:tcW w:w="4678" w:type="dxa"/>
          </w:tcPr>
          <w:p w14:paraId="49DE5602"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Österreich</w:t>
            </w:r>
          </w:p>
          <w:p w14:paraId="71966251" w14:textId="77777777" w:rsidR="001B4B6C" w:rsidRPr="00D045B3" w:rsidRDefault="001B4B6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ratiopharm Arzneimittel Vertriebs-GmbH</w:t>
            </w:r>
          </w:p>
          <w:p w14:paraId="3146A43B" w14:textId="77777777" w:rsidR="001B4B6C" w:rsidRPr="00D045B3" w:rsidRDefault="001B4B6C" w:rsidP="006B2245">
            <w:pPr>
              <w:spacing w:line="240" w:lineRule="auto"/>
              <w:rPr>
                <w:rFonts w:eastAsia="Adobe Fangsong Std R"/>
                <w:color w:val="000000" w:themeColor="text1"/>
                <w:szCs w:val="22"/>
                <w:lang w:val="hu-HU"/>
              </w:rPr>
            </w:pPr>
            <w:r w:rsidRPr="00D045B3">
              <w:rPr>
                <w:rFonts w:eastAsia="Adobe Fangsong Std R"/>
                <w:color w:val="000000" w:themeColor="text1"/>
                <w:szCs w:val="22"/>
                <w:lang w:val="hu-HU"/>
              </w:rPr>
              <w:t>Tel: +43 1970070</w:t>
            </w:r>
          </w:p>
          <w:p w14:paraId="7E172700" w14:textId="77777777" w:rsidR="001B4B6C" w:rsidRPr="00D045B3" w:rsidRDefault="001B4B6C" w:rsidP="006B2245">
            <w:pPr>
              <w:pStyle w:val="KeinLeerraum"/>
              <w:rPr>
                <w:rFonts w:ascii="Times New Roman" w:hAnsi="Times New Roman"/>
                <w:color w:val="000000" w:themeColor="text1"/>
              </w:rPr>
            </w:pPr>
          </w:p>
        </w:tc>
      </w:tr>
      <w:tr w:rsidR="001B4B6C" w:rsidRPr="00D045B3" w14:paraId="7FAA545D" w14:textId="77777777" w:rsidTr="006B2245">
        <w:trPr>
          <w:cantSplit/>
        </w:trPr>
        <w:tc>
          <w:tcPr>
            <w:tcW w:w="4678" w:type="dxa"/>
            <w:gridSpan w:val="2"/>
          </w:tcPr>
          <w:p w14:paraId="0A598303"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España</w:t>
            </w:r>
          </w:p>
          <w:p w14:paraId="2703B40D"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541F25C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Islandia</w:t>
            </w:r>
          </w:p>
          <w:p w14:paraId="49F8E89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+354 5503300</w:t>
            </w:r>
          </w:p>
          <w:p w14:paraId="6D006DAE" w14:textId="77777777" w:rsidR="001B4B6C" w:rsidRPr="00D045B3" w:rsidRDefault="001B4B6C" w:rsidP="006B2245">
            <w:pPr>
              <w:pStyle w:val="KeinLeerraum"/>
              <w:rPr>
                <w:rFonts w:ascii="Times New Roman" w:hAnsi="Times New Roman"/>
                <w:color w:val="000000" w:themeColor="text1"/>
              </w:rPr>
            </w:pPr>
          </w:p>
        </w:tc>
        <w:tc>
          <w:tcPr>
            <w:tcW w:w="4678" w:type="dxa"/>
          </w:tcPr>
          <w:p w14:paraId="447C9137" w14:textId="77777777" w:rsidR="001B4B6C" w:rsidRPr="00D045B3" w:rsidRDefault="001B4B6C" w:rsidP="006B2245">
            <w:pPr>
              <w:pStyle w:val="KeinLeerraum"/>
              <w:rPr>
                <w:rFonts w:ascii="Times New Roman" w:hAnsi="Times New Roman"/>
                <w:b/>
                <w:bCs/>
                <w:i/>
                <w:iCs/>
                <w:color w:val="000000" w:themeColor="text1"/>
              </w:rPr>
            </w:pPr>
            <w:r w:rsidRPr="00D045B3">
              <w:rPr>
                <w:rFonts w:ascii="Times New Roman" w:hAnsi="Times New Roman"/>
                <w:b/>
                <w:color w:val="000000" w:themeColor="text1"/>
              </w:rPr>
              <w:t>Polska</w:t>
            </w:r>
          </w:p>
          <w:p w14:paraId="79DBBF1F" w14:textId="77777777" w:rsidR="001B4B6C" w:rsidRPr="00D045B3" w:rsidRDefault="001B4B6C" w:rsidP="006B2245">
            <w:pPr>
              <w:spacing w:line="240" w:lineRule="auto"/>
              <w:rPr>
                <w:color w:val="000000" w:themeColor="text1"/>
                <w:szCs w:val="22"/>
                <w:lang w:val="hu-HU"/>
              </w:rPr>
            </w:pPr>
            <w:r w:rsidRPr="00D045B3">
              <w:rPr>
                <w:color w:val="000000" w:themeColor="text1"/>
                <w:szCs w:val="22"/>
                <w:lang w:val="hu-HU"/>
              </w:rPr>
              <w:t>Teva Pharmaceuticals Polska Sp. z o.o.</w:t>
            </w:r>
          </w:p>
          <w:p w14:paraId="7E4007C9" w14:textId="77777777" w:rsidR="001B4B6C" w:rsidRPr="00D045B3" w:rsidRDefault="001B4B6C" w:rsidP="006B2245">
            <w:pPr>
              <w:numPr>
                <w:ilvl w:val="12"/>
                <w:numId w:val="0"/>
              </w:numPr>
              <w:spacing w:line="240" w:lineRule="auto"/>
              <w:rPr>
                <w:color w:val="000000" w:themeColor="text1"/>
                <w:szCs w:val="22"/>
                <w:lang w:val="hu-HU" w:eastAsia="is-IS"/>
              </w:rPr>
            </w:pPr>
            <w:r w:rsidRPr="00D045B3">
              <w:rPr>
                <w:color w:val="000000" w:themeColor="text1"/>
                <w:szCs w:val="22"/>
                <w:lang w:val="hu-HU"/>
              </w:rPr>
              <w:t>Tel: +48 223459300</w:t>
            </w:r>
          </w:p>
          <w:p w14:paraId="7977B010" w14:textId="77777777" w:rsidR="001B4B6C" w:rsidRPr="00D045B3" w:rsidRDefault="001B4B6C" w:rsidP="006B2245">
            <w:pPr>
              <w:pStyle w:val="KeinLeerraum"/>
              <w:rPr>
                <w:rFonts w:ascii="Times New Roman" w:hAnsi="Times New Roman"/>
                <w:color w:val="000000" w:themeColor="text1"/>
              </w:rPr>
            </w:pPr>
          </w:p>
        </w:tc>
      </w:tr>
      <w:tr w:rsidR="001B4B6C" w:rsidRPr="00D045B3" w14:paraId="2F88E4BB" w14:textId="77777777" w:rsidTr="006B2245">
        <w:trPr>
          <w:cantSplit/>
        </w:trPr>
        <w:tc>
          <w:tcPr>
            <w:tcW w:w="4678" w:type="dxa"/>
            <w:gridSpan w:val="2"/>
          </w:tcPr>
          <w:p w14:paraId="44736C0C"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France</w:t>
            </w:r>
          </w:p>
          <w:p w14:paraId="1B04D05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22BA6EF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Islande</w:t>
            </w:r>
          </w:p>
          <w:p w14:paraId="65405BF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lang w:eastAsia="en-GB"/>
              </w:rPr>
              <w:t>Tél</w:t>
            </w:r>
            <w:r w:rsidRPr="00D045B3">
              <w:rPr>
                <w:rFonts w:ascii="Times New Roman" w:hAnsi="Times New Roman"/>
                <w:noProof/>
                <w:color w:val="000000" w:themeColor="text1"/>
              </w:rPr>
              <w:t>:</w:t>
            </w:r>
            <w:r w:rsidRPr="00D045B3">
              <w:rPr>
                <w:rFonts w:ascii="Times New Roman" w:hAnsi="Times New Roman"/>
                <w:color w:val="000000" w:themeColor="text1"/>
              </w:rPr>
              <w:t xml:space="preserve"> +354 5503300</w:t>
            </w:r>
          </w:p>
          <w:p w14:paraId="7113EE56" w14:textId="77777777" w:rsidR="001B4B6C" w:rsidRPr="00D045B3" w:rsidRDefault="001B4B6C" w:rsidP="006B2245">
            <w:pPr>
              <w:pStyle w:val="KeinLeerraum"/>
              <w:rPr>
                <w:rFonts w:ascii="Times New Roman" w:hAnsi="Times New Roman"/>
                <w:b/>
                <w:color w:val="000000" w:themeColor="text1"/>
              </w:rPr>
            </w:pPr>
          </w:p>
        </w:tc>
        <w:tc>
          <w:tcPr>
            <w:tcW w:w="4678" w:type="dxa"/>
          </w:tcPr>
          <w:p w14:paraId="24AB4584"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Portugal</w:t>
            </w:r>
          </w:p>
          <w:p w14:paraId="59969E8F" w14:textId="77777777" w:rsidR="001B4B6C" w:rsidRPr="00D045B3" w:rsidRDefault="001B4B6C" w:rsidP="006B2245">
            <w:pPr>
              <w:pStyle w:val="KeinLeerraum"/>
              <w:rPr>
                <w:rFonts w:ascii="Times New Roman" w:hAnsi="Times New Roman"/>
                <w:iCs/>
                <w:color w:val="000000" w:themeColor="text1"/>
              </w:rPr>
            </w:pPr>
            <w:r w:rsidRPr="00D045B3">
              <w:rPr>
                <w:rFonts w:ascii="Times New Roman" w:hAnsi="Times New Roman"/>
                <w:iCs/>
                <w:color w:val="000000" w:themeColor="text1"/>
              </w:rPr>
              <w:t>Actavis Group PTC ehf.</w:t>
            </w:r>
          </w:p>
          <w:p w14:paraId="024DCA5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Islândia</w:t>
            </w:r>
          </w:p>
          <w:p w14:paraId="7D581EC7"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38A1BAD2" w14:textId="77777777" w:rsidR="001B4B6C" w:rsidRPr="00D045B3" w:rsidRDefault="001B4B6C" w:rsidP="006B2245">
            <w:pPr>
              <w:pStyle w:val="KeinLeerraum"/>
              <w:rPr>
                <w:rFonts w:ascii="Times New Roman" w:hAnsi="Times New Roman"/>
                <w:color w:val="000000" w:themeColor="text1"/>
              </w:rPr>
            </w:pPr>
          </w:p>
        </w:tc>
      </w:tr>
      <w:tr w:rsidR="001B4B6C" w:rsidRPr="00D045B3" w14:paraId="0972B499" w14:textId="77777777" w:rsidTr="006B2245">
        <w:trPr>
          <w:cantSplit/>
        </w:trPr>
        <w:tc>
          <w:tcPr>
            <w:tcW w:w="4678" w:type="dxa"/>
            <w:gridSpan w:val="2"/>
          </w:tcPr>
          <w:p w14:paraId="31BB96A0" w14:textId="77777777" w:rsidR="001B4B6C" w:rsidRPr="00D045B3" w:rsidRDefault="001B4B6C" w:rsidP="006B2245">
            <w:pPr>
              <w:tabs>
                <w:tab w:val="left" w:pos="-720"/>
                <w:tab w:val="left" w:pos="4536"/>
              </w:tabs>
              <w:suppressAutoHyphens/>
              <w:spacing w:line="240" w:lineRule="auto"/>
              <w:ind w:right="567"/>
              <w:rPr>
                <w:b/>
                <w:noProof/>
                <w:color w:val="000000" w:themeColor="text1"/>
                <w:szCs w:val="22"/>
                <w:lang w:val="hu-HU" w:eastAsia="en-US"/>
              </w:rPr>
            </w:pPr>
            <w:r w:rsidRPr="00D045B3">
              <w:rPr>
                <w:color w:val="000000" w:themeColor="text1"/>
                <w:szCs w:val="22"/>
                <w:lang w:val="hu-HU"/>
              </w:rPr>
              <w:br w:type="page"/>
            </w:r>
            <w:r w:rsidRPr="00D045B3">
              <w:rPr>
                <w:b/>
                <w:noProof/>
                <w:color w:val="000000" w:themeColor="text1"/>
                <w:szCs w:val="22"/>
                <w:lang w:val="hu-HU"/>
              </w:rPr>
              <w:t>Hrvatska</w:t>
            </w:r>
          </w:p>
          <w:p w14:paraId="048E56EA" w14:textId="77777777" w:rsidR="001B4B6C" w:rsidRPr="00D045B3" w:rsidRDefault="001B4B6C" w:rsidP="006B2245">
            <w:pPr>
              <w:tabs>
                <w:tab w:val="left" w:pos="-720"/>
                <w:tab w:val="left" w:pos="4536"/>
              </w:tabs>
              <w:suppressAutoHyphens/>
              <w:spacing w:line="240" w:lineRule="auto"/>
              <w:ind w:right="567"/>
              <w:rPr>
                <w:color w:val="000000" w:themeColor="text1"/>
                <w:szCs w:val="22"/>
                <w:lang w:val="hu-HU"/>
              </w:rPr>
            </w:pPr>
            <w:r w:rsidRPr="00D045B3">
              <w:rPr>
                <w:color w:val="000000" w:themeColor="text1"/>
                <w:szCs w:val="22"/>
                <w:lang w:val="hu-HU"/>
              </w:rPr>
              <w:t>Pliva Hrvatska d.o.o.</w:t>
            </w:r>
          </w:p>
          <w:p w14:paraId="63A8F9D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+385 13720000</w:t>
            </w:r>
          </w:p>
          <w:p w14:paraId="64868F97" w14:textId="77777777" w:rsidR="001B4B6C" w:rsidRPr="00D045B3" w:rsidRDefault="001B4B6C" w:rsidP="006B2245">
            <w:pPr>
              <w:pStyle w:val="KeinLeerraum"/>
              <w:rPr>
                <w:rFonts w:ascii="Times New Roman" w:hAnsi="Times New Roman"/>
                <w:color w:val="000000" w:themeColor="text1"/>
              </w:rPr>
            </w:pPr>
          </w:p>
        </w:tc>
        <w:tc>
          <w:tcPr>
            <w:tcW w:w="4678" w:type="dxa"/>
          </w:tcPr>
          <w:p w14:paraId="193F7ACF"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România</w:t>
            </w:r>
          </w:p>
          <w:p w14:paraId="335720B4"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S.R.L.</w:t>
            </w:r>
          </w:p>
          <w:p w14:paraId="308E7A80"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w:t>
            </w:r>
            <w:r w:rsidRPr="00D045B3">
              <w:rPr>
                <w:rFonts w:ascii="Times New Roman" w:hAnsi="Times New Roman"/>
                <w:noProof/>
                <w:color w:val="000000" w:themeColor="text1"/>
              </w:rPr>
              <w:t>40 212306524</w:t>
            </w:r>
          </w:p>
          <w:p w14:paraId="64FE438F" w14:textId="77777777" w:rsidR="001B4B6C" w:rsidRPr="00D045B3" w:rsidRDefault="001B4B6C" w:rsidP="006B2245">
            <w:pPr>
              <w:pStyle w:val="KeinLeerraum"/>
              <w:rPr>
                <w:rFonts w:ascii="Times New Roman" w:hAnsi="Times New Roman"/>
                <w:color w:val="000000" w:themeColor="text1"/>
              </w:rPr>
            </w:pPr>
          </w:p>
        </w:tc>
      </w:tr>
      <w:tr w:rsidR="001B4B6C" w:rsidRPr="00D045B3" w14:paraId="00653BA8" w14:textId="77777777" w:rsidTr="006B2245">
        <w:trPr>
          <w:cantSplit/>
        </w:trPr>
        <w:tc>
          <w:tcPr>
            <w:tcW w:w="4678" w:type="dxa"/>
            <w:gridSpan w:val="2"/>
          </w:tcPr>
          <w:p w14:paraId="1086F76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Ireland</w:t>
            </w:r>
          </w:p>
          <w:p w14:paraId="24CEB9A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Pharmaceuticals Ireland</w:t>
            </w:r>
          </w:p>
          <w:p w14:paraId="29B5508D" w14:textId="070E07F0"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+353 19127700</w:t>
            </w:r>
          </w:p>
          <w:p w14:paraId="2BE007FE" w14:textId="77777777" w:rsidR="001B4B6C" w:rsidRPr="00D045B3" w:rsidRDefault="001B4B6C" w:rsidP="006B2245">
            <w:pPr>
              <w:pStyle w:val="KeinLeerraum"/>
              <w:rPr>
                <w:rFonts w:ascii="Times New Roman" w:hAnsi="Times New Roman"/>
                <w:color w:val="000000" w:themeColor="text1"/>
              </w:rPr>
            </w:pPr>
          </w:p>
        </w:tc>
        <w:tc>
          <w:tcPr>
            <w:tcW w:w="4678" w:type="dxa"/>
          </w:tcPr>
          <w:p w14:paraId="4C9F5BC9"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Slovenija</w:t>
            </w:r>
          </w:p>
          <w:p w14:paraId="189116E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Pliva Ljubljana d.o.o.</w:t>
            </w:r>
          </w:p>
          <w:p w14:paraId="11291A9A"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+386 15890390</w:t>
            </w:r>
          </w:p>
          <w:p w14:paraId="70EE48A1" w14:textId="77777777" w:rsidR="001B4B6C" w:rsidRPr="00D045B3" w:rsidRDefault="001B4B6C" w:rsidP="006B2245">
            <w:pPr>
              <w:pStyle w:val="KeinLeerraum"/>
              <w:rPr>
                <w:rFonts w:ascii="Times New Roman" w:hAnsi="Times New Roman"/>
                <w:b/>
                <w:color w:val="000000" w:themeColor="text1"/>
              </w:rPr>
            </w:pPr>
          </w:p>
        </w:tc>
      </w:tr>
      <w:tr w:rsidR="001B4B6C" w:rsidRPr="00D045B3" w14:paraId="189EF3D6" w14:textId="77777777" w:rsidTr="006B2245">
        <w:trPr>
          <w:cantSplit/>
        </w:trPr>
        <w:tc>
          <w:tcPr>
            <w:tcW w:w="4678" w:type="dxa"/>
            <w:gridSpan w:val="2"/>
          </w:tcPr>
          <w:p w14:paraId="46AE568D"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Ísland</w:t>
            </w:r>
          </w:p>
          <w:p w14:paraId="293B33B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5F3CE40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Sími: +354 5503300</w:t>
            </w:r>
          </w:p>
          <w:p w14:paraId="3E05B35E" w14:textId="77777777" w:rsidR="001B4B6C" w:rsidRPr="00D045B3" w:rsidRDefault="001B4B6C" w:rsidP="006B2245">
            <w:pPr>
              <w:pStyle w:val="KeinLeerraum"/>
              <w:rPr>
                <w:rFonts w:ascii="Times New Roman" w:hAnsi="Times New Roman"/>
                <w:b/>
                <w:color w:val="000000" w:themeColor="text1"/>
              </w:rPr>
            </w:pPr>
          </w:p>
        </w:tc>
        <w:tc>
          <w:tcPr>
            <w:tcW w:w="4678" w:type="dxa"/>
          </w:tcPr>
          <w:p w14:paraId="7BBF0585"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Slovenská republika</w:t>
            </w:r>
          </w:p>
          <w:p w14:paraId="6A43C07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TEVA Pharmaceuticals Slovakia s.r.o.</w:t>
            </w:r>
          </w:p>
          <w:p w14:paraId="443C814F"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+421 2</w:t>
            </w:r>
            <w:r w:rsidRPr="00D045B3">
              <w:rPr>
                <w:rFonts w:ascii="Times New Roman" w:hAnsi="Times New Roman"/>
                <w:noProof/>
                <w:color w:val="000000" w:themeColor="text1"/>
              </w:rPr>
              <w:t>57267911</w:t>
            </w:r>
          </w:p>
          <w:p w14:paraId="60397DE0" w14:textId="77777777" w:rsidR="001B4B6C" w:rsidRPr="00D045B3" w:rsidRDefault="001B4B6C" w:rsidP="006B2245">
            <w:pPr>
              <w:pStyle w:val="KeinLeerraum"/>
              <w:rPr>
                <w:rFonts w:ascii="Times New Roman" w:hAnsi="Times New Roman"/>
                <w:color w:val="000000" w:themeColor="text1"/>
              </w:rPr>
            </w:pPr>
          </w:p>
        </w:tc>
      </w:tr>
      <w:tr w:rsidR="001B4B6C" w:rsidRPr="00D045B3" w14:paraId="298542FD" w14:textId="77777777" w:rsidTr="006B2245">
        <w:trPr>
          <w:cantSplit/>
        </w:trPr>
        <w:tc>
          <w:tcPr>
            <w:tcW w:w="4678" w:type="dxa"/>
            <w:gridSpan w:val="2"/>
          </w:tcPr>
          <w:p w14:paraId="24FD1D14"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Italia</w:t>
            </w:r>
          </w:p>
          <w:p w14:paraId="1D5154EB"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Group PTC ehf.</w:t>
            </w:r>
          </w:p>
          <w:p w14:paraId="54338E3E"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Islanda</w:t>
            </w:r>
          </w:p>
          <w:p w14:paraId="58E4B651"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noProof/>
                <w:color w:val="000000" w:themeColor="text1"/>
              </w:rPr>
              <w:t>Tel: +354 5503300</w:t>
            </w:r>
          </w:p>
          <w:p w14:paraId="59331A70" w14:textId="77777777" w:rsidR="001B4B6C" w:rsidRPr="00D045B3" w:rsidRDefault="001B4B6C" w:rsidP="006B2245">
            <w:pPr>
              <w:pStyle w:val="KeinLeerraum"/>
              <w:rPr>
                <w:rFonts w:ascii="Times New Roman" w:hAnsi="Times New Roman"/>
                <w:b/>
                <w:color w:val="000000" w:themeColor="text1"/>
              </w:rPr>
            </w:pPr>
          </w:p>
        </w:tc>
        <w:tc>
          <w:tcPr>
            <w:tcW w:w="4678" w:type="dxa"/>
          </w:tcPr>
          <w:p w14:paraId="188A32C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b/>
                <w:color w:val="000000" w:themeColor="text1"/>
              </w:rPr>
              <w:t>Suomi/Finland</w:t>
            </w:r>
          </w:p>
          <w:p w14:paraId="08CB9C79" w14:textId="40532C39"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Finland Oy</w:t>
            </w:r>
          </w:p>
          <w:p w14:paraId="063E71B4"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Puh/Tel: +358 201805900</w:t>
            </w:r>
          </w:p>
          <w:p w14:paraId="249CAC28" w14:textId="77777777" w:rsidR="001B4B6C" w:rsidRPr="00D045B3" w:rsidRDefault="001B4B6C" w:rsidP="006B2245">
            <w:pPr>
              <w:pStyle w:val="KeinLeerraum"/>
              <w:rPr>
                <w:rFonts w:ascii="Times New Roman" w:hAnsi="Times New Roman"/>
                <w:b/>
                <w:color w:val="000000" w:themeColor="text1"/>
              </w:rPr>
            </w:pPr>
          </w:p>
        </w:tc>
      </w:tr>
      <w:tr w:rsidR="001B4B6C" w:rsidRPr="00D045B3" w14:paraId="58920473" w14:textId="77777777" w:rsidTr="006B2245">
        <w:trPr>
          <w:cantSplit/>
        </w:trPr>
        <w:tc>
          <w:tcPr>
            <w:tcW w:w="4678" w:type="dxa"/>
            <w:gridSpan w:val="2"/>
          </w:tcPr>
          <w:p w14:paraId="7867B02F" w14:textId="77777777" w:rsidR="001B4B6C" w:rsidRPr="00D045B3" w:rsidRDefault="001B4B6C" w:rsidP="006B2245">
            <w:pPr>
              <w:pStyle w:val="KeinLeerraum"/>
              <w:rPr>
                <w:rFonts w:ascii="Times New Roman" w:hAnsi="Times New Roman"/>
                <w:b/>
                <w:color w:val="000000" w:themeColor="text1"/>
              </w:rPr>
            </w:pPr>
            <w:r w:rsidRPr="00F67173">
              <w:rPr>
                <w:rFonts w:ascii="Times New Roman" w:hAnsi="Times New Roman"/>
                <w:b/>
                <w:color w:val="000000" w:themeColor="text1"/>
              </w:rPr>
              <w:t>Κύπρος</w:t>
            </w:r>
          </w:p>
          <w:p w14:paraId="3CDEF7D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Specifar A.B.E.E.</w:t>
            </w:r>
          </w:p>
          <w:p w14:paraId="50D66A7D"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Ελλάδα</w:t>
            </w:r>
          </w:p>
          <w:p w14:paraId="4CC01B85" w14:textId="51D45CB9"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Τηλ: +30 2118805000</w:t>
            </w:r>
          </w:p>
          <w:p w14:paraId="00EC9C8E" w14:textId="77777777" w:rsidR="001B4B6C" w:rsidRPr="00D045B3" w:rsidRDefault="001B4B6C" w:rsidP="006B2245">
            <w:pPr>
              <w:pStyle w:val="KeinLeerraum"/>
              <w:rPr>
                <w:rFonts w:ascii="Times New Roman" w:hAnsi="Times New Roman"/>
                <w:color w:val="000000" w:themeColor="text1"/>
              </w:rPr>
            </w:pPr>
          </w:p>
        </w:tc>
        <w:tc>
          <w:tcPr>
            <w:tcW w:w="4678" w:type="dxa"/>
          </w:tcPr>
          <w:p w14:paraId="103EA1E5"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Sverige</w:t>
            </w:r>
          </w:p>
          <w:p w14:paraId="4DD58B69"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Teva Sweden AB</w:t>
            </w:r>
          </w:p>
          <w:p w14:paraId="1452097C"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+46 42121100</w:t>
            </w:r>
          </w:p>
          <w:p w14:paraId="2A429D1C" w14:textId="77777777" w:rsidR="001B4B6C" w:rsidRPr="00D045B3" w:rsidRDefault="001B4B6C" w:rsidP="006B2245">
            <w:pPr>
              <w:pStyle w:val="KeinLeerraum"/>
              <w:rPr>
                <w:rFonts w:ascii="Times New Roman" w:hAnsi="Times New Roman"/>
                <w:color w:val="000000" w:themeColor="text1"/>
              </w:rPr>
            </w:pPr>
          </w:p>
        </w:tc>
      </w:tr>
      <w:tr w:rsidR="001B4B6C" w:rsidRPr="00D045B3" w14:paraId="098DDA14" w14:textId="77777777" w:rsidTr="006B2245">
        <w:trPr>
          <w:cantSplit/>
        </w:trPr>
        <w:tc>
          <w:tcPr>
            <w:tcW w:w="4678" w:type="dxa"/>
            <w:gridSpan w:val="2"/>
          </w:tcPr>
          <w:p w14:paraId="74C1A257" w14:textId="77777777" w:rsidR="001B4B6C" w:rsidRPr="00D045B3" w:rsidRDefault="001B4B6C" w:rsidP="006B2245">
            <w:pPr>
              <w:pStyle w:val="KeinLeerraum"/>
              <w:rPr>
                <w:rFonts w:ascii="Times New Roman" w:hAnsi="Times New Roman"/>
                <w:b/>
                <w:bCs/>
                <w:color w:val="000000" w:themeColor="text1"/>
                <w:lang w:eastAsia="en-GB"/>
              </w:rPr>
            </w:pPr>
            <w:r w:rsidRPr="00D045B3">
              <w:rPr>
                <w:rFonts w:ascii="Times New Roman" w:hAnsi="Times New Roman"/>
                <w:b/>
                <w:bCs/>
                <w:color w:val="000000" w:themeColor="text1"/>
                <w:lang w:eastAsia="en-GB"/>
              </w:rPr>
              <w:t>Latvija</w:t>
            </w:r>
          </w:p>
          <w:p w14:paraId="437DD965" w14:textId="5AF61320" w:rsidR="001B4B6C" w:rsidRPr="00D045B3" w:rsidRDefault="001B4B6C" w:rsidP="006B2245">
            <w:pPr>
              <w:spacing w:line="240" w:lineRule="auto"/>
              <w:rPr>
                <w:color w:val="000000" w:themeColor="text1"/>
                <w:szCs w:val="22"/>
                <w:lang w:val="hu-HU" w:eastAsia="en-GB"/>
              </w:rPr>
            </w:pPr>
            <w:r w:rsidRPr="00D045B3">
              <w:rPr>
                <w:color w:val="000000" w:themeColor="text1"/>
                <w:szCs w:val="22"/>
                <w:lang w:val="hu-HU" w:eastAsia="en-GB"/>
              </w:rPr>
              <w:t>UAB Teva Baltics filiāle Latvijā</w:t>
            </w:r>
          </w:p>
          <w:p w14:paraId="4E09BFD9" w14:textId="77777777" w:rsidR="001B4B6C" w:rsidRPr="00D045B3" w:rsidRDefault="001B4B6C" w:rsidP="006B2245">
            <w:pPr>
              <w:pStyle w:val="KeinLeerraum"/>
              <w:rPr>
                <w:rFonts w:ascii="Times New Roman" w:hAnsi="Times New Roman"/>
                <w:color w:val="000000" w:themeColor="text1"/>
                <w:lang w:eastAsia="en-GB"/>
              </w:rPr>
            </w:pPr>
            <w:r w:rsidRPr="00D045B3">
              <w:rPr>
                <w:rFonts w:ascii="Times New Roman" w:hAnsi="Times New Roman"/>
                <w:color w:val="000000" w:themeColor="text1"/>
                <w:lang w:eastAsia="en-GB"/>
              </w:rPr>
              <w:t>Tel: +371 67323666</w:t>
            </w:r>
          </w:p>
          <w:p w14:paraId="6711BE99" w14:textId="77777777" w:rsidR="001B4B6C" w:rsidRPr="00D045B3" w:rsidRDefault="001B4B6C" w:rsidP="006B2245">
            <w:pPr>
              <w:pStyle w:val="KeinLeerraum"/>
              <w:rPr>
                <w:rFonts w:ascii="Times New Roman" w:hAnsi="Times New Roman"/>
                <w:color w:val="000000" w:themeColor="text1"/>
              </w:rPr>
            </w:pPr>
          </w:p>
        </w:tc>
        <w:tc>
          <w:tcPr>
            <w:tcW w:w="4678" w:type="dxa"/>
          </w:tcPr>
          <w:p w14:paraId="2EC9DA76" w14:textId="77777777" w:rsidR="001B4B6C" w:rsidRPr="00D045B3" w:rsidRDefault="001B4B6C" w:rsidP="006B2245">
            <w:pPr>
              <w:pStyle w:val="KeinLeerraum"/>
              <w:rPr>
                <w:rFonts w:ascii="Times New Roman" w:hAnsi="Times New Roman"/>
                <w:b/>
                <w:color w:val="000000" w:themeColor="text1"/>
              </w:rPr>
            </w:pPr>
            <w:r w:rsidRPr="00D045B3">
              <w:rPr>
                <w:rFonts w:ascii="Times New Roman" w:hAnsi="Times New Roman"/>
                <w:b/>
                <w:color w:val="000000" w:themeColor="text1"/>
              </w:rPr>
              <w:t>United Kingdom</w:t>
            </w:r>
          </w:p>
          <w:p w14:paraId="10CEA368"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Actavis UK Limited</w:t>
            </w:r>
          </w:p>
          <w:p w14:paraId="625F8BA5" w14:textId="77777777" w:rsidR="001B4B6C" w:rsidRPr="00D045B3" w:rsidRDefault="001B4B6C" w:rsidP="006B2245">
            <w:pPr>
              <w:pStyle w:val="KeinLeerraum"/>
              <w:rPr>
                <w:rFonts w:ascii="Times New Roman" w:hAnsi="Times New Roman"/>
                <w:color w:val="000000" w:themeColor="text1"/>
              </w:rPr>
            </w:pPr>
            <w:r w:rsidRPr="00D045B3">
              <w:rPr>
                <w:rFonts w:ascii="Times New Roman" w:hAnsi="Times New Roman"/>
                <w:color w:val="000000" w:themeColor="text1"/>
              </w:rPr>
              <w:t>Tel: +44 1271385257</w:t>
            </w:r>
          </w:p>
          <w:p w14:paraId="067D21FF" w14:textId="77777777" w:rsidR="001B4B6C" w:rsidRPr="00D045B3" w:rsidRDefault="001B4B6C" w:rsidP="006B2245">
            <w:pPr>
              <w:pStyle w:val="KeinLeerraum"/>
              <w:rPr>
                <w:rFonts w:ascii="Times New Roman" w:hAnsi="Times New Roman"/>
                <w:color w:val="000000" w:themeColor="text1"/>
              </w:rPr>
            </w:pPr>
          </w:p>
        </w:tc>
      </w:tr>
    </w:tbl>
    <w:p w14:paraId="21F3EBB6" w14:textId="77777777" w:rsidR="001B4B6C" w:rsidRPr="00D045B3" w:rsidRDefault="001B4B6C" w:rsidP="001B4B6C">
      <w:pPr>
        <w:spacing w:line="240" w:lineRule="auto"/>
        <w:rPr>
          <w:color w:val="000000" w:themeColor="text1"/>
          <w:szCs w:val="22"/>
          <w:lang w:val="hu-HU" w:eastAsia="en-US"/>
        </w:rPr>
      </w:pPr>
    </w:p>
    <w:p w14:paraId="1E928504" w14:textId="77777777" w:rsidR="002014A3" w:rsidRPr="00D045B3" w:rsidRDefault="002014A3" w:rsidP="00C005AC">
      <w:pPr>
        <w:keepNext/>
        <w:spacing w:line="240" w:lineRule="auto"/>
        <w:ind w:right="-2"/>
        <w:rPr>
          <w:b/>
          <w:color w:val="000000"/>
          <w:lang w:val="hu-HU"/>
        </w:rPr>
      </w:pPr>
      <w:r w:rsidRPr="00D045B3">
        <w:rPr>
          <w:b/>
          <w:color w:val="000000"/>
          <w:lang w:val="hu-HU"/>
        </w:rPr>
        <w:t xml:space="preserve">A betegtájékoztató </w:t>
      </w:r>
      <w:r w:rsidRPr="00D045B3">
        <w:rPr>
          <w:b/>
          <w:noProof/>
          <w:szCs w:val="24"/>
          <w:lang w:val="hu-HU"/>
        </w:rPr>
        <w:t>legutóbbi felülvizsgálatának</w:t>
      </w:r>
      <w:r w:rsidRPr="00D045B3">
        <w:rPr>
          <w:b/>
          <w:lang w:val="hu-HU"/>
        </w:rPr>
        <w:t xml:space="preserve"> </w:t>
      </w:r>
      <w:r w:rsidRPr="00D045B3">
        <w:rPr>
          <w:b/>
          <w:color w:val="000000"/>
          <w:lang w:val="hu-HU"/>
        </w:rPr>
        <w:t>dátuma</w:t>
      </w:r>
    </w:p>
    <w:p w14:paraId="1E928505" w14:textId="77777777" w:rsidR="002014A3" w:rsidRPr="00D045B3" w:rsidRDefault="002014A3" w:rsidP="00C005AC">
      <w:pPr>
        <w:pStyle w:val="KeinLeerraum"/>
        <w:keepNext/>
        <w:rPr>
          <w:rFonts w:ascii="Times New Roman" w:hAnsi="Times New Roman"/>
        </w:rPr>
      </w:pPr>
    </w:p>
    <w:p w14:paraId="1E928506" w14:textId="77777777" w:rsidR="002014A3" w:rsidRPr="00D045B3" w:rsidRDefault="002014A3" w:rsidP="002014A3">
      <w:pPr>
        <w:pStyle w:val="KeinLeerraum"/>
        <w:rPr>
          <w:rFonts w:ascii="Times New Roman" w:hAnsi="Times New Roman"/>
          <w:b/>
        </w:rPr>
      </w:pPr>
      <w:r w:rsidRPr="00D045B3">
        <w:rPr>
          <w:rFonts w:ascii="Times New Roman" w:hAnsi="Times New Roman"/>
          <w:b/>
        </w:rPr>
        <w:t>Egyéb információforrások</w:t>
      </w:r>
    </w:p>
    <w:p w14:paraId="1E928507" w14:textId="77777777" w:rsidR="00853358" w:rsidRPr="00D045B3" w:rsidRDefault="00853358" w:rsidP="002014A3">
      <w:pPr>
        <w:pStyle w:val="KeinLeerraum"/>
        <w:rPr>
          <w:rFonts w:ascii="Times New Roman" w:hAnsi="Times New Roman"/>
          <w:noProof/>
        </w:rPr>
      </w:pPr>
    </w:p>
    <w:p w14:paraId="1E928508" w14:textId="77777777" w:rsidR="002014A3" w:rsidRPr="00D045B3" w:rsidRDefault="002014A3" w:rsidP="00CA41FD">
      <w:pPr>
        <w:autoSpaceDE w:val="0"/>
        <w:autoSpaceDN w:val="0"/>
        <w:adjustRightInd w:val="0"/>
        <w:spacing w:line="240" w:lineRule="auto"/>
        <w:contextualSpacing/>
        <w:rPr>
          <w:rFonts w:eastAsia="Calibri"/>
          <w:snapToGrid/>
          <w:szCs w:val="22"/>
          <w:lang w:val="hu-HU" w:eastAsia="en-US"/>
        </w:rPr>
      </w:pPr>
      <w:r w:rsidRPr="00D045B3">
        <w:rPr>
          <w:noProof/>
          <w:lang w:val="hu-HU"/>
        </w:rPr>
        <w:t>A gyógyszerről részletes információ az Európai Gyógyszerügynökség internetes honlapján (</w:t>
      </w:r>
      <w:hyperlink r:id="rId24" w:history="1">
        <w:r w:rsidR="00B4569A" w:rsidRPr="00D045B3">
          <w:rPr>
            <w:rFonts w:eastAsia="Calibri"/>
            <w:snapToGrid/>
            <w:color w:val="0000FF"/>
            <w:szCs w:val="22"/>
            <w:u w:val="single"/>
            <w:lang w:val="hu-HU" w:eastAsia="en-US"/>
          </w:rPr>
          <w:t>http://www.ema.europa.eu</w:t>
        </w:r>
      </w:hyperlink>
      <w:r w:rsidRPr="00D045B3">
        <w:rPr>
          <w:iCs/>
          <w:noProof/>
          <w:lang w:val="hu-HU"/>
        </w:rPr>
        <w:t>) található.</w:t>
      </w:r>
    </w:p>
    <w:p w14:paraId="1E928509" w14:textId="77777777" w:rsidR="002014A3" w:rsidRPr="00D045B3" w:rsidRDefault="002014A3" w:rsidP="002014A3">
      <w:pPr>
        <w:pStyle w:val="KeinLeerraum"/>
        <w:rPr>
          <w:rFonts w:ascii="Times New Roman" w:hAnsi="Times New Roman"/>
        </w:rPr>
      </w:pPr>
    </w:p>
    <w:p w14:paraId="1E92850A" w14:textId="77777777" w:rsidR="00153411" w:rsidRPr="00D045B3" w:rsidRDefault="00153411" w:rsidP="00AF5A7D">
      <w:pPr>
        <w:pStyle w:val="KeinLeerraum"/>
        <w:rPr>
          <w:rFonts w:ascii="Times New Roman" w:hAnsi="Times New Roman"/>
        </w:rPr>
      </w:pPr>
    </w:p>
    <w:sectPr w:rsidR="00153411" w:rsidRPr="00D045B3" w:rsidSect="008B0F22">
      <w:footerReference w:type="default" r:id="rId25"/>
      <w:pgSz w:w="11906" w:h="16838"/>
      <w:pgMar w:top="1134" w:right="1418" w:bottom="1134"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849A8" w15:done="0"/>
  <w15:commentEx w15:paraId="69883B58" w15:done="0"/>
  <w15:commentEx w15:paraId="3692170A" w15:done="0"/>
  <w15:commentEx w15:paraId="67736F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A6398" w14:textId="77777777" w:rsidR="007530AE" w:rsidRDefault="007530AE" w:rsidP="00823810">
      <w:pPr>
        <w:spacing w:line="240" w:lineRule="auto"/>
      </w:pPr>
      <w:r>
        <w:separator/>
      </w:r>
    </w:p>
  </w:endnote>
  <w:endnote w:type="continuationSeparator" w:id="0">
    <w:p w14:paraId="33925ED9" w14:textId="77777777" w:rsidR="007530AE" w:rsidRDefault="007530AE" w:rsidP="00823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horndale">
    <w:altName w:val="Times New Roman"/>
    <w:charset w:val="00"/>
    <w:family w:val="roman"/>
    <w:pitch w:val="variable"/>
    <w:sig w:usb0="00000003" w:usb1="00000000" w:usb2="00000000" w:usb3="00000000" w:csb0="00000001" w:csb1="00000000"/>
  </w:font>
  <w:font w:name="StarSymbol">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tka Subheading">
    <w:panose1 w:val="02000505000000020004"/>
    <w:charset w:val="00"/>
    <w:family w:val="auto"/>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2850F" w14:textId="77777777" w:rsidR="007530AE" w:rsidRPr="0086743B" w:rsidRDefault="007530AE">
    <w:pPr>
      <w:pStyle w:val="Fuzeile"/>
      <w:jc w:val="center"/>
      <w:rPr>
        <w:rFonts w:ascii="Arial" w:hAnsi="Arial" w:cs="Arial"/>
        <w:sz w:val="16"/>
        <w:szCs w:val="16"/>
      </w:rPr>
    </w:pPr>
    <w:r w:rsidRPr="0086743B">
      <w:rPr>
        <w:rFonts w:ascii="Arial" w:hAnsi="Arial" w:cs="Arial"/>
        <w:sz w:val="16"/>
        <w:szCs w:val="16"/>
      </w:rPr>
      <w:fldChar w:fldCharType="begin"/>
    </w:r>
    <w:r w:rsidRPr="0086743B">
      <w:rPr>
        <w:rFonts w:ascii="Arial" w:hAnsi="Arial" w:cs="Arial"/>
        <w:sz w:val="16"/>
        <w:szCs w:val="16"/>
      </w:rPr>
      <w:instrText xml:space="preserve"> PAGE   \* MERGEFORMAT </w:instrText>
    </w:r>
    <w:r w:rsidRPr="0086743B">
      <w:rPr>
        <w:rFonts w:ascii="Arial" w:hAnsi="Arial" w:cs="Arial"/>
        <w:sz w:val="16"/>
        <w:szCs w:val="16"/>
      </w:rPr>
      <w:fldChar w:fldCharType="separate"/>
    </w:r>
    <w:r w:rsidR="00F67173">
      <w:rPr>
        <w:rFonts w:ascii="Arial" w:hAnsi="Arial" w:cs="Arial"/>
        <w:noProof/>
        <w:sz w:val="16"/>
        <w:szCs w:val="16"/>
      </w:rPr>
      <w:t>1</w:t>
    </w:r>
    <w:r w:rsidRPr="0086743B">
      <w:rPr>
        <w:rFonts w:ascii="Arial" w:hAnsi="Arial" w:cs="Arial"/>
        <w:sz w:val="16"/>
        <w:szCs w:val="16"/>
      </w:rPr>
      <w:fldChar w:fldCharType="end"/>
    </w:r>
  </w:p>
  <w:p w14:paraId="1E928510" w14:textId="77777777" w:rsidR="007530AE" w:rsidRDefault="007530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E1108" w14:textId="77777777" w:rsidR="007530AE" w:rsidRDefault="007530AE" w:rsidP="00823810">
      <w:pPr>
        <w:spacing w:line="240" w:lineRule="auto"/>
      </w:pPr>
      <w:r>
        <w:separator/>
      </w:r>
    </w:p>
  </w:footnote>
  <w:footnote w:type="continuationSeparator" w:id="0">
    <w:p w14:paraId="3255EDF7" w14:textId="77777777" w:rsidR="007530AE" w:rsidRDefault="007530AE" w:rsidP="008238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A0A49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D20EE2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E12C08C"/>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C838CA0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B972EBF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64094D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09DCB60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66A491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F908FF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298CF6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000004"/>
    <w:multiLevelType w:val="multilevel"/>
    <w:tmpl w:val="00000004"/>
    <w:name w:val="WW8Num4"/>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2">
    <w:nsid w:val="00000005"/>
    <w:multiLevelType w:val="multilevel"/>
    <w:tmpl w:val="00000005"/>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3">
    <w:nsid w:val="00000007"/>
    <w:multiLevelType w:val="multilevel"/>
    <w:tmpl w:val="00000007"/>
    <w:name w:val="WW8Num7"/>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4">
    <w:nsid w:val="00000008"/>
    <w:multiLevelType w:val="multilevel"/>
    <w:tmpl w:val="00000008"/>
    <w:name w:val="WW8Num8"/>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15">
    <w:nsid w:val="00000009"/>
    <w:multiLevelType w:val="multilevel"/>
    <w:tmpl w:val="00000009"/>
    <w:name w:val="WW8Num9"/>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16">
    <w:nsid w:val="0000000A"/>
    <w:multiLevelType w:val="multilevel"/>
    <w:tmpl w:val="0000000A"/>
    <w:lvl w:ilvl="0">
      <w:start w:val="1"/>
      <w:numFmt w:val="none"/>
      <w:pStyle w:val="berschrift1"/>
      <w:lvlText w:val=""/>
      <w:lvlJc w:val="left"/>
      <w:pPr>
        <w:tabs>
          <w:tab w:val="num" w:pos="0"/>
        </w:tabs>
      </w:pPr>
    </w:lvl>
    <w:lvl w:ilvl="1">
      <w:start w:val="1"/>
      <w:numFmt w:val="none"/>
      <w:pStyle w:val="berschrift2"/>
      <w:lvlText w:val=""/>
      <w:lvlJc w:val="left"/>
      <w:pPr>
        <w:tabs>
          <w:tab w:val="num" w:pos="0"/>
        </w:tabs>
      </w:pPr>
    </w:lvl>
    <w:lvl w:ilvl="2">
      <w:start w:val="1"/>
      <w:numFmt w:val="none"/>
      <w:pStyle w:val="berschrift3"/>
      <w:lvlText w:val=""/>
      <w:lvlJc w:val="left"/>
      <w:pPr>
        <w:tabs>
          <w:tab w:val="num" w:pos="0"/>
        </w:tabs>
      </w:pPr>
    </w:lvl>
    <w:lvl w:ilvl="3">
      <w:start w:val="1"/>
      <w:numFmt w:val="none"/>
      <w:pStyle w:val="berschrift4"/>
      <w:lvlText w:val=""/>
      <w:lvlJc w:val="left"/>
      <w:pPr>
        <w:tabs>
          <w:tab w:val="num" w:pos="0"/>
        </w:tabs>
      </w:pPr>
    </w:lvl>
    <w:lvl w:ilvl="4">
      <w:start w:val="1"/>
      <w:numFmt w:val="none"/>
      <w:pStyle w:val="berschrift5"/>
      <w:lvlText w:val=""/>
      <w:lvlJc w:val="left"/>
      <w:pPr>
        <w:tabs>
          <w:tab w:val="num" w:pos="0"/>
        </w:tabs>
      </w:pPr>
    </w:lvl>
    <w:lvl w:ilvl="5">
      <w:start w:val="1"/>
      <w:numFmt w:val="none"/>
      <w:pStyle w:val="berschrift6"/>
      <w:lvlText w:val=""/>
      <w:lvlJc w:val="left"/>
      <w:pPr>
        <w:tabs>
          <w:tab w:val="num" w:pos="0"/>
        </w:tabs>
      </w:pPr>
    </w:lvl>
    <w:lvl w:ilvl="6">
      <w:start w:val="1"/>
      <w:numFmt w:val="none"/>
      <w:pStyle w:val="berschrift7"/>
      <w:lvlText w:val=""/>
      <w:lvlJc w:val="left"/>
      <w:pPr>
        <w:tabs>
          <w:tab w:val="num" w:pos="0"/>
        </w:tabs>
      </w:pPr>
    </w:lvl>
    <w:lvl w:ilvl="7">
      <w:start w:val="1"/>
      <w:numFmt w:val="none"/>
      <w:pStyle w:val="berschrift8"/>
      <w:lvlText w:val=""/>
      <w:lvlJc w:val="left"/>
      <w:pPr>
        <w:tabs>
          <w:tab w:val="num" w:pos="0"/>
        </w:tabs>
      </w:pPr>
    </w:lvl>
    <w:lvl w:ilvl="8">
      <w:start w:val="1"/>
      <w:numFmt w:val="none"/>
      <w:pStyle w:val="berschrift9"/>
      <w:lvlText w:val=""/>
      <w:lvlJc w:val="left"/>
      <w:pPr>
        <w:tabs>
          <w:tab w:val="num" w:pos="0"/>
        </w:tabs>
      </w:pPr>
    </w:lvl>
  </w:abstractNum>
  <w:abstractNum w:abstractNumId="17">
    <w:nsid w:val="00E924A2"/>
    <w:multiLevelType w:val="hybridMultilevel"/>
    <w:tmpl w:val="C854E37A"/>
    <w:lvl w:ilvl="0" w:tplc="5908E440">
      <w:start w:val="1"/>
      <w:numFmt w:val="upperLetter"/>
      <w:pStyle w:val="TitleA"/>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043F0BC6"/>
    <w:multiLevelType w:val="hybridMultilevel"/>
    <w:tmpl w:val="A71ED122"/>
    <w:lvl w:ilvl="0" w:tplc="75F0055A">
      <w:start w:val="1"/>
      <w:numFmt w:val="bullet"/>
      <w:lvlText w:val="-"/>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053319FB"/>
    <w:multiLevelType w:val="hybridMultilevel"/>
    <w:tmpl w:val="AB5C88EE"/>
    <w:lvl w:ilvl="0" w:tplc="A24CD832">
      <w:start w:val="4"/>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061F127D"/>
    <w:multiLevelType w:val="hybridMultilevel"/>
    <w:tmpl w:val="E6EEC046"/>
    <w:lvl w:ilvl="0" w:tplc="3488C34E">
      <w:start w:val="17"/>
      <w:numFmt w:val="decimal"/>
      <w:lvlText w:val="%1."/>
      <w:lvlJc w:val="left"/>
      <w:pPr>
        <w:ind w:left="1650" w:hanging="570"/>
      </w:pPr>
      <w:rPr>
        <w:rFonts w:hint="default"/>
        <w:b/>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07585FF0"/>
    <w:multiLevelType w:val="hybridMultilevel"/>
    <w:tmpl w:val="05D88C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08C9259A"/>
    <w:multiLevelType w:val="hybridMultilevel"/>
    <w:tmpl w:val="629C934C"/>
    <w:lvl w:ilvl="0" w:tplc="A8D4747A">
      <w:numFmt w:val="bullet"/>
      <w:lvlText w:val="-"/>
      <w:lvlJc w:val="left"/>
      <w:pPr>
        <w:tabs>
          <w:tab w:val="num" w:pos="360"/>
        </w:tabs>
        <w:ind w:left="36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8D63963"/>
    <w:multiLevelType w:val="hybridMultilevel"/>
    <w:tmpl w:val="B9CEB232"/>
    <w:lvl w:ilvl="0" w:tplc="75F0055A">
      <w:start w:val="1"/>
      <w:numFmt w:val="bullet"/>
      <w:lvlText w:val="-"/>
      <w:lvlJc w:val="left"/>
      <w:pPr>
        <w:tabs>
          <w:tab w:val="num" w:pos="0"/>
        </w:tabs>
        <w:ind w:left="360" w:hanging="360"/>
      </w:pPr>
      <w:rPr>
        <w:rFonts w:hint="default"/>
      </w:rPr>
    </w:lvl>
    <w:lvl w:ilvl="1" w:tplc="A8D4747A">
      <w:numFmt w:val="bullet"/>
      <w:lvlText w:val="-"/>
      <w:lvlJc w:val="left"/>
      <w:pPr>
        <w:tabs>
          <w:tab w:val="num" w:pos="1650"/>
        </w:tabs>
        <w:ind w:left="1650" w:hanging="570"/>
      </w:pPr>
      <w:rPr>
        <w:rFonts w:ascii="Times New Roman" w:eastAsia="Calibri" w:hAnsi="Times New Roman" w:cs="Times New Roman"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0E0E565D"/>
    <w:multiLevelType w:val="hybridMultilevel"/>
    <w:tmpl w:val="F6026FEC"/>
    <w:lvl w:ilvl="0" w:tplc="4A5E51AA">
      <w:start w:val="1"/>
      <w:numFmt w:val="bullet"/>
      <w:lvlText w:val="-"/>
      <w:lvlJc w:val="left"/>
      <w:pPr>
        <w:ind w:left="720" w:hanging="360"/>
      </w:pPr>
      <w:rPr>
        <w:rFonts w:ascii="Sitka Subheading" w:hAnsi="Sitka Subheading"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0E306FA1"/>
    <w:multiLevelType w:val="hybridMultilevel"/>
    <w:tmpl w:val="6C9E5538"/>
    <w:lvl w:ilvl="0" w:tplc="E66A1806">
      <w:start w:val="17"/>
      <w:numFmt w:val="decimal"/>
      <w:lvlText w:val="%1."/>
      <w:lvlJc w:val="left"/>
      <w:pPr>
        <w:ind w:left="1650" w:hanging="570"/>
      </w:pPr>
      <w:rPr>
        <w:rFonts w:hint="default"/>
        <w:b/>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12811F95"/>
    <w:multiLevelType w:val="hybridMultilevel"/>
    <w:tmpl w:val="7D0C9478"/>
    <w:lvl w:ilvl="0" w:tplc="4A5E51AA">
      <w:start w:val="1"/>
      <w:numFmt w:val="bullet"/>
      <w:lvlText w:val="-"/>
      <w:lvlJc w:val="left"/>
      <w:pPr>
        <w:ind w:left="720" w:hanging="360"/>
      </w:pPr>
      <w:rPr>
        <w:rFonts w:ascii="Sitka Subheading" w:hAnsi="Sitka Subheading"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16E509C6"/>
    <w:multiLevelType w:val="hybridMultilevel"/>
    <w:tmpl w:val="325C48F6"/>
    <w:lvl w:ilvl="0" w:tplc="75F0055A">
      <w:start w:val="1"/>
      <w:numFmt w:val="bullet"/>
      <w:lvlText w:val="-"/>
      <w:lvlJc w:val="left"/>
      <w:pPr>
        <w:tabs>
          <w:tab w:val="num" w:pos="0"/>
        </w:tabs>
        <w:ind w:left="360" w:hanging="360"/>
      </w:pPr>
      <w:rPr>
        <w:rFonts w:hint="default"/>
      </w:rPr>
    </w:lvl>
    <w:lvl w:ilvl="1" w:tplc="A8D4747A">
      <w:numFmt w:val="bullet"/>
      <w:lvlText w:val="-"/>
      <w:lvlJc w:val="left"/>
      <w:pPr>
        <w:tabs>
          <w:tab w:val="num" w:pos="1650"/>
        </w:tabs>
        <w:ind w:left="1650" w:hanging="570"/>
      </w:pPr>
      <w:rPr>
        <w:rFonts w:ascii="Times New Roman" w:eastAsia="Calibri" w:hAnsi="Times New Roman" w:cs="Times New Roman"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8581ABC"/>
    <w:multiLevelType w:val="hybridMultilevel"/>
    <w:tmpl w:val="4E2A32F6"/>
    <w:lvl w:ilvl="0" w:tplc="31EC78A2">
      <w:start w:val="1"/>
      <w:numFmt w:val="decimal"/>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29">
    <w:nsid w:val="18FD5D26"/>
    <w:multiLevelType w:val="hybridMultilevel"/>
    <w:tmpl w:val="AEDE173E"/>
    <w:lvl w:ilvl="0" w:tplc="A8D4747A">
      <w:numFmt w:val="bullet"/>
      <w:lvlText w:val="-"/>
      <w:lvlJc w:val="left"/>
      <w:pPr>
        <w:tabs>
          <w:tab w:val="num" w:pos="360"/>
        </w:tabs>
        <w:ind w:left="360" w:hanging="360"/>
      </w:pPr>
      <w:rPr>
        <w:rFonts w:ascii="Times New Roman" w:eastAsia="Calibri" w:hAnsi="Times New Roman" w:cs="Times New Roman"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C5E66AC"/>
    <w:multiLevelType w:val="hybridMultilevel"/>
    <w:tmpl w:val="8C4009AC"/>
    <w:lvl w:ilvl="0" w:tplc="1CA8AF6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1D3F31FC"/>
    <w:multiLevelType w:val="hybridMultilevel"/>
    <w:tmpl w:val="B96C05E4"/>
    <w:lvl w:ilvl="0" w:tplc="75F0055A">
      <w:start w:val="1"/>
      <w:numFmt w:val="bullet"/>
      <w:lvlText w:val="-"/>
      <w:lvlJc w:val="left"/>
      <w:pPr>
        <w:tabs>
          <w:tab w:val="num" w:pos="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08014EC"/>
    <w:multiLevelType w:val="hybridMultilevel"/>
    <w:tmpl w:val="8BE40DF0"/>
    <w:lvl w:ilvl="0" w:tplc="AC7A3A0C">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6D15B0F"/>
    <w:multiLevelType w:val="hybridMultilevel"/>
    <w:tmpl w:val="2444B8F4"/>
    <w:lvl w:ilvl="0" w:tplc="4A5E51AA">
      <w:start w:val="1"/>
      <w:numFmt w:val="bullet"/>
      <w:lvlText w:val="-"/>
      <w:lvlJc w:val="left"/>
      <w:pPr>
        <w:ind w:left="720" w:hanging="360"/>
      </w:pPr>
      <w:rPr>
        <w:rFonts w:ascii="Sitka Subheading" w:hAnsi="Sitka Subheading"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AEB440C"/>
    <w:multiLevelType w:val="hybridMultilevel"/>
    <w:tmpl w:val="6E2649F0"/>
    <w:lvl w:ilvl="0" w:tplc="75F0055A">
      <w:start w:val="1"/>
      <w:numFmt w:val="bullet"/>
      <w:lvlText w:val="-"/>
      <w:lvlJc w:val="left"/>
      <w:pPr>
        <w:tabs>
          <w:tab w:val="num" w:pos="0"/>
        </w:tabs>
        <w:ind w:left="360" w:hanging="360"/>
      </w:pPr>
      <w:rPr>
        <w:rFonts w:hint="default"/>
      </w:rPr>
    </w:lvl>
    <w:lvl w:ilvl="1" w:tplc="A8D4747A">
      <w:numFmt w:val="bullet"/>
      <w:lvlText w:val="-"/>
      <w:lvlJc w:val="left"/>
      <w:pPr>
        <w:tabs>
          <w:tab w:val="num" w:pos="1650"/>
        </w:tabs>
        <w:ind w:left="1650" w:hanging="570"/>
      </w:pPr>
      <w:rPr>
        <w:rFonts w:ascii="Times New Roman" w:eastAsia="Calibri" w:hAnsi="Times New Roman" w:cs="Times New Roman"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30D3324"/>
    <w:multiLevelType w:val="hybridMultilevel"/>
    <w:tmpl w:val="68F2802A"/>
    <w:lvl w:ilvl="0" w:tplc="A24CD832">
      <w:start w:val="4"/>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36AF254B"/>
    <w:multiLevelType w:val="hybridMultilevel"/>
    <w:tmpl w:val="BAA49B18"/>
    <w:lvl w:ilvl="0" w:tplc="43322D98">
      <w:start w:val="17"/>
      <w:numFmt w:val="decimal"/>
      <w:lvlText w:val="%1."/>
      <w:lvlJc w:val="left"/>
      <w:pPr>
        <w:ind w:left="1650" w:hanging="570"/>
      </w:pPr>
      <w:rPr>
        <w:rFonts w:hint="default"/>
        <w:b/>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nsid w:val="38B947B8"/>
    <w:multiLevelType w:val="hybridMultilevel"/>
    <w:tmpl w:val="48067820"/>
    <w:lvl w:ilvl="0" w:tplc="4A5E51AA">
      <w:start w:val="1"/>
      <w:numFmt w:val="bullet"/>
      <w:lvlText w:val="-"/>
      <w:lvlJc w:val="left"/>
      <w:pPr>
        <w:ind w:left="720" w:hanging="360"/>
      </w:pPr>
      <w:rPr>
        <w:rFonts w:ascii="Sitka Subheading" w:hAnsi="Sitka Subheading"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3D19348E"/>
    <w:multiLevelType w:val="hybridMultilevel"/>
    <w:tmpl w:val="AFA01D2A"/>
    <w:lvl w:ilvl="0" w:tplc="75F0055A">
      <w:start w:val="1"/>
      <w:numFmt w:val="bullet"/>
      <w:lvlText w:val="-"/>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nsid w:val="40F8325C"/>
    <w:multiLevelType w:val="hybridMultilevel"/>
    <w:tmpl w:val="9E2ECFF8"/>
    <w:lvl w:ilvl="0" w:tplc="A8D4747A">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nsid w:val="4A2B1BB7"/>
    <w:multiLevelType w:val="hybridMultilevel"/>
    <w:tmpl w:val="D1F4FD12"/>
    <w:lvl w:ilvl="0" w:tplc="A8D4747A">
      <w:numFmt w:val="bullet"/>
      <w:lvlText w:val="-"/>
      <w:lvlJc w:val="left"/>
      <w:pPr>
        <w:tabs>
          <w:tab w:val="num" w:pos="360"/>
        </w:tabs>
        <w:ind w:left="360" w:hanging="360"/>
      </w:pPr>
      <w:rPr>
        <w:rFonts w:ascii="Times New Roman" w:eastAsia="Calibri" w:hAnsi="Times New Roman" w:cs="Times New Roman"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nsid w:val="4A66625F"/>
    <w:multiLevelType w:val="hybridMultilevel"/>
    <w:tmpl w:val="6A1E8F24"/>
    <w:lvl w:ilvl="0" w:tplc="75F0055A">
      <w:start w:val="1"/>
      <w:numFmt w:val="bullet"/>
      <w:lvlText w:val="-"/>
      <w:lvlJc w:val="left"/>
      <w:pPr>
        <w:tabs>
          <w:tab w:val="num" w:pos="0"/>
        </w:tabs>
        <w:ind w:left="360" w:hanging="360"/>
      </w:pPr>
      <w:rPr>
        <w:rFonts w:hint="default"/>
      </w:rPr>
    </w:lvl>
    <w:lvl w:ilvl="1" w:tplc="A8D4747A">
      <w:numFmt w:val="bullet"/>
      <w:lvlText w:val="-"/>
      <w:lvlJc w:val="left"/>
      <w:pPr>
        <w:tabs>
          <w:tab w:val="num" w:pos="1650"/>
        </w:tabs>
        <w:ind w:left="1650" w:hanging="570"/>
      </w:pPr>
      <w:rPr>
        <w:rFonts w:ascii="Times New Roman" w:eastAsia="Calibri" w:hAnsi="Times New Roman" w:cs="Times New Roman"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4B233D20"/>
    <w:multiLevelType w:val="hybridMultilevel"/>
    <w:tmpl w:val="DD4A0382"/>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nsid w:val="4C1D3C57"/>
    <w:multiLevelType w:val="hybridMultilevel"/>
    <w:tmpl w:val="4E30054A"/>
    <w:lvl w:ilvl="0" w:tplc="7E2A8558">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C3F4C45"/>
    <w:multiLevelType w:val="hybridMultilevel"/>
    <w:tmpl w:val="12ACD3D8"/>
    <w:lvl w:ilvl="0" w:tplc="7E2A8558">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5013348A"/>
    <w:multiLevelType w:val="hybridMultilevel"/>
    <w:tmpl w:val="16121F60"/>
    <w:lvl w:ilvl="0" w:tplc="FFFFFFFF">
      <w:start w:val="2000"/>
      <w:numFmt w:val="bullet"/>
      <w:lvlText w:val="-"/>
      <w:lvlJc w:val="left"/>
      <w:pPr>
        <w:tabs>
          <w:tab w:val="num" w:pos="360"/>
        </w:tabs>
        <w:ind w:left="36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FFFFFFFF">
      <w:start w:val="5"/>
      <w:numFmt w:val="decimal"/>
      <w:lvlText w:val="%3"/>
      <w:lvlJc w:val="left"/>
      <w:pPr>
        <w:tabs>
          <w:tab w:val="num" w:pos="2370"/>
        </w:tabs>
        <w:ind w:left="2370" w:hanging="57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nsid w:val="56763372"/>
    <w:multiLevelType w:val="hybridMultilevel"/>
    <w:tmpl w:val="D5D25500"/>
    <w:lvl w:ilvl="0" w:tplc="A8D4747A">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nsid w:val="66620455"/>
    <w:multiLevelType w:val="hybridMultilevel"/>
    <w:tmpl w:val="156EA3E4"/>
    <w:lvl w:ilvl="0" w:tplc="75F0055A">
      <w:start w:val="1"/>
      <w:numFmt w:val="bullet"/>
      <w:lvlText w:val="-"/>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nsid w:val="6D581BC8"/>
    <w:multiLevelType w:val="hybridMultilevel"/>
    <w:tmpl w:val="176AB1C0"/>
    <w:lvl w:ilvl="0" w:tplc="75F0055A">
      <w:start w:val="1"/>
      <w:numFmt w:val="bullet"/>
      <w:lvlText w:val="-"/>
      <w:lvlJc w:val="left"/>
      <w:pPr>
        <w:tabs>
          <w:tab w:val="num" w:pos="0"/>
        </w:tabs>
        <w:ind w:left="360" w:hanging="360"/>
      </w:pPr>
      <w:rPr>
        <w:rFonts w:hint="default"/>
      </w:rPr>
    </w:lvl>
    <w:lvl w:ilvl="1" w:tplc="A8D4747A">
      <w:numFmt w:val="bullet"/>
      <w:lvlText w:val="-"/>
      <w:lvlJc w:val="left"/>
      <w:pPr>
        <w:tabs>
          <w:tab w:val="num" w:pos="1650"/>
        </w:tabs>
        <w:ind w:left="1650" w:hanging="570"/>
      </w:pPr>
      <w:rPr>
        <w:rFonts w:ascii="Times New Roman" w:eastAsia="Calibri" w:hAnsi="Times New Roman" w:cs="Times New Roman"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F7656FB"/>
    <w:multiLevelType w:val="hybridMultilevel"/>
    <w:tmpl w:val="9FAE82C8"/>
    <w:lvl w:ilvl="0" w:tplc="4A5E51AA">
      <w:start w:val="1"/>
      <w:numFmt w:val="bullet"/>
      <w:lvlText w:val="-"/>
      <w:lvlJc w:val="left"/>
      <w:pPr>
        <w:ind w:left="720" w:hanging="360"/>
      </w:pPr>
      <w:rPr>
        <w:rFonts w:ascii="Sitka Subheading" w:hAnsi="Sitka Subheading"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nsid w:val="73A13D0C"/>
    <w:multiLevelType w:val="hybridMultilevel"/>
    <w:tmpl w:val="C9E62438"/>
    <w:lvl w:ilvl="0" w:tplc="FFFFFFFF">
      <w:start w:val="1"/>
      <w:numFmt w:val="bullet"/>
      <w:lvlText w:val="-"/>
      <w:legacy w:legacy="1" w:legacySpace="0" w:legacyIndent="360"/>
      <w:lvlJc w:val="left"/>
      <w:pPr>
        <w:ind w:left="36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nsid w:val="78F92969"/>
    <w:multiLevelType w:val="hybridMultilevel"/>
    <w:tmpl w:val="BC266DEC"/>
    <w:lvl w:ilvl="0" w:tplc="A8D4747A">
      <w:numFmt w:val="bullet"/>
      <w:lvlText w:val="-"/>
      <w:lvlJc w:val="left"/>
      <w:pPr>
        <w:tabs>
          <w:tab w:val="num" w:pos="360"/>
        </w:tabs>
        <w:ind w:left="360" w:hanging="360"/>
      </w:pPr>
      <w:rPr>
        <w:rFonts w:ascii="Times New Roman" w:eastAsia="Calibri" w:hAnsi="Times New Roman" w:cs="Times New Roman"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2">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3">
    <w:nsid w:val="7BF24065"/>
    <w:multiLevelType w:val="hybridMultilevel"/>
    <w:tmpl w:val="58AAE518"/>
    <w:lvl w:ilvl="0" w:tplc="8BE45174">
      <w:start w:val="3"/>
      <w:numFmt w:val="upperLetter"/>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4">
    <w:nsid w:val="7D3410CF"/>
    <w:multiLevelType w:val="hybridMultilevel"/>
    <w:tmpl w:val="F95623AE"/>
    <w:lvl w:ilvl="0" w:tplc="75F0055A">
      <w:start w:val="1"/>
      <w:numFmt w:val="bullet"/>
      <w:lvlText w:val="-"/>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0"/>
  </w:num>
  <w:num w:numId="2">
    <w:abstractNumId w:val="42"/>
  </w:num>
  <w:num w:numId="3">
    <w:abstractNumId w:val="53"/>
  </w:num>
  <w:num w:numId="4">
    <w:abstractNumId w:val="21"/>
  </w:num>
  <w:num w:numId="5">
    <w:abstractNumId w:val="17"/>
  </w:num>
  <w:num w:numId="6">
    <w:abstractNumId w:val="11"/>
  </w:num>
  <w:num w:numId="7">
    <w:abstractNumId w:val="12"/>
  </w:num>
  <w:num w:numId="8">
    <w:abstractNumId w:val="13"/>
  </w:num>
  <w:num w:numId="9">
    <w:abstractNumId w:val="14"/>
  </w:num>
  <w:num w:numId="10">
    <w:abstractNumId w:val="15"/>
  </w:num>
  <w:num w:numId="11">
    <w:abstractNumId w:val="45"/>
  </w:num>
  <w:num w:numId="12">
    <w:abstractNumId w:val="31"/>
  </w:num>
  <w:num w:numId="13">
    <w:abstractNumId w:val="44"/>
  </w:num>
  <w:num w:numId="14">
    <w:abstractNumId w:val="43"/>
  </w:num>
  <w:num w:numId="15">
    <w:abstractNumId w:val="32"/>
  </w:num>
  <w:num w:numId="16">
    <w:abstractNumId w:val="10"/>
    <w:lvlOverride w:ilvl="0">
      <w:lvl w:ilvl="0">
        <w:start w:val="1"/>
        <w:numFmt w:val="bullet"/>
        <w:lvlText w:val="-"/>
        <w:legacy w:legacy="1" w:legacySpace="0" w:legacyIndent="360"/>
        <w:lvlJc w:val="left"/>
        <w:pPr>
          <w:ind w:left="360" w:hanging="360"/>
        </w:pPr>
      </w:lvl>
    </w:lvlOverride>
  </w:num>
  <w:num w:numId="17">
    <w:abstractNumId w:val="50"/>
  </w:num>
  <w:num w:numId="18">
    <w:abstractNumId w:val="40"/>
  </w:num>
  <w:num w:numId="19">
    <w:abstractNumId w:val="51"/>
  </w:num>
  <w:num w:numId="20">
    <w:abstractNumId w:val="29"/>
  </w:num>
  <w:num w:numId="21">
    <w:abstractNumId w:val="46"/>
  </w:num>
  <w:num w:numId="22">
    <w:abstractNumId w:val="22"/>
  </w:num>
  <w:num w:numId="23">
    <w:abstractNumId w:val="39"/>
  </w:num>
  <w:num w:numId="24">
    <w:abstractNumId w:val="19"/>
  </w:num>
  <w:num w:numId="25">
    <w:abstractNumId w:val="35"/>
  </w:num>
  <w:num w:numId="26">
    <w:abstractNumId w:val="18"/>
  </w:num>
  <w:num w:numId="27">
    <w:abstractNumId w:val="47"/>
  </w:num>
  <w:num w:numId="28">
    <w:abstractNumId w:val="38"/>
  </w:num>
  <w:num w:numId="29">
    <w:abstractNumId w:val="54"/>
  </w:num>
  <w:num w:numId="30">
    <w:abstractNumId w:val="28"/>
  </w:num>
  <w:num w:numId="31">
    <w:abstractNumId w:val="52"/>
  </w:num>
  <w:num w:numId="32">
    <w:abstractNumId w:val="36"/>
  </w:num>
  <w:num w:numId="33">
    <w:abstractNumId w:val="25"/>
  </w:num>
  <w:num w:numId="34">
    <w:abstractNumId w:val="20"/>
  </w:num>
  <w:num w:numId="35">
    <w:abstractNumId w:val="49"/>
  </w:num>
  <w:num w:numId="36">
    <w:abstractNumId w:val="16"/>
  </w:num>
  <w:num w:numId="37">
    <w:abstractNumId w:val="27"/>
  </w:num>
  <w:num w:numId="38">
    <w:abstractNumId w:val="34"/>
  </w:num>
  <w:num w:numId="39">
    <w:abstractNumId w:val="48"/>
  </w:num>
  <w:num w:numId="40">
    <w:abstractNumId w:val="23"/>
  </w:num>
  <w:num w:numId="41">
    <w:abstractNumId w:val="41"/>
  </w:num>
  <w:num w:numId="42">
    <w:abstractNumId w:val="26"/>
  </w:num>
  <w:num w:numId="43">
    <w:abstractNumId w:val="33"/>
  </w:num>
  <w:num w:numId="44">
    <w:abstractNumId w:val="24"/>
  </w:num>
  <w:num w:numId="45">
    <w:abstractNumId w:val="37"/>
  </w:num>
  <w:num w:numId="46">
    <w:abstractNumId w:val="9"/>
  </w:num>
  <w:num w:numId="47">
    <w:abstractNumId w:val="7"/>
  </w:num>
  <w:num w:numId="48">
    <w:abstractNumId w:val="6"/>
  </w:num>
  <w:num w:numId="49">
    <w:abstractNumId w:val="5"/>
  </w:num>
  <w:num w:numId="50">
    <w:abstractNumId w:val="4"/>
  </w:num>
  <w:num w:numId="51">
    <w:abstractNumId w:val="8"/>
  </w:num>
  <w:num w:numId="52">
    <w:abstractNumId w:val="3"/>
  </w:num>
  <w:num w:numId="53">
    <w:abstractNumId w:val="2"/>
  </w:num>
  <w:num w:numId="54">
    <w:abstractNumId w:val="1"/>
  </w:num>
  <w:num w:numId="55">
    <w:abstractNumId w:val="0"/>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99"/>
    <w:rsid w:val="00002E27"/>
    <w:rsid w:val="00003397"/>
    <w:rsid w:val="000056AE"/>
    <w:rsid w:val="00007F22"/>
    <w:rsid w:val="00010302"/>
    <w:rsid w:val="00010A36"/>
    <w:rsid w:val="00010BE6"/>
    <w:rsid w:val="000157E9"/>
    <w:rsid w:val="00015DA8"/>
    <w:rsid w:val="000176DA"/>
    <w:rsid w:val="0002185C"/>
    <w:rsid w:val="000234C7"/>
    <w:rsid w:val="0002361D"/>
    <w:rsid w:val="00024015"/>
    <w:rsid w:val="000267EC"/>
    <w:rsid w:val="00036DFF"/>
    <w:rsid w:val="00040CD5"/>
    <w:rsid w:val="000449CE"/>
    <w:rsid w:val="00044A96"/>
    <w:rsid w:val="000456FF"/>
    <w:rsid w:val="00054C3F"/>
    <w:rsid w:val="00057EB8"/>
    <w:rsid w:val="00062B8C"/>
    <w:rsid w:val="0006447B"/>
    <w:rsid w:val="00066F38"/>
    <w:rsid w:val="00070DAA"/>
    <w:rsid w:val="00075D8E"/>
    <w:rsid w:val="0007778C"/>
    <w:rsid w:val="00090985"/>
    <w:rsid w:val="000919F6"/>
    <w:rsid w:val="00091B9E"/>
    <w:rsid w:val="000A18E2"/>
    <w:rsid w:val="000A4DA8"/>
    <w:rsid w:val="000A6320"/>
    <w:rsid w:val="000A69BE"/>
    <w:rsid w:val="000A6B5E"/>
    <w:rsid w:val="000B0CEA"/>
    <w:rsid w:val="000B0EAC"/>
    <w:rsid w:val="000B0FF2"/>
    <w:rsid w:val="000B37F3"/>
    <w:rsid w:val="000B395D"/>
    <w:rsid w:val="000B4284"/>
    <w:rsid w:val="000B6109"/>
    <w:rsid w:val="000B72A2"/>
    <w:rsid w:val="000B7BC4"/>
    <w:rsid w:val="000C31EA"/>
    <w:rsid w:val="000D1381"/>
    <w:rsid w:val="000D2C69"/>
    <w:rsid w:val="000D57F6"/>
    <w:rsid w:val="000D70DA"/>
    <w:rsid w:val="000E6D88"/>
    <w:rsid w:val="000E6DB6"/>
    <w:rsid w:val="000E7C9E"/>
    <w:rsid w:val="000F381D"/>
    <w:rsid w:val="000F47CB"/>
    <w:rsid w:val="000F517B"/>
    <w:rsid w:val="001000D2"/>
    <w:rsid w:val="00101D7D"/>
    <w:rsid w:val="00102054"/>
    <w:rsid w:val="001025E5"/>
    <w:rsid w:val="001056DC"/>
    <w:rsid w:val="001079FE"/>
    <w:rsid w:val="00111F14"/>
    <w:rsid w:val="0011590E"/>
    <w:rsid w:val="00120D61"/>
    <w:rsid w:val="001213BA"/>
    <w:rsid w:val="001233C2"/>
    <w:rsid w:val="00123982"/>
    <w:rsid w:val="00124014"/>
    <w:rsid w:val="00126355"/>
    <w:rsid w:val="00126A35"/>
    <w:rsid w:val="00133F40"/>
    <w:rsid w:val="00134BD7"/>
    <w:rsid w:val="001353D3"/>
    <w:rsid w:val="001356F8"/>
    <w:rsid w:val="001400A7"/>
    <w:rsid w:val="001405E4"/>
    <w:rsid w:val="00140D7D"/>
    <w:rsid w:val="001424C4"/>
    <w:rsid w:val="00143D5E"/>
    <w:rsid w:val="00144618"/>
    <w:rsid w:val="00147E0C"/>
    <w:rsid w:val="00151071"/>
    <w:rsid w:val="001511DA"/>
    <w:rsid w:val="00152221"/>
    <w:rsid w:val="00153411"/>
    <w:rsid w:val="00170633"/>
    <w:rsid w:val="00171966"/>
    <w:rsid w:val="00171AC0"/>
    <w:rsid w:val="00172AC9"/>
    <w:rsid w:val="00182FA4"/>
    <w:rsid w:val="001855A1"/>
    <w:rsid w:val="00190CF7"/>
    <w:rsid w:val="00192AE3"/>
    <w:rsid w:val="001964AE"/>
    <w:rsid w:val="001970FC"/>
    <w:rsid w:val="001A34C6"/>
    <w:rsid w:val="001A3A9D"/>
    <w:rsid w:val="001A62D6"/>
    <w:rsid w:val="001A7867"/>
    <w:rsid w:val="001B1BFC"/>
    <w:rsid w:val="001B4687"/>
    <w:rsid w:val="001B47B6"/>
    <w:rsid w:val="001B4B6C"/>
    <w:rsid w:val="001B7370"/>
    <w:rsid w:val="001C05E8"/>
    <w:rsid w:val="001C19C5"/>
    <w:rsid w:val="001C2548"/>
    <w:rsid w:val="001C2D59"/>
    <w:rsid w:val="001C536B"/>
    <w:rsid w:val="001D1BDC"/>
    <w:rsid w:val="001D54E1"/>
    <w:rsid w:val="001D561B"/>
    <w:rsid w:val="001D5B8F"/>
    <w:rsid w:val="001D664C"/>
    <w:rsid w:val="001D72D3"/>
    <w:rsid w:val="001D737B"/>
    <w:rsid w:val="001E1537"/>
    <w:rsid w:val="001E1615"/>
    <w:rsid w:val="001E231E"/>
    <w:rsid w:val="001E6396"/>
    <w:rsid w:val="001E6856"/>
    <w:rsid w:val="001F1F3D"/>
    <w:rsid w:val="001F5286"/>
    <w:rsid w:val="0020036A"/>
    <w:rsid w:val="002014A3"/>
    <w:rsid w:val="00207E0C"/>
    <w:rsid w:val="00213438"/>
    <w:rsid w:val="002142FE"/>
    <w:rsid w:val="00215031"/>
    <w:rsid w:val="00221844"/>
    <w:rsid w:val="002274AF"/>
    <w:rsid w:val="00236AD4"/>
    <w:rsid w:val="002445EB"/>
    <w:rsid w:val="00244B36"/>
    <w:rsid w:val="00244D5B"/>
    <w:rsid w:val="00251A00"/>
    <w:rsid w:val="00255893"/>
    <w:rsid w:val="00256940"/>
    <w:rsid w:val="00256E24"/>
    <w:rsid w:val="00257D50"/>
    <w:rsid w:val="002607E2"/>
    <w:rsid w:val="002665E6"/>
    <w:rsid w:val="00266C0B"/>
    <w:rsid w:val="00267EE7"/>
    <w:rsid w:val="00274E93"/>
    <w:rsid w:val="0027564C"/>
    <w:rsid w:val="0027658E"/>
    <w:rsid w:val="0028009B"/>
    <w:rsid w:val="002802BE"/>
    <w:rsid w:val="0028244F"/>
    <w:rsid w:val="00283A18"/>
    <w:rsid w:val="00286817"/>
    <w:rsid w:val="00286B59"/>
    <w:rsid w:val="00287C61"/>
    <w:rsid w:val="0029099F"/>
    <w:rsid w:val="00291EEB"/>
    <w:rsid w:val="00294AC1"/>
    <w:rsid w:val="002A262C"/>
    <w:rsid w:val="002A3527"/>
    <w:rsid w:val="002A449F"/>
    <w:rsid w:val="002A52DC"/>
    <w:rsid w:val="002A5FCC"/>
    <w:rsid w:val="002A609E"/>
    <w:rsid w:val="002A776A"/>
    <w:rsid w:val="002A7E15"/>
    <w:rsid w:val="002B3EC2"/>
    <w:rsid w:val="002B5314"/>
    <w:rsid w:val="002C00C4"/>
    <w:rsid w:val="002C1361"/>
    <w:rsid w:val="002C2D12"/>
    <w:rsid w:val="002C53C0"/>
    <w:rsid w:val="002C7326"/>
    <w:rsid w:val="002C7369"/>
    <w:rsid w:val="002E0D1D"/>
    <w:rsid w:val="002E12FD"/>
    <w:rsid w:val="002E1526"/>
    <w:rsid w:val="002E2B57"/>
    <w:rsid w:val="002E5F98"/>
    <w:rsid w:val="002E6DBA"/>
    <w:rsid w:val="002E7995"/>
    <w:rsid w:val="002F2161"/>
    <w:rsid w:val="002F41E1"/>
    <w:rsid w:val="002F517F"/>
    <w:rsid w:val="002F51C0"/>
    <w:rsid w:val="002F7D23"/>
    <w:rsid w:val="00301596"/>
    <w:rsid w:val="00301F98"/>
    <w:rsid w:val="0030243D"/>
    <w:rsid w:val="0030391C"/>
    <w:rsid w:val="00305617"/>
    <w:rsid w:val="00306B14"/>
    <w:rsid w:val="003072EE"/>
    <w:rsid w:val="00313C43"/>
    <w:rsid w:val="0031405F"/>
    <w:rsid w:val="00314DA3"/>
    <w:rsid w:val="00316BBE"/>
    <w:rsid w:val="00317F64"/>
    <w:rsid w:val="0032061E"/>
    <w:rsid w:val="00322650"/>
    <w:rsid w:val="003274BB"/>
    <w:rsid w:val="00332CAC"/>
    <w:rsid w:val="003337C0"/>
    <w:rsid w:val="00333F69"/>
    <w:rsid w:val="00340F94"/>
    <w:rsid w:val="0034339E"/>
    <w:rsid w:val="0034530F"/>
    <w:rsid w:val="00346584"/>
    <w:rsid w:val="00347143"/>
    <w:rsid w:val="0034797D"/>
    <w:rsid w:val="0036322F"/>
    <w:rsid w:val="003638C1"/>
    <w:rsid w:val="00363A97"/>
    <w:rsid w:val="00364F0F"/>
    <w:rsid w:val="00367B95"/>
    <w:rsid w:val="003705E4"/>
    <w:rsid w:val="0037104D"/>
    <w:rsid w:val="00371131"/>
    <w:rsid w:val="00371A6B"/>
    <w:rsid w:val="00371E88"/>
    <w:rsid w:val="00375341"/>
    <w:rsid w:val="0038118C"/>
    <w:rsid w:val="00381561"/>
    <w:rsid w:val="00382C5C"/>
    <w:rsid w:val="00384FCD"/>
    <w:rsid w:val="003A0081"/>
    <w:rsid w:val="003A55EB"/>
    <w:rsid w:val="003A6EC5"/>
    <w:rsid w:val="003B1531"/>
    <w:rsid w:val="003B278A"/>
    <w:rsid w:val="003B4A13"/>
    <w:rsid w:val="003C0C1A"/>
    <w:rsid w:val="003C797C"/>
    <w:rsid w:val="003D09DF"/>
    <w:rsid w:val="003D43F9"/>
    <w:rsid w:val="003D4A33"/>
    <w:rsid w:val="003D4DFA"/>
    <w:rsid w:val="003D5598"/>
    <w:rsid w:val="003D5BB9"/>
    <w:rsid w:val="003E60B9"/>
    <w:rsid w:val="003F7304"/>
    <w:rsid w:val="004007F8"/>
    <w:rsid w:val="00402806"/>
    <w:rsid w:val="00407B2F"/>
    <w:rsid w:val="0041254C"/>
    <w:rsid w:val="00412CFA"/>
    <w:rsid w:val="004143A4"/>
    <w:rsid w:val="00415AA6"/>
    <w:rsid w:val="0042093C"/>
    <w:rsid w:val="00422190"/>
    <w:rsid w:val="00422206"/>
    <w:rsid w:val="004247D8"/>
    <w:rsid w:val="004264C6"/>
    <w:rsid w:val="00426B1E"/>
    <w:rsid w:val="00430C48"/>
    <w:rsid w:val="00431F33"/>
    <w:rsid w:val="00435D6F"/>
    <w:rsid w:val="00437835"/>
    <w:rsid w:val="00442E00"/>
    <w:rsid w:val="004431D2"/>
    <w:rsid w:val="0044602C"/>
    <w:rsid w:val="004516E3"/>
    <w:rsid w:val="00457B2C"/>
    <w:rsid w:val="00460B40"/>
    <w:rsid w:val="00461214"/>
    <w:rsid w:val="00467AC4"/>
    <w:rsid w:val="00470ABB"/>
    <w:rsid w:val="00470B05"/>
    <w:rsid w:val="004766F3"/>
    <w:rsid w:val="00477AB0"/>
    <w:rsid w:val="00477D1E"/>
    <w:rsid w:val="00480444"/>
    <w:rsid w:val="00480E3D"/>
    <w:rsid w:val="0048256A"/>
    <w:rsid w:val="00492C81"/>
    <w:rsid w:val="004934E4"/>
    <w:rsid w:val="00497EDE"/>
    <w:rsid w:val="004A4DEE"/>
    <w:rsid w:val="004A5808"/>
    <w:rsid w:val="004B2274"/>
    <w:rsid w:val="004B2743"/>
    <w:rsid w:val="004B5899"/>
    <w:rsid w:val="004C4DF6"/>
    <w:rsid w:val="004C6676"/>
    <w:rsid w:val="004C68C0"/>
    <w:rsid w:val="004C6A2F"/>
    <w:rsid w:val="004C7E18"/>
    <w:rsid w:val="004D0055"/>
    <w:rsid w:val="004D27AD"/>
    <w:rsid w:val="004E3427"/>
    <w:rsid w:val="004E3C38"/>
    <w:rsid w:val="004E5F20"/>
    <w:rsid w:val="004E70B0"/>
    <w:rsid w:val="004E7286"/>
    <w:rsid w:val="004F084A"/>
    <w:rsid w:val="004F2490"/>
    <w:rsid w:val="00500188"/>
    <w:rsid w:val="00511507"/>
    <w:rsid w:val="00512475"/>
    <w:rsid w:val="00520E8F"/>
    <w:rsid w:val="00521411"/>
    <w:rsid w:val="00521A1D"/>
    <w:rsid w:val="0052506B"/>
    <w:rsid w:val="00525356"/>
    <w:rsid w:val="005359D4"/>
    <w:rsid w:val="00542A67"/>
    <w:rsid w:val="00547A51"/>
    <w:rsid w:val="00547F38"/>
    <w:rsid w:val="00547F5E"/>
    <w:rsid w:val="00551C33"/>
    <w:rsid w:val="00555616"/>
    <w:rsid w:val="00561EE7"/>
    <w:rsid w:val="0056291A"/>
    <w:rsid w:val="00563102"/>
    <w:rsid w:val="005636A0"/>
    <w:rsid w:val="00565B6E"/>
    <w:rsid w:val="005660E1"/>
    <w:rsid w:val="0056646E"/>
    <w:rsid w:val="00570BEC"/>
    <w:rsid w:val="0057335E"/>
    <w:rsid w:val="00576401"/>
    <w:rsid w:val="0058135F"/>
    <w:rsid w:val="005816EB"/>
    <w:rsid w:val="0058218E"/>
    <w:rsid w:val="00583562"/>
    <w:rsid w:val="00583859"/>
    <w:rsid w:val="005845F8"/>
    <w:rsid w:val="0058477C"/>
    <w:rsid w:val="00593340"/>
    <w:rsid w:val="0059609C"/>
    <w:rsid w:val="005967BF"/>
    <w:rsid w:val="0059709C"/>
    <w:rsid w:val="005A06F3"/>
    <w:rsid w:val="005A3C7B"/>
    <w:rsid w:val="005A5563"/>
    <w:rsid w:val="005A5EF0"/>
    <w:rsid w:val="005B127B"/>
    <w:rsid w:val="005B2E46"/>
    <w:rsid w:val="005B3F70"/>
    <w:rsid w:val="005B6E8A"/>
    <w:rsid w:val="005C40B6"/>
    <w:rsid w:val="005C49AE"/>
    <w:rsid w:val="005C5100"/>
    <w:rsid w:val="005C62CC"/>
    <w:rsid w:val="005D4CAF"/>
    <w:rsid w:val="005D55C6"/>
    <w:rsid w:val="005E3128"/>
    <w:rsid w:val="005E60D7"/>
    <w:rsid w:val="005F32A1"/>
    <w:rsid w:val="005F5522"/>
    <w:rsid w:val="005F69F4"/>
    <w:rsid w:val="00600C7B"/>
    <w:rsid w:val="00601F49"/>
    <w:rsid w:val="00606619"/>
    <w:rsid w:val="00611231"/>
    <w:rsid w:val="00614441"/>
    <w:rsid w:val="006147DA"/>
    <w:rsid w:val="0061607B"/>
    <w:rsid w:val="00621931"/>
    <w:rsid w:val="00622575"/>
    <w:rsid w:val="006228E1"/>
    <w:rsid w:val="006300BE"/>
    <w:rsid w:val="00631810"/>
    <w:rsid w:val="00634196"/>
    <w:rsid w:val="00635D29"/>
    <w:rsid w:val="0064462C"/>
    <w:rsid w:val="0064758B"/>
    <w:rsid w:val="00650AF2"/>
    <w:rsid w:val="00653112"/>
    <w:rsid w:val="00657C0B"/>
    <w:rsid w:val="00662168"/>
    <w:rsid w:val="006628F6"/>
    <w:rsid w:val="00662FA2"/>
    <w:rsid w:val="0066580E"/>
    <w:rsid w:val="00666719"/>
    <w:rsid w:val="006719B7"/>
    <w:rsid w:val="006720F0"/>
    <w:rsid w:val="00672FF3"/>
    <w:rsid w:val="0067438D"/>
    <w:rsid w:val="00676C37"/>
    <w:rsid w:val="0068297C"/>
    <w:rsid w:val="00685971"/>
    <w:rsid w:val="00686EB8"/>
    <w:rsid w:val="00691E31"/>
    <w:rsid w:val="00694F06"/>
    <w:rsid w:val="00696E53"/>
    <w:rsid w:val="006970F2"/>
    <w:rsid w:val="006A1188"/>
    <w:rsid w:val="006A1D21"/>
    <w:rsid w:val="006A6FE8"/>
    <w:rsid w:val="006B1AF3"/>
    <w:rsid w:val="006B2245"/>
    <w:rsid w:val="006B3B1F"/>
    <w:rsid w:val="006B753D"/>
    <w:rsid w:val="006B783B"/>
    <w:rsid w:val="006C01CE"/>
    <w:rsid w:val="006C2D1E"/>
    <w:rsid w:val="006C65ED"/>
    <w:rsid w:val="006D2533"/>
    <w:rsid w:val="006D25A4"/>
    <w:rsid w:val="006D5A4F"/>
    <w:rsid w:val="006E359A"/>
    <w:rsid w:val="006E664B"/>
    <w:rsid w:val="006E7AFF"/>
    <w:rsid w:val="006F2970"/>
    <w:rsid w:val="007009C1"/>
    <w:rsid w:val="00704991"/>
    <w:rsid w:val="00714759"/>
    <w:rsid w:val="0071529D"/>
    <w:rsid w:val="007162D4"/>
    <w:rsid w:val="007169FD"/>
    <w:rsid w:val="00724372"/>
    <w:rsid w:val="00724D1F"/>
    <w:rsid w:val="00725458"/>
    <w:rsid w:val="007258F7"/>
    <w:rsid w:val="00734CC5"/>
    <w:rsid w:val="007358E2"/>
    <w:rsid w:val="007377F1"/>
    <w:rsid w:val="00737C82"/>
    <w:rsid w:val="007423BA"/>
    <w:rsid w:val="0074336E"/>
    <w:rsid w:val="007530AE"/>
    <w:rsid w:val="00753E2A"/>
    <w:rsid w:val="0076303B"/>
    <w:rsid w:val="007650F7"/>
    <w:rsid w:val="0077214B"/>
    <w:rsid w:val="00775B1F"/>
    <w:rsid w:val="007768F6"/>
    <w:rsid w:val="00780B7D"/>
    <w:rsid w:val="007816DB"/>
    <w:rsid w:val="0078378D"/>
    <w:rsid w:val="00784703"/>
    <w:rsid w:val="0078534B"/>
    <w:rsid w:val="00785CE8"/>
    <w:rsid w:val="0078699C"/>
    <w:rsid w:val="00791AA2"/>
    <w:rsid w:val="0079305A"/>
    <w:rsid w:val="007A091A"/>
    <w:rsid w:val="007B2294"/>
    <w:rsid w:val="007B38BE"/>
    <w:rsid w:val="007B43BC"/>
    <w:rsid w:val="007B47E2"/>
    <w:rsid w:val="007B5C2A"/>
    <w:rsid w:val="007C4853"/>
    <w:rsid w:val="007C4FF3"/>
    <w:rsid w:val="007C5FD9"/>
    <w:rsid w:val="007C6822"/>
    <w:rsid w:val="007D3E82"/>
    <w:rsid w:val="007D7CF1"/>
    <w:rsid w:val="007E3115"/>
    <w:rsid w:val="007E4228"/>
    <w:rsid w:val="007E4C58"/>
    <w:rsid w:val="007E629E"/>
    <w:rsid w:val="007F3CBC"/>
    <w:rsid w:val="007F5F30"/>
    <w:rsid w:val="007F6D7D"/>
    <w:rsid w:val="0080052A"/>
    <w:rsid w:val="008046E3"/>
    <w:rsid w:val="00804779"/>
    <w:rsid w:val="00807327"/>
    <w:rsid w:val="0081108C"/>
    <w:rsid w:val="00811718"/>
    <w:rsid w:val="008117FE"/>
    <w:rsid w:val="008122F2"/>
    <w:rsid w:val="008157F6"/>
    <w:rsid w:val="00816010"/>
    <w:rsid w:val="0082182F"/>
    <w:rsid w:val="00823810"/>
    <w:rsid w:val="00824809"/>
    <w:rsid w:val="008259FE"/>
    <w:rsid w:val="0083038F"/>
    <w:rsid w:val="008306E2"/>
    <w:rsid w:val="00830F61"/>
    <w:rsid w:val="008310AE"/>
    <w:rsid w:val="00832AFA"/>
    <w:rsid w:val="00834D9E"/>
    <w:rsid w:val="008357FC"/>
    <w:rsid w:val="00837A25"/>
    <w:rsid w:val="00840328"/>
    <w:rsid w:val="00841AF5"/>
    <w:rsid w:val="00842C69"/>
    <w:rsid w:val="00851A38"/>
    <w:rsid w:val="00853358"/>
    <w:rsid w:val="00857785"/>
    <w:rsid w:val="008577A7"/>
    <w:rsid w:val="00860891"/>
    <w:rsid w:val="008609C4"/>
    <w:rsid w:val="00860BD9"/>
    <w:rsid w:val="00862F9B"/>
    <w:rsid w:val="0086352B"/>
    <w:rsid w:val="00864E9D"/>
    <w:rsid w:val="00866FDF"/>
    <w:rsid w:val="0086743B"/>
    <w:rsid w:val="00867B57"/>
    <w:rsid w:val="00872127"/>
    <w:rsid w:val="00882867"/>
    <w:rsid w:val="008868CA"/>
    <w:rsid w:val="008A45D1"/>
    <w:rsid w:val="008A4F1C"/>
    <w:rsid w:val="008A6837"/>
    <w:rsid w:val="008A75C1"/>
    <w:rsid w:val="008B0F22"/>
    <w:rsid w:val="008B0F8B"/>
    <w:rsid w:val="008B2F28"/>
    <w:rsid w:val="008C156D"/>
    <w:rsid w:val="008D4D15"/>
    <w:rsid w:val="008E1C5B"/>
    <w:rsid w:val="008E401F"/>
    <w:rsid w:val="008F0D85"/>
    <w:rsid w:val="008F2D3E"/>
    <w:rsid w:val="008F3097"/>
    <w:rsid w:val="008F522C"/>
    <w:rsid w:val="008F6E65"/>
    <w:rsid w:val="008F7C75"/>
    <w:rsid w:val="00902087"/>
    <w:rsid w:val="009031DE"/>
    <w:rsid w:val="009036CA"/>
    <w:rsid w:val="00903E70"/>
    <w:rsid w:val="00903FE0"/>
    <w:rsid w:val="00906A01"/>
    <w:rsid w:val="009116FD"/>
    <w:rsid w:val="009127A1"/>
    <w:rsid w:val="00921B46"/>
    <w:rsid w:val="00925F59"/>
    <w:rsid w:val="009261A4"/>
    <w:rsid w:val="00943593"/>
    <w:rsid w:val="00944061"/>
    <w:rsid w:val="00945510"/>
    <w:rsid w:val="0094682B"/>
    <w:rsid w:val="00954E32"/>
    <w:rsid w:val="00957E52"/>
    <w:rsid w:val="00966552"/>
    <w:rsid w:val="009703FB"/>
    <w:rsid w:val="00970D0A"/>
    <w:rsid w:val="00974741"/>
    <w:rsid w:val="009765BA"/>
    <w:rsid w:val="00976EF0"/>
    <w:rsid w:val="00980E9C"/>
    <w:rsid w:val="009818D4"/>
    <w:rsid w:val="009827D6"/>
    <w:rsid w:val="00983E39"/>
    <w:rsid w:val="0098458C"/>
    <w:rsid w:val="00984DD6"/>
    <w:rsid w:val="00985F3D"/>
    <w:rsid w:val="009913DC"/>
    <w:rsid w:val="00994D99"/>
    <w:rsid w:val="009A0CF7"/>
    <w:rsid w:val="009A4BD1"/>
    <w:rsid w:val="009A5666"/>
    <w:rsid w:val="009B2E5A"/>
    <w:rsid w:val="009B35E8"/>
    <w:rsid w:val="009B4B41"/>
    <w:rsid w:val="009B5075"/>
    <w:rsid w:val="009B5B97"/>
    <w:rsid w:val="009B5EDB"/>
    <w:rsid w:val="009C22BF"/>
    <w:rsid w:val="009C41AC"/>
    <w:rsid w:val="009C70C3"/>
    <w:rsid w:val="009D1B51"/>
    <w:rsid w:val="009D393F"/>
    <w:rsid w:val="009D410C"/>
    <w:rsid w:val="009E12FC"/>
    <w:rsid w:val="009E3F23"/>
    <w:rsid w:val="009E68F1"/>
    <w:rsid w:val="009E6A84"/>
    <w:rsid w:val="009F3411"/>
    <w:rsid w:val="009F638A"/>
    <w:rsid w:val="00A052B8"/>
    <w:rsid w:val="00A074F7"/>
    <w:rsid w:val="00A11B30"/>
    <w:rsid w:val="00A123BA"/>
    <w:rsid w:val="00A1534D"/>
    <w:rsid w:val="00A1670C"/>
    <w:rsid w:val="00A20180"/>
    <w:rsid w:val="00A22C4A"/>
    <w:rsid w:val="00A2394E"/>
    <w:rsid w:val="00A342BB"/>
    <w:rsid w:val="00A353BD"/>
    <w:rsid w:val="00A36728"/>
    <w:rsid w:val="00A367D4"/>
    <w:rsid w:val="00A37631"/>
    <w:rsid w:val="00A411D0"/>
    <w:rsid w:val="00A4368A"/>
    <w:rsid w:val="00A47CCB"/>
    <w:rsid w:val="00A5011B"/>
    <w:rsid w:val="00A509BF"/>
    <w:rsid w:val="00A51BF9"/>
    <w:rsid w:val="00A52D9C"/>
    <w:rsid w:val="00A538B8"/>
    <w:rsid w:val="00A5392F"/>
    <w:rsid w:val="00A5438A"/>
    <w:rsid w:val="00A644B8"/>
    <w:rsid w:val="00A646E0"/>
    <w:rsid w:val="00A647B4"/>
    <w:rsid w:val="00A65EE6"/>
    <w:rsid w:val="00A67865"/>
    <w:rsid w:val="00A70DF4"/>
    <w:rsid w:val="00A719BE"/>
    <w:rsid w:val="00A72E86"/>
    <w:rsid w:val="00A7692D"/>
    <w:rsid w:val="00A76F33"/>
    <w:rsid w:val="00A80A28"/>
    <w:rsid w:val="00A81475"/>
    <w:rsid w:val="00A832B1"/>
    <w:rsid w:val="00A840C4"/>
    <w:rsid w:val="00A868A2"/>
    <w:rsid w:val="00A90B3E"/>
    <w:rsid w:val="00A90B74"/>
    <w:rsid w:val="00A914BB"/>
    <w:rsid w:val="00A96417"/>
    <w:rsid w:val="00A971A5"/>
    <w:rsid w:val="00AA0B5E"/>
    <w:rsid w:val="00AA2847"/>
    <w:rsid w:val="00AA2E59"/>
    <w:rsid w:val="00AA33FE"/>
    <w:rsid w:val="00AA55E5"/>
    <w:rsid w:val="00AA799F"/>
    <w:rsid w:val="00AB2909"/>
    <w:rsid w:val="00AB2A76"/>
    <w:rsid w:val="00AB31D2"/>
    <w:rsid w:val="00AB63AC"/>
    <w:rsid w:val="00AB7161"/>
    <w:rsid w:val="00AB77FC"/>
    <w:rsid w:val="00AC09C0"/>
    <w:rsid w:val="00AC1C57"/>
    <w:rsid w:val="00AC6162"/>
    <w:rsid w:val="00AC680A"/>
    <w:rsid w:val="00AC72FB"/>
    <w:rsid w:val="00AC772F"/>
    <w:rsid w:val="00AD11A0"/>
    <w:rsid w:val="00AD2797"/>
    <w:rsid w:val="00AD2DC4"/>
    <w:rsid w:val="00AE22C7"/>
    <w:rsid w:val="00AF1E89"/>
    <w:rsid w:val="00AF59EB"/>
    <w:rsid w:val="00AF5A7D"/>
    <w:rsid w:val="00AF680E"/>
    <w:rsid w:val="00AF77BA"/>
    <w:rsid w:val="00B02B68"/>
    <w:rsid w:val="00B0509F"/>
    <w:rsid w:val="00B119C9"/>
    <w:rsid w:val="00B124B7"/>
    <w:rsid w:val="00B12773"/>
    <w:rsid w:val="00B128E3"/>
    <w:rsid w:val="00B169C7"/>
    <w:rsid w:val="00B25B8B"/>
    <w:rsid w:val="00B35BE7"/>
    <w:rsid w:val="00B36766"/>
    <w:rsid w:val="00B402F0"/>
    <w:rsid w:val="00B442B6"/>
    <w:rsid w:val="00B44A2D"/>
    <w:rsid w:val="00B4569A"/>
    <w:rsid w:val="00B508C7"/>
    <w:rsid w:val="00B513D0"/>
    <w:rsid w:val="00B51DF1"/>
    <w:rsid w:val="00B5494E"/>
    <w:rsid w:val="00B57E2C"/>
    <w:rsid w:val="00B60B9D"/>
    <w:rsid w:val="00B661E3"/>
    <w:rsid w:val="00B812C6"/>
    <w:rsid w:val="00B83CF2"/>
    <w:rsid w:val="00B8665E"/>
    <w:rsid w:val="00B93E10"/>
    <w:rsid w:val="00BA5B21"/>
    <w:rsid w:val="00BA6A49"/>
    <w:rsid w:val="00BB710A"/>
    <w:rsid w:val="00BB7D27"/>
    <w:rsid w:val="00BC044E"/>
    <w:rsid w:val="00BC3EA0"/>
    <w:rsid w:val="00BC4F3D"/>
    <w:rsid w:val="00BC57F6"/>
    <w:rsid w:val="00BC7CD9"/>
    <w:rsid w:val="00BD13FE"/>
    <w:rsid w:val="00BD1C51"/>
    <w:rsid w:val="00BD25A5"/>
    <w:rsid w:val="00BD3E45"/>
    <w:rsid w:val="00BD3EE5"/>
    <w:rsid w:val="00BD6DAE"/>
    <w:rsid w:val="00BE18F5"/>
    <w:rsid w:val="00BE191D"/>
    <w:rsid w:val="00BE542E"/>
    <w:rsid w:val="00BF03DE"/>
    <w:rsid w:val="00C005AC"/>
    <w:rsid w:val="00C03210"/>
    <w:rsid w:val="00C048CA"/>
    <w:rsid w:val="00C06676"/>
    <w:rsid w:val="00C0718E"/>
    <w:rsid w:val="00C12DEE"/>
    <w:rsid w:val="00C137EF"/>
    <w:rsid w:val="00C20179"/>
    <w:rsid w:val="00C21578"/>
    <w:rsid w:val="00C21986"/>
    <w:rsid w:val="00C21EC9"/>
    <w:rsid w:val="00C24E5F"/>
    <w:rsid w:val="00C26EB1"/>
    <w:rsid w:val="00C3254E"/>
    <w:rsid w:val="00C35EC1"/>
    <w:rsid w:val="00C369A7"/>
    <w:rsid w:val="00C37E5C"/>
    <w:rsid w:val="00C4114E"/>
    <w:rsid w:val="00C420A2"/>
    <w:rsid w:val="00C50360"/>
    <w:rsid w:val="00C51567"/>
    <w:rsid w:val="00C52208"/>
    <w:rsid w:val="00C552B4"/>
    <w:rsid w:val="00C55C72"/>
    <w:rsid w:val="00C6004E"/>
    <w:rsid w:val="00C70216"/>
    <w:rsid w:val="00C70387"/>
    <w:rsid w:val="00C7083C"/>
    <w:rsid w:val="00C72DFA"/>
    <w:rsid w:val="00C7474B"/>
    <w:rsid w:val="00C74779"/>
    <w:rsid w:val="00C8039B"/>
    <w:rsid w:val="00C80FD2"/>
    <w:rsid w:val="00C821D5"/>
    <w:rsid w:val="00C83F67"/>
    <w:rsid w:val="00C86EAE"/>
    <w:rsid w:val="00C8708D"/>
    <w:rsid w:val="00C96C88"/>
    <w:rsid w:val="00C97BB6"/>
    <w:rsid w:val="00CA2889"/>
    <w:rsid w:val="00CA41FD"/>
    <w:rsid w:val="00CA63B0"/>
    <w:rsid w:val="00CA7A20"/>
    <w:rsid w:val="00CB2CF7"/>
    <w:rsid w:val="00CB59B7"/>
    <w:rsid w:val="00CB739B"/>
    <w:rsid w:val="00CC0893"/>
    <w:rsid w:val="00CC54C5"/>
    <w:rsid w:val="00CD2ECF"/>
    <w:rsid w:val="00CD4AFC"/>
    <w:rsid w:val="00CE1117"/>
    <w:rsid w:val="00CE4830"/>
    <w:rsid w:val="00CE4874"/>
    <w:rsid w:val="00CE5939"/>
    <w:rsid w:val="00CE7293"/>
    <w:rsid w:val="00CF0CB3"/>
    <w:rsid w:val="00CF2B50"/>
    <w:rsid w:val="00CF3AB8"/>
    <w:rsid w:val="00D00C99"/>
    <w:rsid w:val="00D045B3"/>
    <w:rsid w:val="00D0591D"/>
    <w:rsid w:val="00D067F4"/>
    <w:rsid w:val="00D069FF"/>
    <w:rsid w:val="00D15132"/>
    <w:rsid w:val="00D16C6F"/>
    <w:rsid w:val="00D20E75"/>
    <w:rsid w:val="00D2437A"/>
    <w:rsid w:val="00D277F3"/>
    <w:rsid w:val="00D3031E"/>
    <w:rsid w:val="00D33C6F"/>
    <w:rsid w:val="00D34822"/>
    <w:rsid w:val="00D44372"/>
    <w:rsid w:val="00D467A0"/>
    <w:rsid w:val="00D512B1"/>
    <w:rsid w:val="00D5541F"/>
    <w:rsid w:val="00D55BD8"/>
    <w:rsid w:val="00D56454"/>
    <w:rsid w:val="00D57215"/>
    <w:rsid w:val="00D62482"/>
    <w:rsid w:val="00D64E74"/>
    <w:rsid w:val="00D66BD0"/>
    <w:rsid w:val="00D66E4C"/>
    <w:rsid w:val="00D70748"/>
    <w:rsid w:val="00D723FA"/>
    <w:rsid w:val="00D75E86"/>
    <w:rsid w:val="00D80FA2"/>
    <w:rsid w:val="00D85AC0"/>
    <w:rsid w:val="00D87767"/>
    <w:rsid w:val="00D92A42"/>
    <w:rsid w:val="00D9647F"/>
    <w:rsid w:val="00D965A1"/>
    <w:rsid w:val="00DB606B"/>
    <w:rsid w:val="00DB7EEE"/>
    <w:rsid w:val="00DC5DE0"/>
    <w:rsid w:val="00DC6850"/>
    <w:rsid w:val="00DC685E"/>
    <w:rsid w:val="00DD1765"/>
    <w:rsid w:val="00DD2AA4"/>
    <w:rsid w:val="00DD4FC1"/>
    <w:rsid w:val="00DD6FEE"/>
    <w:rsid w:val="00DD711E"/>
    <w:rsid w:val="00DE2796"/>
    <w:rsid w:val="00DE36B9"/>
    <w:rsid w:val="00DE7B9C"/>
    <w:rsid w:val="00DF1097"/>
    <w:rsid w:val="00E02C2F"/>
    <w:rsid w:val="00E03D9A"/>
    <w:rsid w:val="00E04170"/>
    <w:rsid w:val="00E076F4"/>
    <w:rsid w:val="00E1038E"/>
    <w:rsid w:val="00E12B49"/>
    <w:rsid w:val="00E20638"/>
    <w:rsid w:val="00E24764"/>
    <w:rsid w:val="00E24FF2"/>
    <w:rsid w:val="00E267DD"/>
    <w:rsid w:val="00E30678"/>
    <w:rsid w:val="00E325D4"/>
    <w:rsid w:val="00E3347E"/>
    <w:rsid w:val="00E47C9F"/>
    <w:rsid w:val="00E5251C"/>
    <w:rsid w:val="00E52BE8"/>
    <w:rsid w:val="00E5538C"/>
    <w:rsid w:val="00E558EC"/>
    <w:rsid w:val="00E57DFF"/>
    <w:rsid w:val="00E6046F"/>
    <w:rsid w:val="00E60CAD"/>
    <w:rsid w:val="00E6253A"/>
    <w:rsid w:val="00E6358B"/>
    <w:rsid w:val="00E65378"/>
    <w:rsid w:val="00E65CAC"/>
    <w:rsid w:val="00E6607C"/>
    <w:rsid w:val="00E70209"/>
    <w:rsid w:val="00E70B52"/>
    <w:rsid w:val="00E81715"/>
    <w:rsid w:val="00E8476D"/>
    <w:rsid w:val="00E876BA"/>
    <w:rsid w:val="00E905E4"/>
    <w:rsid w:val="00E92640"/>
    <w:rsid w:val="00E95370"/>
    <w:rsid w:val="00E96BF8"/>
    <w:rsid w:val="00EA1383"/>
    <w:rsid w:val="00EA1A66"/>
    <w:rsid w:val="00EA1E58"/>
    <w:rsid w:val="00EB14FB"/>
    <w:rsid w:val="00EB3AB4"/>
    <w:rsid w:val="00EB4B0F"/>
    <w:rsid w:val="00EC4A4A"/>
    <w:rsid w:val="00ED4650"/>
    <w:rsid w:val="00ED5963"/>
    <w:rsid w:val="00EF1F07"/>
    <w:rsid w:val="00EF2B21"/>
    <w:rsid w:val="00EF4D3F"/>
    <w:rsid w:val="00F00226"/>
    <w:rsid w:val="00F005A8"/>
    <w:rsid w:val="00F016AA"/>
    <w:rsid w:val="00F1320F"/>
    <w:rsid w:val="00F1375C"/>
    <w:rsid w:val="00F15175"/>
    <w:rsid w:val="00F16FDD"/>
    <w:rsid w:val="00F179F0"/>
    <w:rsid w:val="00F2267E"/>
    <w:rsid w:val="00F23600"/>
    <w:rsid w:val="00F33FDB"/>
    <w:rsid w:val="00F3764C"/>
    <w:rsid w:val="00F40067"/>
    <w:rsid w:val="00F417CB"/>
    <w:rsid w:val="00F42545"/>
    <w:rsid w:val="00F426C3"/>
    <w:rsid w:val="00F449F6"/>
    <w:rsid w:val="00F44BB5"/>
    <w:rsid w:val="00F46A43"/>
    <w:rsid w:val="00F51D00"/>
    <w:rsid w:val="00F524ED"/>
    <w:rsid w:val="00F535FA"/>
    <w:rsid w:val="00F53818"/>
    <w:rsid w:val="00F57DE0"/>
    <w:rsid w:val="00F61C3A"/>
    <w:rsid w:val="00F67173"/>
    <w:rsid w:val="00F72425"/>
    <w:rsid w:val="00F72505"/>
    <w:rsid w:val="00F7257C"/>
    <w:rsid w:val="00F74476"/>
    <w:rsid w:val="00F76913"/>
    <w:rsid w:val="00F85DDB"/>
    <w:rsid w:val="00F92646"/>
    <w:rsid w:val="00F93E09"/>
    <w:rsid w:val="00FA3B29"/>
    <w:rsid w:val="00FA5410"/>
    <w:rsid w:val="00FB0E5B"/>
    <w:rsid w:val="00FC0667"/>
    <w:rsid w:val="00FC52C7"/>
    <w:rsid w:val="00FC56A8"/>
    <w:rsid w:val="00FD1357"/>
    <w:rsid w:val="00FD2C5C"/>
    <w:rsid w:val="00FD47D0"/>
    <w:rsid w:val="00FD4962"/>
    <w:rsid w:val="00FD66DE"/>
    <w:rsid w:val="00FE2796"/>
    <w:rsid w:val="00FE31B8"/>
    <w:rsid w:val="00FE5992"/>
    <w:rsid w:val="00FE64E1"/>
    <w:rsid w:val="00FE731D"/>
    <w:rsid w:val="00FF3072"/>
    <w:rsid w:val="00FF416E"/>
    <w:rsid w:val="00FF5198"/>
    <w:rsid w:val="00FF797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14:docId w14:val="1E92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5899"/>
    <w:pPr>
      <w:tabs>
        <w:tab w:val="left" w:pos="567"/>
      </w:tabs>
      <w:spacing w:line="260" w:lineRule="exact"/>
    </w:pPr>
    <w:rPr>
      <w:rFonts w:ascii="Times New Roman" w:eastAsia="SimSun" w:hAnsi="Times New Roman"/>
      <w:snapToGrid w:val="0"/>
      <w:sz w:val="22"/>
      <w:lang w:val="en-GB" w:eastAsia="zh-CN"/>
    </w:rPr>
  </w:style>
  <w:style w:type="paragraph" w:styleId="berschrift1">
    <w:name w:val="heading 1"/>
    <w:basedOn w:val="Standard"/>
    <w:next w:val="Standard"/>
    <w:link w:val="berschrift1Zchn"/>
    <w:qFormat/>
    <w:rsid w:val="009765BA"/>
    <w:pPr>
      <w:numPr>
        <w:numId w:val="36"/>
      </w:numPr>
      <w:tabs>
        <w:tab w:val="clear" w:pos="567"/>
      </w:tabs>
      <w:suppressAutoHyphens/>
      <w:spacing w:before="240" w:after="120"/>
      <w:outlineLvl w:val="0"/>
    </w:pPr>
    <w:rPr>
      <w:rFonts w:eastAsia="Times New Roman" w:cs="Angsana New"/>
      <w:b/>
      <w:caps/>
      <w:snapToGrid/>
      <w:sz w:val="26"/>
      <w:lang w:val="en-US" w:bidi="th-TH"/>
    </w:rPr>
  </w:style>
  <w:style w:type="paragraph" w:styleId="berschrift2">
    <w:name w:val="heading 2"/>
    <w:basedOn w:val="Standard"/>
    <w:next w:val="Standard"/>
    <w:link w:val="berschrift2Zchn"/>
    <w:qFormat/>
    <w:rsid w:val="009765BA"/>
    <w:pPr>
      <w:keepNext/>
      <w:numPr>
        <w:ilvl w:val="1"/>
        <w:numId w:val="36"/>
      </w:numPr>
      <w:tabs>
        <w:tab w:val="clear" w:pos="567"/>
      </w:tabs>
      <w:suppressAutoHyphens/>
      <w:spacing w:before="240" w:after="60"/>
      <w:outlineLvl w:val="1"/>
    </w:pPr>
    <w:rPr>
      <w:rFonts w:ascii="Helvetica" w:eastAsia="Times New Roman" w:hAnsi="Helvetica" w:cs="Angsana New"/>
      <w:b/>
      <w:i/>
      <w:snapToGrid/>
      <w:sz w:val="24"/>
      <w:lang w:bidi="th-TH"/>
    </w:rPr>
  </w:style>
  <w:style w:type="paragraph" w:styleId="berschrift3">
    <w:name w:val="heading 3"/>
    <w:basedOn w:val="Standard"/>
    <w:next w:val="Standard"/>
    <w:link w:val="berschrift3Zchn"/>
    <w:qFormat/>
    <w:rsid w:val="009765BA"/>
    <w:pPr>
      <w:keepNext/>
      <w:keepLines/>
      <w:numPr>
        <w:ilvl w:val="2"/>
        <w:numId w:val="36"/>
      </w:numPr>
      <w:tabs>
        <w:tab w:val="clear" w:pos="567"/>
      </w:tabs>
      <w:suppressAutoHyphens/>
      <w:spacing w:before="120" w:after="80"/>
      <w:outlineLvl w:val="2"/>
    </w:pPr>
    <w:rPr>
      <w:rFonts w:eastAsia="Times New Roman" w:cs="Angsana New"/>
      <w:b/>
      <w:snapToGrid/>
      <w:kern w:val="1"/>
      <w:sz w:val="24"/>
      <w:lang w:val="en-US" w:bidi="th-TH"/>
    </w:rPr>
  </w:style>
  <w:style w:type="paragraph" w:styleId="berschrift4">
    <w:name w:val="heading 4"/>
    <w:basedOn w:val="Standard"/>
    <w:next w:val="Standard"/>
    <w:link w:val="berschrift4Zchn"/>
    <w:qFormat/>
    <w:rsid w:val="009765BA"/>
    <w:pPr>
      <w:keepNext/>
      <w:numPr>
        <w:ilvl w:val="3"/>
        <w:numId w:val="36"/>
      </w:numPr>
      <w:tabs>
        <w:tab w:val="clear" w:pos="567"/>
      </w:tabs>
      <w:suppressAutoHyphens/>
      <w:jc w:val="both"/>
      <w:outlineLvl w:val="3"/>
    </w:pPr>
    <w:rPr>
      <w:rFonts w:eastAsia="Times New Roman" w:cs="Angsana New"/>
      <w:b/>
      <w:snapToGrid/>
      <w:lang w:bidi="th-TH"/>
    </w:rPr>
  </w:style>
  <w:style w:type="paragraph" w:styleId="berschrift5">
    <w:name w:val="heading 5"/>
    <w:basedOn w:val="Standard"/>
    <w:next w:val="Standard"/>
    <w:link w:val="berschrift5Zchn"/>
    <w:qFormat/>
    <w:rsid w:val="009765BA"/>
    <w:pPr>
      <w:keepNext/>
      <w:numPr>
        <w:ilvl w:val="4"/>
        <w:numId w:val="36"/>
      </w:numPr>
      <w:tabs>
        <w:tab w:val="clear" w:pos="567"/>
      </w:tabs>
      <w:suppressAutoHyphens/>
      <w:jc w:val="both"/>
      <w:outlineLvl w:val="4"/>
    </w:pPr>
    <w:rPr>
      <w:rFonts w:eastAsia="Times New Roman" w:cs="Angsana New"/>
      <w:snapToGrid/>
      <w:lang w:bidi="th-TH"/>
    </w:rPr>
  </w:style>
  <w:style w:type="paragraph" w:styleId="berschrift6">
    <w:name w:val="heading 6"/>
    <w:basedOn w:val="Standard"/>
    <w:next w:val="Standard"/>
    <w:link w:val="berschrift6Zchn"/>
    <w:qFormat/>
    <w:rsid w:val="009765BA"/>
    <w:pPr>
      <w:keepNext/>
      <w:numPr>
        <w:ilvl w:val="5"/>
        <w:numId w:val="36"/>
      </w:numPr>
      <w:tabs>
        <w:tab w:val="left" w:pos="4536"/>
      </w:tabs>
      <w:suppressAutoHyphens/>
      <w:outlineLvl w:val="5"/>
    </w:pPr>
    <w:rPr>
      <w:rFonts w:eastAsia="Times New Roman" w:cs="Angsana New"/>
      <w:i/>
      <w:snapToGrid/>
      <w:lang w:bidi="th-TH"/>
    </w:rPr>
  </w:style>
  <w:style w:type="paragraph" w:styleId="berschrift7">
    <w:name w:val="heading 7"/>
    <w:basedOn w:val="Standard"/>
    <w:next w:val="Standard"/>
    <w:link w:val="berschrift7Zchn"/>
    <w:qFormat/>
    <w:rsid w:val="009765BA"/>
    <w:pPr>
      <w:keepNext/>
      <w:numPr>
        <w:ilvl w:val="6"/>
        <w:numId w:val="36"/>
      </w:numPr>
      <w:tabs>
        <w:tab w:val="left" w:pos="4536"/>
      </w:tabs>
      <w:suppressAutoHyphens/>
      <w:jc w:val="both"/>
      <w:outlineLvl w:val="6"/>
    </w:pPr>
    <w:rPr>
      <w:rFonts w:eastAsia="Times New Roman" w:cs="Angsana New"/>
      <w:i/>
      <w:snapToGrid/>
      <w:lang w:bidi="th-TH"/>
    </w:rPr>
  </w:style>
  <w:style w:type="paragraph" w:styleId="berschrift8">
    <w:name w:val="heading 8"/>
    <w:basedOn w:val="Standard"/>
    <w:next w:val="Standard"/>
    <w:link w:val="berschrift8Zchn"/>
    <w:qFormat/>
    <w:rsid w:val="009765BA"/>
    <w:pPr>
      <w:keepNext/>
      <w:numPr>
        <w:ilvl w:val="7"/>
        <w:numId w:val="36"/>
      </w:numPr>
      <w:tabs>
        <w:tab w:val="clear" w:pos="567"/>
      </w:tabs>
      <w:suppressAutoHyphens/>
      <w:jc w:val="both"/>
      <w:outlineLvl w:val="7"/>
    </w:pPr>
    <w:rPr>
      <w:rFonts w:eastAsia="Times New Roman" w:cs="Angsana New"/>
      <w:b/>
      <w:i/>
      <w:snapToGrid/>
      <w:lang w:bidi="th-TH"/>
    </w:rPr>
  </w:style>
  <w:style w:type="paragraph" w:styleId="berschrift9">
    <w:name w:val="heading 9"/>
    <w:basedOn w:val="Standard"/>
    <w:next w:val="Standard"/>
    <w:link w:val="berschrift9Zchn"/>
    <w:qFormat/>
    <w:rsid w:val="009765BA"/>
    <w:pPr>
      <w:keepNext/>
      <w:numPr>
        <w:ilvl w:val="8"/>
        <w:numId w:val="36"/>
      </w:numPr>
      <w:tabs>
        <w:tab w:val="clear" w:pos="567"/>
      </w:tabs>
      <w:suppressAutoHyphens/>
      <w:jc w:val="both"/>
      <w:outlineLvl w:val="8"/>
    </w:pPr>
    <w:rPr>
      <w:rFonts w:eastAsia="Times New Roman" w:cs="Angsana New"/>
      <w:b/>
      <w:i/>
      <w:snapToGrid/>
      <w:lang w:bidi="th-T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B5899"/>
    <w:rPr>
      <w:sz w:val="22"/>
      <w:szCs w:val="22"/>
      <w:lang w:val="hu-HU" w:eastAsia="en-US"/>
    </w:rPr>
  </w:style>
  <w:style w:type="paragraph" w:customStyle="1" w:styleId="Default">
    <w:name w:val="Default"/>
    <w:rsid w:val="004B5899"/>
    <w:pPr>
      <w:autoSpaceDE w:val="0"/>
      <w:autoSpaceDN w:val="0"/>
      <w:adjustRightInd w:val="0"/>
    </w:pPr>
    <w:rPr>
      <w:rFonts w:ascii="Times New Roman" w:hAnsi="Times New Roman"/>
      <w:color w:val="000000"/>
      <w:sz w:val="24"/>
      <w:szCs w:val="24"/>
      <w:lang w:val="hu-HU" w:eastAsia="en-US"/>
    </w:rPr>
  </w:style>
  <w:style w:type="table" w:styleId="Tabellenraster">
    <w:name w:val="Table Grid"/>
    <w:basedOn w:val="NormaleTabelle"/>
    <w:uiPriority w:val="59"/>
    <w:rsid w:val="004B5899"/>
    <w:rPr>
      <w:lang w:eastAsia="hu-H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semiHidden/>
    <w:rsid w:val="004B5899"/>
    <w:rPr>
      <w:rFonts w:ascii="Tahoma" w:hAnsi="Tahoma"/>
      <w:sz w:val="16"/>
      <w:szCs w:val="16"/>
    </w:rPr>
  </w:style>
  <w:style w:type="character" w:customStyle="1" w:styleId="SprechblasentextZchn">
    <w:name w:val="Sprechblasentext Zchn"/>
    <w:link w:val="Sprechblasentext"/>
    <w:semiHidden/>
    <w:rsid w:val="004B5899"/>
    <w:rPr>
      <w:rFonts w:ascii="Tahoma" w:eastAsia="SimSun" w:hAnsi="Tahoma" w:cs="Tahoma"/>
      <w:snapToGrid w:val="0"/>
      <w:sz w:val="16"/>
      <w:szCs w:val="16"/>
      <w:lang w:val="en-GB" w:eastAsia="zh-CN"/>
    </w:rPr>
  </w:style>
  <w:style w:type="character" w:styleId="Kommentarzeichen">
    <w:name w:val="annotation reference"/>
    <w:semiHidden/>
    <w:rsid w:val="004B5899"/>
    <w:rPr>
      <w:sz w:val="16"/>
      <w:szCs w:val="16"/>
    </w:rPr>
  </w:style>
  <w:style w:type="paragraph" w:styleId="Kommentartext">
    <w:name w:val="annotation text"/>
    <w:aliases w:val="Comment Text Char"/>
    <w:basedOn w:val="Standard"/>
    <w:link w:val="KommentartextZchn"/>
    <w:semiHidden/>
    <w:rsid w:val="004B5899"/>
    <w:rPr>
      <w:sz w:val="20"/>
    </w:rPr>
  </w:style>
  <w:style w:type="character" w:customStyle="1" w:styleId="KommentartextZchn">
    <w:name w:val="Kommentartext Zchn"/>
    <w:aliases w:val="Comment Text Char Zchn"/>
    <w:link w:val="Kommentartext"/>
    <w:semiHidden/>
    <w:rsid w:val="004B5899"/>
    <w:rPr>
      <w:rFonts w:ascii="Times New Roman" w:eastAsia="SimSun" w:hAnsi="Times New Roman" w:cs="Times New Roman"/>
      <w:snapToGrid w:val="0"/>
      <w:sz w:val="20"/>
      <w:szCs w:val="20"/>
      <w:lang w:val="en-GB" w:eastAsia="zh-CN"/>
    </w:rPr>
  </w:style>
  <w:style w:type="paragraph" w:styleId="Kommentarthema">
    <w:name w:val="annotation subject"/>
    <w:basedOn w:val="Kommentartext"/>
    <w:next w:val="Kommentartext"/>
    <w:link w:val="KommentarthemaZchn"/>
    <w:semiHidden/>
    <w:rsid w:val="004B5899"/>
    <w:rPr>
      <w:b/>
      <w:bCs/>
    </w:rPr>
  </w:style>
  <w:style w:type="character" w:customStyle="1" w:styleId="KommentarthemaZchn">
    <w:name w:val="Kommentarthema Zchn"/>
    <w:link w:val="Kommentarthema"/>
    <w:semiHidden/>
    <w:rsid w:val="004B5899"/>
    <w:rPr>
      <w:rFonts w:ascii="Times New Roman" w:eastAsia="SimSun" w:hAnsi="Times New Roman" w:cs="Times New Roman"/>
      <w:b/>
      <w:bCs/>
      <w:snapToGrid w:val="0"/>
      <w:sz w:val="20"/>
      <w:szCs w:val="20"/>
      <w:lang w:val="en-GB" w:eastAsia="zh-CN"/>
    </w:rPr>
  </w:style>
  <w:style w:type="paragraph" w:customStyle="1" w:styleId="NoSpacing1">
    <w:name w:val="No Spacing1"/>
    <w:basedOn w:val="Standard"/>
    <w:uiPriority w:val="1"/>
    <w:qFormat/>
    <w:rsid w:val="00171AC0"/>
    <w:pPr>
      <w:tabs>
        <w:tab w:val="clear" w:pos="567"/>
      </w:tabs>
      <w:spacing w:line="240" w:lineRule="auto"/>
    </w:pPr>
    <w:rPr>
      <w:rFonts w:eastAsia="Times New Roman" w:cs="Vrinda"/>
      <w:snapToGrid/>
      <w:szCs w:val="22"/>
      <w:lang w:val="en-US" w:eastAsia="en-US" w:bidi="en-US"/>
    </w:rPr>
  </w:style>
  <w:style w:type="paragraph" w:styleId="Endnotentext">
    <w:name w:val="endnote text"/>
    <w:basedOn w:val="Standard"/>
    <w:next w:val="Standard"/>
    <w:link w:val="EndnotentextZchn"/>
    <w:semiHidden/>
    <w:rsid w:val="00153411"/>
    <w:pPr>
      <w:tabs>
        <w:tab w:val="clear" w:pos="567"/>
      </w:tabs>
      <w:suppressAutoHyphens/>
      <w:spacing w:line="260" w:lineRule="atLeast"/>
    </w:pPr>
    <w:rPr>
      <w:rFonts w:eastAsia="Times New Roman" w:cs="Angsana New"/>
      <w:snapToGrid/>
      <w:lang w:bidi="th-TH"/>
    </w:rPr>
  </w:style>
  <w:style w:type="character" w:customStyle="1" w:styleId="EndnotentextZchn">
    <w:name w:val="Endnotentext Zchn"/>
    <w:link w:val="Endnotentext"/>
    <w:rsid w:val="00153411"/>
    <w:rPr>
      <w:rFonts w:ascii="Times New Roman" w:eastAsia="Times New Roman" w:hAnsi="Times New Roman" w:cs="Angsana New"/>
      <w:sz w:val="22"/>
      <w:lang w:val="en-GB" w:bidi="th-TH"/>
    </w:rPr>
  </w:style>
  <w:style w:type="paragraph" w:customStyle="1" w:styleId="WW-NormlWeb">
    <w:name w:val="WW-Normál (Web)"/>
    <w:basedOn w:val="Standard"/>
    <w:rsid w:val="00611231"/>
    <w:pPr>
      <w:tabs>
        <w:tab w:val="clear" w:pos="567"/>
      </w:tabs>
      <w:suppressAutoHyphens/>
      <w:spacing w:before="100" w:after="119" w:line="260" w:lineRule="atLeast"/>
    </w:pPr>
    <w:rPr>
      <w:rFonts w:ascii="Arial Unicode MS" w:eastAsia="Arial Unicode MS" w:hAnsi="Arial Unicode MS" w:cs="Angsana New"/>
      <w:snapToGrid/>
      <w:sz w:val="24"/>
      <w:lang w:val="hu-HU" w:bidi="th-TH"/>
    </w:rPr>
  </w:style>
  <w:style w:type="paragraph" w:customStyle="1" w:styleId="WW-BodyText3">
    <w:name w:val="WW-Body Text 3"/>
    <w:basedOn w:val="Standard"/>
    <w:rsid w:val="00611231"/>
    <w:pPr>
      <w:tabs>
        <w:tab w:val="clear" w:pos="567"/>
      </w:tabs>
      <w:suppressAutoHyphens/>
      <w:spacing w:line="240" w:lineRule="auto"/>
    </w:pPr>
    <w:rPr>
      <w:rFonts w:eastAsia="Times New Roman" w:cs="Angsana New"/>
      <w:snapToGrid/>
      <w:sz w:val="24"/>
      <w:lang w:val="hu-HU" w:eastAsia="de-DE" w:bidi="th-TH"/>
    </w:rPr>
  </w:style>
  <w:style w:type="paragraph" w:customStyle="1" w:styleId="Listlevel2">
    <w:name w:val="List level 2"/>
    <w:basedOn w:val="Standard"/>
    <w:rsid w:val="00611231"/>
    <w:pPr>
      <w:tabs>
        <w:tab w:val="clear" w:pos="567"/>
      </w:tabs>
      <w:spacing w:before="40" w:after="20" w:line="240" w:lineRule="auto"/>
      <w:ind w:left="850" w:hanging="425"/>
    </w:pPr>
    <w:rPr>
      <w:rFonts w:eastAsia="Times New Roman" w:cs="Angsana New"/>
      <w:snapToGrid/>
      <w:sz w:val="24"/>
      <w:lang w:val="en-US" w:eastAsia="en-US" w:bidi="th-TH"/>
    </w:rPr>
  </w:style>
  <w:style w:type="paragraph" w:styleId="Kopfzeile">
    <w:name w:val="header"/>
    <w:basedOn w:val="Standard"/>
    <w:link w:val="KopfzeileZchn"/>
    <w:unhideWhenUsed/>
    <w:rsid w:val="00823810"/>
    <w:pPr>
      <w:tabs>
        <w:tab w:val="clear" w:pos="567"/>
        <w:tab w:val="center" w:pos="4536"/>
        <w:tab w:val="right" w:pos="9072"/>
      </w:tabs>
    </w:pPr>
  </w:style>
  <w:style w:type="character" w:customStyle="1" w:styleId="KopfzeileZchn">
    <w:name w:val="Kopfzeile Zchn"/>
    <w:link w:val="Kopfzeile"/>
    <w:uiPriority w:val="99"/>
    <w:rsid w:val="00823810"/>
    <w:rPr>
      <w:rFonts w:ascii="Times New Roman" w:eastAsia="SimSun" w:hAnsi="Times New Roman"/>
      <w:snapToGrid w:val="0"/>
      <w:sz w:val="22"/>
      <w:lang w:val="en-GB" w:eastAsia="zh-CN"/>
    </w:rPr>
  </w:style>
  <w:style w:type="paragraph" w:styleId="Fuzeile">
    <w:name w:val="footer"/>
    <w:aliases w:val="Footer Char1,Footer Char2 Char,Footer Char1 Char Char,Footer Char2 Char Char1 Char,Footer Char1 Char Char Char Char1,Footer Char1 Char Char Char Char1 Char Char,Footer Char2 Char Char1 Char Char Char Char Char Char"/>
    <w:basedOn w:val="Standard"/>
    <w:link w:val="FuzeileZchn"/>
    <w:uiPriority w:val="99"/>
    <w:unhideWhenUsed/>
    <w:rsid w:val="00823810"/>
    <w:pPr>
      <w:tabs>
        <w:tab w:val="clear" w:pos="567"/>
        <w:tab w:val="center" w:pos="4536"/>
        <w:tab w:val="right" w:pos="9072"/>
      </w:tabs>
    </w:pPr>
  </w:style>
  <w:style w:type="character" w:customStyle="1" w:styleId="FuzeileZchn">
    <w:name w:val="Fußzeile Zchn"/>
    <w:aliases w:val="Footer Char1 Zchn,Footer Char2 Char Zchn,Footer Char1 Char Char Zchn,Footer Char2 Char Char1 Char Zchn,Footer Char1 Char Char Char Char1 Zchn,Footer Char1 Char Char Char Char1 Char Char Zchn"/>
    <w:link w:val="Fuzeile"/>
    <w:uiPriority w:val="99"/>
    <w:rsid w:val="00823810"/>
    <w:rPr>
      <w:rFonts w:ascii="Times New Roman" w:eastAsia="SimSun" w:hAnsi="Times New Roman"/>
      <w:snapToGrid w:val="0"/>
      <w:sz w:val="22"/>
      <w:lang w:val="en-GB" w:eastAsia="zh-CN"/>
    </w:rPr>
  </w:style>
  <w:style w:type="paragraph" w:customStyle="1" w:styleId="NormalParagraphStyle">
    <w:name w:val="NormalParagraphStyle"/>
    <w:basedOn w:val="Standard"/>
    <w:rsid w:val="00D723FA"/>
    <w:pPr>
      <w:widowControl w:val="0"/>
      <w:tabs>
        <w:tab w:val="clear" w:pos="567"/>
      </w:tabs>
      <w:autoSpaceDE w:val="0"/>
      <w:autoSpaceDN w:val="0"/>
      <w:adjustRightInd w:val="0"/>
      <w:spacing w:line="288" w:lineRule="auto"/>
      <w:textAlignment w:val="center"/>
    </w:pPr>
    <w:rPr>
      <w:rFonts w:ascii="Times-Roman" w:eastAsia="Times New Roman" w:hAnsi="Times-Roman"/>
      <w:snapToGrid/>
      <w:color w:val="000000"/>
      <w:sz w:val="24"/>
      <w:szCs w:val="24"/>
      <w:lang w:eastAsia="en-US"/>
    </w:rPr>
  </w:style>
  <w:style w:type="character" w:styleId="Hyperlink">
    <w:name w:val="Hyperlink"/>
    <w:aliases w:val="Footer Char1 Char,Footer Char2 Char Char1,Footer Char1 Char Char Char,Footer Char2 Char Char1 Char Char,Footer Char1 Char Char Char Char1 Char,Footer Char1 Char Char Char Char1 Char Char Char,Footer Char2"/>
    <w:uiPriority w:val="99"/>
    <w:rsid w:val="00D87767"/>
    <w:rPr>
      <w:color w:val="0000FF"/>
      <w:u w:val="single"/>
    </w:rPr>
  </w:style>
  <w:style w:type="paragraph" w:styleId="berarbeitung">
    <w:name w:val="Revision"/>
    <w:hidden/>
    <w:uiPriority w:val="99"/>
    <w:semiHidden/>
    <w:rsid w:val="00E70B52"/>
    <w:rPr>
      <w:rFonts w:ascii="Times New Roman" w:eastAsia="SimSun" w:hAnsi="Times New Roman"/>
      <w:snapToGrid w:val="0"/>
      <w:sz w:val="22"/>
      <w:lang w:val="en-GB" w:eastAsia="zh-CN"/>
    </w:rPr>
  </w:style>
  <w:style w:type="character" w:customStyle="1" w:styleId="EndnoteTextChar1">
    <w:name w:val="Endnote Text Char1"/>
    <w:rsid w:val="008B2F28"/>
    <w:rPr>
      <w:rFonts w:cs="Angsana New"/>
      <w:sz w:val="22"/>
      <w:lang w:val="en-GB" w:bidi="th-TH"/>
    </w:rPr>
  </w:style>
  <w:style w:type="paragraph" w:styleId="Textkrper">
    <w:name w:val="Body Text"/>
    <w:basedOn w:val="Standard"/>
    <w:link w:val="TextkrperZchn"/>
    <w:rsid w:val="00F15175"/>
    <w:pPr>
      <w:tabs>
        <w:tab w:val="clear" w:pos="567"/>
      </w:tabs>
      <w:suppressAutoHyphens/>
    </w:pPr>
    <w:rPr>
      <w:rFonts w:eastAsia="Times New Roman" w:cs="Angsana New"/>
      <w:b/>
      <w:i/>
      <w:snapToGrid/>
      <w:lang w:bidi="th-TH"/>
    </w:rPr>
  </w:style>
  <w:style w:type="character" w:customStyle="1" w:styleId="TextkrperZchn">
    <w:name w:val="Textkörper Zchn"/>
    <w:link w:val="Textkrper"/>
    <w:rsid w:val="00F15175"/>
    <w:rPr>
      <w:rFonts w:ascii="Times New Roman" w:eastAsia="Times New Roman" w:hAnsi="Times New Roman" w:cs="Angsana New"/>
      <w:b/>
      <w:i/>
      <w:sz w:val="22"/>
      <w:lang w:val="en-GB" w:bidi="th-TH"/>
    </w:rPr>
  </w:style>
  <w:style w:type="character" w:customStyle="1" w:styleId="berschrift1Zchn">
    <w:name w:val="Überschrift 1 Zchn"/>
    <w:link w:val="berschrift1"/>
    <w:rsid w:val="009765BA"/>
    <w:rPr>
      <w:rFonts w:ascii="Times New Roman" w:eastAsia="Times New Roman" w:hAnsi="Times New Roman" w:cs="Angsana New"/>
      <w:b/>
      <w:caps/>
      <w:sz w:val="26"/>
      <w:lang w:val="en-US" w:bidi="th-TH"/>
    </w:rPr>
  </w:style>
  <w:style w:type="character" w:customStyle="1" w:styleId="berschrift2Zchn">
    <w:name w:val="Überschrift 2 Zchn"/>
    <w:link w:val="berschrift2"/>
    <w:rsid w:val="009765BA"/>
    <w:rPr>
      <w:rFonts w:ascii="Helvetica" w:eastAsia="Times New Roman" w:hAnsi="Helvetica" w:cs="Angsana New"/>
      <w:b/>
      <w:i/>
      <w:sz w:val="24"/>
      <w:lang w:val="en-GB" w:bidi="th-TH"/>
    </w:rPr>
  </w:style>
  <w:style w:type="character" w:customStyle="1" w:styleId="berschrift3Zchn">
    <w:name w:val="Überschrift 3 Zchn"/>
    <w:link w:val="berschrift3"/>
    <w:rsid w:val="009765BA"/>
    <w:rPr>
      <w:rFonts w:ascii="Times New Roman" w:eastAsia="Times New Roman" w:hAnsi="Times New Roman" w:cs="Angsana New"/>
      <w:b/>
      <w:kern w:val="1"/>
      <w:sz w:val="24"/>
      <w:lang w:val="en-US" w:bidi="th-TH"/>
    </w:rPr>
  </w:style>
  <w:style w:type="character" w:customStyle="1" w:styleId="berschrift4Zchn">
    <w:name w:val="Überschrift 4 Zchn"/>
    <w:link w:val="berschrift4"/>
    <w:rsid w:val="009765BA"/>
    <w:rPr>
      <w:rFonts w:ascii="Times New Roman" w:eastAsia="Times New Roman" w:hAnsi="Times New Roman" w:cs="Angsana New"/>
      <w:b/>
      <w:sz w:val="22"/>
      <w:lang w:bidi="th-TH"/>
    </w:rPr>
  </w:style>
  <w:style w:type="character" w:customStyle="1" w:styleId="berschrift5Zchn">
    <w:name w:val="Überschrift 5 Zchn"/>
    <w:link w:val="berschrift5"/>
    <w:rsid w:val="009765BA"/>
    <w:rPr>
      <w:rFonts w:ascii="Times New Roman" w:eastAsia="Times New Roman" w:hAnsi="Times New Roman" w:cs="Angsana New"/>
      <w:sz w:val="22"/>
      <w:lang w:bidi="th-TH"/>
    </w:rPr>
  </w:style>
  <w:style w:type="character" w:customStyle="1" w:styleId="berschrift6Zchn">
    <w:name w:val="Überschrift 6 Zchn"/>
    <w:link w:val="berschrift6"/>
    <w:rsid w:val="009765BA"/>
    <w:rPr>
      <w:rFonts w:ascii="Times New Roman" w:eastAsia="Times New Roman" w:hAnsi="Times New Roman" w:cs="Angsana New"/>
      <w:i/>
      <w:sz w:val="22"/>
      <w:lang w:val="en-GB" w:bidi="th-TH"/>
    </w:rPr>
  </w:style>
  <w:style w:type="character" w:customStyle="1" w:styleId="berschrift7Zchn">
    <w:name w:val="Überschrift 7 Zchn"/>
    <w:link w:val="berschrift7"/>
    <w:rsid w:val="009765BA"/>
    <w:rPr>
      <w:rFonts w:ascii="Times New Roman" w:eastAsia="Times New Roman" w:hAnsi="Times New Roman" w:cs="Angsana New"/>
      <w:i/>
      <w:sz w:val="22"/>
      <w:lang w:val="en-GB" w:bidi="th-TH"/>
    </w:rPr>
  </w:style>
  <w:style w:type="character" w:customStyle="1" w:styleId="berschrift8Zchn">
    <w:name w:val="Überschrift 8 Zchn"/>
    <w:link w:val="berschrift8"/>
    <w:rsid w:val="009765BA"/>
    <w:rPr>
      <w:rFonts w:ascii="Times New Roman" w:eastAsia="Times New Roman" w:hAnsi="Times New Roman" w:cs="Angsana New"/>
      <w:b/>
      <w:i/>
      <w:sz w:val="22"/>
      <w:lang w:val="en-GB" w:bidi="th-TH"/>
    </w:rPr>
  </w:style>
  <w:style w:type="character" w:customStyle="1" w:styleId="berschrift9Zchn">
    <w:name w:val="Überschrift 9 Zchn"/>
    <w:link w:val="berschrift9"/>
    <w:rsid w:val="009765BA"/>
    <w:rPr>
      <w:rFonts w:ascii="Times New Roman" w:eastAsia="Times New Roman" w:hAnsi="Times New Roman" w:cs="Angsana New"/>
      <w:b/>
      <w:i/>
      <w:sz w:val="22"/>
      <w:lang w:val="en-GB" w:bidi="th-TH"/>
    </w:rPr>
  </w:style>
  <w:style w:type="paragraph" w:customStyle="1" w:styleId="Table">
    <w:name w:val="Table"/>
    <w:basedOn w:val="Standard"/>
    <w:link w:val="TableChar"/>
    <w:rsid w:val="009765BA"/>
    <w:pPr>
      <w:keepNext/>
      <w:keepLines/>
      <w:tabs>
        <w:tab w:val="clear" w:pos="567"/>
        <w:tab w:val="left" w:pos="284"/>
      </w:tabs>
      <w:spacing w:before="40" w:after="20" w:line="240" w:lineRule="auto"/>
    </w:pPr>
    <w:rPr>
      <w:rFonts w:ascii="Arial" w:eastAsia="Times New Roman" w:hAnsi="Arial" w:cs="Angsana New"/>
      <w:snapToGrid/>
      <w:sz w:val="20"/>
      <w:lang w:val="en-US" w:eastAsia="en-US" w:bidi="th-TH"/>
    </w:rPr>
  </w:style>
  <w:style w:type="character" w:customStyle="1" w:styleId="TableChar">
    <w:name w:val="Table Char"/>
    <w:link w:val="Table"/>
    <w:rsid w:val="009765BA"/>
    <w:rPr>
      <w:rFonts w:ascii="Arial" w:eastAsia="Times New Roman" w:hAnsi="Arial" w:cs="Angsana New"/>
      <w:lang w:val="en-US" w:eastAsia="en-US" w:bidi="th-TH"/>
    </w:rPr>
  </w:style>
  <w:style w:type="character" w:customStyle="1" w:styleId="WW8Num1z0">
    <w:name w:val="WW8Num1z0"/>
    <w:rsid w:val="009827D6"/>
    <w:rPr>
      <w:rFonts w:ascii="Thorndale" w:hAnsi="Thorndale" w:cs="Times New Roman"/>
    </w:rPr>
  </w:style>
  <w:style w:type="character" w:customStyle="1" w:styleId="WW8Num6z0">
    <w:name w:val="WW8Num6z0"/>
    <w:rsid w:val="00402806"/>
    <w:rPr>
      <w:rFonts w:ascii="Thorndale" w:hAnsi="Thorndale" w:cs="Times New Roman"/>
    </w:rPr>
  </w:style>
  <w:style w:type="paragraph" w:customStyle="1" w:styleId="TitleB">
    <w:name w:val="Title B"/>
    <w:basedOn w:val="KeinLeerraum"/>
    <w:qFormat/>
    <w:rsid w:val="00561EE7"/>
    <w:pPr>
      <w:ind w:left="720" w:hanging="720"/>
    </w:pPr>
    <w:rPr>
      <w:rFonts w:ascii="Times New Roman" w:hAnsi="Times New Roman"/>
      <w:b/>
    </w:rPr>
  </w:style>
  <w:style w:type="paragraph" w:customStyle="1" w:styleId="TitleA">
    <w:name w:val="Title A"/>
    <w:basedOn w:val="NoSpacing1"/>
    <w:qFormat/>
    <w:rsid w:val="00291EEB"/>
    <w:pPr>
      <w:numPr>
        <w:numId w:val="5"/>
      </w:numPr>
      <w:jc w:val="center"/>
    </w:pPr>
    <w:rPr>
      <w:rFonts w:cs="Times New Roman"/>
      <w:b/>
      <w:bCs/>
      <w:lang w:val="hu-HU"/>
    </w:rPr>
  </w:style>
  <w:style w:type="paragraph" w:styleId="Abbildungsverzeichnis">
    <w:name w:val="table of figures"/>
    <w:basedOn w:val="Standard"/>
    <w:next w:val="Standard"/>
    <w:uiPriority w:val="99"/>
    <w:semiHidden/>
    <w:unhideWhenUsed/>
    <w:rsid w:val="0059709C"/>
    <w:pPr>
      <w:tabs>
        <w:tab w:val="clear" w:pos="567"/>
      </w:tabs>
    </w:pPr>
  </w:style>
  <w:style w:type="paragraph" w:styleId="Anrede">
    <w:name w:val="Salutation"/>
    <w:basedOn w:val="Standard"/>
    <w:next w:val="Standard"/>
    <w:link w:val="AnredeZchn"/>
    <w:uiPriority w:val="99"/>
    <w:semiHidden/>
    <w:unhideWhenUsed/>
    <w:rsid w:val="0059709C"/>
  </w:style>
  <w:style w:type="character" w:customStyle="1" w:styleId="AnredeZchn">
    <w:name w:val="Anrede Zchn"/>
    <w:link w:val="Anrede"/>
    <w:uiPriority w:val="99"/>
    <w:semiHidden/>
    <w:rsid w:val="0059709C"/>
    <w:rPr>
      <w:rFonts w:ascii="Times New Roman" w:eastAsia="SimSun" w:hAnsi="Times New Roman"/>
      <w:snapToGrid w:val="0"/>
      <w:sz w:val="22"/>
      <w:lang w:val="en-GB" w:eastAsia="zh-CN"/>
    </w:rPr>
  </w:style>
  <w:style w:type="paragraph" w:styleId="Aufzhlungszeichen">
    <w:name w:val="List Bullet"/>
    <w:basedOn w:val="Standard"/>
    <w:uiPriority w:val="99"/>
    <w:semiHidden/>
    <w:unhideWhenUsed/>
    <w:rsid w:val="0059709C"/>
    <w:pPr>
      <w:numPr>
        <w:numId w:val="46"/>
      </w:numPr>
      <w:contextualSpacing/>
    </w:pPr>
  </w:style>
  <w:style w:type="paragraph" w:styleId="Aufzhlungszeichen2">
    <w:name w:val="List Bullet 2"/>
    <w:basedOn w:val="Standard"/>
    <w:uiPriority w:val="99"/>
    <w:semiHidden/>
    <w:unhideWhenUsed/>
    <w:rsid w:val="0059709C"/>
    <w:pPr>
      <w:numPr>
        <w:numId w:val="47"/>
      </w:numPr>
      <w:contextualSpacing/>
    </w:pPr>
  </w:style>
  <w:style w:type="paragraph" w:styleId="Aufzhlungszeichen3">
    <w:name w:val="List Bullet 3"/>
    <w:basedOn w:val="Standard"/>
    <w:uiPriority w:val="99"/>
    <w:semiHidden/>
    <w:unhideWhenUsed/>
    <w:rsid w:val="0059709C"/>
    <w:pPr>
      <w:numPr>
        <w:numId w:val="48"/>
      </w:numPr>
      <w:contextualSpacing/>
    </w:pPr>
  </w:style>
  <w:style w:type="paragraph" w:styleId="Aufzhlungszeichen4">
    <w:name w:val="List Bullet 4"/>
    <w:basedOn w:val="Standard"/>
    <w:uiPriority w:val="99"/>
    <w:semiHidden/>
    <w:unhideWhenUsed/>
    <w:rsid w:val="0059709C"/>
    <w:pPr>
      <w:numPr>
        <w:numId w:val="49"/>
      </w:numPr>
      <w:contextualSpacing/>
    </w:pPr>
  </w:style>
  <w:style w:type="paragraph" w:styleId="Aufzhlungszeichen5">
    <w:name w:val="List Bullet 5"/>
    <w:basedOn w:val="Standard"/>
    <w:uiPriority w:val="99"/>
    <w:semiHidden/>
    <w:unhideWhenUsed/>
    <w:rsid w:val="0059709C"/>
    <w:pPr>
      <w:numPr>
        <w:numId w:val="50"/>
      </w:numPr>
      <w:contextualSpacing/>
    </w:pPr>
  </w:style>
  <w:style w:type="paragraph" w:styleId="Beschriftung">
    <w:name w:val="caption"/>
    <w:basedOn w:val="Standard"/>
    <w:next w:val="Standard"/>
    <w:uiPriority w:val="35"/>
    <w:semiHidden/>
    <w:unhideWhenUsed/>
    <w:qFormat/>
    <w:rsid w:val="0059709C"/>
    <w:rPr>
      <w:b/>
      <w:bCs/>
      <w:sz w:val="20"/>
    </w:rPr>
  </w:style>
  <w:style w:type="paragraph" w:styleId="Blocktext">
    <w:name w:val="Block Text"/>
    <w:basedOn w:val="Standard"/>
    <w:uiPriority w:val="99"/>
    <w:semiHidden/>
    <w:unhideWhenUsed/>
    <w:rsid w:val="0059709C"/>
    <w:pPr>
      <w:spacing w:after="120"/>
      <w:ind w:left="1440" w:right="1440"/>
    </w:pPr>
  </w:style>
  <w:style w:type="paragraph" w:styleId="Datum">
    <w:name w:val="Date"/>
    <w:basedOn w:val="Standard"/>
    <w:next w:val="Standard"/>
    <w:link w:val="DatumZchn"/>
    <w:uiPriority w:val="99"/>
    <w:semiHidden/>
    <w:unhideWhenUsed/>
    <w:rsid w:val="0059709C"/>
  </w:style>
  <w:style w:type="character" w:customStyle="1" w:styleId="DatumZchn">
    <w:name w:val="Datum Zchn"/>
    <w:link w:val="Datum"/>
    <w:uiPriority w:val="99"/>
    <w:semiHidden/>
    <w:rsid w:val="0059709C"/>
    <w:rPr>
      <w:rFonts w:ascii="Times New Roman" w:eastAsia="SimSun" w:hAnsi="Times New Roman"/>
      <w:snapToGrid w:val="0"/>
      <w:sz w:val="22"/>
      <w:lang w:val="en-GB" w:eastAsia="zh-CN"/>
    </w:rPr>
  </w:style>
  <w:style w:type="paragraph" w:styleId="Dokumentstruktur">
    <w:name w:val="Document Map"/>
    <w:basedOn w:val="Standard"/>
    <w:link w:val="DokumentstrukturZchn"/>
    <w:uiPriority w:val="99"/>
    <w:semiHidden/>
    <w:unhideWhenUsed/>
    <w:rsid w:val="0059709C"/>
    <w:rPr>
      <w:rFonts w:ascii="Tahoma" w:hAnsi="Tahoma" w:cs="Tahoma"/>
      <w:sz w:val="16"/>
      <w:szCs w:val="16"/>
    </w:rPr>
  </w:style>
  <w:style w:type="character" w:customStyle="1" w:styleId="DokumentstrukturZchn">
    <w:name w:val="Dokumentstruktur Zchn"/>
    <w:link w:val="Dokumentstruktur"/>
    <w:uiPriority w:val="99"/>
    <w:semiHidden/>
    <w:rsid w:val="0059709C"/>
    <w:rPr>
      <w:rFonts w:ascii="Tahoma" w:eastAsia="SimSun" w:hAnsi="Tahoma" w:cs="Tahoma"/>
      <w:snapToGrid w:val="0"/>
      <w:sz w:val="16"/>
      <w:szCs w:val="16"/>
      <w:lang w:val="en-GB" w:eastAsia="zh-CN"/>
    </w:rPr>
  </w:style>
  <w:style w:type="paragraph" w:styleId="E-Mail-Signatur">
    <w:name w:val="E-mail Signature"/>
    <w:basedOn w:val="Standard"/>
    <w:link w:val="E-Mail-SignaturZchn"/>
    <w:uiPriority w:val="99"/>
    <w:semiHidden/>
    <w:unhideWhenUsed/>
    <w:rsid w:val="0059709C"/>
  </w:style>
  <w:style w:type="character" w:customStyle="1" w:styleId="E-Mail-SignaturZchn">
    <w:name w:val="E-Mail-Signatur Zchn"/>
    <w:link w:val="E-Mail-Signatur"/>
    <w:uiPriority w:val="99"/>
    <w:semiHidden/>
    <w:rsid w:val="0059709C"/>
    <w:rPr>
      <w:rFonts w:ascii="Times New Roman" w:eastAsia="SimSun" w:hAnsi="Times New Roman"/>
      <w:snapToGrid w:val="0"/>
      <w:sz w:val="22"/>
      <w:lang w:val="en-GB" w:eastAsia="zh-CN"/>
    </w:rPr>
  </w:style>
  <w:style w:type="paragraph" w:styleId="Fu-Endnotenberschrift">
    <w:name w:val="Note Heading"/>
    <w:basedOn w:val="Standard"/>
    <w:next w:val="Standard"/>
    <w:link w:val="Fu-EndnotenberschriftZchn"/>
    <w:uiPriority w:val="99"/>
    <w:semiHidden/>
    <w:unhideWhenUsed/>
    <w:rsid w:val="0059709C"/>
  </w:style>
  <w:style w:type="character" w:customStyle="1" w:styleId="Fu-EndnotenberschriftZchn">
    <w:name w:val="Fuß/-Endnotenüberschrift Zchn"/>
    <w:link w:val="Fu-Endnotenberschrift"/>
    <w:uiPriority w:val="99"/>
    <w:semiHidden/>
    <w:rsid w:val="0059709C"/>
    <w:rPr>
      <w:rFonts w:ascii="Times New Roman" w:eastAsia="SimSun" w:hAnsi="Times New Roman"/>
      <w:snapToGrid w:val="0"/>
      <w:sz w:val="22"/>
      <w:lang w:val="en-GB" w:eastAsia="zh-CN"/>
    </w:rPr>
  </w:style>
  <w:style w:type="paragraph" w:styleId="Funotentext">
    <w:name w:val="footnote text"/>
    <w:basedOn w:val="Standard"/>
    <w:link w:val="FunotentextZchn"/>
    <w:uiPriority w:val="99"/>
    <w:semiHidden/>
    <w:unhideWhenUsed/>
    <w:rsid w:val="0059709C"/>
    <w:rPr>
      <w:sz w:val="20"/>
    </w:rPr>
  </w:style>
  <w:style w:type="character" w:customStyle="1" w:styleId="FunotentextZchn">
    <w:name w:val="Fußnotentext Zchn"/>
    <w:link w:val="Funotentext"/>
    <w:uiPriority w:val="99"/>
    <w:semiHidden/>
    <w:rsid w:val="0059709C"/>
    <w:rPr>
      <w:rFonts w:ascii="Times New Roman" w:eastAsia="SimSun" w:hAnsi="Times New Roman"/>
      <w:snapToGrid w:val="0"/>
      <w:lang w:val="en-GB" w:eastAsia="zh-CN"/>
    </w:rPr>
  </w:style>
  <w:style w:type="paragraph" w:styleId="Gruformel">
    <w:name w:val="Closing"/>
    <w:basedOn w:val="Standard"/>
    <w:link w:val="GruformelZchn"/>
    <w:uiPriority w:val="99"/>
    <w:semiHidden/>
    <w:unhideWhenUsed/>
    <w:rsid w:val="0059709C"/>
    <w:pPr>
      <w:ind w:left="4252"/>
    </w:pPr>
  </w:style>
  <w:style w:type="character" w:customStyle="1" w:styleId="GruformelZchn">
    <w:name w:val="Grußformel Zchn"/>
    <w:link w:val="Gruformel"/>
    <w:uiPriority w:val="99"/>
    <w:semiHidden/>
    <w:rsid w:val="0059709C"/>
    <w:rPr>
      <w:rFonts w:ascii="Times New Roman" w:eastAsia="SimSun" w:hAnsi="Times New Roman"/>
      <w:snapToGrid w:val="0"/>
      <w:sz w:val="22"/>
      <w:lang w:val="en-GB" w:eastAsia="zh-CN"/>
    </w:rPr>
  </w:style>
  <w:style w:type="paragraph" w:styleId="HTMLAdresse">
    <w:name w:val="HTML Address"/>
    <w:basedOn w:val="Standard"/>
    <w:link w:val="HTMLAdresseZchn"/>
    <w:uiPriority w:val="99"/>
    <w:semiHidden/>
    <w:unhideWhenUsed/>
    <w:rsid w:val="0059709C"/>
    <w:rPr>
      <w:i/>
      <w:iCs/>
    </w:rPr>
  </w:style>
  <w:style w:type="character" w:customStyle="1" w:styleId="HTMLAdresseZchn">
    <w:name w:val="HTML Adresse Zchn"/>
    <w:link w:val="HTMLAdresse"/>
    <w:uiPriority w:val="99"/>
    <w:semiHidden/>
    <w:rsid w:val="0059709C"/>
    <w:rPr>
      <w:rFonts w:ascii="Times New Roman" w:eastAsia="SimSun" w:hAnsi="Times New Roman"/>
      <w:i/>
      <w:iCs/>
      <w:snapToGrid w:val="0"/>
      <w:sz w:val="22"/>
      <w:lang w:val="en-GB" w:eastAsia="zh-CN"/>
    </w:rPr>
  </w:style>
  <w:style w:type="paragraph" w:styleId="HTMLVorformatiert">
    <w:name w:val="HTML Preformatted"/>
    <w:basedOn w:val="Standard"/>
    <w:link w:val="HTMLVorformatiertZchn"/>
    <w:uiPriority w:val="99"/>
    <w:semiHidden/>
    <w:unhideWhenUsed/>
    <w:rsid w:val="0059709C"/>
    <w:rPr>
      <w:rFonts w:ascii="Courier New" w:hAnsi="Courier New" w:cs="Courier New"/>
      <w:sz w:val="20"/>
    </w:rPr>
  </w:style>
  <w:style w:type="character" w:customStyle="1" w:styleId="HTMLVorformatiertZchn">
    <w:name w:val="HTML Vorformatiert Zchn"/>
    <w:link w:val="HTMLVorformatiert"/>
    <w:uiPriority w:val="99"/>
    <w:semiHidden/>
    <w:rsid w:val="0059709C"/>
    <w:rPr>
      <w:rFonts w:ascii="Courier New" w:eastAsia="SimSun" w:hAnsi="Courier New" w:cs="Courier New"/>
      <w:snapToGrid w:val="0"/>
      <w:lang w:val="en-GB" w:eastAsia="zh-CN"/>
    </w:rPr>
  </w:style>
  <w:style w:type="paragraph" w:styleId="Index1">
    <w:name w:val="index 1"/>
    <w:basedOn w:val="Standard"/>
    <w:next w:val="Standard"/>
    <w:autoRedefine/>
    <w:uiPriority w:val="99"/>
    <w:semiHidden/>
    <w:unhideWhenUsed/>
    <w:rsid w:val="0059709C"/>
    <w:pPr>
      <w:tabs>
        <w:tab w:val="clear" w:pos="567"/>
      </w:tabs>
      <w:ind w:left="220" w:hanging="220"/>
    </w:pPr>
  </w:style>
  <w:style w:type="paragraph" w:styleId="Index2">
    <w:name w:val="index 2"/>
    <w:basedOn w:val="Standard"/>
    <w:next w:val="Standard"/>
    <w:autoRedefine/>
    <w:uiPriority w:val="99"/>
    <w:semiHidden/>
    <w:unhideWhenUsed/>
    <w:rsid w:val="0059709C"/>
    <w:pPr>
      <w:tabs>
        <w:tab w:val="clear" w:pos="567"/>
      </w:tabs>
      <w:ind w:left="440" w:hanging="220"/>
    </w:pPr>
  </w:style>
  <w:style w:type="paragraph" w:styleId="Index3">
    <w:name w:val="index 3"/>
    <w:basedOn w:val="Standard"/>
    <w:next w:val="Standard"/>
    <w:autoRedefine/>
    <w:uiPriority w:val="99"/>
    <w:semiHidden/>
    <w:unhideWhenUsed/>
    <w:rsid w:val="0059709C"/>
    <w:pPr>
      <w:tabs>
        <w:tab w:val="clear" w:pos="567"/>
      </w:tabs>
      <w:ind w:left="660" w:hanging="220"/>
    </w:pPr>
  </w:style>
  <w:style w:type="paragraph" w:styleId="Index4">
    <w:name w:val="index 4"/>
    <w:basedOn w:val="Standard"/>
    <w:next w:val="Standard"/>
    <w:autoRedefine/>
    <w:uiPriority w:val="99"/>
    <w:semiHidden/>
    <w:unhideWhenUsed/>
    <w:rsid w:val="0059709C"/>
    <w:pPr>
      <w:tabs>
        <w:tab w:val="clear" w:pos="567"/>
      </w:tabs>
      <w:ind w:left="880" w:hanging="220"/>
    </w:pPr>
  </w:style>
  <w:style w:type="paragraph" w:styleId="Index5">
    <w:name w:val="index 5"/>
    <w:basedOn w:val="Standard"/>
    <w:next w:val="Standard"/>
    <w:autoRedefine/>
    <w:uiPriority w:val="99"/>
    <w:semiHidden/>
    <w:unhideWhenUsed/>
    <w:rsid w:val="0059709C"/>
    <w:pPr>
      <w:tabs>
        <w:tab w:val="clear" w:pos="567"/>
      </w:tabs>
      <w:ind w:left="1100" w:hanging="220"/>
    </w:pPr>
  </w:style>
  <w:style w:type="paragraph" w:styleId="Index6">
    <w:name w:val="index 6"/>
    <w:basedOn w:val="Standard"/>
    <w:next w:val="Standard"/>
    <w:autoRedefine/>
    <w:uiPriority w:val="99"/>
    <w:semiHidden/>
    <w:unhideWhenUsed/>
    <w:rsid w:val="0059709C"/>
    <w:pPr>
      <w:tabs>
        <w:tab w:val="clear" w:pos="567"/>
      </w:tabs>
      <w:ind w:left="1320" w:hanging="220"/>
    </w:pPr>
  </w:style>
  <w:style w:type="paragraph" w:styleId="Index7">
    <w:name w:val="index 7"/>
    <w:basedOn w:val="Standard"/>
    <w:next w:val="Standard"/>
    <w:autoRedefine/>
    <w:uiPriority w:val="99"/>
    <w:semiHidden/>
    <w:unhideWhenUsed/>
    <w:rsid w:val="0059709C"/>
    <w:pPr>
      <w:tabs>
        <w:tab w:val="clear" w:pos="567"/>
      </w:tabs>
      <w:ind w:left="1540" w:hanging="220"/>
    </w:pPr>
  </w:style>
  <w:style w:type="paragraph" w:styleId="Index8">
    <w:name w:val="index 8"/>
    <w:basedOn w:val="Standard"/>
    <w:next w:val="Standard"/>
    <w:autoRedefine/>
    <w:uiPriority w:val="99"/>
    <w:semiHidden/>
    <w:unhideWhenUsed/>
    <w:rsid w:val="0059709C"/>
    <w:pPr>
      <w:tabs>
        <w:tab w:val="clear" w:pos="567"/>
      </w:tabs>
      <w:ind w:left="1760" w:hanging="220"/>
    </w:pPr>
  </w:style>
  <w:style w:type="paragraph" w:styleId="Index9">
    <w:name w:val="index 9"/>
    <w:basedOn w:val="Standard"/>
    <w:next w:val="Standard"/>
    <w:autoRedefine/>
    <w:uiPriority w:val="99"/>
    <w:semiHidden/>
    <w:unhideWhenUsed/>
    <w:rsid w:val="0059709C"/>
    <w:pPr>
      <w:tabs>
        <w:tab w:val="clear" w:pos="567"/>
      </w:tabs>
      <w:ind w:left="1980" w:hanging="220"/>
    </w:pPr>
  </w:style>
  <w:style w:type="paragraph" w:styleId="Indexberschrift">
    <w:name w:val="index heading"/>
    <w:basedOn w:val="Standard"/>
    <w:next w:val="Index1"/>
    <w:uiPriority w:val="99"/>
    <w:semiHidden/>
    <w:unhideWhenUsed/>
    <w:rsid w:val="0059709C"/>
    <w:rPr>
      <w:rFonts w:ascii="Cambria" w:eastAsia="Times New Roman" w:hAnsi="Cambria"/>
      <w:b/>
      <w:bCs/>
    </w:rPr>
  </w:style>
  <w:style w:type="paragraph" w:styleId="Inhaltsverzeichnisberschrift">
    <w:name w:val="TOC Heading"/>
    <w:basedOn w:val="berschrift1"/>
    <w:next w:val="Standard"/>
    <w:uiPriority w:val="39"/>
    <w:semiHidden/>
    <w:unhideWhenUsed/>
    <w:qFormat/>
    <w:rsid w:val="0059709C"/>
    <w:pPr>
      <w:keepNext/>
      <w:numPr>
        <w:numId w:val="0"/>
      </w:numPr>
      <w:tabs>
        <w:tab w:val="left" w:pos="567"/>
      </w:tabs>
      <w:suppressAutoHyphens w:val="0"/>
      <w:spacing w:after="60"/>
      <w:outlineLvl w:val="9"/>
    </w:pPr>
    <w:rPr>
      <w:rFonts w:ascii="Cambria" w:hAnsi="Cambria" w:cs="Times New Roman"/>
      <w:bCs/>
      <w:caps w:val="0"/>
      <w:snapToGrid w:val="0"/>
      <w:kern w:val="32"/>
      <w:sz w:val="32"/>
      <w:szCs w:val="32"/>
      <w:lang w:val="en-GB" w:bidi="ar-SA"/>
    </w:rPr>
  </w:style>
  <w:style w:type="paragraph" w:styleId="IntensivesZitat">
    <w:name w:val="Intense Quote"/>
    <w:basedOn w:val="Standard"/>
    <w:next w:val="Standard"/>
    <w:link w:val="IntensivesZitatZchn"/>
    <w:uiPriority w:val="30"/>
    <w:qFormat/>
    <w:rsid w:val="0059709C"/>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59709C"/>
    <w:rPr>
      <w:rFonts w:ascii="Times New Roman" w:eastAsia="SimSun" w:hAnsi="Times New Roman"/>
      <w:b/>
      <w:bCs/>
      <w:i/>
      <w:iCs/>
      <w:snapToGrid w:val="0"/>
      <w:color w:val="4F81BD"/>
      <w:sz w:val="22"/>
      <w:lang w:val="en-GB" w:eastAsia="zh-CN"/>
    </w:rPr>
  </w:style>
  <w:style w:type="paragraph" w:styleId="Liste">
    <w:name w:val="List"/>
    <w:basedOn w:val="Standard"/>
    <w:uiPriority w:val="99"/>
    <w:semiHidden/>
    <w:unhideWhenUsed/>
    <w:rsid w:val="0059709C"/>
    <w:pPr>
      <w:ind w:left="283" w:hanging="283"/>
      <w:contextualSpacing/>
    </w:pPr>
  </w:style>
  <w:style w:type="paragraph" w:styleId="Liste2">
    <w:name w:val="List 2"/>
    <w:basedOn w:val="Standard"/>
    <w:uiPriority w:val="99"/>
    <w:semiHidden/>
    <w:unhideWhenUsed/>
    <w:rsid w:val="0059709C"/>
    <w:pPr>
      <w:ind w:left="566" w:hanging="283"/>
      <w:contextualSpacing/>
    </w:pPr>
  </w:style>
  <w:style w:type="paragraph" w:styleId="Liste3">
    <w:name w:val="List 3"/>
    <w:basedOn w:val="Standard"/>
    <w:uiPriority w:val="99"/>
    <w:semiHidden/>
    <w:unhideWhenUsed/>
    <w:rsid w:val="0059709C"/>
    <w:pPr>
      <w:ind w:left="849" w:hanging="283"/>
      <w:contextualSpacing/>
    </w:pPr>
  </w:style>
  <w:style w:type="paragraph" w:styleId="Liste4">
    <w:name w:val="List 4"/>
    <w:basedOn w:val="Standard"/>
    <w:uiPriority w:val="99"/>
    <w:semiHidden/>
    <w:unhideWhenUsed/>
    <w:rsid w:val="0059709C"/>
    <w:pPr>
      <w:ind w:left="1132" w:hanging="283"/>
      <w:contextualSpacing/>
    </w:pPr>
  </w:style>
  <w:style w:type="paragraph" w:styleId="Liste5">
    <w:name w:val="List 5"/>
    <w:basedOn w:val="Standard"/>
    <w:uiPriority w:val="99"/>
    <w:semiHidden/>
    <w:unhideWhenUsed/>
    <w:rsid w:val="0059709C"/>
    <w:pPr>
      <w:ind w:left="1415" w:hanging="283"/>
      <w:contextualSpacing/>
    </w:pPr>
  </w:style>
  <w:style w:type="paragraph" w:styleId="Listenabsatz">
    <w:name w:val="List Paragraph"/>
    <w:basedOn w:val="Standard"/>
    <w:uiPriority w:val="34"/>
    <w:qFormat/>
    <w:rsid w:val="0059709C"/>
    <w:pPr>
      <w:ind w:left="708"/>
    </w:pPr>
  </w:style>
  <w:style w:type="paragraph" w:styleId="Listenfortsetzung">
    <w:name w:val="List Continue"/>
    <w:basedOn w:val="Standard"/>
    <w:uiPriority w:val="99"/>
    <w:semiHidden/>
    <w:unhideWhenUsed/>
    <w:rsid w:val="0059709C"/>
    <w:pPr>
      <w:spacing w:after="120"/>
      <w:ind w:left="283"/>
      <w:contextualSpacing/>
    </w:pPr>
  </w:style>
  <w:style w:type="paragraph" w:styleId="Listenfortsetzung2">
    <w:name w:val="List Continue 2"/>
    <w:basedOn w:val="Standard"/>
    <w:uiPriority w:val="99"/>
    <w:semiHidden/>
    <w:unhideWhenUsed/>
    <w:rsid w:val="0059709C"/>
    <w:pPr>
      <w:spacing w:after="120"/>
      <w:ind w:left="566"/>
      <w:contextualSpacing/>
    </w:pPr>
  </w:style>
  <w:style w:type="paragraph" w:styleId="Listenfortsetzung3">
    <w:name w:val="List Continue 3"/>
    <w:basedOn w:val="Standard"/>
    <w:uiPriority w:val="99"/>
    <w:semiHidden/>
    <w:unhideWhenUsed/>
    <w:rsid w:val="0059709C"/>
    <w:pPr>
      <w:spacing w:after="120"/>
      <w:ind w:left="849"/>
      <w:contextualSpacing/>
    </w:pPr>
  </w:style>
  <w:style w:type="paragraph" w:styleId="Listenfortsetzung4">
    <w:name w:val="List Continue 4"/>
    <w:basedOn w:val="Standard"/>
    <w:uiPriority w:val="99"/>
    <w:semiHidden/>
    <w:unhideWhenUsed/>
    <w:rsid w:val="0059709C"/>
    <w:pPr>
      <w:spacing w:after="120"/>
      <w:ind w:left="1132"/>
      <w:contextualSpacing/>
    </w:pPr>
  </w:style>
  <w:style w:type="paragraph" w:styleId="Listenfortsetzung5">
    <w:name w:val="List Continue 5"/>
    <w:basedOn w:val="Standard"/>
    <w:uiPriority w:val="99"/>
    <w:semiHidden/>
    <w:unhideWhenUsed/>
    <w:rsid w:val="0059709C"/>
    <w:pPr>
      <w:spacing w:after="120"/>
      <w:ind w:left="1415"/>
      <w:contextualSpacing/>
    </w:pPr>
  </w:style>
  <w:style w:type="paragraph" w:styleId="Listennummer">
    <w:name w:val="List Number"/>
    <w:basedOn w:val="Standard"/>
    <w:uiPriority w:val="99"/>
    <w:semiHidden/>
    <w:unhideWhenUsed/>
    <w:rsid w:val="0059709C"/>
    <w:pPr>
      <w:numPr>
        <w:numId w:val="51"/>
      </w:numPr>
      <w:contextualSpacing/>
    </w:pPr>
  </w:style>
  <w:style w:type="paragraph" w:styleId="Listennummer2">
    <w:name w:val="List Number 2"/>
    <w:basedOn w:val="Standard"/>
    <w:uiPriority w:val="99"/>
    <w:semiHidden/>
    <w:unhideWhenUsed/>
    <w:rsid w:val="0059709C"/>
    <w:pPr>
      <w:numPr>
        <w:numId w:val="52"/>
      </w:numPr>
      <w:contextualSpacing/>
    </w:pPr>
  </w:style>
  <w:style w:type="paragraph" w:styleId="Listennummer3">
    <w:name w:val="List Number 3"/>
    <w:basedOn w:val="Standard"/>
    <w:uiPriority w:val="99"/>
    <w:semiHidden/>
    <w:unhideWhenUsed/>
    <w:rsid w:val="0059709C"/>
    <w:pPr>
      <w:numPr>
        <w:numId w:val="53"/>
      </w:numPr>
      <w:contextualSpacing/>
    </w:pPr>
  </w:style>
  <w:style w:type="paragraph" w:styleId="Listennummer4">
    <w:name w:val="List Number 4"/>
    <w:basedOn w:val="Standard"/>
    <w:uiPriority w:val="99"/>
    <w:semiHidden/>
    <w:unhideWhenUsed/>
    <w:rsid w:val="0059709C"/>
    <w:pPr>
      <w:numPr>
        <w:numId w:val="54"/>
      </w:numPr>
      <w:contextualSpacing/>
    </w:pPr>
  </w:style>
  <w:style w:type="paragraph" w:styleId="Listennummer5">
    <w:name w:val="List Number 5"/>
    <w:basedOn w:val="Standard"/>
    <w:uiPriority w:val="99"/>
    <w:semiHidden/>
    <w:unhideWhenUsed/>
    <w:rsid w:val="0059709C"/>
    <w:pPr>
      <w:numPr>
        <w:numId w:val="55"/>
      </w:numPr>
      <w:contextualSpacing/>
    </w:pPr>
  </w:style>
  <w:style w:type="paragraph" w:styleId="Literaturverzeichnis">
    <w:name w:val="Bibliography"/>
    <w:basedOn w:val="Standard"/>
    <w:next w:val="Standard"/>
    <w:uiPriority w:val="37"/>
    <w:semiHidden/>
    <w:unhideWhenUsed/>
    <w:rsid w:val="0059709C"/>
  </w:style>
  <w:style w:type="paragraph" w:styleId="Makrotext">
    <w:name w:val="macro"/>
    <w:link w:val="MakrotextZchn"/>
    <w:uiPriority w:val="99"/>
    <w:semiHidden/>
    <w:unhideWhenUsed/>
    <w:rsid w:val="0059709C"/>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SimSun" w:hAnsi="Courier New" w:cs="Courier New"/>
      <w:snapToGrid w:val="0"/>
      <w:lang w:val="en-GB" w:eastAsia="zh-CN"/>
    </w:rPr>
  </w:style>
  <w:style w:type="character" w:customStyle="1" w:styleId="MakrotextZchn">
    <w:name w:val="Makrotext Zchn"/>
    <w:link w:val="Makrotext"/>
    <w:uiPriority w:val="99"/>
    <w:semiHidden/>
    <w:rsid w:val="0059709C"/>
    <w:rPr>
      <w:rFonts w:ascii="Courier New" w:eastAsia="SimSun" w:hAnsi="Courier New" w:cs="Courier New"/>
      <w:snapToGrid w:val="0"/>
      <w:lang w:val="en-GB" w:eastAsia="zh-CN"/>
    </w:rPr>
  </w:style>
  <w:style w:type="paragraph" w:styleId="Nachrichtenkopf">
    <w:name w:val="Message Header"/>
    <w:basedOn w:val="Standard"/>
    <w:link w:val="NachrichtenkopfZchn"/>
    <w:uiPriority w:val="99"/>
    <w:semiHidden/>
    <w:unhideWhenUsed/>
    <w:rsid w:val="0059709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NachrichtenkopfZchn">
    <w:name w:val="Nachrichtenkopf Zchn"/>
    <w:link w:val="Nachrichtenkopf"/>
    <w:uiPriority w:val="99"/>
    <w:semiHidden/>
    <w:rsid w:val="0059709C"/>
    <w:rPr>
      <w:rFonts w:ascii="Cambria" w:eastAsia="Times New Roman" w:hAnsi="Cambria" w:cs="Times New Roman"/>
      <w:snapToGrid w:val="0"/>
      <w:sz w:val="24"/>
      <w:szCs w:val="24"/>
      <w:shd w:val="pct20" w:color="auto" w:fill="auto"/>
      <w:lang w:val="en-GB" w:eastAsia="zh-CN"/>
    </w:rPr>
  </w:style>
  <w:style w:type="paragraph" w:styleId="NurText">
    <w:name w:val="Plain Text"/>
    <w:basedOn w:val="Standard"/>
    <w:link w:val="NurTextZchn"/>
    <w:uiPriority w:val="99"/>
    <w:semiHidden/>
    <w:unhideWhenUsed/>
    <w:rsid w:val="0059709C"/>
    <w:rPr>
      <w:rFonts w:ascii="Courier New" w:hAnsi="Courier New" w:cs="Courier New"/>
      <w:sz w:val="20"/>
    </w:rPr>
  </w:style>
  <w:style w:type="character" w:customStyle="1" w:styleId="NurTextZchn">
    <w:name w:val="Nur Text Zchn"/>
    <w:link w:val="NurText"/>
    <w:uiPriority w:val="99"/>
    <w:semiHidden/>
    <w:rsid w:val="0059709C"/>
    <w:rPr>
      <w:rFonts w:ascii="Courier New" w:eastAsia="SimSun" w:hAnsi="Courier New" w:cs="Courier New"/>
      <w:snapToGrid w:val="0"/>
      <w:lang w:val="en-GB" w:eastAsia="zh-CN"/>
    </w:rPr>
  </w:style>
  <w:style w:type="paragraph" w:styleId="Rechtsgrundlagenverzeichnis">
    <w:name w:val="table of authorities"/>
    <w:basedOn w:val="Standard"/>
    <w:next w:val="Standard"/>
    <w:uiPriority w:val="99"/>
    <w:semiHidden/>
    <w:unhideWhenUsed/>
    <w:rsid w:val="0059709C"/>
    <w:pPr>
      <w:tabs>
        <w:tab w:val="clear" w:pos="567"/>
      </w:tabs>
      <w:ind w:left="220" w:hanging="220"/>
    </w:pPr>
  </w:style>
  <w:style w:type="paragraph" w:styleId="RGV-berschrift">
    <w:name w:val="toa heading"/>
    <w:basedOn w:val="Standard"/>
    <w:next w:val="Standard"/>
    <w:uiPriority w:val="99"/>
    <w:semiHidden/>
    <w:unhideWhenUsed/>
    <w:rsid w:val="0059709C"/>
    <w:pPr>
      <w:spacing w:before="120"/>
    </w:pPr>
    <w:rPr>
      <w:rFonts w:ascii="Cambria" w:eastAsia="Times New Roman" w:hAnsi="Cambria"/>
      <w:b/>
      <w:bCs/>
      <w:sz w:val="24"/>
      <w:szCs w:val="24"/>
    </w:rPr>
  </w:style>
  <w:style w:type="paragraph" w:styleId="StandardWeb">
    <w:name w:val="Normal (Web)"/>
    <w:basedOn w:val="Standard"/>
    <w:uiPriority w:val="99"/>
    <w:semiHidden/>
    <w:unhideWhenUsed/>
    <w:rsid w:val="0059709C"/>
    <w:rPr>
      <w:sz w:val="24"/>
      <w:szCs w:val="24"/>
    </w:rPr>
  </w:style>
  <w:style w:type="paragraph" w:styleId="Standardeinzug">
    <w:name w:val="Normal Indent"/>
    <w:basedOn w:val="Standard"/>
    <w:uiPriority w:val="99"/>
    <w:semiHidden/>
    <w:unhideWhenUsed/>
    <w:rsid w:val="0059709C"/>
    <w:pPr>
      <w:ind w:left="708"/>
    </w:pPr>
  </w:style>
  <w:style w:type="paragraph" w:styleId="Textkrper2">
    <w:name w:val="Body Text 2"/>
    <w:basedOn w:val="Standard"/>
    <w:link w:val="Textkrper2Zchn"/>
    <w:uiPriority w:val="99"/>
    <w:semiHidden/>
    <w:unhideWhenUsed/>
    <w:rsid w:val="0059709C"/>
    <w:pPr>
      <w:spacing w:after="120" w:line="480" w:lineRule="auto"/>
    </w:pPr>
  </w:style>
  <w:style w:type="character" w:customStyle="1" w:styleId="Textkrper2Zchn">
    <w:name w:val="Textkörper 2 Zchn"/>
    <w:link w:val="Textkrper2"/>
    <w:uiPriority w:val="99"/>
    <w:semiHidden/>
    <w:rsid w:val="0059709C"/>
    <w:rPr>
      <w:rFonts w:ascii="Times New Roman" w:eastAsia="SimSun" w:hAnsi="Times New Roman"/>
      <w:snapToGrid w:val="0"/>
      <w:sz w:val="22"/>
      <w:lang w:val="en-GB" w:eastAsia="zh-CN"/>
    </w:rPr>
  </w:style>
  <w:style w:type="paragraph" w:styleId="Textkrper3">
    <w:name w:val="Body Text 3"/>
    <w:basedOn w:val="Standard"/>
    <w:link w:val="Textkrper3Zchn"/>
    <w:uiPriority w:val="99"/>
    <w:semiHidden/>
    <w:unhideWhenUsed/>
    <w:rsid w:val="0059709C"/>
    <w:pPr>
      <w:spacing w:after="120"/>
    </w:pPr>
    <w:rPr>
      <w:sz w:val="16"/>
      <w:szCs w:val="16"/>
    </w:rPr>
  </w:style>
  <w:style w:type="character" w:customStyle="1" w:styleId="Textkrper3Zchn">
    <w:name w:val="Textkörper 3 Zchn"/>
    <w:link w:val="Textkrper3"/>
    <w:uiPriority w:val="99"/>
    <w:semiHidden/>
    <w:rsid w:val="0059709C"/>
    <w:rPr>
      <w:rFonts w:ascii="Times New Roman" w:eastAsia="SimSun" w:hAnsi="Times New Roman"/>
      <w:snapToGrid w:val="0"/>
      <w:sz w:val="16"/>
      <w:szCs w:val="16"/>
      <w:lang w:val="en-GB" w:eastAsia="zh-CN"/>
    </w:rPr>
  </w:style>
  <w:style w:type="paragraph" w:styleId="Textkrper-Einzug2">
    <w:name w:val="Body Text Indent 2"/>
    <w:basedOn w:val="Standard"/>
    <w:link w:val="Textkrper-Einzug2Zchn"/>
    <w:uiPriority w:val="99"/>
    <w:semiHidden/>
    <w:unhideWhenUsed/>
    <w:rsid w:val="0059709C"/>
    <w:pPr>
      <w:spacing w:after="120" w:line="480" w:lineRule="auto"/>
      <w:ind w:left="283"/>
    </w:pPr>
  </w:style>
  <w:style w:type="character" w:customStyle="1" w:styleId="Textkrper-Einzug2Zchn">
    <w:name w:val="Textkörper-Einzug 2 Zchn"/>
    <w:link w:val="Textkrper-Einzug2"/>
    <w:uiPriority w:val="99"/>
    <w:semiHidden/>
    <w:rsid w:val="0059709C"/>
    <w:rPr>
      <w:rFonts w:ascii="Times New Roman" w:eastAsia="SimSun" w:hAnsi="Times New Roman"/>
      <w:snapToGrid w:val="0"/>
      <w:sz w:val="22"/>
      <w:lang w:val="en-GB" w:eastAsia="zh-CN"/>
    </w:rPr>
  </w:style>
  <w:style w:type="paragraph" w:styleId="Textkrper-Einzug3">
    <w:name w:val="Body Text Indent 3"/>
    <w:basedOn w:val="Standard"/>
    <w:link w:val="Textkrper-Einzug3Zchn"/>
    <w:uiPriority w:val="99"/>
    <w:semiHidden/>
    <w:unhideWhenUsed/>
    <w:rsid w:val="0059709C"/>
    <w:pPr>
      <w:spacing w:after="120"/>
      <w:ind w:left="283"/>
    </w:pPr>
    <w:rPr>
      <w:sz w:val="16"/>
      <w:szCs w:val="16"/>
    </w:rPr>
  </w:style>
  <w:style w:type="character" w:customStyle="1" w:styleId="Textkrper-Einzug3Zchn">
    <w:name w:val="Textkörper-Einzug 3 Zchn"/>
    <w:link w:val="Textkrper-Einzug3"/>
    <w:uiPriority w:val="99"/>
    <w:semiHidden/>
    <w:rsid w:val="0059709C"/>
    <w:rPr>
      <w:rFonts w:ascii="Times New Roman" w:eastAsia="SimSun" w:hAnsi="Times New Roman"/>
      <w:snapToGrid w:val="0"/>
      <w:sz w:val="16"/>
      <w:szCs w:val="16"/>
      <w:lang w:val="en-GB" w:eastAsia="zh-CN"/>
    </w:rPr>
  </w:style>
  <w:style w:type="paragraph" w:styleId="Textkrper-Erstzeileneinzug">
    <w:name w:val="Body Text First Indent"/>
    <w:basedOn w:val="Textkrper"/>
    <w:link w:val="Textkrper-ErstzeileneinzugZchn"/>
    <w:uiPriority w:val="99"/>
    <w:semiHidden/>
    <w:unhideWhenUsed/>
    <w:rsid w:val="0059709C"/>
    <w:pPr>
      <w:tabs>
        <w:tab w:val="left" w:pos="567"/>
      </w:tabs>
      <w:suppressAutoHyphens w:val="0"/>
      <w:spacing w:after="120"/>
      <w:ind w:firstLine="210"/>
    </w:pPr>
    <w:rPr>
      <w:rFonts w:eastAsia="SimSun" w:cs="Times New Roman"/>
      <w:b w:val="0"/>
      <w:i w:val="0"/>
      <w:snapToGrid w:val="0"/>
      <w:lang w:bidi="ar-SA"/>
    </w:rPr>
  </w:style>
  <w:style w:type="character" w:customStyle="1" w:styleId="Textkrper-ErstzeileneinzugZchn">
    <w:name w:val="Textkörper-Erstzeileneinzug Zchn"/>
    <w:link w:val="Textkrper-Erstzeileneinzug"/>
    <w:uiPriority w:val="99"/>
    <w:semiHidden/>
    <w:rsid w:val="0059709C"/>
    <w:rPr>
      <w:rFonts w:ascii="Times New Roman" w:eastAsia="SimSun" w:hAnsi="Times New Roman" w:cs="Angsana New"/>
      <w:b w:val="0"/>
      <w:i w:val="0"/>
      <w:snapToGrid w:val="0"/>
      <w:sz w:val="22"/>
      <w:lang w:val="en-GB" w:eastAsia="zh-CN" w:bidi="th-TH"/>
    </w:rPr>
  </w:style>
  <w:style w:type="paragraph" w:styleId="Textkrper-Zeileneinzug">
    <w:name w:val="Body Text Indent"/>
    <w:basedOn w:val="Standard"/>
    <w:link w:val="Textkrper-ZeileneinzugZchn"/>
    <w:uiPriority w:val="99"/>
    <w:semiHidden/>
    <w:unhideWhenUsed/>
    <w:rsid w:val="0059709C"/>
    <w:pPr>
      <w:spacing w:after="120"/>
      <w:ind w:left="283"/>
    </w:pPr>
  </w:style>
  <w:style w:type="character" w:customStyle="1" w:styleId="Textkrper-ZeileneinzugZchn">
    <w:name w:val="Textkörper-Zeileneinzug Zchn"/>
    <w:link w:val="Textkrper-Zeileneinzug"/>
    <w:uiPriority w:val="99"/>
    <w:semiHidden/>
    <w:rsid w:val="0059709C"/>
    <w:rPr>
      <w:rFonts w:ascii="Times New Roman" w:eastAsia="SimSun" w:hAnsi="Times New Roman"/>
      <w:snapToGrid w:val="0"/>
      <w:sz w:val="22"/>
      <w:lang w:val="en-GB" w:eastAsia="zh-CN"/>
    </w:rPr>
  </w:style>
  <w:style w:type="paragraph" w:styleId="Textkrper-Erstzeileneinzug2">
    <w:name w:val="Body Text First Indent 2"/>
    <w:basedOn w:val="Textkrper-Zeileneinzug"/>
    <w:link w:val="Textkrper-Erstzeileneinzug2Zchn"/>
    <w:uiPriority w:val="99"/>
    <w:semiHidden/>
    <w:unhideWhenUsed/>
    <w:rsid w:val="0059709C"/>
    <w:pPr>
      <w:ind w:firstLine="210"/>
    </w:pPr>
  </w:style>
  <w:style w:type="character" w:customStyle="1" w:styleId="Textkrper-Erstzeileneinzug2Zchn">
    <w:name w:val="Textkörper-Erstzeileneinzug 2 Zchn"/>
    <w:basedOn w:val="Textkrper-ZeileneinzugZchn"/>
    <w:link w:val="Textkrper-Erstzeileneinzug2"/>
    <w:uiPriority w:val="99"/>
    <w:semiHidden/>
    <w:rsid w:val="0059709C"/>
    <w:rPr>
      <w:rFonts w:ascii="Times New Roman" w:eastAsia="SimSun" w:hAnsi="Times New Roman"/>
      <w:snapToGrid w:val="0"/>
      <w:sz w:val="22"/>
      <w:lang w:val="en-GB" w:eastAsia="zh-CN"/>
    </w:rPr>
  </w:style>
  <w:style w:type="paragraph" w:styleId="Titel">
    <w:name w:val="Title"/>
    <w:basedOn w:val="Standard"/>
    <w:next w:val="Standard"/>
    <w:link w:val="TitelZchn"/>
    <w:uiPriority w:val="10"/>
    <w:qFormat/>
    <w:rsid w:val="0059709C"/>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59709C"/>
    <w:rPr>
      <w:rFonts w:ascii="Cambria" w:eastAsia="Times New Roman" w:hAnsi="Cambria" w:cs="Times New Roman"/>
      <w:b/>
      <w:bCs/>
      <w:snapToGrid w:val="0"/>
      <w:kern w:val="28"/>
      <w:sz w:val="32"/>
      <w:szCs w:val="32"/>
      <w:lang w:val="en-GB" w:eastAsia="zh-CN"/>
    </w:rPr>
  </w:style>
  <w:style w:type="paragraph" w:styleId="Umschlagabsenderadresse">
    <w:name w:val="envelope return"/>
    <w:basedOn w:val="Standard"/>
    <w:uiPriority w:val="99"/>
    <w:semiHidden/>
    <w:unhideWhenUsed/>
    <w:rsid w:val="0059709C"/>
    <w:rPr>
      <w:rFonts w:ascii="Cambria" w:eastAsia="Times New Roman" w:hAnsi="Cambria"/>
      <w:sz w:val="20"/>
    </w:rPr>
  </w:style>
  <w:style w:type="paragraph" w:styleId="Umschlagadresse">
    <w:name w:val="envelope address"/>
    <w:basedOn w:val="Standard"/>
    <w:uiPriority w:val="99"/>
    <w:semiHidden/>
    <w:unhideWhenUsed/>
    <w:rsid w:val="0059709C"/>
    <w:pPr>
      <w:framePr w:w="4320" w:h="2160" w:hRule="exact" w:hSpace="141" w:wrap="auto" w:hAnchor="page" w:xAlign="center" w:yAlign="bottom"/>
      <w:ind w:left="1"/>
    </w:pPr>
    <w:rPr>
      <w:rFonts w:ascii="Cambria" w:eastAsia="Times New Roman" w:hAnsi="Cambria"/>
      <w:sz w:val="24"/>
      <w:szCs w:val="24"/>
    </w:rPr>
  </w:style>
  <w:style w:type="paragraph" w:styleId="Unterschrift">
    <w:name w:val="Signature"/>
    <w:basedOn w:val="Standard"/>
    <w:link w:val="UnterschriftZchn"/>
    <w:uiPriority w:val="99"/>
    <w:semiHidden/>
    <w:unhideWhenUsed/>
    <w:rsid w:val="0059709C"/>
    <w:pPr>
      <w:ind w:left="4252"/>
    </w:pPr>
  </w:style>
  <w:style w:type="character" w:customStyle="1" w:styleId="UnterschriftZchn">
    <w:name w:val="Unterschrift Zchn"/>
    <w:link w:val="Unterschrift"/>
    <w:uiPriority w:val="99"/>
    <w:semiHidden/>
    <w:rsid w:val="0059709C"/>
    <w:rPr>
      <w:rFonts w:ascii="Times New Roman" w:eastAsia="SimSun" w:hAnsi="Times New Roman"/>
      <w:snapToGrid w:val="0"/>
      <w:sz w:val="22"/>
      <w:lang w:val="en-GB" w:eastAsia="zh-CN"/>
    </w:rPr>
  </w:style>
  <w:style w:type="paragraph" w:styleId="Untertitel">
    <w:name w:val="Subtitle"/>
    <w:basedOn w:val="Standard"/>
    <w:next w:val="Standard"/>
    <w:link w:val="UntertitelZchn"/>
    <w:uiPriority w:val="11"/>
    <w:qFormat/>
    <w:rsid w:val="0059709C"/>
    <w:pPr>
      <w:spacing w:after="60"/>
      <w:jc w:val="center"/>
      <w:outlineLvl w:val="1"/>
    </w:pPr>
    <w:rPr>
      <w:rFonts w:ascii="Cambria" w:eastAsia="Times New Roman" w:hAnsi="Cambria"/>
      <w:sz w:val="24"/>
      <w:szCs w:val="24"/>
    </w:rPr>
  </w:style>
  <w:style w:type="character" w:customStyle="1" w:styleId="UntertitelZchn">
    <w:name w:val="Untertitel Zchn"/>
    <w:link w:val="Untertitel"/>
    <w:uiPriority w:val="11"/>
    <w:rsid w:val="0059709C"/>
    <w:rPr>
      <w:rFonts w:ascii="Cambria" w:eastAsia="Times New Roman" w:hAnsi="Cambria" w:cs="Times New Roman"/>
      <w:snapToGrid w:val="0"/>
      <w:sz w:val="24"/>
      <w:szCs w:val="24"/>
      <w:lang w:val="en-GB" w:eastAsia="zh-CN"/>
    </w:rPr>
  </w:style>
  <w:style w:type="paragraph" w:styleId="Verzeichnis1">
    <w:name w:val="toc 1"/>
    <w:basedOn w:val="Standard"/>
    <w:next w:val="Standard"/>
    <w:autoRedefine/>
    <w:uiPriority w:val="39"/>
    <w:semiHidden/>
    <w:unhideWhenUsed/>
    <w:rsid w:val="0059709C"/>
    <w:pPr>
      <w:tabs>
        <w:tab w:val="clear" w:pos="567"/>
      </w:tabs>
    </w:pPr>
  </w:style>
  <w:style w:type="paragraph" w:styleId="Verzeichnis2">
    <w:name w:val="toc 2"/>
    <w:basedOn w:val="Standard"/>
    <w:next w:val="Standard"/>
    <w:autoRedefine/>
    <w:uiPriority w:val="39"/>
    <w:semiHidden/>
    <w:unhideWhenUsed/>
    <w:rsid w:val="0059709C"/>
    <w:pPr>
      <w:tabs>
        <w:tab w:val="clear" w:pos="567"/>
      </w:tabs>
      <w:ind w:left="220"/>
    </w:pPr>
  </w:style>
  <w:style w:type="paragraph" w:styleId="Verzeichnis3">
    <w:name w:val="toc 3"/>
    <w:basedOn w:val="Standard"/>
    <w:next w:val="Standard"/>
    <w:autoRedefine/>
    <w:uiPriority w:val="39"/>
    <w:semiHidden/>
    <w:unhideWhenUsed/>
    <w:rsid w:val="0059709C"/>
    <w:pPr>
      <w:tabs>
        <w:tab w:val="clear" w:pos="567"/>
      </w:tabs>
      <w:ind w:left="440"/>
    </w:pPr>
  </w:style>
  <w:style w:type="paragraph" w:styleId="Verzeichnis4">
    <w:name w:val="toc 4"/>
    <w:basedOn w:val="Standard"/>
    <w:next w:val="Standard"/>
    <w:autoRedefine/>
    <w:uiPriority w:val="39"/>
    <w:semiHidden/>
    <w:unhideWhenUsed/>
    <w:rsid w:val="0059709C"/>
    <w:pPr>
      <w:tabs>
        <w:tab w:val="clear" w:pos="567"/>
      </w:tabs>
      <w:ind w:left="660"/>
    </w:pPr>
  </w:style>
  <w:style w:type="paragraph" w:styleId="Verzeichnis5">
    <w:name w:val="toc 5"/>
    <w:basedOn w:val="Standard"/>
    <w:next w:val="Standard"/>
    <w:autoRedefine/>
    <w:uiPriority w:val="39"/>
    <w:semiHidden/>
    <w:unhideWhenUsed/>
    <w:rsid w:val="0059709C"/>
    <w:pPr>
      <w:tabs>
        <w:tab w:val="clear" w:pos="567"/>
      </w:tabs>
      <w:ind w:left="880"/>
    </w:pPr>
  </w:style>
  <w:style w:type="paragraph" w:styleId="Verzeichnis6">
    <w:name w:val="toc 6"/>
    <w:basedOn w:val="Standard"/>
    <w:next w:val="Standard"/>
    <w:autoRedefine/>
    <w:uiPriority w:val="39"/>
    <w:semiHidden/>
    <w:unhideWhenUsed/>
    <w:rsid w:val="0059709C"/>
    <w:pPr>
      <w:tabs>
        <w:tab w:val="clear" w:pos="567"/>
      </w:tabs>
      <w:ind w:left="1100"/>
    </w:pPr>
  </w:style>
  <w:style w:type="paragraph" w:styleId="Verzeichnis7">
    <w:name w:val="toc 7"/>
    <w:basedOn w:val="Standard"/>
    <w:next w:val="Standard"/>
    <w:autoRedefine/>
    <w:uiPriority w:val="39"/>
    <w:semiHidden/>
    <w:unhideWhenUsed/>
    <w:rsid w:val="0059709C"/>
    <w:pPr>
      <w:tabs>
        <w:tab w:val="clear" w:pos="567"/>
      </w:tabs>
      <w:ind w:left="1320"/>
    </w:pPr>
  </w:style>
  <w:style w:type="paragraph" w:styleId="Verzeichnis8">
    <w:name w:val="toc 8"/>
    <w:basedOn w:val="Standard"/>
    <w:next w:val="Standard"/>
    <w:autoRedefine/>
    <w:uiPriority w:val="39"/>
    <w:semiHidden/>
    <w:unhideWhenUsed/>
    <w:rsid w:val="0059709C"/>
    <w:pPr>
      <w:tabs>
        <w:tab w:val="clear" w:pos="567"/>
      </w:tabs>
      <w:ind w:left="1540"/>
    </w:pPr>
  </w:style>
  <w:style w:type="paragraph" w:styleId="Verzeichnis9">
    <w:name w:val="toc 9"/>
    <w:basedOn w:val="Standard"/>
    <w:next w:val="Standard"/>
    <w:autoRedefine/>
    <w:uiPriority w:val="39"/>
    <w:semiHidden/>
    <w:unhideWhenUsed/>
    <w:rsid w:val="0059709C"/>
    <w:pPr>
      <w:tabs>
        <w:tab w:val="clear" w:pos="567"/>
      </w:tabs>
      <w:ind w:left="1760"/>
    </w:pPr>
  </w:style>
  <w:style w:type="paragraph" w:styleId="Zitat">
    <w:name w:val="Quote"/>
    <w:basedOn w:val="Standard"/>
    <w:next w:val="Standard"/>
    <w:link w:val="ZitatZchn"/>
    <w:uiPriority w:val="29"/>
    <w:qFormat/>
    <w:rsid w:val="0059709C"/>
    <w:rPr>
      <w:i/>
      <w:iCs/>
      <w:color w:val="000000"/>
    </w:rPr>
  </w:style>
  <w:style w:type="character" w:customStyle="1" w:styleId="ZitatZchn">
    <w:name w:val="Zitat Zchn"/>
    <w:link w:val="Zitat"/>
    <w:uiPriority w:val="29"/>
    <w:rsid w:val="0059709C"/>
    <w:rPr>
      <w:rFonts w:ascii="Times New Roman" w:eastAsia="SimSun" w:hAnsi="Times New Roman"/>
      <w:i/>
      <w:iCs/>
      <w:snapToGrid w:val="0"/>
      <w:color w:val="000000"/>
      <w:sz w:val="22"/>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5899"/>
    <w:pPr>
      <w:tabs>
        <w:tab w:val="left" w:pos="567"/>
      </w:tabs>
      <w:spacing w:line="260" w:lineRule="exact"/>
    </w:pPr>
    <w:rPr>
      <w:rFonts w:ascii="Times New Roman" w:eastAsia="SimSun" w:hAnsi="Times New Roman"/>
      <w:snapToGrid w:val="0"/>
      <w:sz w:val="22"/>
      <w:lang w:val="en-GB" w:eastAsia="zh-CN"/>
    </w:rPr>
  </w:style>
  <w:style w:type="paragraph" w:styleId="berschrift1">
    <w:name w:val="heading 1"/>
    <w:basedOn w:val="Standard"/>
    <w:next w:val="Standard"/>
    <w:link w:val="berschrift1Zchn"/>
    <w:qFormat/>
    <w:rsid w:val="009765BA"/>
    <w:pPr>
      <w:numPr>
        <w:numId w:val="36"/>
      </w:numPr>
      <w:tabs>
        <w:tab w:val="clear" w:pos="567"/>
      </w:tabs>
      <w:suppressAutoHyphens/>
      <w:spacing w:before="240" w:after="120"/>
      <w:outlineLvl w:val="0"/>
    </w:pPr>
    <w:rPr>
      <w:rFonts w:eastAsia="Times New Roman" w:cs="Angsana New"/>
      <w:b/>
      <w:caps/>
      <w:snapToGrid/>
      <w:sz w:val="26"/>
      <w:lang w:val="en-US" w:bidi="th-TH"/>
    </w:rPr>
  </w:style>
  <w:style w:type="paragraph" w:styleId="berschrift2">
    <w:name w:val="heading 2"/>
    <w:basedOn w:val="Standard"/>
    <w:next w:val="Standard"/>
    <w:link w:val="berschrift2Zchn"/>
    <w:qFormat/>
    <w:rsid w:val="009765BA"/>
    <w:pPr>
      <w:keepNext/>
      <w:numPr>
        <w:ilvl w:val="1"/>
        <w:numId w:val="36"/>
      </w:numPr>
      <w:tabs>
        <w:tab w:val="clear" w:pos="567"/>
      </w:tabs>
      <w:suppressAutoHyphens/>
      <w:spacing w:before="240" w:after="60"/>
      <w:outlineLvl w:val="1"/>
    </w:pPr>
    <w:rPr>
      <w:rFonts w:ascii="Helvetica" w:eastAsia="Times New Roman" w:hAnsi="Helvetica" w:cs="Angsana New"/>
      <w:b/>
      <w:i/>
      <w:snapToGrid/>
      <w:sz w:val="24"/>
      <w:lang w:bidi="th-TH"/>
    </w:rPr>
  </w:style>
  <w:style w:type="paragraph" w:styleId="berschrift3">
    <w:name w:val="heading 3"/>
    <w:basedOn w:val="Standard"/>
    <w:next w:val="Standard"/>
    <w:link w:val="berschrift3Zchn"/>
    <w:qFormat/>
    <w:rsid w:val="009765BA"/>
    <w:pPr>
      <w:keepNext/>
      <w:keepLines/>
      <w:numPr>
        <w:ilvl w:val="2"/>
        <w:numId w:val="36"/>
      </w:numPr>
      <w:tabs>
        <w:tab w:val="clear" w:pos="567"/>
      </w:tabs>
      <w:suppressAutoHyphens/>
      <w:spacing w:before="120" w:after="80"/>
      <w:outlineLvl w:val="2"/>
    </w:pPr>
    <w:rPr>
      <w:rFonts w:eastAsia="Times New Roman" w:cs="Angsana New"/>
      <w:b/>
      <w:snapToGrid/>
      <w:kern w:val="1"/>
      <w:sz w:val="24"/>
      <w:lang w:val="en-US" w:bidi="th-TH"/>
    </w:rPr>
  </w:style>
  <w:style w:type="paragraph" w:styleId="berschrift4">
    <w:name w:val="heading 4"/>
    <w:basedOn w:val="Standard"/>
    <w:next w:val="Standard"/>
    <w:link w:val="berschrift4Zchn"/>
    <w:qFormat/>
    <w:rsid w:val="009765BA"/>
    <w:pPr>
      <w:keepNext/>
      <w:numPr>
        <w:ilvl w:val="3"/>
        <w:numId w:val="36"/>
      </w:numPr>
      <w:tabs>
        <w:tab w:val="clear" w:pos="567"/>
      </w:tabs>
      <w:suppressAutoHyphens/>
      <w:jc w:val="both"/>
      <w:outlineLvl w:val="3"/>
    </w:pPr>
    <w:rPr>
      <w:rFonts w:eastAsia="Times New Roman" w:cs="Angsana New"/>
      <w:b/>
      <w:snapToGrid/>
      <w:lang w:bidi="th-TH"/>
    </w:rPr>
  </w:style>
  <w:style w:type="paragraph" w:styleId="berschrift5">
    <w:name w:val="heading 5"/>
    <w:basedOn w:val="Standard"/>
    <w:next w:val="Standard"/>
    <w:link w:val="berschrift5Zchn"/>
    <w:qFormat/>
    <w:rsid w:val="009765BA"/>
    <w:pPr>
      <w:keepNext/>
      <w:numPr>
        <w:ilvl w:val="4"/>
        <w:numId w:val="36"/>
      </w:numPr>
      <w:tabs>
        <w:tab w:val="clear" w:pos="567"/>
      </w:tabs>
      <w:suppressAutoHyphens/>
      <w:jc w:val="both"/>
      <w:outlineLvl w:val="4"/>
    </w:pPr>
    <w:rPr>
      <w:rFonts w:eastAsia="Times New Roman" w:cs="Angsana New"/>
      <w:snapToGrid/>
      <w:lang w:bidi="th-TH"/>
    </w:rPr>
  </w:style>
  <w:style w:type="paragraph" w:styleId="berschrift6">
    <w:name w:val="heading 6"/>
    <w:basedOn w:val="Standard"/>
    <w:next w:val="Standard"/>
    <w:link w:val="berschrift6Zchn"/>
    <w:qFormat/>
    <w:rsid w:val="009765BA"/>
    <w:pPr>
      <w:keepNext/>
      <w:numPr>
        <w:ilvl w:val="5"/>
        <w:numId w:val="36"/>
      </w:numPr>
      <w:tabs>
        <w:tab w:val="left" w:pos="4536"/>
      </w:tabs>
      <w:suppressAutoHyphens/>
      <w:outlineLvl w:val="5"/>
    </w:pPr>
    <w:rPr>
      <w:rFonts w:eastAsia="Times New Roman" w:cs="Angsana New"/>
      <w:i/>
      <w:snapToGrid/>
      <w:lang w:bidi="th-TH"/>
    </w:rPr>
  </w:style>
  <w:style w:type="paragraph" w:styleId="berschrift7">
    <w:name w:val="heading 7"/>
    <w:basedOn w:val="Standard"/>
    <w:next w:val="Standard"/>
    <w:link w:val="berschrift7Zchn"/>
    <w:qFormat/>
    <w:rsid w:val="009765BA"/>
    <w:pPr>
      <w:keepNext/>
      <w:numPr>
        <w:ilvl w:val="6"/>
        <w:numId w:val="36"/>
      </w:numPr>
      <w:tabs>
        <w:tab w:val="left" w:pos="4536"/>
      </w:tabs>
      <w:suppressAutoHyphens/>
      <w:jc w:val="both"/>
      <w:outlineLvl w:val="6"/>
    </w:pPr>
    <w:rPr>
      <w:rFonts w:eastAsia="Times New Roman" w:cs="Angsana New"/>
      <w:i/>
      <w:snapToGrid/>
      <w:lang w:bidi="th-TH"/>
    </w:rPr>
  </w:style>
  <w:style w:type="paragraph" w:styleId="berschrift8">
    <w:name w:val="heading 8"/>
    <w:basedOn w:val="Standard"/>
    <w:next w:val="Standard"/>
    <w:link w:val="berschrift8Zchn"/>
    <w:qFormat/>
    <w:rsid w:val="009765BA"/>
    <w:pPr>
      <w:keepNext/>
      <w:numPr>
        <w:ilvl w:val="7"/>
        <w:numId w:val="36"/>
      </w:numPr>
      <w:tabs>
        <w:tab w:val="clear" w:pos="567"/>
      </w:tabs>
      <w:suppressAutoHyphens/>
      <w:jc w:val="both"/>
      <w:outlineLvl w:val="7"/>
    </w:pPr>
    <w:rPr>
      <w:rFonts w:eastAsia="Times New Roman" w:cs="Angsana New"/>
      <w:b/>
      <w:i/>
      <w:snapToGrid/>
      <w:lang w:bidi="th-TH"/>
    </w:rPr>
  </w:style>
  <w:style w:type="paragraph" w:styleId="berschrift9">
    <w:name w:val="heading 9"/>
    <w:basedOn w:val="Standard"/>
    <w:next w:val="Standard"/>
    <w:link w:val="berschrift9Zchn"/>
    <w:qFormat/>
    <w:rsid w:val="009765BA"/>
    <w:pPr>
      <w:keepNext/>
      <w:numPr>
        <w:ilvl w:val="8"/>
        <w:numId w:val="36"/>
      </w:numPr>
      <w:tabs>
        <w:tab w:val="clear" w:pos="567"/>
      </w:tabs>
      <w:suppressAutoHyphens/>
      <w:jc w:val="both"/>
      <w:outlineLvl w:val="8"/>
    </w:pPr>
    <w:rPr>
      <w:rFonts w:eastAsia="Times New Roman" w:cs="Angsana New"/>
      <w:b/>
      <w:i/>
      <w:snapToGrid/>
      <w:lang w:bidi="th-T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B5899"/>
    <w:rPr>
      <w:sz w:val="22"/>
      <w:szCs w:val="22"/>
      <w:lang w:val="hu-HU" w:eastAsia="en-US"/>
    </w:rPr>
  </w:style>
  <w:style w:type="paragraph" w:customStyle="1" w:styleId="Default">
    <w:name w:val="Default"/>
    <w:rsid w:val="004B5899"/>
    <w:pPr>
      <w:autoSpaceDE w:val="0"/>
      <w:autoSpaceDN w:val="0"/>
      <w:adjustRightInd w:val="0"/>
    </w:pPr>
    <w:rPr>
      <w:rFonts w:ascii="Times New Roman" w:hAnsi="Times New Roman"/>
      <w:color w:val="000000"/>
      <w:sz w:val="24"/>
      <w:szCs w:val="24"/>
      <w:lang w:val="hu-HU" w:eastAsia="en-US"/>
    </w:rPr>
  </w:style>
  <w:style w:type="table" w:styleId="Tabellenraster">
    <w:name w:val="Table Grid"/>
    <w:basedOn w:val="NormaleTabelle"/>
    <w:uiPriority w:val="59"/>
    <w:rsid w:val="004B5899"/>
    <w:rPr>
      <w:lang w:eastAsia="hu-H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semiHidden/>
    <w:rsid w:val="004B5899"/>
    <w:rPr>
      <w:rFonts w:ascii="Tahoma" w:hAnsi="Tahoma"/>
      <w:sz w:val="16"/>
      <w:szCs w:val="16"/>
    </w:rPr>
  </w:style>
  <w:style w:type="character" w:customStyle="1" w:styleId="SprechblasentextZchn">
    <w:name w:val="Sprechblasentext Zchn"/>
    <w:link w:val="Sprechblasentext"/>
    <w:semiHidden/>
    <w:rsid w:val="004B5899"/>
    <w:rPr>
      <w:rFonts w:ascii="Tahoma" w:eastAsia="SimSun" w:hAnsi="Tahoma" w:cs="Tahoma"/>
      <w:snapToGrid w:val="0"/>
      <w:sz w:val="16"/>
      <w:szCs w:val="16"/>
      <w:lang w:val="en-GB" w:eastAsia="zh-CN"/>
    </w:rPr>
  </w:style>
  <w:style w:type="character" w:styleId="Kommentarzeichen">
    <w:name w:val="annotation reference"/>
    <w:semiHidden/>
    <w:rsid w:val="004B5899"/>
    <w:rPr>
      <w:sz w:val="16"/>
      <w:szCs w:val="16"/>
    </w:rPr>
  </w:style>
  <w:style w:type="paragraph" w:styleId="Kommentartext">
    <w:name w:val="annotation text"/>
    <w:aliases w:val="Comment Text Char"/>
    <w:basedOn w:val="Standard"/>
    <w:link w:val="KommentartextZchn"/>
    <w:semiHidden/>
    <w:rsid w:val="004B5899"/>
    <w:rPr>
      <w:sz w:val="20"/>
    </w:rPr>
  </w:style>
  <w:style w:type="character" w:customStyle="1" w:styleId="KommentartextZchn">
    <w:name w:val="Kommentartext Zchn"/>
    <w:aliases w:val="Comment Text Char Zchn"/>
    <w:link w:val="Kommentartext"/>
    <w:semiHidden/>
    <w:rsid w:val="004B5899"/>
    <w:rPr>
      <w:rFonts w:ascii="Times New Roman" w:eastAsia="SimSun" w:hAnsi="Times New Roman" w:cs="Times New Roman"/>
      <w:snapToGrid w:val="0"/>
      <w:sz w:val="20"/>
      <w:szCs w:val="20"/>
      <w:lang w:val="en-GB" w:eastAsia="zh-CN"/>
    </w:rPr>
  </w:style>
  <w:style w:type="paragraph" w:styleId="Kommentarthema">
    <w:name w:val="annotation subject"/>
    <w:basedOn w:val="Kommentartext"/>
    <w:next w:val="Kommentartext"/>
    <w:link w:val="KommentarthemaZchn"/>
    <w:semiHidden/>
    <w:rsid w:val="004B5899"/>
    <w:rPr>
      <w:b/>
      <w:bCs/>
    </w:rPr>
  </w:style>
  <w:style w:type="character" w:customStyle="1" w:styleId="KommentarthemaZchn">
    <w:name w:val="Kommentarthema Zchn"/>
    <w:link w:val="Kommentarthema"/>
    <w:semiHidden/>
    <w:rsid w:val="004B5899"/>
    <w:rPr>
      <w:rFonts w:ascii="Times New Roman" w:eastAsia="SimSun" w:hAnsi="Times New Roman" w:cs="Times New Roman"/>
      <w:b/>
      <w:bCs/>
      <w:snapToGrid w:val="0"/>
      <w:sz w:val="20"/>
      <w:szCs w:val="20"/>
      <w:lang w:val="en-GB" w:eastAsia="zh-CN"/>
    </w:rPr>
  </w:style>
  <w:style w:type="paragraph" w:customStyle="1" w:styleId="NoSpacing1">
    <w:name w:val="No Spacing1"/>
    <w:basedOn w:val="Standard"/>
    <w:uiPriority w:val="1"/>
    <w:qFormat/>
    <w:rsid w:val="00171AC0"/>
    <w:pPr>
      <w:tabs>
        <w:tab w:val="clear" w:pos="567"/>
      </w:tabs>
      <w:spacing w:line="240" w:lineRule="auto"/>
    </w:pPr>
    <w:rPr>
      <w:rFonts w:eastAsia="Times New Roman" w:cs="Vrinda"/>
      <w:snapToGrid/>
      <w:szCs w:val="22"/>
      <w:lang w:val="en-US" w:eastAsia="en-US" w:bidi="en-US"/>
    </w:rPr>
  </w:style>
  <w:style w:type="paragraph" w:styleId="Endnotentext">
    <w:name w:val="endnote text"/>
    <w:basedOn w:val="Standard"/>
    <w:next w:val="Standard"/>
    <w:link w:val="EndnotentextZchn"/>
    <w:semiHidden/>
    <w:rsid w:val="00153411"/>
    <w:pPr>
      <w:tabs>
        <w:tab w:val="clear" w:pos="567"/>
      </w:tabs>
      <w:suppressAutoHyphens/>
      <w:spacing w:line="260" w:lineRule="atLeast"/>
    </w:pPr>
    <w:rPr>
      <w:rFonts w:eastAsia="Times New Roman" w:cs="Angsana New"/>
      <w:snapToGrid/>
      <w:lang w:bidi="th-TH"/>
    </w:rPr>
  </w:style>
  <w:style w:type="character" w:customStyle="1" w:styleId="EndnotentextZchn">
    <w:name w:val="Endnotentext Zchn"/>
    <w:link w:val="Endnotentext"/>
    <w:rsid w:val="00153411"/>
    <w:rPr>
      <w:rFonts w:ascii="Times New Roman" w:eastAsia="Times New Roman" w:hAnsi="Times New Roman" w:cs="Angsana New"/>
      <w:sz w:val="22"/>
      <w:lang w:val="en-GB" w:bidi="th-TH"/>
    </w:rPr>
  </w:style>
  <w:style w:type="paragraph" w:customStyle="1" w:styleId="WW-NormlWeb">
    <w:name w:val="WW-Normál (Web)"/>
    <w:basedOn w:val="Standard"/>
    <w:rsid w:val="00611231"/>
    <w:pPr>
      <w:tabs>
        <w:tab w:val="clear" w:pos="567"/>
      </w:tabs>
      <w:suppressAutoHyphens/>
      <w:spacing w:before="100" w:after="119" w:line="260" w:lineRule="atLeast"/>
    </w:pPr>
    <w:rPr>
      <w:rFonts w:ascii="Arial Unicode MS" w:eastAsia="Arial Unicode MS" w:hAnsi="Arial Unicode MS" w:cs="Angsana New"/>
      <w:snapToGrid/>
      <w:sz w:val="24"/>
      <w:lang w:val="hu-HU" w:bidi="th-TH"/>
    </w:rPr>
  </w:style>
  <w:style w:type="paragraph" w:customStyle="1" w:styleId="WW-BodyText3">
    <w:name w:val="WW-Body Text 3"/>
    <w:basedOn w:val="Standard"/>
    <w:rsid w:val="00611231"/>
    <w:pPr>
      <w:tabs>
        <w:tab w:val="clear" w:pos="567"/>
      </w:tabs>
      <w:suppressAutoHyphens/>
      <w:spacing w:line="240" w:lineRule="auto"/>
    </w:pPr>
    <w:rPr>
      <w:rFonts w:eastAsia="Times New Roman" w:cs="Angsana New"/>
      <w:snapToGrid/>
      <w:sz w:val="24"/>
      <w:lang w:val="hu-HU" w:eastAsia="de-DE" w:bidi="th-TH"/>
    </w:rPr>
  </w:style>
  <w:style w:type="paragraph" w:customStyle="1" w:styleId="Listlevel2">
    <w:name w:val="List level 2"/>
    <w:basedOn w:val="Standard"/>
    <w:rsid w:val="00611231"/>
    <w:pPr>
      <w:tabs>
        <w:tab w:val="clear" w:pos="567"/>
      </w:tabs>
      <w:spacing w:before="40" w:after="20" w:line="240" w:lineRule="auto"/>
      <w:ind w:left="850" w:hanging="425"/>
    </w:pPr>
    <w:rPr>
      <w:rFonts w:eastAsia="Times New Roman" w:cs="Angsana New"/>
      <w:snapToGrid/>
      <w:sz w:val="24"/>
      <w:lang w:val="en-US" w:eastAsia="en-US" w:bidi="th-TH"/>
    </w:rPr>
  </w:style>
  <w:style w:type="paragraph" w:styleId="Kopfzeile">
    <w:name w:val="header"/>
    <w:basedOn w:val="Standard"/>
    <w:link w:val="KopfzeileZchn"/>
    <w:unhideWhenUsed/>
    <w:rsid w:val="00823810"/>
    <w:pPr>
      <w:tabs>
        <w:tab w:val="clear" w:pos="567"/>
        <w:tab w:val="center" w:pos="4536"/>
        <w:tab w:val="right" w:pos="9072"/>
      </w:tabs>
    </w:pPr>
  </w:style>
  <w:style w:type="character" w:customStyle="1" w:styleId="KopfzeileZchn">
    <w:name w:val="Kopfzeile Zchn"/>
    <w:link w:val="Kopfzeile"/>
    <w:uiPriority w:val="99"/>
    <w:rsid w:val="00823810"/>
    <w:rPr>
      <w:rFonts w:ascii="Times New Roman" w:eastAsia="SimSun" w:hAnsi="Times New Roman"/>
      <w:snapToGrid w:val="0"/>
      <w:sz w:val="22"/>
      <w:lang w:val="en-GB" w:eastAsia="zh-CN"/>
    </w:rPr>
  </w:style>
  <w:style w:type="paragraph" w:styleId="Fuzeile">
    <w:name w:val="footer"/>
    <w:aliases w:val="Footer Char1,Footer Char2 Char,Footer Char1 Char Char,Footer Char2 Char Char1 Char,Footer Char1 Char Char Char Char1,Footer Char1 Char Char Char Char1 Char Char,Footer Char2 Char Char1 Char Char Char Char Char Char"/>
    <w:basedOn w:val="Standard"/>
    <w:link w:val="FuzeileZchn"/>
    <w:uiPriority w:val="99"/>
    <w:unhideWhenUsed/>
    <w:rsid w:val="00823810"/>
    <w:pPr>
      <w:tabs>
        <w:tab w:val="clear" w:pos="567"/>
        <w:tab w:val="center" w:pos="4536"/>
        <w:tab w:val="right" w:pos="9072"/>
      </w:tabs>
    </w:pPr>
  </w:style>
  <w:style w:type="character" w:customStyle="1" w:styleId="FuzeileZchn">
    <w:name w:val="Fußzeile Zchn"/>
    <w:aliases w:val="Footer Char1 Zchn,Footer Char2 Char Zchn,Footer Char1 Char Char Zchn,Footer Char2 Char Char1 Char Zchn,Footer Char1 Char Char Char Char1 Zchn,Footer Char1 Char Char Char Char1 Char Char Zchn"/>
    <w:link w:val="Fuzeile"/>
    <w:uiPriority w:val="99"/>
    <w:rsid w:val="00823810"/>
    <w:rPr>
      <w:rFonts w:ascii="Times New Roman" w:eastAsia="SimSun" w:hAnsi="Times New Roman"/>
      <w:snapToGrid w:val="0"/>
      <w:sz w:val="22"/>
      <w:lang w:val="en-GB" w:eastAsia="zh-CN"/>
    </w:rPr>
  </w:style>
  <w:style w:type="paragraph" w:customStyle="1" w:styleId="NormalParagraphStyle">
    <w:name w:val="NormalParagraphStyle"/>
    <w:basedOn w:val="Standard"/>
    <w:rsid w:val="00D723FA"/>
    <w:pPr>
      <w:widowControl w:val="0"/>
      <w:tabs>
        <w:tab w:val="clear" w:pos="567"/>
      </w:tabs>
      <w:autoSpaceDE w:val="0"/>
      <w:autoSpaceDN w:val="0"/>
      <w:adjustRightInd w:val="0"/>
      <w:spacing w:line="288" w:lineRule="auto"/>
      <w:textAlignment w:val="center"/>
    </w:pPr>
    <w:rPr>
      <w:rFonts w:ascii="Times-Roman" w:eastAsia="Times New Roman" w:hAnsi="Times-Roman"/>
      <w:snapToGrid/>
      <w:color w:val="000000"/>
      <w:sz w:val="24"/>
      <w:szCs w:val="24"/>
      <w:lang w:eastAsia="en-US"/>
    </w:rPr>
  </w:style>
  <w:style w:type="character" w:styleId="Hyperlink">
    <w:name w:val="Hyperlink"/>
    <w:aliases w:val="Footer Char1 Char,Footer Char2 Char Char1,Footer Char1 Char Char Char,Footer Char2 Char Char1 Char Char,Footer Char1 Char Char Char Char1 Char,Footer Char1 Char Char Char Char1 Char Char Char,Footer Char2"/>
    <w:uiPriority w:val="99"/>
    <w:rsid w:val="00D87767"/>
    <w:rPr>
      <w:color w:val="0000FF"/>
      <w:u w:val="single"/>
    </w:rPr>
  </w:style>
  <w:style w:type="paragraph" w:styleId="berarbeitung">
    <w:name w:val="Revision"/>
    <w:hidden/>
    <w:uiPriority w:val="99"/>
    <w:semiHidden/>
    <w:rsid w:val="00E70B52"/>
    <w:rPr>
      <w:rFonts w:ascii="Times New Roman" w:eastAsia="SimSun" w:hAnsi="Times New Roman"/>
      <w:snapToGrid w:val="0"/>
      <w:sz w:val="22"/>
      <w:lang w:val="en-GB" w:eastAsia="zh-CN"/>
    </w:rPr>
  </w:style>
  <w:style w:type="character" w:customStyle="1" w:styleId="EndnoteTextChar1">
    <w:name w:val="Endnote Text Char1"/>
    <w:rsid w:val="008B2F28"/>
    <w:rPr>
      <w:rFonts w:cs="Angsana New"/>
      <w:sz w:val="22"/>
      <w:lang w:val="en-GB" w:bidi="th-TH"/>
    </w:rPr>
  </w:style>
  <w:style w:type="paragraph" w:styleId="Textkrper">
    <w:name w:val="Body Text"/>
    <w:basedOn w:val="Standard"/>
    <w:link w:val="TextkrperZchn"/>
    <w:rsid w:val="00F15175"/>
    <w:pPr>
      <w:tabs>
        <w:tab w:val="clear" w:pos="567"/>
      </w:tabs>
      <w:suppressAutoHyphens/>
    </w:pPr>
    <w:rPr>
      <w:rFonts w:eastAsia="Times New Roman" w:cs="Angsana New"/>
      <w:b/>
      <w:i/>
      <w:snapToGrid/>
      <w:lang w:bidi="th-TH"/>
    </w:rPr>
  </w:style>
  <w:style w:type="character" w:customStyle="1" w:styleId="TextkrperZchn">
    <w:name w:val="Textkörper Zchn"/>
    <w:link w:val="Textkrper"/>
    <w:rsid w:val="00F15175"/>
    <w:rPr>
      <w:rFonts w:ascii="Times New Roman" w:eastAsia="Times New Roman" w:hAnsi="Times New Roman" w:cs="Angsana New"/>
      <w:b/>
      <w:i/>
      <w:sz w:val="22"/>
      <w:lang w:val="en-GB" w:bidi="th-TH"/>
    </w:rPr>
  </w:style>
  <w:style w:type="character" w:customStyle="1" w:styleId="berschrift1Zchn">
    <w:name w:val="Überschrift 1 Zchn"/>
    <w:link w:val="berschrift1"/>
    <w:rsid w:val="009765BA"/>
    <w:rPr>
      <w:rFonts w:ascii="Times New Roman" w:eastAsia="Times New Roman" w:hAnsi="Times New Roman" w:cs="Angsana New"/>
      <w:b/>
      <w:caps/>
      <w:sz w:val="26"/>
      <w:lang w:val="en-US" w:bidi="th-TH"/>
    </w:rPr>
  </w:style>
  <w:style w:type="character" w:customStyle="1" w:styleId="berschrift2Zchn">
    <w:name w:val="Überschrift 2 Zchn"/>
    <w:link w:val="berschrift2"/>
    <w:rsid w:val="009765BA"/>
    <w:rPr>
      <w:rFonts w:ascii="Helvetica" w:eastAsia="Times New Roman" w:hAnsi="Helvetica" w:cs="Angsana New"/>
      <w:b/>
      <w:i/>
      <w:sz w:val="24"/>
      <w:lang w:val="en-GB" w:bidi="th-TH"/>
    </w:rPr>
  </w:style>
  <w:style w:type="character" w:customStyle="1" w:styleId="berschrift3Zchn">
    <w:name w:val="Überschrift 3 Zchn"/>
    <w:link w:val="berschrift3"/>
    <w:rsid w:val="009765BA"/>
    <w:rPr>
      <w:rFonts w:ascii="Times New Roman" w:eastAsia="Times New Roman" w:hAnsi="Times New Roman" w:cs="Angsana New"/>
      <w:b/>
      <w:kern w:val="1"/>
      <w:sz w:val="24"/>
      <w:lang w:val="en-US" w:bidi="th-TH"/>
    </w:rPr>
  </w:style>
  <w:style w:type="character" w:customStyle="1" w:styleId="berschrift4Zchn">
    <w:name w:val="Überschrift 4 Zchn"/>
    <w:link w:val="berschrift4"/>
    <w:rsid w:val="009765BA"/>
    <w:rPr>
      <w:rFonts w:ascii="Times New Roman" w:eastAsia="Times New Roman" w:hAnsi="Times New Roman" w:cs="Angsana New"/>
      <w:b/>
      <w:sz w:val="22"/>
      <w:lang w:bidi="th-TH"/>
    </w:rPr>
  </w:style>
  <w:style w:type="character" w:customStyle="1" w:styleId="berschrift5Zchn">
    <w:name w:val="Überschrift 5 Zchn"/>
    <w:link w:val="berschrift5"/>
    <w:rsid w:val="009765BA"/>
    <w:rPr>
      <w:rFonts w:ascii="Times New Roman" w:eastAsia="Times New Roman" w:hAnsi="Times New Roman" w:cs="Angsana New"/>
      <w:sz w:val="22"/>
      <w:lang w:bidi="th-TH"/>
    </w:rPr>
  </w:style>
  <w:style w:type="character" w:customStyle="1" w:styleId="berschrift6Zchn">
    <w:name w:val="Überschrift 6 Zchn"/>
    <w:link w:val="berschrift6"/>
    <w:rsid w:val="009765BA"/>
    <w:rPr>
      <w:rFonts w:ascii="Times New Roman" w:eastAsia="Times New Roman" w:hAnsi="Times New Roman" w:cs="Angsana New"/>
      <w:i/>
      <w:sz w:val="22"/>
      <w:lang w:val="en-GB" w:bidi="th-TH"/>
    </w:rPr>
  </w:style>
  <w:style w:type="character" w:customStyle="1" w:styleId="berschrift7Zchn">
    <w:name w:val="Überschrift 7 Zchn"/>
    <w:link w:val="berschrift7"/>
    <w:rsid w:val="009765BA"/>
    <w:rPr>
      <w:rFonts w:ascii="Times New Roman" w:eastAsia="Times New Roman" w:hAnsi="Times New Roman" w:cs="Angsana New"/>
      <w:i/>
      <w:sz w:val="22"/>
      <w:lang w:val="en-GB" w:bidi="th-TH"/>
    </w:rPr>
  </w:style>
  <w:style w:type="character" w:customStyle="1" w:styleId="berschrift8Zchn">
    <w:name w:val="Überschrift 8 Zchn"/>
    <w:link w:val="berschrift8"/>
    <w:rsid w:val="009765BA"/>
    <w:rPr>
      <w:rFonts w:ascii="Times New Roman" w:eastAsia="Times New Roman" w:hAnsi="Times New Roman" w:cs="Angsana New"/>
      <w:b/>
      <w:i/>
      <w:sz w:val="22"/>
      <w:lang w:val="en-GB" w:bidi="th-TH"/>
    </w:rPr>
  </w:style>
  <w:style w:type="character" w:customStyle="1" w:styleId="berschrift9Zchn">
    <w:name w:val="Überschrift 9 Zchn"/>
    <w:link w:val="berschrift9"/>
    <w:rsid w:val="009765BA"/>
    <w:rPr>
      <w:rFonts w:ascii="Times New Roman" w:eastAsia="Times New Roman" w:hAnsi="Times New Roman" w:cs="Angsana New"/>
      <w:b/>
      <w:i/>
      <w:sz w:val="22"/>
      <w:lang w:val="en-GB" w:bidi="th-TH"/>
    </w:rPr>
  </w:style>
  <w:style w:type="paragraph" w:customStyle="1" w:styleId="Table">
    <w:name w:val="Table"/>
    <w:basedOn w:val="Standard"/>
    <w:link w:val="TableChar"/>
    <w:rsid w:val="009765BA"/>
    <w:pPr>
      <w:keepNext/>
      <w:keepLines/>
      <w:tabs>
        <w:tab w:val="clear" w:pos="567"/>
        <w:tab w:val="left" w:pos="284"/>
      </w:tabs>
      <w:spacing w:before="40" w:after="20" w:line="240" w:lineRule="auto"/>
    </w:pPr>
    <w:rPr>
      <w:rFonts w:ascii="Arial" w:eastAsia="Times New Roman" w:hAnsi="Arial" w:cs="Angsana New"/>
      <w:snapToGrid/>
      <w:sz w:val="20"/>
      <w:lang w:val="en-US" w:eastAsia="en-US" w:bidi="th-TH"/>
    </w:rPr>
  </w:style>
  <w:style w:type="character" w:customStyle="1" w:styleId="TableChar">
    <w:name w:val="Table Char"/>
    <w:link w:val="Table"/>
    <w:rsid w:val="009765BA"/>
    <w:rPr>
      <w:rFonts w:ascii="Arial" w:eastAsia="Times New Roman" w:hAnsi="Arial" w:cs="Angsana New"/>
      <w:lang w:val="en-US" w:eastAsia="en-US" w:bidi="th-TH"/>
    </w:rPr>
  </w:style>
  <w:style w:type="character" w:customStyle="1" w:styleId="WW8Num1z0">
    <w:name w:val="WW8Num1z0"/>
    <w:rsid w:val="009827D6"/>
    <w:rPr>
      <w:rFonts w:ascii="Thorndale" w:hAnsi="Thorndale" w:cs="Times New Roman"/>
    </w:rPr>
  </w:style>
  <w:style w:type="character" w:customStyle="1" w:styleId="WW8Num6z0">
    <w:name w:val="WW8Num6z0"/>
    <w:rsid w:val="00402806"/>
    <w:rPr>
      <w:rFonts w:ascii="Thorndale" w:hAnsi="Thorndale" w:cs="Times New Roman"/>
    </w:rPr>
  </w:style>
  <w:style w:type="paragraph" w:customStyle="1" w:styleId="TitleB">
    <w:name w:val="Title B"/>
    <w:basedOn w:val="KeinLeerraum"/>
    <w:qFormat/>
    <w:rsid w:val="00561EE7"/>
    <w:pPr>
      <w:ind w:left="720" w:hanging="720"/>
    </w:pPr>
    <w:rPr>
      <w:rFonts w:ascii="Times New Roman" w:hAnsi="Times New Roman"/>
      <w:b/>
    </w:rPr>
  </w:style>
  <w:style w:type="paragraph" w:customStyle="1" w:styleId="TitleA">
    <w:name w:val="Title A"/>
    <w:basedOn w:val="NoSpacing1"/>
    <w:qFormat/>
    <w:rsid w:val="00291EEB"/>
    <w:pPr>
      <w:numPr>
        <w:numId w:val="5"/>
      </w:numPr>
      <w:jc w:val="center"/>
    </w:pPr>
    <w:rPr>
      <w:rFonts w:cs="Times New Roman"/>
      <w:b/>
      <w:bCs/>
      <w:lang w:val="hu-HU"/>
    </w:rPr>
  </w:style>
  <w:style w:type="paragraph" w:styleId="Abbildungsverzeichnis">
    <w:name w:val="table of figures"/>
    <w:basedOn w:val="Standard"/>
    <w:next w:val="Standard"/>
    <w:uiPriority w:val="99"/>
    <w:semiHidden/>
    <w:unhideWhenUsed/>
    <w:rsid w:val="0059709C"/>
    <w:pPr>
      <w:tabs>
        <w:tab w:val="clear" w:pos="567"/>
      </w:tabs>
    </w:pPr>
  </w:style>
  <w:style w:type="paragraph" w:styleId="Anrede">
    <w:name w:val="Salutation"/>
    <w:basedOn w:val="Standard"/>
    <w:next w:val="Standard"/>
    <w:link w:val="AnredeZchn"/>
    <w:uiPriority w:val="99"/>
    <w:semiHidden/>
    <w:unhideWhenUsed/>
    <w:rsid w:val="0059709C"/>
  </w:style>
  <w:style w:type="character" w:customStyle="1" w:styleId="AnredeZchn">
    <w:name w:val="Anrede Zchn"/>
    <w:link w:val="Anrede"/>
    <w:uiPriority w:val="99"/>
    <w:semiHidden/>
    <w:rsid w:val="0059709C"/>
    <w:rPr>
      <w:rFonts w:ascii="Times New Roman" w:eastAsia="SimSun" w:hAnsi="Times New Roman"/>
      <w:snapToGrid w:val="0"/>
      <w:sz w:val="22"/>
      <w:lang w:val="en-GB" w:eastAsia="zh-CN"/>
    </w:rPr>
  </w:style>
  <w:style w:type="paragraph" w:styleId="Aufzhlungszeichen">
    <w:name w:val="List Bullet"/>
    <w:basedOn w:val="Standard"/>
    <w:uiPriority w:val="99"/>
    <w:semiHidden/>
    <w:unhideWhenUsed/>
    <w:rsid w:val="0059709C"/>
    <w:pPr>
      <w:numPr>
        <w:numId w:val="46"/>
      </w:numPr>
      <w:contextualSpacing/>
    </w:pPr>
  </w:style>
  <w:style w:type="paragraph" w:styleId="Aufzhlungszeichen2">
    <w:name w:val="List Bullet 2"/>
    <w:basedOn w:val="Standard"/>
    <w:uiPriority w:val="99"/>
    <w:semiHidden/>
    <w:unhideWhenUsed/>
    <w:rsid w:val="0059709C"/>
    <w:pPr>
      <w:numPr>
        <w:numId w:val="47"/>
      </w:numPr>
      <w:contextualSpacing/>
    </w:pPr>
  </w:style>
  <w:style w:type="paragraph" w:styleId="Aufzhlungszeichen3">
    <w:name w:val="List Bullet 3"/>
    <w:basedOn w:val="Standard"/>
    <w:uiPriority w:val="99"/>
    <w:semiHidden/>
    <w:unhideWhenUsed/>
    <w:rsid w:val="0059709C"/>
    <w:pPr>
      <w:numPr>
        <w:numId w:val="48"/>
      </w:numPr>
      <w:contextualSpacing/>
    </w:pPr>
  </w:style>
  <w:style w:type="paragraph" w:styleId="Aufzhlungszeichen4">
    <w:name w:val="List Bullet 4"/>
    <w:basedOn w:val="Standard"/>
    <w:uiPriority w:val="99"/>
    <w:semiHidden/>
    <w:unhideWhenUsed/>
    <w:rsid w:val="0059709C"/>
    <w:pPr>
      <w:numPr>
        <w:numId w:val="49"/>
      </w:numPr>
      <w:contextualSpacing/>
    </w:pPr>
  </w:style>
  <w:style w:type="paragraph" w:styleId="Aufzhlungszeichen5">
    <w:name w:val="List Bullet 5"/>
    <w:basedOn w:val="Standard"/>
    <w:uiPriority w:val="99"/>
    <w:semiHidden/>
    <w:unhideWhenUsed/>
    <w:rsid w:val="0059709C"/>
    <w:pPr>
      <w:numPr>
        <w:numId w:val="50"/>
      </w:numPr>
      <w:contextualSpacing/>
    </w:pPr>
  </w:style>
  <w:style w:type="paragraph" w:styleId="Beschriftung">
    <w:name w:val="caption"/>
    <w:basedOn w:val="Standard"/>
    <w:next w:val="Standard"/>
    <w:uiPriority w:val="35"/>
    <w:semiHidden/>
    <w:unhideWhenUsed/>
    <w:qFormat/>
    <w:rsid w:val="0059709C"/>
    <w:rPr>
      <w:b/>
      <w:bCs/>
      <w:sz w:val="20"/>
    </w:rPr>
  </w:style>
  <w:style w:type="paragraph" w:styleId="Blocktext">
    <w:name w:val="Block Text"/>
    <w:basedOn w:val="Standard"/>
    <w:uiPriority w:val="99"/>
    <w:semiHidden/>
    <w:unhideWhenUsed/>
    <w:rsid w:val="0059709C"/>
    <w:pPr>
      <w:spacing w:after="120"/>
      <w:ind w:left="1440" w:right="1440"/>
    </w:pPr>
  </w:style>
  <w:style w:type="paragraph" w:styleId="Datum">
    <w:name w:val="Date"/>
    <w:basedOn w:val="Standard"/>
    <w:next w:val="Standard"/>
    <w:link w:val="DatumZchn"/>
    <w:uiPriority w:val="99"/>
    <w:semiHidden/>
    <w:unhideWhenUsed/>
    <w:rsid w:val="0059709C"/>
  </w:style>
  <w:style w:type="character" w:customStyle="1" w:styleId="DatumZchn">
    <w:name w:val="Datum Zchn"/>
    <w:link w:val="Datum"/>
    <w:uiPriority w:val="99"/>
    <w:semiHidden/>
    <w:rsid w:val="0059709C"/>
    <w:rPr>
      <w:rFonts w:ascii="Times New Roman" w:eastAsia="SimSun" w:hAnsi="Times New Roman"/>
      <w:snapToGrid w:val="0"/>
      <w:sz w:val="22"/>
      <w:lang w:val="en-GB" w:eastAsia="zh-CN"/>
    </w:rPr>
  </w:style>
  <w:style w:type="paragraph" w:styleId="Dokumentstruktur">
    <w:name w:val="Document Map"/>
    <w:basedOn w:val="Standard"/>
    <w:link w:val="DokumentstrukturZchn"/>
    <w:uiPriority w:val="99"/>
    <w:semiHidden/>
    <w:unhideWhenUsed/>
    <w:rsid w:val="0059709C"/>
    <w:rPr>
      <w:rFonts w:ascii="Tahoma" w:hAnsi="Tahoma" w:cs="Tahoma"/>
      <w:sz w:val="16"/>
      <w:szCs w:val="16"/>
    </w:rPr>
  </w:style>
  <w:style w:type="character" w:customStyle="1" w:styleId="DokumentstrukturZchn">
    <w:name w:val="Dokumentstruktur Zchn"/>
    <w:link w:val="Dokumentstruktur"/>
    <w:uiPriority w:val="99"/>
    <w:semiHidden/>
    <w:rsid w:val="0059709C"/>
    <w:rPr>
      <w:rFonts w:ascii="Tahoma" w:eastAsia="SimSun" w:hAnsi="Tahoma" w:cs="Tahoma"/>
      <w:snapToGrid w:val="0"/>
      <w:sz w:val="16"/>
      <w:szCs w:val="16"/>
      <w:lang w:val="en-GB" w:eastAsia="zh-CN"/>
    </w:rPr>
  </w:style>
  <w:style w:type="paragraph" w:styleId="E-Mail-Signatur">
    <w:name w:val="E-mail Signature"/>
    <w:basedOn w:val="Standard"/>
    <w:link w:val="E-Mail-SignaturZchn"/>
    <w:uiPriority w:val="99"/>
    <w:semiHidden/>
    <w:unhideWhenUsed/>
    <w:rsid w:val="0059709C"/>
  </w:style>
  <w:style w:type="character" w:customStyle="1" w:styleId="E-Mail-SignaturZchn">
    <w:name w:val="E-Mail-Signatur Zchn"/>
    <w:link w:val="E-Mail-Signatur"/>
    <w:uiPriority w:val="99"/>
    <w:semiHidden/>
    <w:rsid w:val="0059709C"/>
    <w:rPr>
      <w:rFonts w:ascii="Times New Roman" w:eastAsia="SimSun" w:hAnsi="Times New Roman"/>
      <w:snapToGrid w:val="0"/>
      <w:sz w:val="22"/>
      <w:lang w:val="en-GB" w:eastAsia="zh-CN"/>
    </w:rPr>
  </w:style>
  <w:style w:type="paragraph" w:styleId="Fu-Endnotenberschrift">
    <w:name w:val="Note Heading"/>
    <w:basedOn w:val="Standard"/>
    <w:next w:val="Standard"/>
    <w:link w:val="Fu-EndnotenberschriftZchn"/>
    <w:uiPriority w:val="99"/>
    <w:semiHidden/>
    <w:unhideWhenUsed/>
    <w:rsid w:val="0059709C"/>
  </w:style>
  <w:style w:type="character" w:customStyle="1" w:styleId="Fu-EndnotenberschriftZchn">
    <w:name w:val="Fuß/-Endnotenüberschrift Zchn"/>
    <w:link w:val="Fu-Endnotenberschrift"/>
    <w:uiPriority w:val="99"/>
    <w:semiHidden/>
    <w:rsid w:val="0059709C"/>
    <w:rPr>
      <w:rFonts w:ascii="Times New Roman" w:eastAsia="SimSun" w:hAnsi="Times New Roman"/>
      <w:snapToGrid w:val="0"/>
      <w:sz w:val="22"/>
      <w:lang w:val="en-GB" w:eastAsia="zh-CN"/>
    </w:rPr>
  </w:style>
  <w:style w:type="paragraph" w:styleId="Funotentext">
    <w:name w:val="footnote text"/>
    <w:basedOn w:val="Standard"/>
    <w:link w:val="FunotentextZchn"/>
    <w:uiPriority w:val="99"/>
    <w:semiHidden/>
    <w:unhideWhenUsed/>
    <w:rsid w:val="0059709C"/>
    <w:rPr>
      <w:sz w:val="20"/>
    </w:rPr>
  </w:style>
  <w:style w:type="character" w:customStyle="1" w:styleId="FunotentextZchn">
    <w:name w:val="Fußnotentext Zchn"/>
    <w:link w:val="Funotentext"/>
    <w:uiPriority w:val="99"/>
    <w:semiHidden/>
    <w:rsid w:val="0059709C"/>
    <w:rPr>
      <w:rFonts w:ascii="Times New Roman" w:eastAsia="SimSun" w:hAnsi="Times New Roman"/>
      <w:snapToGrid w:val="0"/>
      <w:lang w:val="en-GB" w:eastAsia="zh-CN"/>
    </w:rPr>
  </w:style>
  <w:style w:type="paragraph" w:styleId="Gruformel">
    <w:name w:val="Closing"/>
    <w:basedOn w:val="Standard"/>
    <w:link w:val="GruformelZchn"/>
    <w:uiPriority w:val="99"/>
    <w:semiHidden/>
    <w:unhideWhenUsed/>
    <w:rsid w:val="0059709C"/>
    <w:pPr>
      <w:ind w:left="4252"/>
    </w:pPr>
  </w:style>
  <w:style w:type="character" w:customStyle="1" w:styleId="GruformelZchn">
    <w:name w:val="Grußformel Zchn"/>
    <w:link w:val="Gruformel"/>
    <w:uiPriority w:val="99"/>
    <w:semiHidden/>
    <w:rsid w:val="0059709C"/>
    <w:rPr>
      <w:rFonts w:ascii="Times New Roman" w:eastAsia="SimSun" w:hAnsi="Times New Roman"/>
      <w:snapToGrid w:val="0"/>
      <w:sz w:val="22"/>
      <w:lang w:val="en-GB" w:eastAsia="zh-CN"/>
    </w:rPr>
  </w:style>
  <w:style w:type="paragraph" w:styleId="HTMLAdresse">
    <w:name w:val="HTML Address"/>
    <w:basedOn w:val="Standard"/>
    <w:link w:val="HTMLAdresseZchn"/>
    <w:uiPriority w:val="99"/>
    <w:semiHidden/>
    <w:unhideWhenUsed/>
    <w:rsid w:val="0059709C"/>
    <w:rPr>
      <w:i/>
      <w:iCs/>
    </w:rPr>
  </w:style>
  <w:style w:type="character" w:customStyle="1" w:styleId="HTMLAdresseZchn">
    <w:name w:val="HTML Adresse Zchn"/>
    <w:link w:val="HTMLAdresse"/>
    <w:uiPriority w:val="99"/>
    <w:semiHidden/>
    <w:rsid w:val="0059709C"/>
    <w:rPr>
      <w:rFonts w:ascii="Times New Roman" w:eastAsia="SimSun" w:hAnsi="Times New Roman"/>
      <w:i/>
      <w:iCs/>
      <w:snapToGrid w:val="0"/>
      <w:sz w:val="22"/>
      <w:lang w:val="en-GB" w:eastAsia="zh-CN"/>
    </w:rPr>
  </w:style>
  <w:style w:type="paragraph" w:styleId="HTMLVorformatiert">
    <w:name w:val="HTML Preformatted"/>
    <w:basedOn w:val="Standard"/>
    <w:link w:val="HTMLVorformatiertZchn"/>
    <w:uiPriority w:val="99"/>
    <w:semiHidden/>
    <w:unhideWhenUsed/>
    <w:rsid w:val="0059709C"/>
    <w:rPr>
      <w:rFonts w:ascii="Courier New" w:hAnsi="Courier New" w:cs="Courier New"/>
      <w:sz w:val="20"/>
    </w:rPr>
  </w:style>
  <w:style w:type="character" w:customStyle="1" w:styleId="HTMLVorformatiertZchn">
    <w:name w:val="HTML Vorformatiert Zchn"/>
    <w:link w:val="HTMLVorformatiert"/>
    <w:uiPriority w:val="99"/>
    <w:semiHidden/>
    <w:rsid w:val="0059709C"/>
    <w:rPr>
      <w:rFonts w:ascii="Courier New" w:eastAsia="SimSun" w:hAnsi="Courier New" w:cs="Courier New"/>
      <w:snapToGrid w:val="0"/>
      <w:lang w:val="en-GB" w:eastAsia="zh-CN"/>
    </w:rPr>
  </w:style>
  <w:style w:type="paragraph" w:styleId="Index1">
    <w:name w:val="index 1"/>
    <w:basedOn w:val="Standard"/>
    <w:next w:val="Standard"/>
    <w:autoRedefine/>
    <w:uiPriority w:val="99"/>
    <w:semiHidden/>
    <w:unhideWhenUsed/>
    <w:rsid w:val="0059709C"/>
    <w:pPr>
      <w:tabs>
        <w:tab w:val="clear" w:pos="567"/>
      </w:tabs>
      <w:ind w:left="220" w:hanging="220"/>
    </w:pPr>
  </w:style>
  <w:style w:type="paragraph" w:styleId="Index2">
    <w:name w:val="index 2"/>
    <w:basedOn w:val="Standard"/>
    <w:next w:val="Standard"/>
    <w:autoRedefine/>
    <w:uiPriority w:val="99"/>
    <w:semiHidden/>
    <w:unhideWhenUsed/>
    <w:rsid w:val="0059709C"/>
    <w:pPr>
      <w:tabs>
        <w:tab w:val="clear" w:pos="567"/>
      </w:tabs>
      <w:ind w:left="440" w:hanging="220"/>
    </w:pPr>
  </w:style>
  <w:style w:type="paragraph" w:styleId="Index3">
    <w:name w:val="index 3"/>
    <w:basedOn w:val="Standard"/>
    <w:next w:val="Standard"/>
    <w:autoRedefine/>
    <w:uiPriority w:val="99"/>
    <w:semiHidden/>
    <w:unhideWhenUsed/>
    <w:rsid w:val="0059709C"/>
    <w:pPr>
      <w:tabs>
        <w:tab w:val="clear" w:pos="567"/>
      </w:tabs>
      <w:ind w:left="660" w:hanging="220"/>
    </w:pPr>
  </w:style>
  <w:style w:type="paragraph" w:styleId="Index4">
    <w:name w:val="index 4"/>
    <w:basedOn w:val="Standard"/>
    <w:next w:val="Standard"/>
    <w:autoRedefine/>
    <w:uiPriority w:val="99"/>
    <w:semiHidden/>
    <w:unhideWhenUsed/>
    <w:rsid w:val="0059709C"/>
    <w:pPr>
      <w:tabs>
        <w:tab w:val="clear" w:pos="567"/>
      </w:tabs>
      <w:ind w:left="880" w:hanging="220"/>
    </w:pPr>
  </w:style>
  <w:style w:type="paragraph" w:styleId="Index5">
    <w:name w:val="index 5"/>
    <w:basedOn w:val="Standard"/>
    <w:next w:val="Standard"/>
    <w:autoRedefine/>
    <w:uiPriority w:val="99"/>
    <w:semiHidden/>
    <w:unhideWhenUsed/>
    <w:rsid w:val="0059709C"/>
    <w:pPr>
      <w:tabs>
        <w:tab w:val="clear" w:pos="567"/>
      </w:tabs>
      <w:ind w:left="1100" w:hanging="220"/>
    </w:pPr>
  </w:style>
  <w:style w:type="paragraph" w:styleId="Index6">
    <w:name w:val="index 6"/>
    <w:basedOn w:val="Standard"/>
    <w:next w:val="Standard"/>
    <w:autoRedefine/>
    <w:uiPriority w:val="99"/>
    <w:semiHidden/>
    <w:unhideWhenUsed/>
    <w:rsid w:val="0059709C"/>
    <w:pPr>
      <w:tabs>
        <w:tab w:val="clear" w:pos="567"/>
      </w:tabs>
      <w:ind w:left="1320" w:hanging="220"/>
    </w:pPr>
  </w:style>
  <w:style w:type="paragraph" w:styleId="Index7">
    <w:name w:val="index 7"/>
    <w:basedOn w:val="Standard"/>
    <w:next w:val="Standard"/>
    <w:autoRedefine/>
    <w:uiPriority w:val="99"/>
    <w:semiHidden/>
    <w:unhideWhenUsed/>
    <w:rsid w:val="0059709C"/>
    <w:pPr>
      <w:tabs>
        <w:tab w:val="clear" w:pos="567"/>
      </w:tabs>
      <w:ind w:left="1540" w:hanging="220"/>
    </w:pPr>
  </w:style>
  <w:style w:type="paragraph" w:styleId="Index8">
    <w:name w:val="index 8"/>
    <w:basedOn w:val="Standard"/>
    <w:next w:val="Standard"/>
    <w:autoRedefine/>
    <w:uiPriority w:val="99"/>
    <w:semiHidden/>
    <w:unhideWhenUsed/>
    <w:rsid w:val="0059709C"/>
    <w:pPr>
      <w:tabs>
        <w:tab w:val="clear" w:pos="567"/>
      </w:tabs>
      <w:ind w:left="1760" w:hanging="220"/>
    </w:pPr>
  </w:style>
  <w:style w:type="paragraph" w:styleId="Index9">
    <w:name w:val="index 9"/>
    <w:basedOn w:val="Standard"/>
    <w:next w:val="Standard"/>
    <w:autoRedefine/>
    <w:uiPriority w:val="99"/>
    <w:semiHidden/>
    <w:unhideWhenUsed/>
    <w:rsid w:val="0059709C"/>
    <w:pPr>
      <w:tabs>
        <w:tab w:val="clear" w:pos="567"/>
      </w:tabs>
      <w:ind w:left="1980" w:hanging="220"/>
    </w:pPr>
  </w:style>
  <w:style w:type="paragraph" w:styleId="Indexberschrift">
    <w:name w:val="index heading"/>
    <w:basedOn w:val="Standard"/>
    <w:next w:val="Index1"/>
    <w:uiPriority w:val="99"/>
    <w:semiHidden/>
    <w:unhideWhenUsed/>
    <w:rsid w:val="0059709C"/>
    <w:rPr>
      <w:rFonts w:ascii="Cambria" w:eastAsia="Times New Roman" w:hAnsi="Cambria"/>
      <w:b/>
      <w:bCs/>
    </w:rPr>
  </w:style>
  <w:style w:type="paragraph" w:styleId="Inhaltsverzeichnisberschrift">
    <w:name w:val="TOC Heading"/>
    <w:basedOn w:val="berschrift1"/>
    <w:next w:val="Standard"/>
    <w:uiPriority w:val="39"/>
    <w:semiHidden/>
    <w:unhideWhenUsed/>
    <w:qFormat/>
    <w:rsid w:val="0059709C"/>
    <w:pPr>
      <w:keepNext/>
      <w:numPr>
        <w:numId w:val="0"/>
      </w:numPr>
      <w:tabs>
        <w:tab w:val="left" w:pos="567"/>
      </w:tabs>
      <w:suppressAutoHyphens w:val="0"/>
      <w:spacing w:after="60"/>
      <w:outlineLvl w:val="9"/>
    </w:pPr>
    <w:rPr>
      <w:rFonts w:ascii="Cambria" w:hAnsi="Cambria" w:cs="Times New Roman"/>
      <w:bCs/>
      <w:caps w:val="0"/>
      <w:snapToGrid w:val="0"/>
      <w:kern w:val="32"/>
      <w:sz w:val="32"/>
      <w:szCs w:val="32"/>
      <w:lang w:val="en-GB" w:bidi="ar-SA"/>
    </w:rPr>
  </w:style>
  <w:style w:type="paragraph" w:styleId="IntensivesZitat">
    <w:name w:val="Intense Quote"/>
    <w:basedOn w:val="Standard"/>
    <w:next w:val="Standard"/>
    <w:link w:val="IntensivesZitatZchn"/>
    <w:uiPriority w:val="30"/>
    <w:qFormat/>
    <w:rsid w:val="0059709C"/>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59709C"/>
    <w:rPr>
      <w:rFonts w:ascii="Times New Roman" w:eastAsia="SimSun" w:hAnsi="Times New Roman"/>
      <w:b/>
      <w:bCs/>
      <w:i/>
      <w:iCs/>
      <w:snapToGrid w:val="0"/>
      <w:color w:val="4F81BD"/>
      <w:sz w:val="22"/>
      <w:lang w:val="en-GB" w:eastAsia="zh-CN"/>
    </w:rPr>
  </w:style>
  <w:style w:type="paragraph" w:styleId="Liste">
    <w:name w:val="List"/>
    <w:basedOn w:val="Standard"/>
    <w:uiPriority w:val="99"/>
    <w:semiHidden/>
    <w:unhideWhenUsed/>
    <w:rsid w:val="0059709C"/>
    <w:pPr>
      <w:ind w:left="283" w:hanging="283"/>
      <w:contextualSpacing/>
    </w:pPr>
  </w:style>
  <w:style w:type="paragraph" w:styleId="Liste2">
    <w:name w:val="List 2"/>
    <w:basedOn w:val="Standard"/>
    <w:uiPriority w:val="99"/>
    <w:semiHidden/>
    <w:unhideWhenUsed/>
    <w:rsid w:val="0059709C"/>
    <w:pPr>
      <w:ind w:left="566" w:hanging="283"/>
      <w:contextualSpacing/>
    </w:pPr>
  </w:style>
  <w:style w:type="paragraph" w:styleId="Liste3">
    <w:name w:val="List 3"/>
    <w:basedOn w:val="Standard"/>
    <w:uiPriority w:val="99"/>
    <w:semiHidden/>
    <w:unhideWhenUsed/>
    <w:rsid w:val="0059709C"/>
    <w:pPr>
      <w:ind w:left="849" w:hanging="283"/>
      <w:contextualSpacing/>
    </w:pPr>
  </w:style>
  <w:style w:type="paragraph" w:styleId="Liste4">
    <w:name w:val="List 4"/>
    <w:basedOn w:val="Standard"/>
    <w:uiPriority w:val="99"/>
    <w:semiHidden/>
    <w:unhideWhenUsed/>
    <w:rsid w:val="0059709C"/>
    <w:pPr>
      <w:ind w:left="1132" w:hanging="283"/>
      <w:contextualSpacing/>
    </w:pPr>
  </w:style>
  <w:style w:type="paragraph" w:styleId="Liste5">
    <w:name w:val="List 5"/>
    <w:basedOn w:val="Standard"/>
    <w:uiPriority w:val="99"/>
    <w:semiHidden/>
    <w:unhideWhenUsed/>
    <w:rsid w:val="0059709C"/>
    <w:pPr>
      <w:ind w:left="1415" w:hanging="283"/>
      <w:contextualSpacing/>
    </w:pPr>
  </w:style>
  <w:style w:type="paragraph" w:styleId="Listenabsatz">
    <w:name w:val="List Paragraph"/>
    <w:basedOn w:val="Standard"/>
    <w:uiPriority w:val="34"/>
    <w:qFormat/>
    <w:rsid w:val="0059709C"/>
    <w:pPr>
      <w:ind w:left="708"/>
    </w:pPr>
  </w:style>
  <w:style w:type="paragraph" w:styleId="Listenfortsetzung">
    <w:name w:val="List Continue"/>
    <w:basedOn w:val="Standard"/>
    <w:uiPriority w:val="99"/>
    <w:semiHidden/>
    <w:unhideWhenUsed/>
    <w:rsid w:val="0059709C"/>
    <w:pPr>
      <w:spacing w:after="120"/>
      <w:ind w:left="283"/>
      <w:contextualSpacing/>
    </w:pPr>
  </w:style>
  <w:style w:type="paragraph" w:styleId="Listenfortsetzung2">
    <w:name w:val="List Continue 2"/>
    <w:basedOn w:val="Standard"/>
    <w:uiPriority w:val="99"/>
    <w:semiHidden/>
    <w:unhideWhenUsed/>
    <w:rsid w:val="0059709C"/>
    <w:pPr>
      <w:spacing w:after="120"/>
      <w:ind w:left="566"/>
      <w:contextualSpacing/>
    </w:pPr>
  </w:style>
  <w:style w:type="paragraph" w:styleId="Listenfortsetzung3">
    <w:name w:val="List Continue 3"/>
    <w:basedOn w:val="Standard"/>
    <w:uiPriority w:val="99"/>
    <w:semiHidden/>
    <w:unhideWhenUsed/>
    <w:rsid w:val="0059709C"/>
    <w:pPr>
      <w:spacing w:after="120"/>
      <w:ind w:left="849"/>
      <w:contextualSpacing/>
    </w:pPr>
  </w:style>
  <w:style w:type="paragraph" w:styleId="Listenfortsetzung4">
    <w:name w:val="List Continue 4"/>
    <w:basedOn w:val="Standard"/>
    <w:uiPriority w:val="99"/>
    <w:semiHidden/>
    <w:unhideWhenUsed/>
    <w:rsid w:val="0059709C"/>
    <w:pPr>
      <w:spacing w:after="120"/>
      <w:ind w:left="1132"/>
      <w:contextualSpacing/>
    </w:pPr>
  </w:style>
  <w:style w:type="paragraph" w:styleId="Listenfortsetzung5">
    <w:name w:val="List Continue 5"/>
    <w:basedOn w:val="Standard"/>
    <w:uiPriority w:val="99"/>
    <w:semiHidden/>
    <w:unhideWhenUsed/>
    <w:rsid w:val="0059709C"/>
    <w:pPr>
      <w:spacing w:after="120"/>
      <w:ind w:left="1415"/>
      <w:contextualSpacing/>
    </w:pPr>
  </w:style>
  <w:style w:type="paragraph" w:styleId="Listennummer">
    <w:name w:val="List Number"/>
    <w:basedOn w:val="Standard"/>
    <w:uiPriority w:val="99"/>
    <w:semiHidden/>
    <w:unhideWhenUsed/>
    <w:rsid w:val="0059709C"/>
    <w:pPr>
      <w:numPr>
        <w:numId w:val="51"/>
      </w:numPr>
      <w:contextualSpacing/>
    </w:pPr>
  </w:style>
  <w:style w:type="paragraph" w:styleId="Listennummer2">
    <w:name w:val="List Number 2"/>
    <w:basedOn w:val="Standard"/>
    <w:uiPriority w:val="99"/>
    <w:semiHidden/>
    <w:unhideWhenUsed/>
    <w:rsid w:val="0059709C"/>
    <w:pPr>
      <w:numPr>
        <w:numId w:val="52"/>
      </w:numPr>
      <w:contextualSpacing/>
    </w:pPr>
  </w:style>
  <w:style w:type="paragraph" w:styleId="Listennummer3">
    <w:name w:val="List Number 3"/>
    <w:basedOn w:val="Standard"/>
    <w:uiPriority w:val="99"/>
    <w:semiHidden/>
    <w:unhideWhenUsed/>
    <w:rsid w:val="0059709C"/>
    <w:pPr>
      <w:numPr>
        <w:numId w:val="53"/>
      </w:numPr>
      <w:contextualSpacing/>
    </w:pPr>
  </w:style>
  <w:style w:type="paragraph" w:styleId="Listennummer4">
    <w:name w:val="List Number 4"/>
    <w:basedOn w:val="Standard"/>
    <w:uiPriority w:val="99"/>
    <w:semiHidden/>
    <w:unhideWhenUsed/>
    <w:rsid w:val="0059709C"/>
    <w:pPr>
      <w:numPr>
        <w:numId w:val="54"/>
      </w:numPr>
      <w:contextualSpacing/>
    </w:pPr>
  </w:style>
  <w:style w:type="paragraph" w:styleId="Listennummer5">
    <w:name w:val="List Number 5"/>
    <w:basedOn w:val="Standard"/>
    <w:uiPriority w:val="99"/>
    <w:semiHidden/>
    <w:unhideWhenUsed/>
    <w:rsid w:val="0059709C"/>
    <w:pPr>
      <w:numPr>
        <w:numId w:val="55"/>
      </w:numPr>
      <w:contextualSpacing/>
    </w:pPr>
  </w:style>
  <w:style w:type="paragraph" w:styleId="Literaturverzeichnis">
    <w:name w:val="Bibliography"/>
    <w:basedOn w:val="Standard"/>
    <w:next w:val="Standard"/>
    <w:uiPriority w:val="37"/>
    <w:semiHidden/>
    <w:unhideWhenUsed/>
    <w:rsid w:val="0059709C"/>
  </w:style>
  <w:style w:type="paragraph" w:styleId="Makrotext">
    <w:name w:val="macro"/>
    <w:link w:val="MakrotextZchn"/>
    <w:uiPriority w:val="99"/>
    <w:semiHidden/>
    <w:unhideWhenUsed/>
    <w:rsid w:val="0059709C"/>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SimSun" w:hAnsi="Courier New" w:cs="Courier New"/>
      <w:snapToGrid w:val="0"/>
      <w:lang w:val="en-GB" w:eastAsia="zh-CN"/>
    </w:rPr>
  </w:style>
  <w:style w:type="character" w:customStyle="1" w:styleId="MakrotextZchn">
    <w:name w:val="Makrotext Zchn"/>
    <w:link w:val="Makrotext"/>
    <w:uiPriority w:val="99"/>
    <w:semiHidden/>
    <w:rsid w:val="0059709C"/>
    <w:rPr>
      <w:rFonts w:ascii="Courier New" w:eastAsia="SimSun" w:hAnsi="Courier New" w:cs="Courier New"/>
      <w:snapToGrid w:val="0"/>
      <w:lang w:val="en-GB" w:eastAsia="zh-CN"/>
    </w:rPr>
  </w:style>
  <w:style w:type="paragraph" w:styleId="Nachrichtenkopf">
    <w:name w:val="Message Header"/>
    <w:basedOn w:val="Standard"/>
    <w:link w:val="NachrichtenkopfZchn"/>
    <w:uiPriority w:val="99"/>
    <w:semiHidden/>
    <w:unhideWhenUsed/>
    <w:rsid w:val="0059709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NachrichtenkopfZchn">
    <w:name w:val="Nachrichtenkopf Zchn"/>
    <w:link w:val="Nachrichtenkopf"/>
    <w:uiPriority w:val="99"/>
    <w:semiHidden/>
    <w:rsid w:val="0059709C"/>
    <w:rPr>
      <w:rFonts w:ascii="Cambria" w:eastAsia="Times New Roman" w:hAnsi="Cambria" w:cs="Times New Roman"/>
      <w:snapToGrid w:val="0"/>
      <w:sz w:val="24"/>
      <w:szCs w:val="24"/>
      <w:shd w:val="pct20" w:color="auto" w:fill="auto"/>
      <w:lang w:val="en-GB" w:eastAsia="zh-CN"/>
    </w:rPr>
  </w:style>
  <w:style w:type="paragraph" w:styleId="NurText">
    <w:name w:val="Plain Text"/>
    <w:basedOn w:val="Standard"/>
    <w:link w:val="NurTextZchn"/>
    <w:uiPriority w:val="99"/>
    <w:semiHidden/>
    <w:unhideWhenUsed/>
    <w:rsid w:val="0059709C"/>
    <w:rPr>
      <w:rFonts w:ascii="Courier New" w:hAnsi="Courier New" w:cs="Courier New"/>
      <w:sz w:val="20"/>
    </w:rPr>
  </w:style>
  <w:style w:type="character" w:customStyle="1" w:styleId="NurTextZchn">
    <w:name w:val="Nur Text Zchn"/>
    <w:link w:val="NurText"/>
    <w:uiPriority w:val="99"/>
    <w:semiHidden/>
    <w:rsid w:val="0059709C"/>
    <w:rPr>
      <w:rFonts w:ascii="Courier New" w:eastAsia="SimSun" w:hAnsi="Courier New" w:cs="Courier New"/>
      <w:snapToGrid w:val="0"/>
      <w:lang w:val="en-GB" w:eastAsia="zh-CN"/>
    </w:rPr>
  </w:style>
  <w:style w:type="paragraph" w:styleId="Rechtsgrundlagenverzeichnis">
    <w:name w:val="table of authorities"/>
    <w:basedOn w:val="Standard"/>
    <w:next w:val="Standard"/>
    <w:uiPriority w:val="99"/>
    <w:semiHidden/>
    <w:unhideWhenUsed/>
    <w:rsid w:val="0059709C"/>
    <w:pPr>
      <w:tabs>
        <w:tab w:val="clear" w:pos="567"/>
      </w:tabs>
      <w:ind w:left="220" w:hanging="220"/>
    </w:pPr>
  </w:style>
  <w:style w:type="paragraph" w:styleId="RGV-berschrift">
    <w:name w:val="toa heading"/>
    <w:basedOn w:val="Standard"/>
    <w:next w:val="Standard"/>
    <w:uiPriority w:val="99"/>
    <w:semiHidden/>
    <w:unhideWhenUsed/>
    <w:rsid w:val="0059709C"/>
    <w:pPr>
      <w:spacing w:before="120"/>
    </w:pPr>
    <w:rPr>
      <w:rFonts w:ascii="Cambria" w:eastAsia="Times New Roman" w:hAnsi="Cambria"/>
      <w:b/>
      <w:bCs/>
      <w:sz w:val="24"/>
      <w:szCs w:val="24"/>
    </w:rPr>
  </w:style>
  <w:style w:type="paragraph" w:styleId="StandardWeb">
    <w:name w:val="Normal (Web)"/>
    <w:basedOn w:val="Standard"/>
    <w:uiPriority w:val="99"/>
    <w:semiHidden/>
    <w:unhideWhenUsed/>
    <w:rsid w:val="0059709C"/>
    <w:rPr>
      <w:sz w:val="24"/>
      <w:szCs w:val="24"/>
    </w:rPr>
  </w:style>
  <w:style w:type="paragraph" w:styleId="Standardeinzug">
    <w:name w:val="Normal Indent"/>
    <w:basedOn w:val="Standard"/>
    <w:uiPriority w:val="99"/>
    <w:semiHidden/>
    <w:unhideWhenUsed/>
    <w:rsid w:val="0059709C"/>
    <w:pPr>
      <w:ind w:left="708"/>
    </w:pPr>
  </w:style>
  <w:style w:type="paragraph" w:styleId="Textkrper2">
    <w:name w:val="Body Text 2"/>
    <w:basedOn w:val="Standard"/>
    <w:link w:val="Textkrper2Zchn"/>
    <w:uiPriority w:val="99"/>
    <w:semiHidden/>
    <w:unhideWhenUsed/>
    <w:rsid w:val="0059709C"/>
    <w:pPr>
      <w:spacing w:after="120" w:line="480" w:lineRule="auto"/>
    </w:pPr>
  </w:style>
  <w:style w:type="character" w:customStyle="1" w:styleId="Textkrper2Zchn">
    <w:name w:val="Textkörper 2 Zchn"/>
    <w:link w:val="Textkrper2"/>
    <w:uiPriority w:val="99"/>
    <w:semiHidden/>
    <w:rsid w:val="0059709C"/>
    <w:rPr>
      <w:rFonts w:ascii="Times New Roman" w:eastAsia="SimSun" w:hAnsi="Times New Roman"/>
      <w:snapToGrid w:val="0"/>
      <w:sz w:val="22"/>
      <w:lang w:val="en-GB" w:eastAsia="zh-CN"/>
    </w:rPr>
  </w:style>
  <w:style w:type="paragraph" w:styleId="Textkrper3">
    <w:name w:val="Body Text 3"/>
    <w:basedOn w:val="Standard"/>
    <w:link w:val="Textkrper3Zchn"/>
    <w:uiPriority w:val="99"/>
    <w:semiHidden/>
    <w:unhideWhenUsed/>
    <w:rsid w:val="0059709C"/>
    <w:pPr>
      <w:spacing w:after="120"/>
    </w:pPr>
    <w:rPr>
      <w:sz w:val="16"/>
      <w:szCs w:val="16"/>
    </w:rPr>
  </w:style>
  <w:style w:type="character" w:customStyle="1" w:styleId="Textkrper3Zchn">
    <w:name w:val="Textkörper 3 Zchn"/>
    <w:link w:val="Textkrper3"/>
    <w:uiPriority w:val="99"/>
    <w:semiHidden/>
    <w:rsid w:val="0059709C"/>
    <w:rPr>
      <w:rFonts w:ascii="Times New Roman" w:eastAsia="SimSun" w:hAnsi="Times New Roman"/>
      <w:snapToGrid w:val="0"/>
      <w:sz w:val="16"/>
      <w:szCs w:val="16"/>
      <w:lang w:val="en-GB" w:eastAsia="zh-CN"/>
    </w:rPr>
  </w:style>
  <w:style w:type="paragraph" w:styleId="Textkrper-Einzug2">
    <w:name w:val="Body Text Indent 2"/>
    <w:basedOn w:val="Standard"/>
    <w:link w:val="Textkrper-Einzug2Zchn"/>
    <w:uiPriority w:val="99"/>
    <w:semiHidden/>
    <w:unhideWhenUsed/>
    <w:rsid w:val="0059709C"/>
    <w:pPr>
      <w:spacing w:after="120" w:line="480" w:lineRule="auto"/>
      <w:ind w:left="283"/>
    </w:pPr>
  </w:style>
  <w:style w:type="character" w:customStyle="1" w:styleId="Textkrper-Einzug2Zchn">
    <w:name w:val="Textkörper-Einzug 2 Zchn"/>
    <w:link w:val="Textkrper-Einzug2"/>
    <w:uiPriority w:val="99"/>
    <w:semiHidden/>
    <w:rsid w:val="0059709C"/>
    <w:rPr>
      <w:rFonts w:ascii="Times New Roman" w:eastAsia="SimSun" w:hAnsi="Times New Roman"/>
      <w:snapToGrid w:val="0"/>
      <w:sz w:val="22"/>
      <w:lang w:val="en-GB" w:eastAsia="zh-CN"/>
    </w:rPr>
  </w:style>
  <w:style w:type="paragraph" w:styleId="Textkrper-Einzug3">
    <w:name w:val="Body Text Indent 3"/>
    <w:basedOn w:val="Standard"/>
    <w:link w:val="Textkrper-Einzug3Zchn"/>
    <w:uiPriority w:val="99"/>
    <w:semiHidden/>
    <w:unhideWhenUsed/>
    <w:rsid w:val="0059709C"/>
    <w:pPr>
      <w:spacing w:after="120"/>
      <w:ind w:left="283"/>
    </w:pPr>
    <w:rPr>
      <w:sz w:val="16"/>
      <w:szCs w:val="16"/>
    </w:rPr>
  </w:style>
  <w:style w:type="character" w:customStyle="1" w:styleId="Textkrper-Einzug3Zchn">
    <w:name w:val="Textkörper-Einzug 3 Zchn"/>
    <w:link w:val="Textkrper-Einzug3"/>
    <w:uiPriority w:val="99"/>
    <w:semiHidden/>
    <w:rsid w:val="0059709C"/>
    <w:rPr>
      <w:rFonts w:ascii="Times New Roman" w:eastAsia="SimSun" w:hAnsi="Times New Roman"/>
      <w:snapToGrid w:val="0"/>
      <w:sz w:val="16"/>
      <w:szCs w:val="16"/>
      <w:lang w:val="en-GB" w:eastAsia="zh-CN"/>
    </w:rPr>
  </w:style>
  <w:style w:type="paragraph" w:styleId="Textkrper-Erstzeileneinzug">
    <w:name w:val="Body Text First Indent"/>
    <w:basedOn w:val="Textkrper"/>
    <w:link w:val="Textkrper-ErstzeileneinzugZchn"/>
    <w:uiPriority w:val="99"/>
    <w:semiHidden/>
    <w:unhideWhenUsed/>
    <w:rsid w:val="0059709C"/>
    <w:pPr>
      <w:tabs>
        <w:tab w:val="left" w:pos="567"/>
      </w:tabs>
      <w:suppressAutoHyphens w:val="0"/>
      <w:spacing w:after="120"/>
      <w:ind w:firstLine="210"/>
    </w:pPr>
    <w:rPr>
      <w:rFonts w:eastAsia="SimSun" w:cs="Times New Roman"/>
      <w:b w:val="0"/>
      <w:i w:val="0"/>
      <w:snapToGrid w:val="0"/>
      <w:lang w:bidi="ar-SA"/>
    </w:rPr>
  </w:style>
  <w:style w:type="character" w:customStyle="1" w:styleId="Textkrper-ErstzeileneinzugZchn">
    <w:name w:val="Textkörper-Erstzeileneinzug Zchn"/>
    <w:link w:val="Textkrper-Erstzeileneinzug"/>
    <w:uiPriority w:val="99"/>
    <w:semiHidden/>
    <w:rsid w:val="0059709C"/>
    <w:rPr>
      <w:rFonts w:ascii="Times New Roman" w:eastAsia="SimSun" w:hAnsi="Times New Roman" w:cs="Angsana New"/>
      <w:b w:val="0"/>
      <w:i w:val="0"/>
      <w:snapToGrid w:val="0"/>
      <w:sz w:val="22"/>
      <w:lang w:val="en-GB" w:eastAsia="zh-CN" w:bidi="th-TH"/>
    </w:rPr>
  </w:style>
  <w:style w:type="paragraph" w:styleId="Textkrper-Zeileneinzug">
    <w:name w:val="Body Text Indent"/>
    <w:basedOn w:val="Standard"/>
    <w:link w:val="Textkrper-ZeileneinzugZchn"/>
    <w:uiPriority w:val="99"/>
    <w:semiHidden/>
    <w:unhideWhenUsed/>
    <w:rsid w:val="0059709C"/>
    <w:pPr>
      <w:spacing w:after="120"/>
      <w:ind w:left="283"/>
    </w:pPr>
  </w:style>
  <w:style w:type="character" w:customStyle="1" w:styleId="Textkrper-ZeileneinzugZchn">
    <w:name w:val="Textkörper-Zeileneinzug Zchn"/>
    <w:link w:val="Textkrper-Zeileneinzug"/>
    <w:uiPriority w:val="99"/>
    <w:semiHidden/>
    <w:rsid w:val="0059709C"/>
    <w:rPr>
      <w:rFonts w:ascii="Times New Roman" w:eastAsia="SimSun" w:hAnsi="Times New Roman"/>
      <w:snapToGrid w:val="0"/>
      <w:sz w:val="22"/>
      <w:lang w:val="en-GB" w:eastAsia="zh-CN"/>
    </w:rPr>
  </w:style>
  <w:style w:type="paragraph" w:styleId="Textkrper-Erstzeileneinzug2">
    <w:name w:val="Body Text First Indent 2"/>
    <w:basedOn w:val="Textkrper-Zeileneinzug"/>
    <w:link w:val="Textkrper-Erstzeileneinzug2Zchn"/>
    <w:uiPriority w:val="99"/>
    <w:semiHidden/>
    <w:unhideWhenUsed/>
    <w:rsid w:val="0059709C"/>
    <w:pPr>
      <w:ind w:firstLine="210"/>
    </w:pPr>
  </w:style>
  <w:style w:type="character" w:customStyle="1" w:styleId="Textkrper-Erstzeileneinzug2Zchn">
    <w:name w:val="Textkörper-Erstzeileneinzug 2 Zchn"/>
    <w:basedOn w:val="Textkrper-ZeileneinzugZchn"/>
    <w:link w:val="Textkrper-Erstzeileneinzug2"/>
    <w:uiPriority w:val="99"/>
    <w:semiHidden/>
    <w:rsid w:val="0059709C"/>
    <w:rPr>
      <w:rFonts w:ascii="Times New Roman" w:eastAsia="SimSun" w:hAnsi="Times New Roman"/>
      <w:snapToGrid w:val="0"/>
      <w:sz w:val="22"/>
      <w:lang w:val="en-GB" w:eastAsia="zh-CN"/>
    </w:rPr>
  </w:style>
  <w:style w:type="paragraph" w:styleId="Titel">
    <w:name w:val="Title"/>
    <w:basedOn w:val="Standard"/>
    <w:next w:val="Standard"/>
    <w:link w:val="TitelZchn"/>
    <w:uiPriority w:val="10"/>
    <w:qFormat/>
    <w:rsid w:val="0059709C"/>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59709C"/>
    <w:rPr>
      <w:rFonts w:ascii="Cambria" w:eastAsia="Times New Roman" w:hAnsi="Cambria" w:cs="Times New Roman"/>
      <w:b/>
      <w:bCs/>
      <w:snapToGrid w:val="0"/>
      <w:kern w:val="28"/>
      <w:sz w:val="32"/>
      <w:szCs w:val="32"/>
      <w:lang w:val="en-GB" w:eastAsia="zh-CN"/>
    </w:rPr>
  </w:style>
  <w:style w:type="paragraph" w:styleId="Umschlagabsenderadresse">
    <w:name w:val="envelope return"/>
    <w:basedOn w:val="Standard"/>
    <w:uiPriority w:val="99"/>
    <w:semiHidden/>
    <w:unhideWhenUsed/>
    <w:rsid w:val="0059709C"/>
    <w:rPr>
      <w:rFonts w:ascii="Cambria" w:eastAsia="Times New Roman" w:hAnsi="Cambria"/>
      <w:sz w:val="20"/>
    </w:rPr>
  </w:style>
  <w:style w:type="paragraph" w:styleId="Umschlagadresse">
    <w:name w:val="envelope address"/>
    <w:basedOn w:val="Standard"/>
    <w:uiPriority w:val="99"/>
    <w:semiHidden/>
    <w:unhideWhenUsed/>
    <w:rsid w:val="0059709C"/>
    <w:pPr>
      <w:framePr w:w="4320" w:h="2160" w:hRule="exact" w:hSpace="141" w:wrap="auto" w:hAnchor="page" w:xAlign="center" w:yAlign="bottom"/>
      <w:ind w:left="1"/>
    </w:pPr>
    <w:rPr>
      <w:rFonts w:ascii="Cambria" w:eastAsia="Times New Roman" w:hAnsi="Cambria"/>
      <w:sz w:val="24"/>
      <w:szCs w:val="24"/>
    </w:rPr>
  </w:style>
  <w:style w:type="paragraph" w:styleId="Unterschrift">
    <w:name w:val="Signature"/>
    <w:basedOn w:val="Standard"/>
    <w:link w:val="UnterschriftZchn"/>
    <w:uiPriority w:val="99"/>
    <w:semiHidden/>
    <w:unhideWhenUsed/>
    <w:rsid w:val="0059709C"/>
    <w:pPr>
      <w:ind w:left="4252"/>
    </w:pPr>
  </w:style>
  <w:style w:type="character" w:customStyle="1" w:styleId="UnterschriftZchn">
    <w:name w:val="Unterschrift Zchn"/>
    <w:link w:val="Unterschrift"/>
    <w:uiPriority w:val="99"/>
    <w:semiHidden/>
    <w:rsid w:val="0059709C"/>
    <w:rPr>
      <w:rFonts w:ascii="Times New Roman" w:eastAsia="SimSun" w:hAnsi="Times New Roman"/>
      <w:snapToGrid w:val="0"/>
      <w:sz w:val="22"/>
      <w:lang w:val="en-GB" w:eastAsia="zh-CN"/>
    </w:rPr>
  </w:style>
  <w:style w:type="paragraph" w:styleId="Untertitel">
    <w:name w:val="Subtitle"/>
    <w:basedOn w:val="Standard"/>
    <w:next w:val="Standard"/>
    <w:link w:val="UntertitelZchn"/>
    <w:uiPriority w:val="11"/>
    <w:qFormat/>
    <w:rsid w:val="0059709C"/>
    <w:pPr>
      <w:spacing w:after="60"/>
      <w:jc w:val="center"/>
      <w:outlineLvl w:val="1"/>
    </w:pPr>
    <w:rPr>
      <w:rFonts w:ascii="Cambria" w:eastAsia="Times New Roman" w:hAnsi="Cambria"/>
      <w:sz w:val="24"/>
      <w:szCs w:val="24"/>
    </w:rPr>
  </w:style>
  <w:style w:type="character" w:customStyle="1" w:styleId="UntertitelZchn">
    <w:name w:val="Untertitel Zchn"/>
    <w:link w:val="Untertitel"/>
    <w:uiPriority w:val="11"/>
    <w:rsid w:val="0059709C"/>
    <w:rPr>
      <w:rFonts w:ascii="Cambria" w:eastAsia="Times New Roman" w:hAnsi="Cambria" w:cs="Times New Roman"/>
      <w:snapToGrid w:val="0"/>
      <w:sz w:val="24"/>
      <w:szCs w:val="24"/>
      <w:lang w:val="en-GB" w:eastAsia="zh-CN"/>
    </w:rPr>
  </w:style>
  <w:style w:type="paragraph" w:styleId="Verzeichnis1">
    <w:name w:val="toc 1"/>
    <w:basedOn w:val="Standard"/>
    <w:next w:val="Standard"/>
    <w:autoRedefine/>
    <w:uiPriority w:val="39"/>
    <w:semiHidden/>
    <w:unhideWhenUsed/>
    <w:rsid w:val="0059709C"/>
    <w:pPr>
      <w:tabs>
        <w:tab w:val="clear" w:pos="567"/>
      </w:tabs>
    </w:pPr>
  </w:style>
  <w:style w:type="paragraph" w:styleId="Verzeichnis2">
    <w:name w:val="toc 2"/>
    <w:basedOn w:val="Standard"/>
    <w:next w:val="Standard"/>
    <w:autoRedefine/>
    <w:uiPriority w:val="39"/>
    <w:semiHidden/>
    <w:unhideWhenUsed/>
    <w:rsid w:val="0059709C"/>
    <w:pPr>
      <w:tabs>
        <w:tab w:val="clear" w:pos="567"/>
      </w:tabs>
      <w:ind w:left="220"/>
    </w:pPr>
  </w:style>
  <w:style w:type="paragraph" w:styleId="Verzeichnis3">
    <w:name w:val="toc 3"/>
    <w:basedOn w:val="Standard"/>
    <w:next w:val="Standard"/>
    <w:autoRedefine/>
    <w:uiPriority w:val="39"/>
    <w:semiHidden/>
    <w:unhideWhenUsed/>
    <w:rsid w:val="0059709C"/>
    <w:pPr>
      <w:tabs>
        <w:tab w:val="clear" w:pos="567"/>
      </w:tabs>
      <w:ind w:left="440"/>
    </w:pPr>
  </w:style>
  <w:style w:type="paragraph" w:styleId="Verzeichnis4">
    <w:name w:val="toc 4"/>
    <w:basedOn w:val="Standard"/>
    <w:next w:val="Standard"/>
    <w:autoRedefine/>
    <w:uiPriority w:val="39"/>
    <w:semiHidden/>
    <w:unhideWhenUsed/>
    <w:rsid w:val="0059709C"/>
    <w:pPr>
      <w:tabs>
        <w:tab w:val="clear" w:pos="567"/>
      </w:tabs>
      <w:ind w:left="660"/>
    </w:pPr>
  </w:style>
  <w:style w:type="paragraph" w:styleId="Verzeichnis5">
    <w:name w:val="toc 5"/>
    <w:basedOn w:val="Standard"/>
    <w:next w:val="Standard"/>
    <w:autoRedefine/>
    <w:uiPriority w:val="39"/>
    <w:semiHidden/>
    <w:unhideWhenUsed/>
    <w:rsid w:val="0059709C"/>
    <w:pPr>
      <w:tabs>
        <w:tab w:val="clear" w:pos="567"/>
      </w:tabs>
      <w:ind w:left="880"/>
    </w:pPr>
  </w:style>
  <w:style w:type="paragraph" w:styleId="Verzeichnis6">
    <w:name w:val="toc 6"/>
    <w:basedOn w:val="Standard"/>
    <w:next w:val="Standard"/>
    <w:autoRedefine/>
    <w:uiPriority w:val="39"/>
    <w:semiHidden/>
    <w:unhideWhenUsed/>
    <w:rsid w:val="0059709C"/>
    <w:pPr>
      <w:tabs>
        <w:tab w:val="clear" w:pos="567"/>
      </w:tabs>
      <w:ind w:left="1100"/>
    </w:pPr>
  </w:style>
  <w:style w:type="paragraph" w:styleId="Verzeichnis7">
    <w:name w:val="toc 7"/>
    <w:basedOn w:val="Standard"/>
    <w:next w:val="Standard"/>
    <w:autoRedefine/>
    <w:uiPriority w:val="39"/>
    <w:semiHidden/>
    <w:unhideWhenUsed/>
    <w:rsid w:val="0059709C"/>
    <w:pPr>
      <w:tabs>
        <w:tab w:val="clear" w:pos="567"/>
      </w:tabs>
      <w:ind w:left="1320"/>
    </w:pPr>
  </w:style>
  <w:style w:type="paragraph" w:styleId="Verzeichnis8">
    <w:name w:val="toc 8"/>
    <w:basedOn w:val="Standard"/>
    <w:next w:val="Standard"/>
    <w:autoRedefine/>
    <w:uiPriority w:val="39"/>
    <w:semiHidden/>
    <w:unhideWhenUsed/>
    <w:rsid w:val="0059709C"/>
    <w:pPr>
      <w:tabs>
        <w:tab w:val="clear" w:pos="567"/>
      </w:tabs>
      <w:ind w:left="1540"/>
    </w:pPr>
  </w:style>
  <w:style w:type="paragraph" w:styleId="Verzeichnis9">
    <w:name w:val="toc 9"/>
    <w:basedOn w:val="Standard"/>
    <w:next w:val="Standard"/>
    <w:autoRedefine/>
    <w:uiPriority w:val="39"/>
    <w:semiHidden/>
    <w:unhideWhenUsed/>
    <w:rsid w:val="0059709C"/>
    <w:pPr>
      <w:tabs>
        <w:tab w:val="clear" w:pos="567"/>
      </w:tabs>
      <w:ind w:left="1760"/>
    </w:pPr>
  </w:style>
  <w:style w:type="paragraph" w:styleId="Zitat">
    <w:name w:val="Quote"/>
    <w:basedOn w:val="Standard"/>
    <w:next w:val="Standard"/>
    <w:link w:val="ZitatZchn"/>
    <w:uiPriority w:val="29"/>
    <w:qFormat/>
    <w:rsid w:val="0059709C"/>
    <w:rPr>
      <w:i/>
      <w:iCs/>
      <w:color w:val="000000"/>
    </w:rPr>
  </w:style>
  <w:style w:type="character" w:customStyle="1" w:styleId="ZitatZchn">
    <w:name w:val="Zitat Zchn"/>
    <w:link w:val="Zitat"/>
    <w:uiPriority w:val="29"/>
    <w:rsid w:val="0059709C"/>
    <w:rPr>
      <w:rFonts w:ascii="Times New Roman" w:eastAsia="SimSun" w:hAnsi="Times New Roman"/>
      <w:i/>
      <w:iCs/>
      <w:snapToGrid w:val="0"/>
      <w:color w:val="000000"/>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407">
      <w:bodyDiv w:val="1"/>
      <w:marLeft w:val="0"/>
      <w:marRight w:val="0"/>
      <w:marTop w:val="0"/>
      <w:marBottom w:val="0"/>
      <w:divBdr>
        <w:top w:val="none" w:sz="0" w:space="0" w:color="auto"/>
        <w:left w:val="none" w:sz="0" w:space="0" w:color="auto"/>
        <w:bottom w:val="none" w:sz="0" w:space="0" w:color="auto"/>
        <w:right w:val="none" w:sz="0" w:space="0" w:color="auto"/>
      </w:divBdr>
    </w:div>
    <w:div w:id="319425760">
      <w:bodyDiv w:val="1"/>
      <w:marLeft w:val="0"/>
      <w:marRight w:val="0"/>
      <w:marTop w:val="0"/>
      <w:marBottom w:val="0"/>
      <w:divBdr>
        <w:top w:val="none" w:sz="0" w:space="0" w:color="auto"/>
        <w:left w:val="none" w:sz="0" w:space="0" w:color="auto"/>
        <w:bottom w:val="none" w:sz="0" w:space="0" w:color="auto"/>
        <w:right w:val="none" w:sz="0" w:space="0" w:color="auto"/>
      </w:divBdr>
    </w:div>
    <w:div w:id="566886488">
      <w:bodyDiv w:val="1"/>
      <w:marLeft w:val="0"/>
      <w:marRight w:val="0"/>
      <w:marTop w:val="0"/>
      <w:marBottom w:val="0"/>
      <w:divBdr>
        <w:top w:val="none" w:sz="0" w:space="0" w:color="auto"/>
        <w:left w:val="none" w:sz="0" w:space="0" w:color="auto"/>
        <w:bottom w:val="none" w:sz="0" w:space="0" w:color="auto"/>
        <w:right w:val="none" w:sz="0" w:space="0" w:color="auto"/>
      </w:divBdr>
    </w:div>
    <w:div w:id="662709362">
      <w:bodyDiv w:val="1"/>
      <w:marLeft w:val="0"/>
      <w:marRight w:val="0"/>
      <w:marTop w:val="0"/>
      <w:marBottom w:val="0"/>
      <w:divBdr>
        <w:top w:val="none" w:sz="0" w:space="0" w:color="auto"/>
        <w:left w:val="none" w:sz="0" w:space="0" w:color="auto"/>
        <w:bottom w:val="none" w:sz="0" w:space="0" w:color="auto"/>
        <w:right w:val="none" w:sz="0" w:space="0" w:color="auto"/>
      </w:divBdr>
    </w:div>
    <w:div w:id="964697396">
      <w:bodyDiv w:val="1"/>
      <w:marLeft w:val="0"/>
      <w:marRight w:val="0"/>
      <w:marTop w:val="0"/>
      <w:marBottom w:val="0"/>
      <w:divBdr>
        <w:top w:val="none" w:sz="0" w:space="0" w:color="auto"/>
        <w:left w:val="none" w:sz="0" w:space="0" w:color="auto"/>
        <w:bottom w:val="none" w:sz="0" w:space="0" w:color="auto"/>
        <w:right w:val="none" w:sz="0" w:space="0" w:color="auto"/>
      </w:divBdr>
    </w:div>
    <w:div w:id="970937213">
      <w:bodyDiv w:val="1"/>
      <w:marLeft w:val="0"/>
      <w:marRight w:val="0"/>
      <w:marTop w:val="0"/>
      <w:marBottom w:val="0"/>
      <w:divBdr>
        <w:top w:val="none" w:sz="0" w:space="0" w:color="auto"/>
        <w:left w:val="none" w:sz="0" w:space="0" w:color="auto"/>
        <w:bottom w:val="none" w:sz="0" w:space="0" w:color="auto"/>
        <w:right w:val="none" w:sz="0" w:space="0" w:color="auto"/>
      </w:divBdr>
    </w:div>
    <w:div w:id="1477261341">
      <w:bodyDiv w:val="1"/>
      <w:marLeft w:val="0"/>
      <w:marRight w:val="0"/>
      <w:marTop w:val="0"/>
      <w:marBottom w:val="0"/>
      <w:divBdr>
        <w:top w:val="none" w:sz="0" w:space="0" w:color="auto"/>
        <w:left w:val="none" w:sz="0" w:space="0" w:color="auto"/>
        <w:bottom w:val="none" w:sz="0" w:space="0" w:color="auto"/>
        <w:right w:val="none" w:sz="0" w:space="0" w:color="auto"/>
      </w:divBdr>
    </w:div>
    <w:div w:id="18730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BEC339-E601-49A8-AABE-8F225B75C17D}"/>
</file>

<file path=customXml/itemProps2.xml><?xml version="1.0" encoding="utf-8"?>
<ds:datastoreItem xmlns:ds="http://schemas.openxmlformats.org/officeDocument/2006/customXml" ds:itemID="{729C82C7-8B27-44B0-B38F-CEABCCF801AA}">
  <ds:schemaRefs>
    <ds:schemaRef ds:uri="http://schemas.microsoft.com/sharepoint/v3/contenttype/forms"/>
  </ds:schemaRefs>
</ds:datastoreItem>
</file>

<file path=customXml/itemProps3.xml><?xml version="1.0" encoding="utf-8"?>
<ds:datastoreItem xmlns:ds="http://schemas.openxmlformats.org/officeDocument/2006/customXml" ds:itemID="{04B4B7F2-1E23-489B-9AC2-A0CF3C18275E}">
  <ds:schemaRefs>
    <ds:schemaRef ds:uri="http://schemas.openxmlformats.org/officeDocument/2006/bibliography"/>
  </ds:schemaRefs>
</ds:datastoreItem>
</file>

<file path=customXml/itemProps4.xml><?xml version="1.0" encoding="utf-8"?>
<ds:datastoreItem xmlns:ds="http://schemas.openxmlformats.org/officeDocument/2006/customXml" ds:itemID="{382695B4-0752-47F2-8CC7-88F24973FFC7}"/>
</file>

<file path=docProps/app.xml><?xml version="1.0" encoding="utf-8"?>
<Properties xmlns="http://schemas.openxmlformats.org/officeDocument/2006/extended-properties" xmlns:vt="http://schemas.openxmlformats.org/officeDocument/2006/docPropsVTypes">
  <Template>Normal.dotm</Template>
  <TotalTime>0</TotalTime>
  <Pages>3</Pages>
  <Words>45649</Words>
  <Characters>266592</Characters>
  <Application>Microsoft Office Word</Application>
  <DocSecurity>0</DocSecurity>
  <Lines>7405</Lines>
  <Paragraphs>4055</Paragraphs>
  <ScaleCrop>false</ScaleCrop>
  <HeadingPairs>
    <vt:vector size="6" baseType="variant">
      <vt:variant>
        <vt:lpstr>Titel</vt:lpstr>
      </vt:variant>
      <vt:variant>
        <vt:i4>1</vt:i4>
      </vt:variant>
      <vt:variant>
        <vt:lpstr>Cím</vt:lpstr>
      </vt:variant>
      <vt:variant>
        <vt:i4>1</vt:i4>
      </vt:variant>
      <vt:variant>
        <vt:lpstr>Title</vt:lpstr>
      </vt:variant>
      <vt:variant>
        <vt:i4>1</vt:i4>
      </vt:variant>
    </vt:vector>
  </HeadingPairs>
  <TitlesOfParts>
    <vt:vector size="3" baseType="lpstr">
      <vt:lpstr>Imatinib Actavis, INN-imatinib</vt:lpstr>
      <vt:lpstr>Imatinib Actavis, INN-imatinib</vt:lpstr>
      <vt:lpstr/>
    </vt:vector>
  </TitlesOfParts>
  <Manager/>
  <Company>Teva Europe</Company>
  <LinksUpToDate>false</LinksUpToDate>
  <CharactersWithSpaces>308186</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2014-08-19T11:19:00Z</cp:lastPrinted>
  <dcterms:created xsi:type="dcterms:W3CDTF">2020-07-09T14:00:00Z</dcterms:created>
  <dcterms:modified xsi:type="dcterms:W3CDTF">2020-07-09T14:00:00Z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