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62B77" w14:textId="77777777" w:rsidR="00D270DF" w:rsidRPr="00496684" w:rsidRDefault="00D270DF" w:rsidP="00C555AA">
      <w:pPr>
        <w:autoSpaceDE w:val="0"/>
        <w:autoSpaceDN w:val="0"/>
        <w:adjustRightInd w:val="0"/>
        <w:spacing w:after="0" w:line="240" w:lineRule="auto"/>
        <w:jc w:val="center"/>
        <w:rPr>
          <w:rFonts w:ascii="Times New Roman" w:hAnsi="Times New Roman"/>
          <w:b/>
          <w:bCs/>
          <w:lang w:val="it-IT"/>
        </w:rPr>
      </w:pPr>
      <w:bookmarkStart w:id="0" w:name="_GoBack"/>
      <w:bookmarkEnd w:id="0"/>
    </w:p>
    <w:p w14:paraId="10AE4ADA"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097A3FC7"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31ED59B6"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7997593B"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3E471C87"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491E36B1"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2725015D"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51B21730"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38307470"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35EFCB06"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4B4C72F4"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4EE2E94F"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721D6066"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6C082E0D"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10DB9273"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528E04A4"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2D54F0A1"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2EA01D4B"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4F9080B1"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75A5D3D9"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75BD2BF5"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754C4738" w14:textId="77777777" w:rsidR="00D270DF" w:rsidRPr="00496684" w:rsidRDefault="00D270DF" w:rsidP="009057C8">
      <w:pPr>
        <w:autoSpaceDE w:val="0"/>
        <w:autoSpaceDN w:val="0"/>
        <w:adjustRightInd w:val="0"/>
        <w:spacing w:after="0" w:line="240" w:lineRule="auto"/>
        <w:jc w:val="center"/>
        <w:rPr>
          <w:rFonts w:ascii="Times New Roman" w:hAnsi="Times New Roman"/>
          <w:b/>
          <w:bCs/>
          <w:lang w:val="it-IT"/>
        </w:rPr>
      </w:pPr>
    </w:p>
    <w:p w14:paraId="0A551ADF" w14:textId="77777777" w:rsidR="00EF6DC2" w:rsidRPr="00496684" w:rsidRDefault="00EF6DC2" w:rsidP="00EF6DC2">
      <w:pPr>
        <w:widowControl w:val="0"/>
        <w:spacing w:after="0"/>
        <w:jc w:val="center"/>
        <w:rPr>
          <w:rFonts w:ascii="Times New Roman" w:hAnsi="Times New Roman"/>
          <w:b/>
          <w:lang w:val="it-IT"/>
        </w:rPr>
      </w:pPr>
      <w:r w:rsidRPr="00496684">
        <w:rPr>
          <w:rFonts w:ascii="Times New Roman" w:hAnsi="Times New Roman"/>
          <w:b/>
          <w:lang w:val="it-IT"/>
        </w:rPr>
        <w:t>ALLEGATO I</w:t>
      </w:r>
    </w:p>
    <w:p w14:paraId="7DF4834C" w14:textId="77777777" w:rsidR="00EF6DC2" w:rsidRPr="00496684" w:rsidRDefault="00EF6DC2" w:rsidP="00EF6DC2">
      <w:pPr>
        <w:widowControl w:val="0"/>
        <w:spacing w:after="0"/>
        <w:jc w:val="center"/>
        <w:rPr>
          <w:rFonts w:ascii="Times New Roman" w:hAnsi="Times New Roman"/>
          <w:b/>
          <w:lang w:val="it-IT"/>
        </w:rPr>
      </w:pPr>
    </w:p>
    <w:p w14:paraId="285DF3D8" w14:textId="77777777" w:rsidR="00EF6DC2" w:rsidRPr="00496684" w:rsidRDefault="00EF6DC2" w:rsidP="00CE7998">
      <w:pPr>
        <w:pStyle w:val="TitleA"/>
      </w:pPr>
      <w:r w:rsidRPr="00496684">
        <w:t xml:space="preserve">RIASSUNTO DELLE CARATTERISTICHE </w:t>
      </w:r>
      <w:smartTag w:uri="urn:schemas-microsoft-com:office:smarttags" w:element="stockticker">
        <w:r w:rsidRPr="00496684">
          <w:t>DEL</w:t>
        </w:r>
      </w:smartTag>
      <w:r w:rsidRPr="00496684">
        <w:t xml:space="preserve"> PRODOTTO</w:t>
      </w:r>
    </w:p>
    <w:p w14:paraId="37607B6A" w14:textId="77777777" w:rsidR="00D270DF" w:rsidRPr="00496684" w:rsidRDefault="00D270DF" w:rsidP="00EF6DC2">
      <w:pPr>
        <w:tabs>
          <w:tab w:val="left" w:pos="567"/>
        </w:tabs>
        <w:autoSpaceDE w:val="0"/>
        <w:autoSpaceDN w:val="0"/>
        <w:adjustRightInd w:val="0"/>
        <w:spacing w:after="0" w:line="240" w:lineRule="auto"/>
        <w:rPr>
          <w:rFonts w:ascii="Times New Roman" w:hAnsi="Times New Roman"/>
          <w:b/>
          <w:bCs/>
          <w:lang w:val="it-IT"/>
        </w:rPr>
      </w:pPr>
      <w:r w:rsidRPr="00496684">
        <w:rPr>
          <w:rFonts w:ascii="Times New Roman" w:hAnsi="Times New Roman"/>
          <w:lang w:val="it-IT"/>
        </w:rPr>
        <w:br w:type="page"/>
      </w:r>
      <w:r w:rsidRPr="00496684">
        <w:rPr>
          <w:rFonts w:ascii="Times New Roman" w:hAnsi="Times New Roman"/>
          <w:b/>
          <w:bCs/>
          <w:lang w:val="it-IT"/>
        </w:rPr>
        <w:lastRenderedPageBreak/>
        <w:t>1.</w:t>
      </w:r>
      <w:r w:rsidRPr="00496684">
        <w:rPr>
          <w:rFonts w:ascii="Times New Roman" w:hAnsi="Times New Roman"/>
          <w:b/>
          <w:bCs/>
          <w:lang w:val="it-IT"/>
        </w:rPr>
        <w:tab/>
      </w:r>
      <w:r w:rsidR="00EF6DC2" w:rsidRPr="00496684">
        <w:rPr>
          <w:rFonts w:ascii="Times New Roman" w:hAnsi="Times New Roman"/>
          <w:b/>
          <w:lang w:val="it-IT"/>
        </w:rPr>
        <w:t xml:space="preserve">DENOMINAZIONE </w:t>
      </w:r>
      <w:smartTag w:uri="urn:schemas-microsoft-com:office:smarttags" w:element="stockticker">
        <w:r w:rsidR="00EF6DC2" w:rsidRPr="00496684">
          <w:rPr>
            <w:rFonts w:ascii="Times New Roman" w:hAnsi="Times New Roman"/>
            <w:b/>
            <w:lang w:val="it-IT"/>
          </w:rPr>
          <w:t>DEL</w:t>
        </w:r>
      </w:smartTag>
      <w:r w:rsidR="00EF6DC2" w:rsidRPr="00496684">
        <w:rPr>
          <w:rFonts w:ascii="Times New Roman" w:hAnsi="Times New Roman"/>
          <w:b/>
          <w:lang w:val="it-IT"/>
        </w:rPr>
        <w:t xml:space="preserve"> MEDICINALE</w:t>
      </w:r>
    </w:p>
    <w:p w14:paraId="0B6B5219" w14:textId="77777777" w:rsidR="00D270DF" w:rsidRPr="00496684" w:rsidRDefault="00D270DF" w:rsidP="009057C8">
      <w:pPr>
        <w:tabs>
          <w:tab w:val="left" w:pos="567"/>
        </w:tabs>
        <w:autoSpaceDE w:val="0"/>
        <w:autoSpaceDN w:val="0"/>
        <w:adjustRightInd w:val="0"/>
        <w:spacing w:after="0" w:line="240" w:lineRule="auto"/>
        <w:rPr>
          <w:rFonts w:ascii="Times New Roman" w:hAnsi="Times New Roman"/>
          <w:bCs/>
          <w:lang w:val="it-IT"/>
        </w:rPr>
      </w:pPr>
    </w:p>
    <w:p w14:paraId="2F395297" w14:textId="77777777" w:rsidR="00156760" w:rsidRPr="00496684" w:rsidRDefault="00156760" w:rsidP="00156760">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Actavis 50 mg </w:t>
      </w:r>
      <w:r w:rsidR="00EF6DC2" w:rsidRPr="00496684">
        <w:rPr>
          <w:rFonts w:ascii="Times New Roman" w:hAnsi="Times New Roman"/>
          <w:lang w:val="it-IT"/>
        </w:rPr>
        <w:t>capsule rigide</w:t>
      </w:r>
    </w:p>
    <w:p w14:paraId="45222599" w14:textId="77777777" w:rsidR="00F04E34" w:rsidRPr="00496684" w:rsidRDefault="00F04E34" w:rsidP="00F04E34">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Actavis 100 mg </w:t>
      </w:r>
      <w:r w:rsidRPr="00496684">
        <w:rPr>
          <w:rFonts w:ascii="Times New Roman" w:hAnsi="Times New Roman"/>
          <w:u w:val="single"/>
          <w:lang w:val="it-IT"/>
        </w:rPr>
        <w:t>capsule rigide</w:t>
      </w:r>
    </w:p>
    <w:p w14:paraId="4A094801" w14:textId="77777777" w:rsidR="00F04E34" w:rsidRPr="00496684" w:rsidRDefault="00F04E34" w:rsidP="00F04E34">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Actavis 400 mg </w:t>
      </w:r>
      <w:r w:rsidRPr="00496684">
        <w:rPr>
          <w:rFonts w:ascii="Times New Roman" w:hAnsi="Times New Roman"/>
          <w:u w:val="single"/>
          <w:lang w:val="it-IT"/>
        </w:rPr>
        <w:t>capsule rigide</w:t>
      </w:r>
    </w:p>
    <w:p w14:paraId="611C3E01" w14:textId="77777777" w:rsidR="00D270DF" w:rsidRPr="00496684" w:rsidRDefault="00D270DF" w:rsidP="009057C8">
      <w:pPr>
        <w:autoSpaceDE w:val="0"/>
        <w:autoSpaceDN w:val="0"/>
        <w:adjustRightInd w:val="0"/>
        <w:spacing w:after="0" w:line="240" w:lineRule="auto"/>
        <w:rPr>
          <w:rFonts w:ascii="Times New Roman" w:hAnsi="Times New Roman"/>
          <w:lang w:val="it-IT"/>
        </w:rPr>
      </w:pPr>
    </w:p>
    <w:p w14:paraId="13839EEF" w14:textId="77777777" w:rsidR="00E3208D" w:rsidRPr="00496684" w:rsidRDefault="00E3208D" w:rsidP="009057C8">
      <w:pPr>
        <w:autoSpaceDE w:val="0"/>
        <w:autoSpaceDN w:val="0"/>
        <w:adjustRightInd w:val="0"/>
        <w:spacing w:after="0" w:line="240" w:lineRule="auto"/>
        <w:rPr>
          <w:rFonts w:ascii="Times New Roman" w:hAnsi="Times New Roman"/>
          <w:lang w:val="it-IT"/>
        </w:rPr>
      </w:pPr>
    </w:p>
    <w:p w14:paraId="3B74DFE3" w14:textId="77777777" w:rsidR="00D270DF" w:rsidRPr="00496684" w:rsidRDefault="00D270DF" w:rsidP="009057C8">
      <w:pPr>
        <w:tabs>
          <w:tab w:val="left" w:pos="567"/>
        </w:tabs>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r>
      <w:r w:rsidR="00EF6DC2" w:rsidRPr="00496684">
        <w:rPr>
          <w:rFonts w:ascii="Times New Roman" w:hAnsi="Times New Roman"/>
          <w:b/>
          <w:lang w:val="it-IT"/>
        </w:rPr>
        <w:t>COMPOSIZIONE QUALITATIVA E QUANTITATIVA</w:t>
      </w:r>
    </w:p>
    <w:p w14:paraId="0DBDCFA0" w14:textId="77777777" w:rsidR="00D270DF" w:rsidRPr="00496684" w:rsidRDefault="00D270DF" w:rsidP="009057C8">
      <w:pPr>
        <w:tabs>
          <w:tab w:val="left" w:pos="567"/>
        </w:tabs>
        <w:autoSpaceDE w:val="0"/>
        <w:autoSpaceDN w:val="0"/>
        <w:adjustRightInd w:val="0"/>
        <w:spacing w:after="0" w:line="240" w:lineRule="auto"/>
        <w:rPr>
          <w:rFonts w:ascii="Times New Roman" w:hAnsi="Times New Roman"/>
          <w:bCs/>
          <w:lang w:val="it-IT"/>
        </w:rPr>
      </w:pPr>
    </w:p>
    <w:p w14:paraId="45D2DD87" w14:textId="77777777" w:rsidR="00F04E34" w:rsidRPr="00496684" w:rsidRDefault="00F04E34" w:rsidP="00F04E34">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50 mg capsule rigide</w:t>
      </w:r>
    </w:p>
    <w:p w14:paraId="45896AEB" w14:textId="77777777" w:rsidR="001B11C3" w:rsidRPr="00496684" w:rsidRDefault="001B11C3" w:rsidP="001B11C3">
      <w:pPr>
        <w:widowControl w:val="0"/>
        <w:rPr>
          <w:rFonts w:ascii="Times New Roman" w:hAnsi="Times New Roman"/>
          <w:lang w:val="it-IT"/>
        </w:rPr>
      </w:pPr>
      <w:r w:rsidRPr="00496684">
        <w:rPr>
          <w:rFonts w:ascii="Times New Roman" w:hAnsi="Times New Roman"/>
          <w:lang w:val="it-IT"/>
        </w:rPr>
        <w:t xml:space="preserve">Ogni capsula </w:t>
      </w:r>
      <w:r w:rsidR="00C91A05" w:rsidRPr="00496684">
        <w:rPr>
          <w:rFonts w:ascii="Times New Roman" w:hAnsi="Times New Roman"/>
          <w:lang w:val="it-IT"/>
        </w:rPr>
        <w:t xml:space="preserve">rigida </w:t>
      </w:r>
      <w:r w:rsidRPr="00496684">
        <w:rPr>
          <w:rFonts w:ascii="Times New Roman" w:hAnsi="Times New Roman"/>
          <w:lang w:val="it-IT"/>
        </w:rPr>
        <w:t>contiene 50 mg di imatinib (come mesilato).</w:t>
      </w:r>
    </w:p>
    <w:p w14:paraId="43D7A245" w14:textId="77777777" w:rsidR="00F04E34" w:rsidRPr="00496684" w:rsidRDefault="00F04E34" w:rsidP="00F04E34">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Actavis 100 mg </w:t>
      </w:r>
      <w:r w:rsidRPr="00496684">
        <w:rPr>
          <w:rFonts w:ascii="Times New Roman" w:hAnsi="Times New Roman"/>
          <w:u w:val="single"/>
          <w:lang w:val="it-IT"/>
        </w:rPr>
        <w:t>capsule rigide</w:t>
      </w:r>
    </w:p>
    <w:p w14:paraId="4279164B" w14:textId="77777777" w:rsidR="00F04E34" w:rsidRPr="00496684" w:rsidRDefault="00F04E34" w:rsidP="00F04E34">
      <w:pPr>
        <w:widowControl w:val="0"/>
        <w:rPr>
          <w:rFonts w:ascii="Times New Roman" w:hAnsi="Times New Roman"/>
          <w:lang w:val="it-IT"/>
        </w:rPr>
      </w:pPr>
      <w:r w:rsidRPr="00496684">
        <w:rPr>
          <w:rFonts w:ascii="Times New Roman" w:hAnsi="Times New Roman"/>
          <w:lang w:val="it-IT"/>
        </w:rPr>
        <w:t>Ogni capsula rigida contiene 100 mg di imatinib (come mesilato).</w:t>
      </w:r>
    </w:p>
    <w:p w14:paraId="3A59244C" w14:textId="77777777" w:rsidR="00F04E34" w:rsidRPr="00496684" w:rsidRDefault="00F04E34" w:rsidP="00F04E34">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capsule rigide</w:t>
      </w:r>
    </w:p>
    <w:p w14:paraId="08D2446A" w14:textId="77777777" w:rsidR="001B11C3" w:rsidRPr="00496684" w:rsidRDefault="00F04E34" w:rsidP="00C91A05">
      <w:pPr>
        <w:widowControl w:val="0"/>
        <w:spacing w:after="0" w:line="240" w:lineRule="auto"/>
        <w:rPr>
          <w:rFonts w:ascii="Times New Roman" w:hAnsi="Times New Roman"/>
          <w:lang w:val="it-IT"/>
        </w:rPr>
      </w:pPr>
      <w:r w:rsidRPr="00496684">
        <w:rPr>
          <w:rFonts w:ascii="Times New Roman" w:hAnsi="Times New Roman"/>
          <w:lang w:val="it-IT"/>
        </w:rPr>
        <w:t>Ogni capsula rigida contiene 400 mg di imatinib (come mesilato).</w:t>
      </w:r>
      <w:r w:rsidR="001B11C3" w:rsidRPr="00496684">
        <w:rPr>
          <w:rFonts w:ascii="Times New Roman" w:hAnsi="Times New Roman"/>
          <w:lang w:val="it-IT"/>
        </w:rPr>
        <w:t>Per l’elenco completo degli eccipienti, vedere paragrafo 6.1.</w:t>
      </w:r>
    </w:p>
    <w:p w14:paraId="059750F5" w14:textId="77777777" w:rsidR="00D270DF" w:rsidRPr="00496684" w:rsidRDefault="00D270DF" w:rsidP="009057C8">
      <w:pPr>
        <w:autoSpaceDE w:val="0"/>
        <w:autoSpaceDN w:val="0"/>
        <w:adjustRightInd w:val="0"/>
        <w:spacing w:after="0" w:line="240" w:lineRule="auto"/>
        <w:rPr>
          <w:rFonts w:ascii="Times New Roman" w:hAnsi="Times New Roman"/>
          <w:lang w:val="it-IT"/>
        </w:rPr>
      </w:pPr>
    </w:p>
    <w:p w14:paraId="19096E32" w14:textId="77777777" w:rsidR="00C91A05" w:rsidRPr="00496684" w:rsidRDefault="00C91A05" w:rsidP="009057C8">
      <w:pPr>
        <w:autoSpaceDE w:val="0"/>
        <w:autoSpaceDN w:val="0"/>
        <w:adjustRightInd w:val="0"/>
        <w:spacing w:after="0" w:line="240" w:lineRule="auto"/>
        <w:rPr>
          <w:rFonts w:ascii="Times New Roman" w:hAnsi="Times New Roman"/>
          <w:lang w:val="it-IT"/>
        </w:rPr>
      </w:pPr>
    </w:p>
    <w:p w14:paraId="19D52791" w14:textId="77777777" w:rsidR="00D270DF" w:rsidRPr="00666899" w:rsidRDefault="00D270DF" w:rsidP="009057C8">
      <w:pPr>
        <w:tabs>
          <w:tab w:val="left" w:pos="567"/>
        </w:tabs>
        <w:autoSpaceDE w:val="0"/>
        <w:autoSpaceDN w:val="0"/>
        <w:adjustRightInd w:val="0"/>
        <w:spacing w:after="0" w:line="240" w:lineRule="auto"/>
        <w:rPr>
          <w:rFonts w:ascii="Times New Roman" w:hAnsi="Times New Roman"/>
          <w:b/>
          <w:bCs/>
          <w:lang w:val="pt-BR"/>
        </w:rPr>
      </w:pPr>
      <w:r w:rsidRPr="00666899">
        <w:rPr>
          <w:rFonts w:ascii="Times New Roman" w:hAnsi="Times New Roman"/>
          <w:b/>
          <w:bCs/>
          <w:lang w:val="pt-BR"/>
        </w:rPr>
        <w:t>3.</w:t>
      </w:r>
      <w:r w:rsidRPr="00666899">
        <w:rPr>
          <w:rFonts w:ascii="Times New Roman" w:hAnsi="Times New Roman"/>
          <w:b/>
          <w:bCs/>
          <w:lang w:val="pt-BR"/>
        </w:rPr>
        <w:tab/>
      </w:r>
      <w:r w:rsidR="001B11C3" w:rsidRPr="00666899">
        <w:rPr>
          <w:rFonts w:ascii="Times New Roman" w:hAnsi="Times New Roman"/>
          <w:b/>
          <w:lang w:val="pt-BR"/>
        </w:rPr>
        <w:t>FORMA FARMACEUTICA</w:t>
      </w:r>
    </w:p>
    <w:p w14:paraId="215BB062" w14:textId="77777777" w:rsidR="00A07DBC" w:rsidRPr="00666899" w:rsidRDefault="00A07DBC" w:rsidP="00A07DBC">
      <w:pPr>
        <w:autoSpaceDE w:val="0"/>
        <w:autoSpaceDN w:val="0"/>
        <w:adjustRightInd w:val="0"/>
        <w:spacing w:after="0" w:line="240" w:lineRule="auto"/>
        <w:rPr>
          <w:rFonts w:ascii="Times New Roman" w:hAnsi="Times New Roman"/>
          <w:highlight w:val="lightGray"/>
          <w:lang w:val="pt-BR"/>
        </w:rPr>
      </w:pPr>
    </w:p>
    <w:p w14:paraId="558A56BF" w14:textId="77777777" w:rsidR="001B11C3" w:rsidRPr="00666899" w:rsidRDefault="001B11C3" w:rsidP="001B11C3">
      <w:pPr>
        <w:widowControl w:val="0"/>
        <w:rPr>
          <w:rFonts w:ascii="Times New Roman" w:hAnsi="Times New Roman"/>
          <w:lang w:val="pt-BR"/>
        </w:rPr>
      </w:pPr>
      <w:r w:rsidRPr="00666899">
        <w:rPr>
          <w:rFonts w:ascii="Times New Roman" w:hAnsi="Times New Roman"/>
          <w:lang w:val="pt-BR"/>
        </w:rPr>
        <w:t>Capsula rigida</w:t>
      </w:r>
      <w:r w:rsidR="001044E2" w:rsidRPr="00666899">
        <w:rPr>
          <w:rFonts w:ascii="Times New Roman" w:hAnsi="Times New Roman"/>
          <w:lang w:val="pt-BR"/>
        </w:rPr>
        <w:t xml:space="preserve"> (capsula)</w:t>
      </w:r>
    </w:p>
    <w:p w14:paraId="372ED19A" w14:textId="77777777" w:rsidR="00EB7C1A" w:rsidRPr="00262A05" w:rsidRDefault="00EB7C1A" w:rsidP="00A07DBC">
      <w:pPr>
        <w:autoSpaceDE w:val="0"/>
        <w:autoSpaceDN w:val="0"/>
        <w:adjustRightInd w:val="0"/>
        <w:spacing w:after="0" w:line="240" w:lineRule="auto"/>
        <w:rPr>
          <w:rFonts w:ascii="Times New Roman" w:hAnsi="Times New Roman"/>
          <w:lang w:val="it-IT"/>
        </w:rPr>
      </w:pPr>
      <w:r w:rsidRPr="00262A05">
        <w:rPr>
          <w:rFonts w:ascii="Times New Roman" w:hAnsi="Times New Roman"/>
          <w:lang w:val="it-IT"/>
        </w:rPr>
        <w:t>Imatinib Actavis 50 mg capsule rigide</w:t>
      </w:r>
    </w:p>
    <w:p w14:paraId="1A2BD039" w14:textId="77777777" w:rsidR="00A07DBC" w:rsidRPr="00496684" w:rsidRDefault="001B11C3" w:rsidP="00A07DBC">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Capsula rigida di </w:t>
      </w:r>
      <w:r w:rsidR="00C91A05" w:rsidRPr="00496684">
        <w:rPr>
          <w:rFonts w:ascii="Times New Roman" w:hAnsi="Times New Roman"/>
          <w:lang w:val="it-IT"/>
        </w:rPr>
        <w:t>dimensione</w:t>
      </w:r>
      <w:r w:rsidRPr="00496684">
        <w:rPr>
          <w:rFonts w:ascii="Times New Roman" w:hAnsi="Times New Roman"/>
          <w:lang w:val="it-IT"/>
        </w:rPr>
        <w:t xml:space="preserve"> </w:t>
      </w:r>
      <w:r w:rsidR="00086FE5" w:rsidRPr="00496684">
        <w:rPr>
          <w:rFonts w:ascii="Times New Roman" w:hAnsi="Times New Roman"/>
          <w:lang w:val="it-IT"/>
        </w:rPr>
        <w:t xml:space="preserve">3 </w:t>
      </w:r>
      <w:r w:rsidRPr="00496684">
        <w:rPr>
          <w:rFonts w:ascii="Times New Roman" w:hAnsi="Times New Roman"/>
          <w:lang w:val="it-IT"/>
        </w:rPr>
        <w:t>con testa di color giallo chiaro</w:t>
      </w:r>
      <w:r w:rsidR="00086FE5" w:rsidRPr="00496684">
        <w:rPr>
          <w:rFonts w:ascii="Times New Roman" w:hAnsi="Times New Roman"/>
          <w:lang w:val="it-IT"/>
        </w:rPr>
        <w:t xml:space="preserve"> </w:t>
      </w:r>
      <w:r w:rsidRPr="00496684">
        <w:rPr>
          <w:rFonts w:ascii="Times New Roman" w:hAnsi="Times New Roman"/>
          <w:lang w:val="it-IT"/>
        </w:rPr>
        <w:t xml:space="preserve">e corpo di colore giallo chiaro con </w:t>
      </w:r>
      <w:r w:rsidR="00C91A05" w:rsidRPr="00496684">
        <w:rPr>
          <w:rFonts w:ascii="Times New Roman" w:hAnsi="Times New Roman"/>
          <w:lang w:val="it-IT"/>
        </w:rPr>
        <w:t>scritta “</w:t>
      </w:r>
      <w:r w:rsidR="00086FE5" w:rsidRPr="00496684">
        <w:rPr>
          <w:rFonts w:ascii="Times New Roman" w:hAnsi="Times New Roman"/>
          <w:lang w:val="it-IT"/>
        </w:rPr>
        <w:t>50</w:t>
      </w:r>
      <w:r w:rsidR="006B0879" w:rsidRPr="00496684">
        <w:rPr>
          <w:rFonts w:ascii="Times New Roman" w:hAnsi="Times New Roman"/>
          <w:lang w:val="it-IT"/>
        </w:rPr>
        <w:t> </w:t>
      </w:r>
      <w:r w:rsidR="00086FE5" w:rsidRPr="00496684">
        <w:rPr>
          <w:rFonts w:ascii="Times New Roman" w:hAnsi="Times New Roman"/>
          <w:lang w:val="it-IT"/>
        </w:rPr>
        <w:t>mg</w:t>
      </w:r>
      <w:r w:rsidR="00C91A05" w:rsidRPr="00496684">
        <w:rPr>
          <w:rFonts w:ascii="Times New Roman" w:hAnsi="Times New Roman"/>
          <w:lang w:val="it-IT"/>
        </w:rPr>
        <w:t>”</w:t>
      </w:r>
      <w:r w:rsidR="00086FE5" w:rsidRPr="00496684">
        <w:rPr>
          <w:rFonts w:ascii="Times New Roman" w:hAnsi="Times New Roman"/>
          <w:lang w:val="it-IT"/>
        </w:rPr>
        <w:t xml:space="preserve"> in </w:t>
      </w:r>
      <w:r w:rsidRPr="00496684">
        <w:rPr>
          <w:rFonts w:ascii="Times New Roman" w:hAnsi="Times New Roman"/>
          <w:lang w:val="it-IT"/>
        </w:rPr>
        <w:t>inchiostro nero</w:t>
      </w:r>
      <w:r w:rsidR="00086FE5" w:rsidRPr="00496684">
        <w:rPr>
          <w:rFonts w:ascii="Times New Roman" w:hAnsi="Times New Roman"/>
          <w:lang w:val="it-IT"/>
        </w:rPr>
        <w:t>.</w:t>
      </w:r>
    </w:p>
    <w:p w14:paraId="1DDFD4EE" w14:textId="77777777" w:rsidR="001B11C3" w:rsidRPr="00496684" w:rsidRDefault="001B11C3" w:rsidP="00A07DBC">
      <w:pPr>
        <w:autoSpaceDE w:val="0"/>
        <w:autoSpaceDN w:val="0"/>
        <w:adjustRightInd w:val="0"/>
        <w:spacing w:after="0" w:line="240" w:lineRule="auto"/>
        <w:rPr>
          <w:rFonts w:ascii="Times New Roman" w:hAnsi="Times New Roman"/>
          <w:lang w:val="it-IT"/>
        </w:rPr>
      </w:pPr>
    </w:p>
    <w:p w14:paraId="2EF8671C" w14:textId="77777777" w:rsidR="00E04D58" w:rsidRPr="00496684" w:rsidRDefault="00E04D58" w:rsidP="00E04D5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capsule rigide</w:t>
      </w:r>
    </w:p>
    <w:p w14:paraId="0A985CF0" w14:textId="77777777" w:rsidR="00E04D58" w:rsidRPr="00496684" w:rsidRDefault="00E04D58" w:rsidP="00E04D5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Capsula rigida di dimensione 1 con testa di color arancio chiaro e corpo di colore arancio chiaro con scritta “100 mg” in inchiostro nero.</w:t>
      </w:r>
    </w:p>
    <w:p w14:paraId="12322CC5" w14:textId="77777777" w:rsidR="00E04D58" w:rsidRPr="00496684" w:rsidRDefault="00E04D58" w:rsidP="00A07DBC">
      <w:pPr>
        <w:autoSpaceDE w:val="0"/>
        <w:autoSpaceDN w:val="0"/>
        <w:adjustRightInd w:val="0"/>
        <w:spacing w:after="0" w:line="240" w:lineRule="auto"/>
        <w:rPr>
          <w:rFonts w:ascii="Times New Roman" w:hAnsi="Times New Roman"/>
          <w:lang w:val="it-IT"/>
        </w:rPr>
      </w:pPr>
    </w:p>
    <w:p w14:paraId="29EC4348" w14:textId="77777777" w:rsidR="00E04D58" w:rsidRPr="00496684" w:rsidRDefault="00E04D58" w:rsidP="00E04D5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50 mg capsule rigide</w:t>
      </w:r>
    </w:p>
    <w:p w14:paraId="67DDE018" w14:textId="77777777" w:rsidR="00E04D58" w:rsidRPr="00496684" w:rsidRDefault="00E04D58" w:rsidP="00E04D5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Capsula rigida di dimensione 00 con testa </w:t>
      </w:r>
      <w:r w:rsidR="00A032E6" w:rsidRPr="00496684">
        <w:rPr>
          <w:rFonts w:ascii="Times New Roman" w:hAnsi="Times New Roman"/>
          <w:lang w:val="it-IT"/>
        </w:rPr>
        <w:t xml:space="preserve">e corpo </w:t>
      </w:r>
      <w:r w:rsidRPr="00496684">
        <w:rPr>
          <w:rFonts w:ascii="Times New Roman" w:hAnsi="Times New Roman"/>
          <w:lang w:val="it-IT"/>
        </w:rPr>
        <w:t>di color arancio opaco con scritta “400 mg” in inchiostro nero.</w:t>
      </w:r>
    </w:p>
    <w:p w14:paraId="45EAE8BD" w14:textId="77777777" w:rsidR="00E04D58" w:rsidRPr="00496684" w:rsidRDefault="00E04D58" w:rsidP="00A07DBC">
      <w:pPr>
        <w:autoSpaceDE w:val="0"/>
        <w:autoSpaceDN w:val="0"/>
        <w:adjustRightInd w:val="0"/>
        <w:spacing w:after="0" w:line="240" w:lineRule="auto"/>
        <w:rPr>
          <w:rFonts w:ascii="Times New Roman" w:hAnsi="Times New Roman"/>
          <w:lang w:val="it-IT"/>
        </w:rPr>
      </w:pPr>
    </w:p>
    <w:p w14:paraId="5FEF6357" w14:textId="77777777" w:rsidR="00242754" w:rsidRPr="00496684" w:rsidRDefault="00242754" w:rsidP="00E62917">
      <w:pPr>
        <w:pStyle w:val="KeinLeerraum"/>
        <w:rPr>
          <w:rFonts w:ascii="Times New Roman" w:hAnsi="Times New Roman"/>
          <w:lang w:val="it-IT"/>
        </w:rPr>
      </w:pPr>
    </w:p>
    <w:p w14:paraId="7DC2E1C9" w14:textId="77777777" w:rsidR="00D270DF" w:rsidRPr="00496684" w:rsidRDefault="00D270DF" w:rsidP="009057C8">
      <w:pPr>
        <w:tabs>
          <w:tab w:val="left" w:pos="567"/>
        </w:tabs>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001B11C3" w:rsidRPr="00496684">
        <w:rPr>
          <w:rFonts w:ascii="Times New Roman" w:hAnsi="Times New Roman"/>
          <w:b/>
          <w:caps/>
          <w:lang w:val="it-IT"/>
        </w:rPr>
        <w:t>INFORMAZIONI CLINICHE</w:t>
      </w:r>
    </w:p>
    <w:p w14:paraId="385CCC6A" w14:textId="77777777" w:rsidR="00D270DF" w:rsidRPr="00496684" w:rsidRDefault="00D270DF" w:rsidP="009057C8">
      <w:pPr>
        <w:autoSpaceDE w:val="0"/>
        <w:autoSpaceDN w:val="0"/>
        <w:adjustRightInd w:val="0"/>
        <w:spacing w:after="0" w:line="240" w:lineRule="auto"/>
        <w:rPr>
          <w:rFonts w:ascii="Times New Roman" w:hAnsi="Times New Roman"/>
          <w:bCs/>
          <w:lang w:val="it-IT"/>
        </w:rPr>
      </w:pPr>
    </w:p>
    <w:p w14:paraId="5B1AC3AA" w14:textId="77777777" w:rsidR="00D270DF" w:rsidRPr="00496684" w:rsidRDefault="00D270DF" w:rsidP="009057C8">
      <w:pPr>
        <w:tabs>
          <w:tab w:val="left" w:pos="567"/>
        </w:tabs>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4.1</w:t>
      </w:r>
      <w:r w:rsidRPr="00496684">
        <w:rPr>
          <w:rFonts w:ascii="Times New Roman" w:hAnsi="Times New Roman"/>
          <w:b/>
          <w:bCs/>
          <w:lang w:val="it-IT"/>
        </w:rPr>
        <w:tab/>
      </w:r>
      <w:r w:rsidR="001B11C3" w:rsidRPr="00496684">
        <w:rPr>
          <w:rFonts w:ascii="Times New Roman" w:hAnsi="Times New Roman"/>
          <w:b/>
          <w:lang w:val="it-IT"/>
        </w:rPr>
        <w:t>Indicazioni terapeutiche</w:t>
      </w:r>
    </w:p>
    <w:p w14:paraId="2CD143B3" w14:textId="77777777" w:rsidR="00D270DF" w:rsidRPr="00496684" w:rsidRDefault="00D270DF" w:rsidP="009057C8">
      <w:pPr>
        <w:tabs>
          <w:tab w:val="left" w:pos="567"/>
        </w:tabs>
        <w:autoSpaceDE w:val="0"/>
        <w:autoSpaceDN w:val="0"/>
        <w:adjustRightInd w:val="0"/>
        <w:spacing w:after="0" w:line="240" w:lineRule="auto"/>
        <w:rPr>
          <w:rFonts w:ascii="Times New Roman" w:hAnsi="Times New Roman"/>
          <w:bCs/>
          <w:lang w:val="it-IT"/>
        </w:rPr>
      </w:pPr>
    </w:p>
    <w:p w14:paraId="731EF5ED" w14:textId="77777777" w:rsidR="00AB2C4F" w:rsidRPr="00496684" w:rsidRDefault="00AB2C4F" w:rsidP="00AB2C4F">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Actavis </w:t>
      </w:r>
      <w:r w:rsidR="001B11C3" w:rsidRPr="00496684">
        <w:rPr>
          <w:rFonts w:ascii="Times New Roman" w:hAnsi="Times New Roman"/>
          <w:lang w:val="it-IT"/>
        </w:rPr>
        <w:t>è indicato per il trattamento di</w:t>
      </w:r>
      <w:r w:rsidR="00207783" w:rsidRPr="00496684">
        <w:rPr>
          <w:rFonts w:ascii="Times New Roman" w:hAnsi="Times New Roman"/>
          <w:lang w:val="it-IT"/>
        </w:rPr>
        <w:t>:</w:t>
      </w:r>
    </w:p>
    <w:p w14:paraId="05CD8561" w14:textId="394D53DE" w:rsidR="00521437" w:rsidRPr="00496684" w:rsidRDefault="001B11C3" w:rsidP="00521437">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pazienti pediatrici con leucemia mieloide cronica (LMC) con cromosoma Philadelphia (bcr-</w:t>
      </w:r>
      <w:r w:rsidRPr="00496684">
        <w:rPr>
          <w:rFonts w:ascii="Times New Roman" w:hAnsi="Times New Roman"/>
          <w:lang w:val="it-IT"/>
        </w:rPr>
        <w:tab/>
        <w:t xml:space="preserve">abl) positivo (Ph+) di nuova diagnosi, per i quali il trapianto di midollo osseo non è considerato </w:t>
      </w:r>
      <w:r w:rsidRPr="00496684">
        <w:rPr>
          <w:rFonts w:ascii="Times New Roman" w:hAnsi="Times New Roman"/>
          <w:lang w:val="it-IT"/>
        </w:rPr>
        <w:tab/>
        <w:t>come trattamento di prima linea</w:t>
      </w:r>
      <w:r w:rsidR="00DF2B2B" w:rsidRPr="00496684">
        <w:rPr>
          <w:rFonts w:ascii="Times New Roman" w:hAnsi="Times New Roman"/>
          <w:lang w:val="it-IT"/>
        </w:rPr>
        <w:t>.</w:t>
      </w:r>
    </w:p>
    <w:p w14:paraId="38828C84" w14:textId="35D7565E" w:rsidR="00521437" w:rsidRPr="00496684" w:rsidRDefault="00521437" w:rsidP="00521437">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 xml:space="preserve">pazienti pediatrici con LMC Ph+ in fase cronica dopo il fallimento della terapia con </w:t>
      </w:r>
      <w:r w:rsidRPr="00496684">
        <w:rPr>
          <w:rFonts w:ascii="Times New Roman" w:hAnsi="Times New Roman"/>
          <w:lang w:val="it-IT"/>
        </w:rPr>
        <w:tab/>
        <w:t>interferone-alfa, o in fase accelerata o in crisi blastica.</w:t>
      </w:r>
    </w:p>
    <w:p w14:paraId="0355793A" w14:textId="77777777" w:rsidR="002223AB" w:rsidRPr="00496684" w:rsidRDefault="00521437" w:rsidP="002223A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r>
      <w:r w:rsidR="00BF48F7" w:rsidRPr="00496684">
        <w:rPr>
          <w:rFonts w:ascii="Times New Roman" w:hAnsi="Times New Roman"/>
          <w:lang w:val="it-IT"/>
        </w:rPr>
        <w:t>pazienti adulti LMC Ph+ in crisi blastica.</w:t>
      </w:r>
    </w:p>
    <w:p w14:paraId="01184E50" w14:textId="77777777" w:rsidR="003A3302" w:rsidRPr="00496684" w:rsidRDefault="00BF48F7" w:rsidP="00CE7998">
      <w:pPr>
        <w:autoSpaceDE w:val="0"/>
        <w:autoSpaceDN w:val="0"/>
        <w:adjustRightInd w:val="0"/>
        <w:spacing w:after="0" w:line="240" w:lineRule="auto"/>
        <w:rPr>
          <w:lang w:val="it-IT"/>
        </w:rPr>
      </w:pPr>
      <w:r w:rsidRPr="00496684">
        <w:rPr>
          <w:rFonts w:ascii="Times New Roman" w:hAnsi="Times New Roman"/>
          <w:lang w:val="it-IT"/>
        </w:rPr>
        <w:t>-</w:t>
      </w:r>
      <w:r w:rsidRPr="00496684">
        <w:rPr>
          <w:rFonts w:ascii="Times New Roman" w:hAnsi="Times New Roman"/>
          <w:lang w:val="it-IT"/>
        </w:rPr>
        <w:tab/>
        <w:t xml:space="preserve">pazienti adulti </w:t>
      </w:r>
      <w:r w:rsidR="00FC5404" w:rsidRPr="00496684">
        <w:rPr>
          <w:rFonts w:ascii="Times New Roman" w:hAnsi="Times New Roman"/>
          <w:lang w:val="it-IT"/>
        </w:rPr>
        <w:t xml:space="preserve">e pediatrici </w:t>
      </w:r>
      <w:r w:rsidRPr="00496684">
        <w:rPr>
          <w:rFonts w:ascii="Times New Roman" w:hAnsi="Times New Roman"/>
          <w:lang w:val="it-IT"/>
        </w:rPr>
        <w:t xml:space="preserve">con leucemia linfoblastica acuta con cromosoma Philadelphia positivo </w:t>
      </w:r>
      <w:r w:rsidR="00FC5404" w:rsidRPr="00496684">
        <w:rPr>
          <w:rFonts w:ascii="Times New Roman" w:hAnsi="Times New Roman"/>
          <w:lang w:val="it-IT"/>
        </w:rPr>
        <w:tab/>
      </w:r>
      <w:r w:rsidRPr="00496684">
        <w:rPr>
          <w:rFonts w:ascii="Times New Roman" w:hAnsi="Times New Roman"/>
          <w:lang w:val="it-IT"/>
        </w:rPr>
        <w:t xml:space="preserve">(LLA Ph+) di nuova diagnosi integrato con chemioterapia. </w:t>
      </w:r>
    </w:p>
    <w:p w14:paraId="1C80F4EF" w14:textId="77777777" w:rsidR="002223AB" w:rsidRPr="00496684" w:rsidRDefault="002223AB" w:rsidP="002223AB">
      <w:pPr>
        <w:pStyle w:val="Default"/>
        <w:rPr>
          <w:sz w:val="22"/>
          <w:szCs w:val="22"/>
          <w:lang w:val="it-IT"/>
        </w:rPr>
      </w:pPr>
      <w:r w:rsidRPr="00496684">
        <w:rPr>
          <w:sz w:val="22"/>
          <w:szCs w:val="22"/>
          <w:lang w:val="it-IT"/>
        </w:rPr>
        <w:t>-</w:t>
      </w:r>
      <w:r w:rsidRPr="00496684">
        <w:rPr>
          <w:sz w:val="22"/>
          <w:szCs w:val="22"/>
          <w:lang w:val="it-IT"/>
        </w:rPr>
        <w:tab/>
        <w:t xml:space="preserve">pazienti adulti con LLA Ph+ recidivante o refrattaria come monoterapia. </w:t>
      </w:r>
    </w:p>
    <w:p w14:paraId="1A412C33" w14:textId="77777777" w:rsidR="002223AB" w:rsidRPr="00496684" w:rsidRDefault="002223AB" w:rsidP="002223AB">
      <w:pPr>
        <w:autoSpaceDE w:val="0"/>
        <w:autoSpaceDN w:val="0"/>
        <w:adjustRightInd w:val="0"/>
        <w:spacing w:after="0" w:line="240" w:lineRule="auto"/>
        <w:ind w:left="567" w:hanging="567"/>
        <w:rPr>
          <w:rFonts w:ascii="Times New Roman" w:hAnsi="Times New Roman"/>
          <w:lang w:val="it-IT"/>
        </w:rPr>
      </w:pPr>
      <w:r w:rsidRPr="00496684">
        <w:rPr>
          <w:lang w:val="it-IT"/>
        </w:rPr>
        <w:lastRenderedPageBreak/>
        <w:t>-</w:t>
      </w:r>
      <w:r w:rsidRPr="00496684">
        <w:rPr>
          <w:lang w:val="it-IT"/>
        </w:rPr>
        <w:tab/>
      </w:r>
      <w:r w:rsidRPr="00496684">
        <w:rPr>
          <w:rFonts w:ascii="Times New Roman" w:hAnsi="Times New Roman"/>
          <w:lang w:val="it-IT"/>
        </w:rPr>
        <w:t xml:space="preserve">pazienti adulti con malattie mielodisplastiche/mieloproliferative (MDS/MPD) associate a riarrangiamenti del gene del recettore per il fattore di crescita di origine piastrinica (PDGFR). </w:t>
      </w:r>
    </w:p>
    <w:p w14:paraId="5149686C" w14:textId="77777777" w:rsidR="002223AB" w:rsidRPr="00496684" w:rsidRDefault="002223AB" w:rsidP="00A82CFC">
      <w:pPr>
        <w:pStyle w:val="Default"/>
        <w:ind w:left="567" w:hanging="567"/>
        <w:rPr>
          <w:sz w:val="22"/>
          <w:szCs w:val="22"/>
          <w:lang w:val="it-IT"/>
        </w:rPr>
      </w:pPr>
      <w:r w:rsidRPr="00496684">
        <w:rPr>
          <w:sz w:val="22"/>
          <w:szCs w:val="22"/>
          <w:lang w:val="it-IT"/>
        </w:rPr>
        <w:t>-</w:t>
      </w:r>
      <w:r w:rsidRPr="00496684">
        <w:rPr>
          <w:sz w:val="22"/>
          <w:szCs w:val="22"/>
          <w:lang w:val="it-IT"/>
        </w:rPr>
        <w:tab/>
        <w:t xml:space="preserve"> pazienti adulti con sindrome ipereosinofila avanzata (HES) e/o con leucemia eosinofila cronica (LEC) con riarrangiamento FIP1L1-PDGFR</w:t>
      </w:r>
      <w:r w:rsidR="00A82CFC" w:rsidRPr="00496684">
        <w:rPr>
          <w:sz w:val="22"/>
          <w:szCs w:val="22"/>
          <w:lang w:val="it-IT"/>
        </w:rPr>
        <w:t>α</w:t>
      </w:r>
      <w:r w:rsidRPr="00496684">
        <w:rPr>
          <w:sz w:val="22"/>
          <w:szCs w:val="22"/>
          <w:lang w:val="it-IT"/>
        </w:rPr>
        <w:t xml:space="preserve">. </w:t>
      </w:r>
    </w:p>
    <w:p w14:paraId="0837C8CC" w14:textId="77777777" w:rsidR="005B05D9" w:rsidRPr="00496684" w:rsidRDefault="005B05D9" w:rsidP="005B05D9">
      <w:pPr>
        <w:tabs>
          <w:tab w:val="left" w:pos="567"/>
        </w:tabs>
        <w:autoSpaceDE w:val="0"/>
        <w:autoSpaceDN w:val="0"/>
        <w:adjustRightInd w:val="0"/>
        <w:spacing w:after="0" w:line="240" w:lineRule="auto"/>
        <w:ind w:left="567" w:hanging="567"/>
        <w:rPr>
          <w:rFonts w:ascii="Times New Roman" w:hAnsi="Times New Roman"/>
          <w:lang w:val="it-IT"/>
        </w:rPr>
      </w:pPr>
    </w:p>
    <w:p w14:paraId="5F1EF5E7" w14:textId="77777777" w:rsidR="00521437" w:rsidRPr="00496684" w:rsidRDefault="00521437" w:rsidP="00521437">
      <w:pPr>
        <w:pStyle w:val="Endnotentext"/>
        <w:widowControl w:val="0"/>
        <w:tabs>
          <w:tab w:val="clear" w:pos="567"/>
        </w:tabs>
        <w:jc w:val="both"/>
        <w:rPr>
          <w:szCs w:val="22"/>
          <w:lang w:val="it-IT"/>
        </w:rPr>
      </w:pPr>
      <w:r w:rsidRPr="00496684">
        <w:rPr>
          <w:szCs w:val="22"/>
          <w:lang w:val="it-IT"/>
        </w:rPr>
        <w:t>L’effetto di imatinib sull’esito del trapianto di midollo osseo non è stato determinato.</w:t>
      </w:r>
    </w:p>
    <w:p w14:paraId="41CC76CF" w14:textId="77777777" w:rsidR="00A82CFC" w:rsidRPr="00496684" w:rsidRDefault="00A82CFC" w:rsidP="00AB2C4F">
      <w:pPr>
        <w:tabs>
          <w:tab w:val="left" w:pos="0"/>
        </w:tabs>
        <w:autoSpaceDE w:val="0"/>
        <w:autoSpaceDN w:val="0"/>
        <w:adjustRightInd w:val="0"/>
        <w:spacing w:after="0" w:line="240" w:lineRule="auto"/>
        <w:ind w:left="567" w:hanging="567"/>
        <w:rPr>
          <w:rFonts w:ascii="Times New Roman" w:hAnsi="Times New Roman"/>
          <w:lang w:val="it-IT"/>
        </w:rPr>
      </w:pPr>
    </w:p>
    <w:p w14:paraId="5BF6BF82" w14:textId="77777777" w:rsidR="00AB2C4F" w:rsidRPr="00496684" w:rsidRDefault="00A82CFC" w:rsidP="00AB2C4F">
      <w:pPr>
        <w:tabs>
          <w:tab w:val="left" w:pos="0"/>
        </w:tabs>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Imatinib Actavis è indicato per</w:t>
      </w:r>
    </w:p>
    <w:p w14:paraId="241DD60A" w14:textId="7271A927" w:rsidR="00A82CFC" w:rsidRPr="00496684" w:rsidRDefault="00A82CFC" w:rsidP="00A82CFC">
      <w:pPr>
        <w:autoSpaceDE w:val="0"/>
        <w:autoSpaceDN w:val="0"/>
        <w:adjustRightInd w:val="0"/>
        <w:spacing w:after="0" w:line="240" w:lineRule="auto"/>
        <w:ind w:left="567" w:hanging="567"/>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w:t>
      </w:r>
      <w:r w:rsidRPr="00496684">
        <w:rPr>
          <w:rFonts w:ascii="Times New Roman" w:eastAsia="Times New Roman" w:hAnsi="Times New Roman"/>
          <w:color w:val="000000"/>
          <w:lang w:val="it-IT" w:eastAsia="it-IT"/>
        </w:rPr>
        <w:tab/>
        <w:t>il trattamento di pazienti adulti con dermatofibrosarcoma protuberans (DFSP) non resecabile e pazienti adulti con DFSP recidivante e/o metastatico non eleg</w:t>
      </w:r>
      <w:r w:rsidR="0040468F" w:rsidRPr="00496684">
        <w:rPr>
          <w:rFonts w:ascii="Times New Roman" w:eastAsia="Times New Roman" w:hAnsi="Times New Roman"/>
          <w:color w:val="000000"/>
          <w:lang w:val="it-IT" w:eastAsia="it-IT"/>
        </w:rPr>
        <w:t>g</w:t>
      </w:r>
      <w:r w:rsidRPr="00496684">
        <w:rPr>
          <w:rFonts w:ascii="Times New Roman" w:eastAsia="Times New Roman" w:hAnsi="Times New Roman"/>
          <w:color w:val="000000"/>
          <w:lang w:val="it-IT" w:eastAsia="it-IT"/>
        </w:rPr>
        <w:t xml:space="preserve">ibili per la chirurgia. </w:t>
      </w:r>
    </w:p>
    <w:p w14:paraId="27A9021E" w14:textId="77777777" w:rsidR="00A82CFC" w:rsidRPr="00496684" w:rsidRDefault="00A82CFC" w:rsidP="00AB2C4F">
      <w:pPr>
        <w:tabs>
          <w:tab w:val="left" w:pos="0"/>
        </w:tabs>
        <w:autoSpaceDE w:val="0"/>
        <w:autoSpaceDN w:val="0"/>
        <w:adjustRightInd w:val="0"/>
        <w:spacing w:after="0" w:line="240" w:lineRule="auto"/>
        <w:ind w:left="567" w:hanging="567"/>
        <w:rPr>
          <w:rFonts w:ascii="Times New Roman" w:hAnsi="Times New Roman"/>
          <w:lang w:val="it-IT"/>
        </w:rPr>
      </w:pPr>
    </w:p>
    <w:p w14:paraId="19C3137D" w14:textId="46BC3DD3" w:rsidR="00521437" w:rsidRPr="00496684" w:rsidRDefault="00521437" w:rsidP="00521437">
      <w:pPr>
        <w:tabs>
          <w:tab w:val="left" w:pos="0"/>
        </w:tabs>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Nei pazienti adulti e pediatrici, l'efficacia di imatinib si basa sui valori globali di risposta ematologica e citogenetica e di sopravvivenza libera da progressione nella LMC</w:t>
      </w:r>
      <w:r w:rsidR="00A82CFC" w:rsidRPr="00496684">
        <w:rPr>
          <w:rFonts w:ascii="Times New Roman" w:eastAsia="Times New Roman" w:hAnsi="Times New Roman"/>
          <w:lang w:val="it-IT" w:eastAsia="it-IT"/>
        </w:rPr>
        <w:t>,</w:t>
      </w:r>
      <w:r w:rsidR="00A82CFC" w:rsidRPr="00496684">
        <w:rPr>
          <w:lang w:val="it-IT"/>
        </w:rPr>
        <w:t xml:space="preserve"> </w:t>
      </w:r>
      <w:r w:rsidR="00A82CFC" w:rsidRPr="00496684">
        <w:rPr>
          <w:rFonts w:ascii="Times New Roman" w:hAnsi="Times New Roman"/>
          <w:lang w:val="it-IT"/>
        </w:rPr>
        <w:t>su valori di risposta ematologica e citogenetica nella LLA Ph+, MDS/MPD, su valori di risposta ematologica nelle HES/LEC e su valori di risposta obiettiva nei pazienti adulti con DFSP non operabil</w:t>
      </w:r>
      <w:r w:rsidR="00DF7766" w:rsidRPr="00496684">
        <w:rPr>
          <w:rFonts w:ascii="Times New Roman" w:hAnsi="Times New Roman"/>
          <w:lang w:val="it-IT"/>
        </w:rPr>
        <w:t>e</w:t>
      </w:r>
      <w:r w:rsidR="00A82CFC" w:rsidRPr="00496684">
        <w:rPr>
          <w:rFonts w:ascii="Times New Roman" w:hAnsi="Times New Roman"/>
          <w:lang w:val="it-IT"/>
        </w:rPr>
        <w:t xml:space="preserve"> e/o metastatic</w:t>
      </w:r>
      <w:r w:rsidR="00DF7766" w:rsidRPr="00496684">
        <w:rPr>
          <w:rFonts w:ascii="Times New Roman" w:hAnsi="Times New Roman"/>
          <w:lang w:val="it-IT"/>
        </w:rPr>
        <w:t>o.</w:t>
      </w:r>
      <w:r w:rsidR="00A82CFC" w:rsidRPr="00496684">
        <w:rPr>
          <w:rFonts w:ascii="Times New Roman" w:hAnsi="Times New Roman"/>
          <w:lang w:val="it-IT"/>
        </w:rPr>
        <w:t xml:space="preserve"> L’esperienza con </w:t>
      </w:r>
      <w:r w:rsidR="00DF7766" w:rsidRPr="00496684">
        <w:rPr>
          <w:rFonts w:ascii="Times New Roman" w:hAnsi="Times New Roman"/>
          <w:lang w:val="it-IT"/>
        </w:rPr>
        <w:t>imatinib</w:t>
      </w:r>
      <w:r w:rsidR="00A82CFC" w:rsidRPr="00496684">
        <w:rPr>
          <w:rFonts w:ascii="Times New Roman" w:hAnsi="Times New Roman"/>
          <w:lang w:val="it-IT"/>
        </w:rPr>
        <w:t xml:space="preserve"> in pazienti con MDS/MPD associata a riarrangiamenti del gene PDGFR è molto limitata (vedere paragrafo 5.1). Non ci sono sperimentazioni cliniche controllate che dimostrano un beneficio clinico o</w:t>
      </w:r>
      <w:r w:rsidR="00DF7766" w:rsidRPr="00496684">
        <w:rPr>
          <w:lang w:val="it-IT"/>
        </w:rPr>
        <w:t xml:space="preserve"> </w:t>
      </w:r>
      <w:r w:rsidR="00DF7766" w:rsidRPr="00496684">
        <w:rPr>
          <w:rFonts w:ascii="Times New Roman" w:hAnsi="Times New Roman"/>
          <w:lang w:val="it-IT"/>
        </w:rPr>
        <w:t>un aumento della sopravvivenza per queste patologie</w:t>
      </w:r>
      <w:r w:rsidR="00BF48F7" w:rsidRPr="00496684">
        <w:rPr>
          <w:rFonts w:ascii="Times New Roman" w:hAnsi="Times New Roman"/>
          <w:lang w:val="it-IT"/>
        </w:rPr>
        <w:t>.</w:t>
      </w:r>
    </w:p>
    <w:p w14:paraId="6BCF6D09" w14:textId="77777777" w:rsidR="00D270DF" w:rsidRPr="00496684" w:rsidRDefault="00D270DF" w:rsidP="009057C8">
      <w:pPr>
        <w:tabs>
          <w:tab w:val="left" w:pos="0"/>
        </w:tabs>
        <w:autoSpaceDE w:val="0"/>
        <w:autoSpaceDN w:val="0"/>
        <w:adjustRightInd w:val="0"/>
        <w:spacing w:after="0" w:line="240" w:lineRule="auto"/>
        <w:ind w:left="567" w:hanging="567"/>
        <w:rPr>
          <w:rFonts w:ascii="Times New Roman" w:hAnsi="Times New Roman"/>
          <w:lang w:val="it-IT"/>
        </w:rPr>
      </w:pPr>
    </w:p>
    <w:p w14:paraId="0F96EF2E" w14:textId="77777777" w:rsidR="00D270DF" w:rsidRPr="00496684" w:rsidRDefault="00ED1A34" w:rsidP="009057C8">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4.2</w:t>
      </w:r>
      <w:r w:rsidRPr="00496684">
        <w:rPr>
          <w:rFonts w:ascii="Times New Roman" w:hAnsi="Times New Roman"/>
          <w:b/>
          <w:bCs/>
          <w:lang w:val="it-IT"/>
        </w:rPr>
        <w:tab/>
      </w:r>
      <w:r w:rsidR="00521437" w:rsidRPr="00496684">
        <w:rPr>
          <w:rFonts w:ascii="Times New Roman" w:hAnsi="Times New Roman"/>
          <w:b/>
          <w:lang w:val="it-IT"/>
        </w:rPr>
        <w:t>Posologia e modo di somministrazione</w:t>
      </w:r>
    </w:p>
    <w:p w14:paraId="2C626365" w14:textId="77777777" w:rsidR="00521437" w:rsidRPr="00496684" w:rsidRDefault="00521437" w:rsidP="009057C8">
      <w:pPr>
        <w:autoSpaceDE w:val="0"/>
        <w:autoSpaceDN w:val="0"/>
        <w:adjustRightInd w:val="0"/>
        <w:spacing w:after="0" w:line="240" w:lineRule="auto"/>
        <w:rPr>
          <w:rFonts w:ascii="Times New Roman" w:hAnsi="Times New Roman"/>
          <w:lang w:val="it-IT"/>
        </w:rPr>
      </w:pPr>
    </w:p>
    <w:p w14:paraId="558BEF8F" w14:textId="77777777" w:rsidR="00521437" w:rsidRPr="00496684" w:rsidRDefault="00521437" w:rsidP="00521437">
      <w:pPr>
        <w:pStyle w:val="Endnotentext"/>
        <w:widowControl w:val="0"/>
        <w:tabs>
          <w:tab w:val="clear" w:pos="567"/>
        </w:tabs>
        <w:rPr>
          <w:szCs w:val="22"/>
          <w:lang w:val="it-IT"/>
        </w:rPr>
      </w:pPr>
      <w:r w:rsidRPr="00496684">
        <w:rPr>
          <w:szCs w:val="22"/>
          <w:lang w:val="it-IT"/>
        </w:rPr>
        <w:t>La terapia deve essere iniziata da un medico esperto nel trattamento di pa</w:t>
      </w:r>
      <w:r w:rsidR="003724E8" w:rsidRPr="00496684">
        <w:rPr>
          <w:szCs w:val="22"/>
          <w:lang w:val="it-IT"/>
        </w:rPr>
        <w:t>zienti con tumori ematologici</w:t>
      </w:r>
      <w:r w:rsidR="00DF7766" w:rsidRPr="00496684">
        <w:rPr>
          <w:szCs w:val="22"/>
          <w:lang w:val="it-IT"/>
        </w:rPr>
        <w:t xml:space="preserve"> e sarcomi maligni, come appropriato</w:t>
      </w:r>
      <w:r w:rsidR="003724E8" w:rsidRPr="00496684">
        <w:rPr>
          <w:szCs w:val="22"/>
          <w:lang w:val="it-IT"/>
        </w:rPr>
        <w:t>.</w:t>
      </w:r>
    </w:p>
    <w:p w14:paraId="747220EE" w14:textId="77777777" w:rsidR="00521437" w:rsidRPr="00496684" w:rsidRDefault="00521437" w:rsidP="009057C8">
      <w:pPr>
        <w:autoSpaceDE w:val="0"/>
        <w:autoSpaceDN w:val="0"/>
        <w:adjustRightInd w:val="0"/>
        <w:spacing w:after="0" w:line="240" w:lineRule="auto"/>
        <w:rPr>
          <w:rFonts w:ascii="Times New Roman" w:hAnsi="Times New Roman"/>
          <w:lang w:val="it-IT"/>
        </w:rPr>
      </w:pPr>
    </w:p>
    <w:p w14:paraId="59663E73" w14:textId="77777777" w:rsidR="00521437" w:rsidRPr="00496684" w:rsidRDefault="00521437" w:rsidP="009057C8">
      <w:pPr>
        <w:autoSpaceDE w:val="0"/>
        <w:autoSpaceDN w:val="0"/>
        <w:adjustRightInd w:val="0"/>
        <w:spacing w:after="0" w:line="240" w:lineRule="auto"/>
        <w:rPr>
          <w:rFonts w:ascii="Times New Roman" w:hAnsi="Times New Roman"/>
          <w:u w:val="single"/>
          <w:lang w:val="it-IT"/>
        </w:rPr>
      </w:pPr>
      <w:r w:rsidRPr="00496684">
        <w:rPr>
          <w:rFonts w:ascii="Times New Roman" w:hAnsi="Times New Roman"/>
          <w:u w:val="single"/>
          <w:lang w:val="it-IT"/>
        </w:rPr>
        <w:t>Posologia</w:t>
      </w:r>
    </w:p>
    <w:p w14:paraId="4276A283" w14:textId="77777777" w:rsidR="00521437" w:rsidRPr="00496684" w:rsidRDefault="00521437" w:rsidP="009057C8">
      <w:pPr>
        <w:autoSpaceDE w:val="0"/>
        <w:autoSpaceDN w:val="0"/>
        <w:adjustRightInd w:val="0"/>
        <w:spacing w:after="0" w:line="240" w:lineRule="auto"/>
        <w:rPr>
          <w:rFonts w:ascii="Times New Roman" w:hAnsi="Times New Roman"/>
          <w:lang w:val="it-IT"/>
        </w:rPr>
      </w:pPr>
    </w:p>
    <w:p w14:paraId="5C45422C" w14:textId="77777777" w:rsidR="00470A93" w:rsidRPr="00496684" w:rsidRDefault="00470A93" w:rsidP="00470A93">
      <w:pPr>
        <w:pStyle w:val="Endnotentext"/>
        <w:widowControl w:val="0"/>
        <w:tabs>
          <w:tab w:val="clear" w:pos="567"/>
        </w:tabs>
        <w:rPr>
          <w:i/>
          <w:szCs w:val="22"/>
          <w:u w:val="single"/>
          <w:lang w:val="it-IT"/>
        </w:rPr>
      </w:pPr>
      <w:r w:rsidRPr="00496684">
        <w:rPr>
          <w:i/>
          <w:szCs w:val="22"/>
          <w:u w:val="single"/>
          <w:lang w:val="it-IT"/>
        </w:rPr>
        <w:t>Posologia per la LMC in pazienti adulti</w:t>
      </w:r>
    </w:p>
    <w:p w14:paraId="0463A8E4" w14:textId="77777777" w:rsidR="00521437" w:rsidRPr="00496684" w:rsidRDefault="00470A93" w:rsidP="009057C8">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Per i pazienti </w:t>
      </w:r>
      <w:r w:rsidR="00DF7766" w:rsidRPr="00496684">
        <w:rPr>
          <w:rFonts w:ascii="Times New Roman" w:eastAsia="Times New Roman" w:hAnsi="Times New Roman"/>
          <w:lang w:val="it-IT" w:eastAsia="it-IT"/>
        </w:rPr>
        <w:t xml:space="preserve">adulti </w:t>
      </w:r>
      <w:r w:rsidRPr="00496684">
        <w:rPr>
          <w:rFonts w:ascii="Times New Roman" w:eastAsia="Times New Roman" w:hAnsi="Times New Roman"/>
          <w:lang w:val="it-IT" w:eastAsia="it-IT"/>
        </w:rPr>
        <w:t xml:space="preserve">in crisi blastica il dosaggio raccomandato di imatinib è di 600 mg/die. La crisi blastica è definita dalla presenza di blasti nel sangue o nel midollo osseo </w:t>
      </w:r>
      <w:r w:rsidRPr="00496684">
        <w:rPr>
          <w:rFonts w:ascii="Times New Roman" w:eastAsia="Times New Roman" w:hAnsi="Times New Roman"/>
          <w:lang w:val="it-IT" w:eastAsia="it-IT"/>
        </w:rPr>
        <w:sym w:font="Symbol" w:char="F0B3"/>
      </w:r>
      <w:r w:rsidR="00DF2B2B" w:rsidRPr="00496684">
        <w:rPr>
          <w:rFonts w:ascii="Times New Roman" w:eastAsia="Times New Roman" w:hAnsi="Times New Roman"/>
          <w:lang w:val="it-IT" w:eastAsia="it-IT"/>
        </w:rPr>
        <w:t xml:space="preserve"> </w:t>
      </w:r>
      <w:r w:rsidRPr="00496684">
        <w:rPr>
          <w:rFonts w:ascii="Times New Roman" w:eastAsia="Times New Roman" w:hAnsi="Times New Roman"/>
          <w:lang w:val="it-IT" w:eastAsia="it-IT"/>
        </w:rPr>
        <w:t>30% o da malattia extramidollare diversa dalla epatosplenomegalia</w:t>
      </w:r>
      <w:r w:rsidR="00B93C62" w:rsidRPr="00496684">
        <w:rPr>
          <w:rFonts w:ascii="Times New Roman" w:eastAsia="Times New Roman" w:hAnsi="Times New Roman"/>
          <w:lang w:val="it-IT" w:eastAsia="it-IT"/>
        </w:rPr>
        <w:t>.</w:t>
      </w:r>
    </w:p>
    <w:p w14:paraId="7E52D84A" w14:textId="77777777" w:rsidR="00521437" w:rsidRPr="00496684" w:rsidRDefault="00521437" w:rsidP="009057C8">
      <w:pPr>
        <w:autoSpaceDE w:val="0"/>
        <w:autoSpaceDN w:val="0"/>
        <w:adjustRightInd w:val="0"/>
        <w:spacing w:after="0" w:line="240" w:lineRule="auto"/>
        <w:rPr>
          <w:rFonts w:ascii="Times New Roman" w:hAnsi="Times New Roman"/>
          <w:lang w:val="it-IT"/>
        </w:rPr>
      </w:pPr>
    </w:p>
    <w:p w14:paraId="4B408831" w14:textId="77777777" w:rsidR="00470A93" w:rsidRPr="00496684" w:rsidRDefault="00470A93" w:rsidP="00470A93">
      <w:pPr>
        <w:pStyle w:val="Endnotentext"/>
        <w:widowControl w:val="0"/>
        <w:tabs>
          <w:tab w:val="clear" w:pos="567"/>
        </w:tabs>
        <w:rPr>
          <w:szCs w:val="22"/>
          <w:lang w:val="it-IT"/>
        </w:rPr>
      </w:pPr>
      <w:r w:rsidRPr="00496684">
        <w:rPr>
          <w:szCs w:val="22"/>
          <w:lang w:val="it-IT"/>
        </w:rPr>
        <w:t>Durata del trattamento: Negli studi clinici, il trattamento con imatinib è continuato fino alla progressione della malattia. Non è stato studiato l'effetto dell'interruzione del trattamento dopo il raggiungimento di una risposta citogenetica completa.</w:t>
      </w:r>
    </w:p>
    <w:p w14:paraId="05B59CA4" w14:textId="77777777" w:rsidR="00521437" w:rsidRPr="00496684" w:rsidRDefault="00521437" w:rsidP="009057C8">
      <w:pPr>
        <w:autoSpaceDE w:val="0"/>
        <w:autoSpaceDN w:val="0"/>
        <w:adjustRightInd w:val="0"/>
        <w:spacing w:after="0" w:line="240" w:lineRule="auto"/>
        <w:rPr>
          <w:rFonts w:ascii="Times New Roman" w:hAnsi="Times New Roman"/>
          <w:lang w:val="it-IT"/>
        </w:rPr>
      </w:pPr>
    </w:p>
    <w:p w14:paraId="2346F514" w14:textId="1E2E2FD7" w:rsidR="00470A93" w:rsidRPr="00496684" w:rsidRDefault="00470A93" w:rsidP="00470A93">
      <w:pPr>
        <w:pStyle w:val="Endnotentext"/>
        <w:widowControl w:val="0"/>
        <w:tabs>
          <w:tab w:val="clear" w:pos="567"/>
        </w:tabs>
        <w:rPr>
          <w:szCs w:val="22"/>
          <w:lang w:val="it-IT"/>
        </w:rPr>
      </w:pPr>
      <w:r w:rsidRPr="00496684">
        <w:rPr>
          <w:szCs w:val="22"/>
          <w:lang w:val="it-IT"/>
        </w:rPr>
        <w:t>E’ possibile aumentare da 600 mg ad un massimo di 800 mg (somministrati con dosi da 400 mg due volte al giorno) nei pazienti con malattia in crisi blastica in assenza di gravi reazioni avverse al farmaco e grave neutropenia o trombocitopenia non associata alla leucemia nelle seguenti condizioni: progressione della malattia (in qualsiasi momento); mancato ottenimento di una risposta ematologica soddisfacente dopo almeno 3 mesi di trattamento; mancato ottenimento della risposta citogenetica dopo 12 mesi di trattamento; o perdita di una risposta ematologica e/o citogenetica precedentemente ottenuta. I pazienti devono essere strettamente monitorati a seguito dell'aumento della dose dato il potenziale aumento di incidenza delle reazioni avverse a dosaggi superiori.</w:t>
      </w:r>
    </w:p>
    <w:p w14:paraId="7434CE43" w14:textId="77777777" w:rsidR="00521437" w:rsidRPr="00496684" w:rsidRDefault="00521437" w:rsidP="009057C8">
      <w:pPr>
        <w:autoSpaceDE w:val="0"/>
        <w:autoSpaceDN w:val="0"/>
        <w:adjustRightInd w:val="0"/>
        <w:spacing w:after="0" w:line="240" w:lineRule="auto"/>
        <w:rPr>
          <w:rFonts w:ascii="Times New Roman" w:hAnsi="Times New Roman"/>
          <w:lang w:val="it-IT"/>
        </w:rPr>
      </w:pPr>
    </w:p>
    <w:p w14:paraId="28D9E3EA" w14:textId="77777777" w:rsidR="00470A93" w:rsidRPr="00496684" w:rsidRDefault="00470A93" w:rsidP="00470A93">
      <w:pPr>
        <w:pStyle w:val="Endnotentext"/>
        <w:widowControl w:val="0"/>
        <w:tabs>
          <w:tab w:val="clear" w:pos="567"/>
        </w:tabs>
        <w:rPr>
          <w:i/>
          <w:szCs w:val="22"/>
          <w:lang w:val="it-IT"/>
        </w:rPr>
      </w:pPr>
      <w:r w:rsidRPr="00496684">
        <w:rPr>
          <w:i/>
          <w:szCs w:val="22"/>
          <w:u w:val="single"/>
          <w:lang w:val="it-IT"/>
        </w:rPr>
        <w:t>Posologia per la LMC in pazienti pediatrici</w:t>
      </w:r>
    </w:p>
    <w:p w14:paraId="4A096059" w14:textId="1C874291" w:rsidR="00470A93" w:rsidRPr="00496684" w:rsidRDefault="00470A93" w:rsidP="00470A93">
      <w:pPr>
        <w:pStyle w:val="Endnotentext"/>
        <w:widowControl w:val="0"/>
        <w:tabs>
          <w:tab w:val="clear" w:pos="567"/>
        </w:tabs>
        <w:rPr>
          <w:szCs w:val="22"/>
          <w:lang w:val="it-IT"/>
        </w:rPr>
      </w:pPr>
      <w:r w:rsidRPr="00496684">
        <w:rPr>
          <w:szCs w:val="22"/>
          <w:lang w:val="it-IT"/>
        </w:rPr>
        <w:t xml:space="preserve">Il dosaggio </w:t>
      </w:r>
      <w:r w:rsidR="00FC5404" w:rsidRPr="00496684">
        <w:rPr>
          <w:szCs w:val="22"/>
          <w:lang w:val="it-IT"/>
        </w:rPr>
        <w:t>per i pazienti pediatrici</w:t>
      </w:r>
      <w:r w:rsidRPr="00496684">
        <w:rPr>
          <w:szCs w:val="22"/>
          <w:lang w:val="it-IT"/>
        </w:rPr>
        <w:t xml:space="preserve"> deve essere calcolato sulla base della superficie corporea (mg/m</w:t>
      </w:r>
      <w:r w:rsidRPr="00496684">
        <w:rPr>
          <w:szCs w:val="22"/>
          <w:vertAlign w:val="superscript"/>
          <w:lang w:val="it-IT"/>
        </w:rPr>
        <w:t>2</w:t>
      </w:r>
      <w:r w:rsidRPr="00496684">
        <w:rPr>
          <w:szCs w:val="22"/>
          <w:lang w:val="it-IT"/>
        </w:rPr>
        <w:t xml:space="preserve">). A bambini con LMC in fase cronica e in fase </w:t>
      </w:r>
      <w:r w:rsidR="00E93569" w:rsidRPr="00496684">
        <w:rPr>
          <w:szCs w:val="22"/>
          <w:lang w:val="it-IT"/>
        </w:rPr>
        <w:t xml:space="preserve">accelerata </w:t>
      </w:r>
      <w:r w:rsidRPr="00496684">
        <w:rPr>
          <w:szCs w:val="22"/>
          <w:lang w:val="it-IT"/>
        </w:rPr>
        <w:t>si raccomanda la dose giornaliera di 340 mg/m</w:t>
      </w:r>
      <w:r w:rsidRPr="00496684">
        <w:rPr>
          <w:szCs w:val="22"/>
          <w:vertAlign w:val="superscript"/>
          <w:lang w:val="it-IT"/>
        </w:rPr>
        <w:t>2</w:t>
      </w:r>
      <w:r w:rsidRPr="00496684">
        <w:rPr>
          <w:szCs w:val="22"/>
          <w:lang w:val="it-IT"/>
        </w:rPr>
        <w:t xml:space="preserve"> (</w:t>
      </w:r>
      <w:r w:rsidR="00207783" w:rsidRPr="00496684">
        <w:rPr>
          <w:szCs w:val="22"/>
          <w:lang w:val="it-IT"/>
        </w:rPr>
        <w:t>s</w:t>
      </w:r>
      <w:r w:rsidR="00B93C62" w:rsidRPr="00496684">
        <w:rPr>
          <w:szCs w:val="22"/>
          <w:lang w:val="it-IT"/>
        </w:rPr>
        <w:t xml:space="preserve">enza </w:t>
      </w:r>
      <w:r w:rsidRPr="00496684">
        <w:rPr>
          <w:szCs w:val="22"/>
          <w:lang w:val="it-IT"/>
        </w:rPr>
        <w:t>superare la dose totale di 800 mg). La dose totale giornaliera può essere assunta in un’unica somministrazione o suddivisa in due somministrazioni, una al mattino e una alla sera. Le raccomandazioni per il dosaggio si basano al momento su un numero limitato di pazienti pediatrici (vedere paragrafi 5.1 e 5.2). Non ci sono dati nel trattamento dei bambini di età inferiore ai 2 anni.</w:t>
      </w:r>
    </w:p>
    <w:p w14:paraId="64C21617" w14:textId="77777777" w:rsidR="00470A93" w:rsidRPr="00496684" w:rsidRDefault="00470A93" w:rsidP="00470A93">
      <w:pPr>
        <w:pStyle w:val="Endnotentext"/>
        <w:widowControl w:val="0"/>
        <w:tabs>
          <w:tab w:val="clear" w:pos="567"/>
        </w:tabs>
        <w:rPr>
          <w:szCs w:val="22"/>
          <w:lang w:val="it-IT"/>
        </w:rPr>
      </w:pPr>
    </w:p>
    <w:p w14:paraId="04D64F72" w14:textId="1396092E" w:rsidR="00470A93" w:rsidRPr="00496684" w:rsidRDefault="00470A93" w:rsidP="00470A93">
      <w:pPr>
        <w:pStyle w:val="Endnotentext"/>
        <w:widowControl w:val="0"/>
        <w:tabs>
          <w:tab w:val="clear" w:pos="567"/>
        </w:tabs>
        <w:rPr>
          <w:szCs w:val="22"/>
          <w:lang w:val="it-IT"/>
        </w:rPr>
      </w:pPr>
      <w:r w:rsidRPr="00496684">
        <w:rPr>
          <w:szCs w:val="22"/>
          <w:lang w:val="it-IT"/>
        </w:rPr>
        <w:t>E’ possibile aumentare la dose giornaliera da 340 mg/m</w:t>
      </w:r>
      <w:r w:rsidRPr="00496684">
        <w:rPr>
          <w:szCs w:val="22"/>
          <w:vertAlign w:val="superscript"/>
          <w:lang w:val="it-IT"/>
        </w:rPr>
        <w:t>2</w:t>
      </w:r>
      <w:r w:rsidRPr="00496684">
        <w:rPr>
          <w:szCs w:val="22"/>
          <w:lang w:val="it-IT"/>
        </w:rPr>
        <w:t xml:space="preserve"> a 570 mg/m</w:t>
      </w:r>
      <w:r w:rsidRPr="00496684">
        <w:rPr>
          <w:szCs w:val="22"/>
          <w:vertAlign w:val="superscript"/>
          <w:lang w:val="it-IT"/>
        </w:rPr>
        <w:t>2</w:t>
      </w:r>
      <w:r w:rsidRPr="00496684">
        <w:rPr>
          <w:szCs w:val="22"/>
          <w:lang w:val="it-IT"/>
        </w:rPr>
        <w:t xml:space="preserve"> (</w:t>
      </w:r>
      <w:r w:rsidR="00B93C62" w:rsidRPr="00496684">
        <w:rPr>
          <w:szCs w:val="22"/>
          <w:lang w:val="it-IT"/>
        </w:rPr>
        <w:t xml:space="preserve">senza </w:t>
      </w:r>
      <w:r w:rsidRPr="00496684">
        <w:rPr>
          <w:szCs w:val="22"/>
          <w:lang w:val="it-IT"/>
        </w:rPr>
        <w:t xml:space="preserve">superare la dose totale di 800 mg) </w:t>
      </w:r>
      <w:r w:rsidR="001044E2" w:rsidRPr="00496684">
        <w:rPr>
          <w:szCs w:val="22"/>
          <w:lang w:val="it-IT"/>
        </w:rPr>
        <w:t xml:space="preserve">nei bambini </w:t>
      </w:r>
      <w:r w:rsidRPr="00496684">
        <w:rPr>
          <w:szCs w:val="22"/>
          <w:lang w:val="it-IT"/>
        </w:rPr>
        <w:t>in assenza di gravi reazioni avverse al farmaco e grave neutropenia o trombocitopenia non associata alla leucemia nelle seguenti circostanze: progressione della malattia (in qualsiasi momento); mancato ottenimento di una risposta ematologica soddisfacente dopo almeno 3 mesi di trattamento, mancato ottenimento di una risposta citogenetica dopo 12 mesi di trattamento; o perdita di una risposta ematologica e/o citogenetica precedentemente ottenuta. I pazienti devono essere strettamente monitorati dopo l’aumento di dose, data la potenziale maggior incidenza di reazioni avverse a dosaggi più alti.</w:t>
      </w:r>
    </w:p>
    <w:p w14:paraId="2CB268C9" w14:textId="77777777" w:rsidR="00E054B5" w:rsidRPr="00496684" w:rsidRDefault="00E054B5" w:rsidP="00D008F2">
      <w:pPr>
        <w:pStyle w:val="Endnotentext"/>
        <w:widowControl w:val="0"/>
        <w:tabs>
          <w:tab w:val="clear" w:pos="567"/>
        </w:tabs>
        <w:rPr>
          <w:lang w:val="it-IT"/>
        </w:rPr>
      </w:pPr>
    </w:p>
    <w:p w14:paraId="536AAC7A" w14:textId="77777777" w:rsidR="00DF7766" w:rsidRPr="00496684" w:rsidRDefault="00DF7766" w:rsidP="00DF7766">
      <w:pPr>
        <w:autoSpaceDE w:val="0"/>
        <w:autoSpaceDN w:val="0"/>
        <w:adjustRightInd w:val="0"/>
        <w:spacing w:after="0" w:line="240" w:lineRule="auto"/>
        <w:rPr>
          <w:rFonts w:ascii="Times New Roman" w:eastAsia="Times New Roman" w:hAnsi="Times New Roman"/>
          <w:i/>
          <w:color w:val="000000"/>
          <w:u w:val="single"/>
          <w:lang w:val="it-IT" w:eastAsia="it-IT"/>
        </w:rPr>
      </w:pPr>
      <w:r w:rsidRPr="00496684">
        <w:rPr>
          <w:rFonts w:ascii="Times New Roman" w:eastAsia="Times New Roman" w:hAnsi="Times New Roman"/>
          <w:i/>
          <w:color w:val="000000"/>
          <w:u w:val="single"/>
          <w:lang w:val="it-IT" w:eastAsia="it-IT"/>
        </w:rPr>
        <w:t xml:space="preserve">Posologia per LLA Ph+ </w:t>
      </w:r>
      <w:r w:rsidR="00FC5404" w:rsidRPr="00496684">
        <w:rPr>
          <w:rFonts w:ascii="Times New Roman" w:eastAsia="Times New Roman" w:hAnsi="Times New Roman"/>
          <w:i/>
          <w:color w:val="000000"/>
          <w:u w:val="single"/>
          <w:lang w:val="it-IT" w:eastAsia="it-IT"/>
        </w:rPr>
        <w:t>in pazienti adulti</w:t>
      </w:r>
    </w:p>
    <w:p w14:paraId="3E67ACC5" w14:textId="77777777" w:rsidR="00DF7766" w:rsidRPr="00496684" w:rsidRDefault="00DF7766" w:rsidP="00DF7766">
      <w:pPr>
        <w:autoSpaceDE w:val="0"/>
        <w:autoSpaceDN w:val="0"/>
        <w:adjustRightInd w:val="0"/>
        <w:spacing w:after="0" w:line="240" w:lineRule="auto"/>
        <w:rPr>
          <w:rFonts w:ascii="Times New Roman" w:eastAsia="Times New Roman" w:hAnsi="Times New Roman"/>
          <w:color w:val="000000"/>
          <w:lang w:val="it-IT" w:eastAsia="it-IT"/>
        </w:rPr>
      </w:pPr>
      <w:r w:rsidRPr="00496684">
        <w:rPr>
          <w:color w:val="000000"/>
          <w:lang w:val="it-IT" w:eastAsia="it-IT"/>
        </w:rPr>
        <w:t>Per i pazienti adulti</w:t>
      </w:r>
      <w:r w:rsidR="004C7EE6" w:rsidRPr="00496684">
        <w:rPr>
          <w:rFonts w:ascii="Times New Roman" w:hAnsi="Times New Roman"/>
          <w:color w:val="000000"/>
          <w:lang w:val="it-IT"/>
        </w:rPr>
        <w:t xml:space="preserve"> con </w:t>
      </w:r>
      <w:r w:rsidRPr="00496684">
        <w:rPr>
          <w:rFonts w:ascii="Times New Roman" w:eastAsia="Times New Roman" w:hAnsi="Times New Roman"/>
          <w:color w:val="000000"/>
          <w:lang w:val="it-IT" w:eastAsia="it-IT"/>
        </w:rPr>
        <w:t>LLA Ph+ il dosaggio raccomandato</w:t>
      </w:r>
      <w:r w:rsidR="004C7EE6" w:rsidRPr="00496684">
        <w:rPr>
          <w:rFonts w:ascii="Times New Roman" w:hAnsi="Times New Roman"/>
          <w:color w:val="000000"/>
          <w:lang w:val="it-IT"/>
        </w:rPr>
        <w:t xml:space="preserve"> di imatinib</w:t>
      </w:r>
      <w:r w:rsidRPr="00496684">
        <w:rPr>
          <w:rFonts w:ascii="Times New Roman" w:eastAsia="Times New Roman" w:hAnsi="Times New Roman"/>
          <w:color w:val="000000"/>
          <w:lang w:val="it-IT" w:eastAsia="it-IT"/>
        </w:rPr>
        <w:t xml:space="preserve"> è di 600 mg/die. Ematologi esperti nella gestione di questa malattia devono supervisionare la terapia in tutte le fasi del </w:t>
      </w:r>
      <w:r w:rsidR="004C7EE6" w:rsidRPr="00496684">
        <w:rPr>
          <w:rFonts w:ascii="Times New Roman" w:hAnsi="Times New Roman"/>
          <w:color w:val="000000"/>
          <w:lang w:val="it-IT"/>
        </w:rPr>
        <w:t>trattamento</w:t>
      </w:r>
      <w:r w:rsidRPr="00496684">
        <w:rPr>
          <w:rFonts w:ascii="Times New Roman" w:eastAsia="Times New Roman" w:hAnsi="Times New Roman"/>
          <w:color w:val="000000"/>
          <w:lang w:val="it-IT" w:eastAsia="it-IT"/>
        </w:rPr>
        <w:t xml:space="preserve">. </w:t>
      </w:r>
    </w:p>
    <w:p w14:paraId="2A5BE359" w14:textId="77777777" w:rsidR="00DF7766" w:rsidRPr="00496684" w:rsidRDefault="00DF7766" w:rsidP="00DF7766">
      <w:pPr>
        <w:autoSpaceDE w:val="0"/>
        <w:autoSpaceDN w:val="0"/>
        <w:adjustRightInd w:val="0"/>
        <w:spacing w:after="0" w:line="240" w:lineRule="auto"/>
        <w:rPr>
          <w:rFonts w:ascii="Times New Roman" w:eastAsia="Times New Roman" w:hAnsi="Times New Roman"/>
          <w:color w:val="000000"/>
          <w:lang w:val="it-IT" w:eastAsia="it-IT"/>
        </w:rPr>
      </w:pPr>
    </w:p>
    <w:p w14:paraId="222DA8BF" w14:textId="77777777" w:rsidR="00995DF4" w:rsidRPr="00496684" w:rsidRDefault="00DF7766" w:rsidP="00DF7766">
      <w:pPr>
        <w:autoSpaceDE w:val="0"/>
        <w:autoSpaceDN w:val="0"/>
        <w:adjustRightInd w:val="0"/>
        <w:spacing w:after="0" w:line="240" w:lineRule="auto"/>
        <w:rPr>
          <w:rFonts w:ascii="Times New Roman" w:eastAsia="Times New Roman" w:hAnsi="Times New Roman"/>
          <w:color w:val="000000"/>
          <w:lang w:val="it-IT" w:eastAsia="it-IT"/>
        </w:rPr>
      </w:pPr>
      <w:r w:rsidRPr="00496684">
        <w:rPr>
          <w:color w:val="000000"/>
          <w:lang w:val="it-IT" w:eastAsia="it-IT"/>
        </w:rPr>
        <w:t>Schema di</w:t>
      </w:r>
      <w:r w:rsidR="004C7EE6" w:rsidRPr="00496684">
        <w:rPr>
          <w:color w:val="000000"/>
          <w:lang w:val="it-IT"/>
        </w:rPr>
        <w:t xml:space="preserve"> trattamento</w:t>
      </w:r>
      <w:r w:rsidRPr="00496684">
        <w:rPr>
          <w:rFonts w:ascii="Times New Roman" w:eastAsia="Times New Roman" w:hAnsi="Times New Roman"/>
          <w:color w:val="000000"/>
          <w:lang w:val="it-IT" w:eastAsia="it-IT"/>
        </w:rPr>
        <w:t>: Sulla base</w:t>
      </w:r>
      <w:r w:rsidR="004C7EE6" w:rsidRPr="00496684">
        <w:rPr>
          <w:rFonts w:ascii="Times New Roman" w:hAnsi="Times New Roman"/>
          <w:color w:val="000000"/>
          <w:lang w:val="it-IT"/>
        </w:rPr>
        <w:t xml:space="preserve"> dei </w:t>
      </w:r>
      <w:r w:rsidRPr="00496684">
        <w:rPr>
          <w:rFonts w:ascii="Times New Roman" w:eastAsia="Times New Roman" w:hAnsi="Times New Roman"/>
          <w:color w:val="000000"/>
          <w:lang w:val="it-IT" w:eastAsia="it-IT"/>
        </w:rPr>
        <w:t>dati esistenti</w:t>
      </w:r>
      <w:r w:rsidR="004C7EE6" w:rsidRPr="00496684">
        <w:rPr>
          <w:rFonts w:ascii="Times New Roman" w:hAnsi="Times New Roman"/>
          <w:color w:val="000000"/>
          <w:lang w:val="it-IT"/>
        </w:rPr>
        <w:t xml:space="preserve">, imatinib </w:t>
      </w:r>
      <w:r w:rsidRPr="00496684">
        <w:rPr>
          <w:rFonts w:ascii="Times New Roman" w:eastAsia="Times New Roman" w:hAnsi="Times New Roman"/>
          <w:color w:val="000000"/>
          <w:lang w:val="it-IT" w:eastAsia="it-IT"/>
        </w:rPr>
        <w:t>ha mostrato</w:t>
      </w:r>
      <w:r w:rsidR="004C7EE6" w:rsidRPr="00496684">
        <w:rPr>
          <w:rFonts w:ascii="Times New Roman" w:hAnsi="Times New Roman"/>
          <w:color w:val="000000"/>
          <w:lang w:val="it-IT"/>
        </w:rPr>
        <w:t xml:space="preserve"> di </w:t>
      </w:r>
      <w:r w:rsidRPr="00496684">
        <w:rPr>
          <w:rFonts w:ascii="Times New Roman" w:eastAsia="Times New Roman" w:hAnsi="Times New Roman"/>
          <w:color w:val="000000"/>
          <w:lang w:val="it-IT" w:eastAsia="it-IT"/>
        </w:rPr>
        <w:t>essere efficace</w:t>
      </w:r>
      <w:r w:rsidR="004C7EE6" w:rsidRPr="00496684">
        <w:rPr>
          <w:rFonts w:ascii="Times New Roman" w:hAnsi="Times New Roman"/>
          <w:color w:val="000000"/>
          <w:lang w:val="it-IT"/>
        </w:rPr>
        <w:t xml:space="preserve"> e </w:t>
      </w:r>
      <w:r w:rsidRPr="00496684">
        <w:rPr>
          <w:rFonts w:ascii="Times New Roman" w:eastAsia="Times New Roman" w:hAnsi="Times New Roman"/>
          <w:color w:val="000000"/>
          <w:lang w:val="it-IT" w:eastAsia="it-IT"/>
        </w:rPr>
        <w:t xml:space="preserve">sicuro quando viene somministrato a 600 mg/die in associazione a chemioterapia nelle fasi d’induzione, consolidamento e mantenimento (vedere paragrafo 5.1) utilizzate nel trattamento </w:t>
      </w:r>
      <w:r w:rsidR="004C7EE6" w:rsidRPr="00496684">
        <w:rPr>
          <w:rFonts w:ascii="Times New Roman" w:hAnsi="Times New Roman"/>
          <w:color w:val="000000"/>
          <w:lang w:val="it-IT"/>
        </w:rPr>
        <w:t xml:space="preserve">di </w:t>
      </w:r>
      <w:r w:rsidRPr="00496684">
        <w:rPr>
          <w:rFonts w:ascii="Times New Roman" w:eastAsia="Times New Roman" w:hAnsi="Times New Roman"/>
          <w:color w:val="000000"/>
          <w:lang w:val="it-IT" w:eastAsia="it-IT"/>
        </w:rPr>
        <w:t xml:space="preserve">pazienti adulti con LLA Ph+ di nuova diagnosi. La durata della terapia </w:t>
      </w:r>
      <w:r w:rsidR="004C7EE6" w:rsidRPr="00496684">
        <w:rPr>
          <w:rFonts w:ascii="Times New Roman" w:hAnsi="Times New Roman"/>
          <w:color w:val="000000"/>
          <w:lang w:val="it-IT"/>
        </w:rPr>
        <w:t xml:space="preserve">con imatinib può </w:t>
      </w:r>
      <w:r w:rsidRPr="00496684">
        <w:rPr>
          <w:rFonts w:ascii="Times New Roman" w:eastAsia="Times New Roman" w:hAnsi="Times New Roman"/>
          <w:color w:val="000000"/>
          <w:lang w:val="it-IT" w:eastAsia="it-IT"/>
        </w:rPr>
        <w:t xml:space="preserve">variare in funzione dello schema di trattamento scelto, ma generalmente risultati migliori si sono raggiunti con esposizioni più prolungate a </w:t>
      </w:r>
      <w:r w:rsidR="00995DF4"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w:t>
      </w:r>
    </w:p>
    <w:p w14:paraId="4CAF71F1" w14:textId="77777777" w:rsidR="00DF7766" w:rsidRPr="00496684" w:rsidRDefault="00DF7766" w:rsidP="00DF7766">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 </w:t>
      </w:r>
    </w:p>
    <w:p w14:paraId="01B2FA21" w14:textId="77777777" w:rsidR="00521437" w:rsidRPr="00496684" w:rsidRDefault="00DF7766" w:rsidP="00DF7766">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Per i pazienti adulti con LLA Ph+ recidivante o refrattaria, </w:t>
      </w:r>
      <w:r w:rsidR="00995DF4"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in monoterapia a 600 mg/die risulta sicuro, efficace e può essere somministrato fino a progressione della malattia.</w:t>
      </w:r>
    </w:p>
    <w:p w14:paraId="4A3273B8" w14:textId="77777777" w:rsidR="00995DF4" w:rsidRPr="00496684" w:rsidRDefault="00995DF4" w:rsidP="00995DF4">
      <w:pPr>
        <w:autoSpaceDE w:val="0"/>
        <w:autoSpaceDN w:val="0"/>
        <w:adjustRightInd w:val="0"/>
        <w:spacing w:after="0" w:line="240" w:lineRule="auto"/>
        <w:rPr>
          <w:rFonts w:ascii="Times New Roman" w:eastAsia="Times New Roman" w:hAnsi="Times New Roman"/>
          <w:color w:val="000000"/>
          <w:lang w:val="it-IT" w:eastAsia="it-IT"/>
        </w:rPr>
      </w:pPr>
    </w:p>
    <w:p w14:paraId="0C8E2860" w14:textId="77777777" w:rsidR="00FC5404" w:rsidRPr="00496684" w:rsidRDefault="00BF48F7" w:rsidP="00FC5404">
      <w:pPr>
        <w:pStyle w:val="Endnotentext"/>
        <w:widowControl w:val="0"/>
        <w:tabs>
          <w:tab w:val="clear" w:pos="567"/>
        </w:tabs>
        <w:rPr>
          <w:i/>
          <w:szCs w:val="22"/>
          <w:lang w:val="it-IT"/>
        </w:rPr>
      </w:pPr>
      <w:r w:rsidRPr="00496684">
        <w:rPr>
          <w:i/>
          <w:szCs w:val="22"/>
          <w:u w:val="single"/>
          <w:lang w:val="it-IT"/>
        </w:rPr>
        <w:t>Posologia per LLA Ph+ in pazienti pediatrici</w:t>
      </w:r>
    </w:p>
    <w:p w14:paraId="44AF9CC7" w14:textId="77777777" w:rsidR="00FC5404" w:rsidRPr="00496684" w:rsidRDefault="00FC5404" w:rsidP="00FC5404">
      <w:pPr>
        <w:pStyle w:val="Endnotentext"/>
        <w:widowControl w:val="0"/>
        <w:tabs>
          <w:tab w:val="clear" w:pos="567"/>
        </w:tabs>
        <w:rPr>
          <w:szCs w:val="22"/>
          <w:lang w:val="it-IT"/>
        </w:rPr>
      </w:pPr>
      <w:r w:rsidRPr="00496684">
        <w:rPr>
          <w:szCs w:val="22"/>
          <w:lang w:val="it-IT"/>
        </w:rPr>
        <w:t>Il dosaggio per i pazienti pediatrici deve essere calcolato sulla base della superficie corporea (mg/m</w:t>
      </w:r>
      <w:r w:rsidRPr="00496684">
        <w:rPr>
          <w:szCs w:val="22"/>
          <w:vertAlign w:val="superscript"/>
          <w:lang w:val="it-IT"/>
        </w:rPr>
        <w:t>2</w:t>
      </w:r>
      <w:r w:rsidRPr="00496684">
        <w:rPr>
          <w:szCs w:val="22"/>
          <w:lang w:val="it-IT"/>
        </w:rPr>
        <w:t>). A bambini con LLA Ph+ la dose giornaliera raccomandata è di 340 mg/m</w:t>
      </w:r>
      <w:r w:rsidRPr="00496684">
        <w:rPr>
          <w:szCs w:val="22"/>
          <w:vertAlign w:val="superscript"/>
          <w:lang w:val="it-IT"/>
        </w:rPr>
        <w:t>2</w:t>
      </w:r>
      <w:r w:rsidRPr="00496684">
        <w:rPr>
          <w:szCs w:val="22"/>
          <w:lang w:val="it-IT"/>
        </w:rPr>
        <w:t xml:space="preserve"> (non superare la dose totale di 600 mg).</w:t>
      </w:r>
    </w:p>
    <w:p w14:paraId="201E5716" w14:textId="77777777" w:rsidR="00FC5404" w:rsidRPr="00496684" w:rsidRDefault="00FC5404" w:rsidP="00995DF4">
      <w:pPr>
        <w:autoSpaceDE w:val="0"/>
        <w:autoSpaceDN w:val="0"/>
        <w:adjustRightInd w:val="0"/>
        <w:spacing w:after="0" w:line="240" w:lineRule="auto"/>
        <w:rPr>
          <w:rFonts w:ascii="Times New Roman" w:eastAsia="Times New Roman" w:hAnsi="Times New Roman"/>
          <w:i/>
          <w:color w:val="000000"/>
          <w:u w:val="single"/>
          <w:lang w:val="it-IT" w:eastAsia="it-IT"/>
        </w:rPr>
      </w:pPr>
    </w:p>
    <w:p w14:paraId="46FFA3D5" w14:textId="77777777" w:rsidR="00995DF4" w:rsidRPr="00496684" w:rsidRDefault="00995DF4" w:rsidP="00995DF4">
      <w:pPr>
        <w:autoSpaceDE w:val="0"/>
        <w:autoSpaceDN w:val="0"/>
        <w:adjustRightInd w:val="0"/>
        <w:spacing w:after="0" w:line="240" w:lineRule="auto"/>
        <w:rPr>
          <w:rFonts w:ascii="Times New Roman" w:eastAsia="Times New Roman" w:hAnsi="Times New Roman"/>
          <w:i/>
          <w:color w:val="000000"/>
          <w:u w:val="single"/>
          <w:lang w:val="it-IT" w:eastAsia="it-IT"/>
        </w:rPr>
      </w:pPr>
      <w:r w:rsidRPr="00496684">
        <w:rPr>
          <w:rFonts w:ascii="Times New Roman" w:eastAsia="Times New Roman" w:hAnsi="Times New Roman"/>
          <w:i/>
          <w:color w:val="000000"/>
          <w:u w:val="single"/>
          <w:lang w:val="it-IT" w:eastAsia="it-IT"/>
        </w:rPr>
        <w:t xml:space="preserve">Posologia per MDS/MPD </w:t>
      </w:r>
    </w:p>
    <w:p w14:paraId="583D0F19" w14:textId="77777777" w:rsidR="00995DF4" w:rsidRPr="00496684" w:rsidRDefault="00995DF4" w:rsidP="00995DF4">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Per i pazienti adulti con MDS/MPD il dosaggio raccomandato di imatinib è di 400 mg/die. </w:t>
      </w:r>
    </w:p>
    <w:p w14:paraId="3979216D" w14:textId="77777777" w:rsidR="00995DF4" w:rsidRPr="00496684" w:rsidRDefault="00995DF4" w:rsidP="00995DF4">
      <w:pPr>
        <w:pStyle w:val="Endnotentext"/>
        <w:widowControl w:val="0"/>
        <w:tabs>
          <w:tab w:val="clear" w:pos="567"/>
        </w:tabs>
        <w:rPr>
          <w:color w:val="000000"/>
          <w:szCs w:val="22"/>
          <w:lang w:val="it-IT" w:eastAsia="it-IT"/>
        </w:rPr>
      </w:pPr>
    </w:p>
    <w:p w14:paraId="77042949" w14:textId="77777777" w:rsidR="00995DF4" w:rsidRPr="00496684" w:rsidRDefault="00995DF4" w:rsidP="00995DF4">
      <w:pPr>
        <w:pStyle w:val="Endnotentext"/>
        <w:widowControl w:val="0"/>
        <w:tabs>
          <w:tab w:val="clear" w:pos="567"/>
        </w:tabs>
        <w:rPr>
          <w:color w:val="000000"/>
          <w:szCs w:val="22"/>
          <w:lang w:val="it-IT" w:eastAsia="it-IT"/>
        </w:rPr>
      </w:pPr>
      <w:r w:rsidRPr="00496684">
        <w:rPr>
          <w:color w:val="000000"/>
          <w:szCs w:val="22"/>
          <w:lang w:val="it-IT" w:eastAsia="it-IT"/>
        </w:rPr>
        <w:t xml:space="preserve">Durata del trattamento: Nell’unico studio clinico condotto finora, il trattamento con </w:t>
      </w:r>
      <w:r w:rsidR="00066500" w:rsidRPr="00496684">
        <w:rPr>
          <w:color w:val="000000"/>
          <w:szCs w:val="22"/>
          <w:lang w:val="it-IT" w:eastAsia="it-IT"/>
        </w:rPr>
        <w:t>imatinib</w:t>
      </w:r>
      <w:r w:rsidRPr="00496684">
        <w:rPr>
          <w:color w:val="000000"/>
          <w:szCs w:val="22"/>
          <w:lang w:val="it-IT" w:eastAsia="it-IT"/>
        </w:rPr>
        <w:t xml:space="preserve"> è stato</w:t>
      </w:r>
      <w:r w:rsidR="004C7EE6" w:rsidRPr="00496684">
        <w:rPr>
          <w:color w:val="000000"/>
          <w:lang w:val="it-IT"/>
        </w:rPr>
        <w:t xml:space="preserve"> continuato </w:t>
      </w:r>
      <w:r w:rsidRPr="00496684">
        <w:rPr>
          <w:color w:val="000000"/>
          <w:szCs w:val="22"/>
          <w:lang w:val="it-IT" w:eastAsia="it-IT"/>
        </w:rPr>
        <w:t>fino a progressione della malattia (vedere paragrafo 5.1). Al momento dell’analisi, la durata mediana del trattamento era di 47 mesi (24 giorni – 60 mesi).</w:t>
      </w:r>
    </w:p>
    <w:p w14:paraId="75B0DBCA" w14:textId="77777777" w:rsidR="00995DF4" w:rsidRPr="00496684" w:rsidRDefault="00995DF4" w:rsidP="00995DF4">
      <w:pPr>
        <w:pStyle w:val="Endnotentext"/>
        <w:widowControl w:val="0"/>
        <w:tabs>
          <w:tab w:val="clear" w:pos="567"/>
        </w:tabs>
        <w:rPr>
          <w:szCs w:val="22"/>
          <w:u w:val="single"/>
          <w:lang w:val="it-IT"/>
        </w:rPr>
      </w:pPr>
    </w:p>
    <w:p w14:paraId="1CECC168" w14:textId="77777777" w:rsidR="00995DF4" w:rsidRPr="00496684" w:rsidRDefault="00995DF4" w:rsidP="00995DF4">
      <w:pPr>
        <w:autoSpaceDE w:val="0"/>
        <w:autoSpaceDN w:val="0"/>
        <w:adjustRightInd w:val="0"/>
        <w:spacing w:after="0" w:line="240" w:lineRule="auto"/>
        <w:rPr>
          <w:rFonts w:ascii="Times New Roman" w:eastAsia="Times New Roman" w:hAnsi="Times New Roman"/>
          <w:i/>
          <w:color w:val="000000"/>
          <w:u w:val="single"/>
          <w:lang w:val="it-IT" w:eastAsia="it-IT"/>
        </w:rPr>
      </w:pPr>
      <w:r w:rsidRPr="00496684">
        <w:rPr>
          <w:rFonts w:ascii="Times New Roman" w:eastAsia="Times New Roman" w:hAnsi="Times New Roman"/>
          <w:i/>
          <w:color w:val="000000"/>
          <w:u w:val="single"/>
          <w:lang w:val="it-IT" w:eastAsia="it-IT"/>
        </w:rPr>
        <w:t xml:space="preserve">Posologia per HES/LEC </w:t>
      </w:r>
    </w:p>
    <w:p w14:paraId="41C47159" w14:textId="77777777" w:rsidR="00995DF4" w:rsidRPr="00496684" w:rsidRDefault="00995DF4" w:rsidP="00995DF4">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Per i pazienti adulti con HES/LEC il dosaggio raccomandato di </w:t>
      </w:r>
      <w:r w:rsidR="001111A4"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è 100 mg/die. </w:t>
      </w:r>
    </w:p>
    <w:p w14:paraId="283D3083" w14:textId="77777777" w:rsidR="001111A4" w:rsidRPr="00496684" w:rsidRDefault="001111A4" w:rsidP="00995DF4">
      <w:pPr>
        <w:autoSpaceDE w:val="0"/>
        <w:autoSpaceDN w:val="0"/>
        <w:adjustRightInd w:val="0"/>
        <w:spacing w:after="0" w:line="240" w:lineRule="auto"/>
        <w:rPr>
          <w:rFonts w:ascii="Times New Roman" w:eastAsia="Times New Roman" w:hAnsi="Times New Roman"/>
          <w:color w:val="000000"/>
          <w:lang w:val="it-IT" w:eastAsia="it-IT"/>
        </w:rPr>
      </w:pPr>
    </w:p>
    <w:p w14:paraId="4E7AC883" w14:textId="77777777" w:rsidR="00995DF4" w:rsidRPr="00496684" w:rsidRDefault="00995DF4" w:rsidP="00995DF4">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Si può considerare</w:t>
      </w:r>
      <w:r w:rsidR="004C7EE6" w:rsidRPr="00496684">
        <w:rPr>
          <w:rFonts w:ascii="Times New Roman" w:hAnsi="Times New Roman"/>
          <w:color w:val="000000"/>
          <w:lang w:val="it-IT"/>
        </w:rPr>
        <w:t xml:space="preserve"> un </w:t>
      </w:r>
      <w:r w:rsidRPr="00496684">
        <w:rPr>
          <w:rFonts w:ascii="Times New Roman" w:eastAsia="Times New Roman" w:hAnsi="Times New Roman"/>
          <w:color w:val="000000"/>
          <w:lang w:val="it-IT" w:eastAsia="it-IT"/>
        </w:rPr>
        <w:t xml:space="preserve">incremento della dose da 100 mg a 400 mg in assenza di reazioni avverse al farmaco, se le valutazioni dimostrano una risposta terapeutica insufficiente. </w:t>
      </w:r>
    </w:p>
    <w:p w14:paraId="576B28E6" w14:textId="77777777" w:rsidR="001111A4" w:rsidRPr="00496684" w:rsidRDefault="001111A4" w:rsidP="00995DF4">
      <w:pPr>
        <w:pStyle w:val="Endnotentext"/>
        <w:widowControl w:val="0"/>
        <w:tabs>
          <w:tab w:val="clear" w:pos="567"/>
        </w:tabs>
        <w:rPr>
          <w:color w:val="000000"/>
          <w:szCs w:val="22"/>
          <w:lang w:val="it-IT" w:eastAsia="it-IT"/>
        </w:rPr>
      </w:pPr>
    </w:p>
    <w:p w14:paraId="450CDB31" w14:textId="77777777" w:rsidR="00995DF4" w:rsidRPr="00496684" w:rsidRDefault="00995DF4" w:rsidP="00995DF4">
      <w:pPr>
        <w:pStyle w:val="Endnotentext"/>
        <w:widowControl w:val="0"/>
        <w:tabs>
          <w:tab w:val="clear" w:pos="567"/>
        </w:tabs>
        <w:rPr>
          <w:szCs w:val="22"/>
          <w:u w:val="single"/>
          <w:lang w:val="it-IT"/>
        </w:rPr>
      </w:pPr>
      <w:r w:rsidRPr="00496684">
        <w:rPr>
          <w:color w:val="000000"/>
          <w:szCs w:val="22"/>
          <w:lang w:val="it-IT" w:eastAsia="it-IT"/>
        </w:rPr>
        <w:t>Il trattamento deve essere continuato finchè il paziente continua a trarne beneficio.</w:t>
      </w:r>
    </w:p>
    <w:p w14:paraId="1941C643" w14:textId="77777777" w:rsidR="001111A4" w:rsidRPr="00496684" w:rsidRDefault="001111A4" w:rsidP="001111A4">
      <w:pPr>
        <w:autoSpaceDE w:val="0"/>
        <w:autoSpaceDN w:val="0"/>
        <w:adjustRightInd w:val="0"/>
        <w:spacing w:after="0" w:line="240" w:lineRule="auto"/>
        <w:rPr>
          <w:rFonts w:ascii="Times New Roman" w:eastAsia="Times New Roman" w:hAnsi="Times New Roman"/>
          <w:color w:val="000000"/>
          <w:lang w:val="it-IT" w:eastAsia="it-IT"/>
        </w:rPr>
      </w:pPr>
    </w:p>
    <w:p w14:paraId="0B5FBB8E" w14:textId="77777777" w:rsidR="001111A4" w:rsidRPr="00496684" w:rsidRDefault="001111A4" w:rsidP="001111A4">
      <w:pPr>
        <w:autoSpaceDE w:val="0"/>
        <w:autoSpaceDN w:val="0"/>
        <w:adjustRightInd w:val="0"/>
        <w:spacing w:after="0" w:line="240" w:lineRule="auto"/>
        <w:rPr>
          <w:rFonts w:ascii="Times New Roman" w:eastAsia="Times New Roman" w:hAnsi="Times New Roman"/>
          <w:i/>
          <w:color w:val="000000"/>
          <w:u w:val="single"/>
          <w:lang w:val="it-IT" w:eastAsia="it-IT"/>
        </w:rPr>
      </w:pPr>
      <w:r w:rsidRPr="00496684">
        <w:rPr>
          <w:rFonts w:ascii="Times New Roman" w:eastAsia="Times New Roman" w:hAnsi="Times New Roman"/>
          <w:i/>
          <w:color w:val="000000"/>
          <w:u w:val="single"/>
          <w:lang w:val="it-IT" w:eastAsia="it-IT"/>
        </w:rPr>
        <w:t xml:space="preserve">Posologia per DFSP </w:t>
      </w:r>
    </w:p>
    <w:p w14:paraId="72AAE770" w14:textId="77777777" w:rsidR="00995DF4" w:rsidRPr="00496684" w:rsidRDefault="001111A4" w:rsidP="001111A4">
      <w:pPr>
        <w:pStyle w:val="Endnotentext"/>
        <w:widowControl w:val="0"/>
        <w:tabs>
          <w:tab w:val="clear" w:pos="567"/>
        </w:tabs>
        <w:rPr>
          <w:color w:val="000000"/>
          <w:szCs w:val="22"/>
          <w:lang w:val="it-IT" w:eastAsia="it-IT"/>
        </w:rPr>
      </w:pPr>
      <w:r w:rsidRPr="00496684">
        <w:rPr>
          <w:color w:val="000000"/>
          <w:szCs w:val="22"/>
          <w:lang w:val="it-IT" w:eastAsia="it-IT"/>
        </w:rPr>
        <w:t>Per i pazienti adulti con DFSP il dosaggio raccomandato di imatinib è di 800 mg/die.</w:t>
      </w:r>
    </w:p>
    <w:p w14:paraId="217D9E03" w14:textId="77777777" w:rsidR="001111A4" w:rsidRPr="00496684" w:rsidRDefault="001111A4" w:rsidP="001111A4">
      <w:pPr>
        <w:pStyle w:val="Endnotentext"/>
        <w:widowControl w:val="0"/>
        <w:tabs>
          <w:tab w:val="clear" w:pos="567"/>
        </w:tabs>
        <w:rPr>
          <w:szCs w:val="22"/>
          <w:u w:val="single"/>
          <w:lang w:val="it-IT"/>
        </w:rPr>
      </w:pPr>
    </w:p>
    <w:p w14:paraId="6B23A956" w14:textId="77777777" w:rsidR="00470A93" w:rsidRPr="00496684" w:rsidRDefault="00470A93" w:rsidP="00470A93">
      <w:pPr>
        <w:pStyle w:val="Endnotentext"/>
        <w:widowControl w:val="0"/>
        <w:tabs>
          <w:tab w:val="clear" w:pos="567"/>
        </w:tabs>
        <w:rPr>
          <w:i/>
          <w:szCs w:val="22"/>
          <w:u w:val="single"/>
          <w:lang w:val="it-IT"/>
        </w:rPr>
      </w:pPr>
      <w:r w:rsidRPr="00496684">
        <w:rPr>
          <w:i/>
          <w:szCs w:val="22"/>
          <w:u w:val="single"/>
          <w:lang w:val="it-IT"/>
        </w:rPr>
        <w:t>Adeguamento della dose in caso di reazioni avverse</w:t>
      </w:r>
    </w:p>
    <w:p w14:paraId="522436B0" w14:textId="77777777" w:rsidR="00470A93" w:rsidRPr="00496684" w:rsidRDefault="00470A93" w:rsidP="00470A93">
      <w:pPr>
        <w:pStyle w:val="Endnotentext"/>
        <w:widowControl w:val="0"/>
        <w:tabs>
          <w:tab w:val="clear" w:pos="567"/>
        </w:tabs>
        <w:rPr>
          <w:i/>
          <w:szCs w:val="22"/>
          <w:lang w:val="it-IT"/>
        </w:rPr>
      </w:pPr>
      <w:r w:rsidRPr="00496684">
        <w:rPr>
          <w:i/>
          <w:szCs w:val="22"/>
          <w:lang w:val="it-IT"/>
        </w:rPr>
        <w:t>Reazioni avverse non ematologiche</w:t>
      </w:r>
    </w:p>
    <w:p w14:paraId="5252CDE3" w14:textId="77777777" w:rsidR="00470A93" w:rsidRPr="00496684" w:rsidRDefault="00470A93" w:rsidP="00470A93">
      <w:pPr>
        <w:pStyle w:val="Endnotentext"/>
        <w:widowControl w:val="0"/>
        <w:tabs>
          <w:tab w:val="clear" w:pos="567"/>
        </w:tabs>
        <w:rPr>
          <w:szCs w:val="22"/>
          <w:lang w:val="it-IT"/>
        </w:rPr>
      </w:pPr>
      <w:r w:rsidRPr="00496684">
        <w:rPr>
          <w:szCs w:val="22"/>
          <w:lang w:val="it-IT"/>
        </w:rPr>
        <w:t>Se dovesse presentarsi una reazione avversa non ematologica con l'uso di imatinib, il trattamento deve essere sospeso fino alla risoluzione dell’evento. In seguito il trattamento può essere ripreso in modo appropriato, a seconda della gravità iniziale dell’evento.</w:t>
      </w:r>
    </w:p>
    <w:p w14:paraId="4DB15009" w14:textId="77777777" w:rsidR="00470A93" w:rsidRPr="00496684" w:rsidRDefault="00470A93" w:rsidP="00470A93">
      <w:pPr>
        <w:pStyle w:val="Endnotentext"/>
        <w:widowControl w:val="0"/>
        <w:tabs>
          <w:tab w:val="clear" w:pos="567"/>
        </w:tabs>
        <w:rPr>
          <w:szCs w:val="22"/>
          <w:lang w:val="it-IT"/>
        </w:rPr>
      </w:pPr>
    </w:p>
    <w:p w14:paraId="2658498E" w14:textId="7DEAD52A" w:rsidR="00470A93" w:rsidRPr="00496684" w:rsidRDefault="00470A93" w:rsidP="00470A93">
      <w:pPr>
        <w:pStyle w:val="Endnotentext"/>
        <w:widowControl w:val="0"/>
        <w:tabs>
          <w:tab w:val="clear" w:pos="567"/>
        </w:tabs>
        <w:rPr>
          <w:snapToGrid w:val="0"/>
          <w:szCs w:val="22"/>
          <w:lang w:val="it-IT"/>
        </w:rPr>
      </w:pPr>
      <w:r w:rsidRPr="00496684">
        <w:rPr>
          <w:szCs w:val="22"/>
          <w:lang w:val="it-IT"/>
        </w:rPr>
        <w:t xml:space="preserve">Se si verificano innalzamenti dei livelli di bilirubina superiori a </w:t>
      </w:r>
      <w:r w:rsidRPr="00496684">
        <w:rPr>
          <w:snapToGrid w:val="0"/>
          <w:szCs w:val="22"/>
          <w:lang w:val="it-IT"/>
        </w:rPr>
        <w:t xml:space="preserve">3 volte il normale limite massimo istituzionale (“Institutional upper limit of normal” IULN) o dei livelli di transaminasi epatiche superiori a 5 volte il limite IULN, imatinib deve essere sospeso fintanto che i livelli di bilirubina siano tornati a valori inferiori a </w:t>
      </w:r>
      <w:r w:rsidRPr="00496684">
        <w:rPr>
          <w:szCs w:val="22"/>
          <w:lang w:val="it-IT"/>
        </w:rPr>
        <w:t xml:space="preserve">1,5 volte il limite </w:t>
      </w:r>
      <w:r w:rsidRPr="00496684">
        <w:rPr>
          <w:snapToGrid w:val="0"/>
          <w:szCs w:val="22"/>
          <w:lang w:val="it-IT"/>
        </w:rPr>
        <w:t xml:space="preserve">IULN e i livelli di transaminasi </w:t>
      </w:r>
      <w:r w:rsidRPr="00496684">
        <w:rPr>
          <w:szCs w:val="22"/>
          <w:lang w:val="it-IT"/>
        </w:rPr>
        <w:t xml:space="preserve">inferiori a 2,5 volte il limite </w:t>
      </w:r>
      <w:r w:rsidRPr="00496684">
        <w:rPr>
          <w:snapToGrid w:val="0"/>
          <w:szCs w:val="22"/>
          <w:lang w:val="it-IT"/>
        </w:rPr>
        <w:t xml:space="preserve">IULN. Il trattamento con imatinib può essere continuato con un dosaggio giornaliero ridotto. Negli adulti la dose deve essere ridotta da </w:t>
      </w:r>
      <w:r w:rsidR="001111A4" w:rsidRPr="00496684">
        <w:rPr>
          <w:szCs w:val="22"/>
          <w:lang w:val="it-IT"/>
        </w:rPr>
        <w:t xml:space="preserve">400 a 300 mg o da </w:t>
      </w:r>
      <w:r w:rsidRPr="00496684">
        <w:rPr>
          <w:snapToGrid w:val="0"/>
          <w:szCs w:val="22"/>
          <w:lang w:val="it-IT"/>
        </w:rPr>
        <w:t>600 a 400 mg, o da 800 mg a 600 mg e nei bambini da 340</w:t>
      </w:r>
      <w:r w:rsidRPr="00496684">
        <w:rPr>
          <w:szCs w:val="22"/>
          <w:lang w:val="it-IT"/>
        </w:rPr>
        <w:t> </w:t>
      </w:r>
      <w:r w:rsidRPr="00496684">
        <w:rPr>
          <w:snapToGrid w:val="0"/>
          <w:szCs w:val="22"/>
          <w:lang w:val="it-IT"/>
        </w:rPr>
        <w:t>a 260</w:t>
      </w:r>
      <w:r w:rsidRPr="00496684">
        <w:rPr>
          <w:szCs w:val="22"/>
          <w:lang w:val="it-IT"/>
        </w:rPr>
        <w:t> mg/m</w:t>
      </w:r>
      <w:r w:rsidRPr="00496684">
        <w:rPr>
          <w:szCs w:val="22"/>
          <w:vertAlign w:val="superscript"/>
          <w:lang w:val="it-IT"/>
        </w:rPr>
        <w:t>2</w:t>
      </w:r>
      <w:r w:rsidRPr="00496684">
        <w:rPr>
          <w:snapToGrid w:val="0"/>
          <w:szCs w:val="22"/>
          <w:lang w:val="it-IT"/>
        </w:rPr>
        <w:t>/die.</w:t>
      </w:r>
    </w:p>
    <w:p w14:paraId="240A8FB9" w14:textId="77777777" w:rsidR="00470A93" w:rsidRPr="00496684" w:rsidRDefault="00470A93" w:rsidP="00470A93">
      <w:pPr>
        <w:pStyle w:val="Endnotentext"/>
        <w:widowControl w:val="0"/>
        <w:tabs>
          <w:tab w:val="clear" w:pos="567"/>
        </w:tabs>
        <w:rPr>
          <w:szCs w:val="22"/>
          <w:lang w:val="it-IT"/>
        </w:rPr>
      </w:pPr>
    </w:p>
    <w:p w14:paraId="44387C75" w14:textId="77777777" w:rsidR="00470A93" w:rsidRPr="00496684" w:rsidRDefault="00470A93" w:rsidP="00470A93">
      <w:pPr>
        <w:pStyle w:val="Endnotentext"/>
        <w:widowControl w:val="0"/>
        <w:tabs>
          <w:tab w:val="clear" w:pos="567"/>
        </w:tabs>
        <w:rPr>
          <w:i/>
          <w:szCs w:val="22"/>
          <w:lang w:val="it-IT"/>
        </w:rPr>
      </w:pPr>
      <w:r w:rsidRPr="00496684">
        <w:rPr>
          <w:i/>
          <w:szCs w:val="22"/>
          <w:lang w:val="it-IT"/>
        </w:rPr>
        <w:t>Reazioni avverse ematologiche</w:t>
      </w:r>
    </w:p>
    <w:p w14:paraId="460B5C96" w14:textId="77777777" w:rsidR="00470A93" w:rsidRPr="00496684" w:rsidRDefault="00470A93" w:rsidP="00470A93">
      <w:pPr>
        <w:pStyle w:val="Endnotentext"/>
        <w:widowControl w:val="0"/>
        <w:tabs>
          <w:tab w:val="clear" w:pos="567"/>
        </w:tabs>
        <w:rPr>
          <w:szCs w:val="22"/>
          <w:lang w:val="it-IT"/>
        </w:rPr>
      </w:pPr>
      <w:r w:rsidRPr="00496684">
        <w:rPr>
          <w:szCs w:val="22"/>
          <w:lang w:val="it-IT"/>
        </w:rPr>
        <w:t>Si raccomanda una riduzione della dose o l’interruzione del trattamento in caso di grave neutropenia e trombocitopenia, come indicato nella tabella seguente.</w:t>
      </w:r>
    </w:p>
    <w:p w14:paraId="3CEBB64B" w14:textId="77777777" w:rsidR="00470A93" w:rsidRPr="00496684" w:rsidRDefault="00470A93" w:rsidP="00470A93">
      <w:pPr>
        <w:pStyle w:val="Endnotentext"/>
        <w:widowControl w:val="0"/>
        <w:tabs>
          <w:tab w:val="clear" w:pos="567"/>
        </w:tabs>
        <w:rPr>
          <w:szCs w:val="22"/>
          <w:lang w:val="it-IT"/>
        </w:rPr>
      </w:pPr>
    </w:p>
    <w:p w14:paraId="39BD1FE2" w14:textId="77777777" w:rsidR="00584EFE" w:rsidRPr="00496684" w:rsidRDefault="00470A93" w:rsidP="00470A93">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Aggiustamenti della dose in caso di neutropenia e trombocitopenia</w:t>
      </w:r>
      <w:r w:rsidR="003724E8" w:rsidRPr="00496684">
        <w:rPr>
          <w:rFonts w:ascii="Times New Roman" w:eastAsia="Times New Roman" w:hAnsi="Times New Roman"/>
          <w:lang w:val="it-IT" w:eastAsia="it-IT"/>
        </w:rPr>
        <w:t>:</w:t>
      </w:r>
    </w:p>
    <w:p w14:paraId="277CE344" w14:textId="77777777" w:rsidR="00584EFE" w:rsidRPr="00496684" w:rsidRDefault="00584EFE" w:rsidP="009057C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6159AF" w:rsidRPr="00496684" w14:paraId="60846027" w14:textId="77777777" w:rsidTr="00AF494A">
        <w:tc>
          <w:tcPr>
            <w:tcW w:w="2376" w:type="dxa"/>
          </w:tcPr>
          <w:p w14:paraId="6C1DCBA5" w14:textId="3500B9F3" w:rsidR="003A3302" w:rsidRPr="00496684" w:rsidRDefault="001111A4" w:rsidP="00CE7998">
            <w:pPr>
              <w:pStyle w:val="Default"/>
              <w:rPr>
                <w:szCs w:val="22"/>
                <w:lang w:val="it-IT" w:eastAsia="it-IT"/>
              </w:rPr>
            </w:pPr>
            <w:r w:rsidRPr="00496684">
              <w:rPr>
                <w:sz w:val="22"/>
                <w:szCs w:val="22"/>
                <w:lang w:val="it-IT"/>
              </w:rPr>
              <w:t xml:space="preserve">HES/LEC (dose iniziale di 100 mg) </w:t>
            </w:r>
          </w:p>
        </w:tc>
        <w:tc>
          <w:tcPr>
            <w:tcW w:w="2400" w:type="dxa"/>
          </w:tcPr>
          <w:p w14:paraId="4E1A6A4F" w14:textId="77777777" w:rsidR="001111A4" w:rsidRPr="00496684" w:rsidRDefault="001111A4" w:rsidP="001111A4">
            <w:pPr>
              <w:pStyle w:val="Default"/>
              <w:rPr>
                <w:sz w:val="22"/>
                <w:szCs w:val="22"/>
                <w:lang w:val="it-IT"/>
              </w:rPr>
            </w:pPr>
            <w:r w:rsidRPr="00496684">
              <w:rPr>
                <w:sz w:val="22"/>
                <w:szCs w:val="22"/>
                <w:lang w:val="it-IT"/>
              </w:rPr>
              <w:t>ANC &lt; 1,0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w:t>
            </w:r>
          </w:p>
          <w:p w14:paraId="666D2BCB" w14:textId="77777777" w:rsidR="001111A4" w:rsidRPr="00496684" w:rsidRDefault="001111A4" w:rsidP="001111A4">
            <w:pPr>
              <w:pStyle w:val="Default"/>
              <w:rPr>
                <w:sz w:val="22"/>
                <w:szCs w:val="22"/>
                <w:lang w:val="it-IT"/>
              </w:rPr>
            </w:pPr>
            <w:r w:rsidRPr="00496684">
              <w:rPr>
                <w:sz w:val="22"/>
                <w:szCs w:val="22"/>
                <w:lang w:val="it-IT"/>
              </w:rPr>
              <w:t xml:space="preserve">e/o </w:t>
            </w:r>
          </w:p>
          <w:p w14:paraId="0535F573" w14:textId="77777777" w:rsidR="006159AF" w:rsidRPr="00496684" w:rsidRDefault="001111A4" w:rsidP="00975EFD">
            <w:pPr>
              <w:pStyle w:val="Endnotentext"/>
              <w:widowControl w:val="0"/>
              <w:tabs>
                <w:tab w:val="clear" w:pos="567"/>
              </w:tabs>
              <w:rPr>
                <w:szCs w:val="22"/>
                <w:lang w:val="it-IT" w:eastAsia="it-IT"/>
              </w:rPr>
            </w:pPr>
            <w:r w:rsidRPr="00496684">
              <w:rPr>
                <w:szCs w:val="22"/>
                <w:lang w:val="it-IT"/>
              </w:rPr>
              <w:t>piastrine &lt; 50 x 10</w:t>
            </w:r>
            <w:r w:rsidR="005D6050" w:rsidRPr="00496684">
              <w:rPr>
                <w:szCs w:val="22"/>
                <w:vertAlign w:val="superscript"/>
                <w:lang w:val="it-IT"/>
              </w:rPr>
              <w:t>9</w:t>
            </w:r>
            <w:r w:rsidR="00975EFD" w:rsidRPr="00496684">
              <w:rPr>
                <w:szCs w:val="22"/>
                <w:lang w:val="it-IT"/>
              </w:rPr>
              <w:t>L</w:t>
            </w:r>
            <w:r w:rsidRPr="00496684">
              <w:rPr>
                <w:szCs w:val="22"/>
                <w:lang w:val="it-IT"/>
              </w:rPr>
              <w:t xml:space="preserve"> </w:t>
            </w:r>
          </w:p>
        </w:tc>
        <w:tc>
          <w:tcPr>
            <w:tcW w:w="4404" w:type="dxa"/>
          </w:tcPr>
          <w:p w14:paraId="0215E312" w14:textId="77777777" w:rsidR="005D6050" w:rsidRPr="00496684" w:rsidRDefault="005D6050" w:rsidP="005D6050">
            <w:pPr>
              <w:pStyle w:val="Default"/>
              <w:numPr>
                <w:ilvl w:val="0"/>
                <w:numId w:val="27"/>
              </w:numPr>
              <w:rPr>
                <w:sz w:val="22"/>
                <w:szCs w:val="22"/>
                <w:lang w:val="it-IT"/>
              </w:rPr>
            </w:pPr>
            <w:r w:rsidRPr="00496684">
              <w:rPr>
                <w:sz w:val="22"/>
                <w:szCs w:val="22"/>
                <w:lang w:val="it-IT"/>
              </w:rPr>
              <w:t>Sospendere imatinib fino a ANC ≥ 1,5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e piastrine ≥ 75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w:t>
            </w:r>
          </w:p>
          <w:p w14:paraId="1CB4D60D" w14:textId="77777777" w:rsidR="006159AF" w:rsidRPr="00496684" w:rsidRDefault="005D6050" w:rsidP="005D6050">
            <w:pPr>
              <w:pStyle w:val="Endnotentext"/>
              <w:tabs>
                <w:tab w:val="clear" w:pos="567"/>
              </w:tabs>
              <w:ind w:left="469" w:hanging="469"/>
              <w:rPr>
                <w:lang w:val="it-IT" w:eastAsia="it-IT"/>
              </w:rPr>
            </w:pPr>
            <w:r w:rsidRPr="00496684">
              <w:rPr>
                <w:szCs w:val="22"/>
                <w:lang w:val="it-IT"/>
              </w:rPr>
              <w:t xml:space="preserve">2. </w:t>
            </w:r>
            <w:r w:rsidRPr="00496684">
              <w:rPr>
                <w:szCs w:val="22"/>
                <w:lang w:val="it-IT"/>
              </w:rPr>
              <w:tab/>
              <w:t xml:space="preserve">Riprendere il trattamento con imatinib alla dose precedente (es. prima della reazione avversa grave). </w:t>
            </w:r>
          </w:p>
        </w:tc>
      </w:tr>
      <w:tr w:rsidR="005D6050" w:rsidRPr="00496684" w14:paraId="4D163C60" w14:textId="77777777" w:rsidTr="00AF494A">
        <w:tc>
          <w:tcPr>
            <w:tcW w:w="2376" w:type="dxa"/>
          </w:tcPr>
          <w:p w14:paraId="5169A82F" w14:textId="1DD11BB0" w:rsidR="005D6050" w:rsidRPr="00496684" w:rsidRDefault="005D6050" w:rsidP="005D6050">
            <w:pPr>
              <w:pStyle w:val="Default"/>
              <w:rPr>
                <w:sz w:val="22"/>
                <w:szCs w:val="22"/>
                <w:lang w:val="it-IT"/>
              </w:rPr>
            </w:pPr>
            <w:r w:rsidRPr="00496684">
              <w:rPr>
                <w:sz w:val="22"/>
                <w:szCs w:val="22"/>
                <w:lang w:val="it-IT"/>
              </w:rPr>
              <w:t xml:space="preserve">MDS/MPD e GIST (dose iniziale 400 mg) </w:t>
            </w:r>
          </w:p>
          <w:p w14:paraId="5D66021E" w14:textId="77EA6555" w:rsidR="005D6050" w:rsidRPr="00496684" w:rsidRDefault="005D6050" w:rsidP="005D6050">
            <w:pPr>
              <w:pStyle w:val="Endnotentext"/>
              <w:widowControl w:val="0"/>
              <w:tabs>
                <w:tab w:val="clear" w:pos="567"/>
              </w:tabs>
              <w:rPr>
                <w:szCs w:val="22"/>
                <w:lang w:val="it-IT"/>
              </w:rPr>
            </w:pPr>
            <w:r w:rsidRPr="00496684">
              <w:rPr>
                <w:szCs w:val="22"/>
                <w:lang w:val="it-IT"/>
              </w:rPr>
              <w:t>HES/LEC (dose 400 mg)</w:t>
            </w:r>
          </w:p>
          <w:p w14:paraId="2D6C1A15" w14:textId="77777777" w:rsidR="005D6050" w:rsidRPr="00496684" w:rsidRDefault="005D6050" w:rsidP="005D6050">
            <w:pPr>
              <w:pStyle w:val="Endnotentext"/>
              <w:widowControl w:val="0"/>
              <w:tabs>
                <w:tab w:val="clear" w:pos="567"/>
              </w:tabs>
              <w:rPr>
                <w:szCs w:val="22"/>
                <w:lang w:val="it-IT" w:eastAsia="it-IT"/>
              </w:rPr>
            </w:pPr>
          </w:p>
        </w:tc>
        <w:tc>
          <w:tcPr>
            <w:tcW w:w="2400" w:type="dxa"/>
          </w:tcPr>
          <w:p w14:paraId="273161A9" w14:textId="77777777" w:rsidR="005D6050" w:rsidRPr="00496684" w:rsidRDefault="005D6050" w:rsidP="005D6050">
            <w:pPr>
              <w:pStyle w:val="Default"/>
              <w:rPr>
                <w:sz w:val="22"/>
                <w:szCs w:val="22"/>
                <w:lang w:val="it-IT"/>
              </w:rPr>
            </w:pPr>
            <w:r w:rsidRPr="00496684">
              <w:rPr>
                <w:sz w:val="22"/>
                <w:szCs w:val="22"/>
                <w:lang w:val="it-IT"/>
              </w:rPr>
              <w:t>ANC &lt; 1,0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w:t>
            </w:r>
          </w:p>
          <w:p w14:paraId="2C7C558E" w14:textId="77777777" w:rsidR="005D6050" w:rsidRPr="00496684" w:rsidRDefault="005D6050" w:rsidP="005D6050">
            <w:pPr>
              <w:pStyle w:val="Default"/>
              <w:rPr>
                <w:sz w:val="22"/>
                <w:szCs w:val="22"/>
                <w:lang w:val="it-IT"/>
              </w:rPr>
            </w:pPr>
            <w:r w:rsidRPr="00496684">
              <w:rPr>
                <w:sz w:val="22"/>
                <w:szCs w:val="22"/>
                <w:lang w:val="it-IT"/>
              </w:rPr>
              <w:t xml:space="preserve">e/o </w:t>
            </w:r>
          </w:p>
          <w:p w14:paraId="38EAF52A" w14:textId="77777777" w:rsidR="00E054B5" w:rsidRPr="00496684" w:rsidRDefault="005D6050" w:rsidP="00D008F2">
            <w:pPr>
              <w:pStyle w:val="Table"/>
              <w:spacing w:before="0" w:after="0"/>
              <w:rPr>
                <w:lang w:val="it-IT"/>
              </w:rPr>
            </w:pPr>
            <w:r w:rsidRPr="00496684">
              <w:rPr>
                <w:szCs w:val="22"/>
                <w:lang w:val="it-IT"/>
              </w:rPr>
              <w:t>piastrine &lt; 50 x 10</w:t>
            </w:r>
            <w:r w:rsidRPr="00496684">
              <w:rPr>
                <w:szCs w:val="22"/>
                <w:vertAlign w:val="superscript"/>
                <w:lang w:val="it-IT"/>
              </w:rPr>
              <w:t>9</w:t>
            </w:r>
            <w:r w:rsidRPr="00496684">
              <w:rPr>
                <w:szCs w:val="22"/>
                <w:lang w:val="it-IT"/>
              </w:rPr>
              <w:t>/</w:t>
            </w:r>
            <w:r w:rsidR="00975EFD" w:rsidRPr="00496684">
              <w:rPr>
                <w:szCs w:val="22"/>
                <w:lang w:val="it-IT"/>
              </w:rPr>
              <w:t>L</w:t>
            </w:r>
          </w:p>
        </w:tc>
        <w:tc>
          <w:tcPr>
            <w:tcW w:w="4404" w:type="dxa"/>
          </w:tcPr>
          <w:p w14:paraId="28CC1829" w14:textId="77777777" w:rsidR="005D6050" w:rsidRPr="00496684" w:rsidRDefault="005D6050" w:rsidP="005D6050">
            <w:pPr>
              <w:pStyle w:val="Default"/>
              <w:numPr>
                <w:ilvl w:val="0"/>
                <w:numId w:val="28"/>
              </w:numPr>
              <w:rPr>
                <w:sz w:val="22"/>
                <w:szCs w:val="22"/>
                <w:lang w:val="it-IT"/>
              </w:rPr>
            </w:pPr>
            <w:r w:rsidRPr="00496684">
              <w:rPr>
                <w:sz w:val="22"/>
                <w:szCs w:val="22"/>
                <w:lang w:val="it-IT"/>
              </w:rPr>
              <w:t>Sospendere imatinib fino a ANC ≥ 1,5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e piastrine ≥ 75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w:t>
            </w:r>
          </w:p>
          <w:p w14:paraId="38C7B6CF" w14:textId="77777777" w:rsidR="005D6050" w:rsidRPr="00496684" w:rsidRDefault="005D6050" w:rsidP="00633EF5">
            <w:pPr>
              <w:pStyle w:val="Endnotentext"/>
              <w:numPr>
                <w:ilvl w:val="0"/>
                <w:numId w:val="28"/>
              </w:numPr>
              <w:tabs>
                <w:tab w:val="clear" w:pos="567"/>
              </w:tabs>
              <w:rPr>
                <w:szCs w:val="22"/>
                <w:lang w:val="it-IT"/>
              </w:rPr>
            </w:pPr>
            <w:r w:rsidRPr="00496684">
              <w:rPr>
                <w:szCs w:val="22"/>
                <w:lang w:val="it-IT"/>
              </w:rPr>
              <w:t>Riprendere il trattamento con imatinib alla dose precedente (es. prima della reazione avversa grave).</w:t>
            </w:r>
          </w:p>
          <w:p w14:paraId="60BCFBD6" w14:textId="77777777" w:rsidR="00E054B5" w:rsidRPr="00496684" w:rsidRDefault="00633EF5" w:rsidP="00D008F2">
            <w:pPr>
              <w:pStyle w:val="Default"/>
              <w:numPr>
                <w:ilvl w:val="0"/>
                <w:numId w:val="28"/>
              </w:numPr>
              <w:rPr>
                <w:lang w:val="it-IT" w:eastAsia="it-IT"/>
              </w:rPr>
            </w:pPr>
            <w:r w:rsidRPr="00496684">
              <w:rPr>
                <w:sz w:val="22"/>
                <w:szCs w:val="22"/>
                <w:lang w:val="it-IT"/>
              </w:rPr>
              <w:t>In caso si ripresenti ANC &lt;1,0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e/o piastrine &lt;50 x 10</w:t>
            </w:r>
            <w:r w:rsidRPr="00496684">
              <w:rPr>
                <w:sz w:val="22"/>
                <w:szCs w:val="22"/>
                <w:vertAlign w:val="superscript"/>
                <w:lang w:val="it-IT"/>
              </w:rPr>
              <w:t>9</w:t>
            </w:r>
            <w:r w:rsidRPr="00496684">
              <w:rPr>
                <w:sz w:val="22"/>
                <w:szCs w:val="22"/>
                <w:lang w:val="it-IT"/>
              </w:rPr>
              <w:t>/</w:t>
            </w:r>
            <w:r w:rsidR="00975EFD" w:rsidRPr="00496684">
              <w:rPr>
                <w:sz w:val="22"/>
                <w:szCs w:val="22"/>
                <w:lang w:val="it-IT"/>
              </w:rPr>
              <w:t>L</w:t>
            </w:r>
            <w:r w:rsidRPr="00496684">
              <w:rPr>
                <w:sz w:val="22"/>
                <w:szCs w:val="22"/>
                <w:lang w:val="it-IT"/>
              </w:rPr>
              <w:t xml:space="preserve">, ripetere la fase 1 e riprendere la somministrazione di imatinib ad un dosaggio ridotto di 300 mg </w:t>
            </w:r>
          </w:p>
        </w:tc>
      </w:tr>
      <w:tr w:rsidR="00470A93" w:rsidRPr="00496684" w14:paraId="5F1201D7" w14:textId="77777777" w:rsidTr="00AF494A">
        <w:tc>
          <w:tcPr>
            <w:tcW w:w="2376" w:type="dxa"/>
          </w:tcPr>
          <w:p w14:paraId="6916FD79" w14:textId="77777777" w:rsidR="00470A93" w:rsidRPr="00496684" w:rsidRDefault="00470A93" w:rsidP="00AF494A">
            <w:pPr>
              <w:pStyle w:val="Endnotentext"/>
              <w:widowControl w:val="0"/>
              <w:tabs>
                <w:tab w:val="clear" w:pos="567"/>
              </w:tabs>
              <w:rPr>
                <w:szCs w:val="22"/>
                <w:lang w:val="it-IT" w:eastAsia="it-IT"/>
              </w:rPr>
            </w:pPr>
            <w:r w:rsidRPr="00496684">
              <w:rPr>
                <w:szCs w:val="22"/>
                <w:lang w:val="it-IT" w:eastAsia="it-IT"/>
              </w:rPr>
              <w:t>LMC in fase cronica in pediatria</w:t>
            </w:r>
          </w:p>
          <w:p w14:paraId="3206F98D" w14:textId="77777777" w:rsidR="00470A93" w:rsidRPr="00496684" w:rsidRDefault="004C7EE6" w:rsidP="00AF494A">
            <w:pPr>
              <w:pStyle w:val="Endnotentext"/>
              <w:widowControl w:val="0"/>
              <w:tabs>
                <w:tab w:val="clear" w:pos="567"/>
              </w:tabs>
              <w:rPr>
                <w:szCs w:val="22"/>
                <w:lang w:val="it-IT" w:eastAsia="it-IT"/>
              </w:rPr>
            </w:pPr>
            <w:r w:rsidRPr="00496684">
              <w:rPr>
                <w:lang w:val="it-IT"/>
              </w:rPr>
              <w:t>(dose 340 mg/m</w:t>
            </w:r>
            <w:r w:rsidRPr="00496684">
              <w:rPr>
                <w:vertAlign w:val="superscript"/>
                <w:lang w:val="it-IT"/>
              </w:rPr>
              <w:t>2</w:t>
            </w:r>
            <w:r w:rsidRPr="00496684">
              <w:rPr>
                <w:lang w:val="it-IT"/>
              </w:rPr>
              <w:t>)</w:t>
            </w:r>
          </w:p>
        </w:tc>
        <w:tc>
          <w:tcPr>
            <w:tcW w:w="2400" w:type="dxa"/>
          </w:tcPr>
          <w:p w14:paraId="50A073F5" w14:textId="77777777" w:rsidR="00470A93" w:rsidRPr="00496684" w:rsidRDefault="00470A93"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ANC &lt;1,0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975EFD" w:rsidRPr="00496684">
              <w:rPr>
                <w:rFonts w:ascii="Times New Roman" w:hAnsi="Times New Roman"/>
                <w:sz w:val="22"/>
                <w:szCs w:val="22"/>
                <w:lang w:val="it-IT" w:eastAsia="it-IT"/>
              </w:rPr>
              <w:t>L</w:t>
            </w:r>
          </w:p>
          <w:p w14:paraId="368D60C3" w14:textId="77777777" w:rsidR="00470A93" w:rsidRPr="00496684" w:rsidRDefault="00470A93"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e/o</w:t>
            </w:r>
          </w:p>
          <w:p w14:paraId="68C5DBC0" w14:textId="77777777" w:rsidR="00470A93" w:rsidRPr="00496684" w:rsidRDefault="00470A93" w:rsidP="00975EFD">
            <w:pPr>
              <w:pStyle w:val="Table"/>
              <w:keepNext w:val="0"/>
              <w:keepLines w:val="0"/>
              <w:widowControl w:val="0"/>
              <w:suppressLineNumbers/>
              <w:tabs>
                <w:tab w:val="clear" w:pos="284"/>
              </w:tabs>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piastrine &lt;50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975EFD" w:rsidRPr="00496684">
              <w:rPr>
                <w:rFonts w:ascii="Times New Roman" w:hAnsi="Times New Roman"/>
                <w:sz w:val="22"/>
                <w:szCs w:val="22"/>
                <w:lang w:val="it-IT" w:eastAsia="it-IT"/>
              </w:rPr>
              <w:t>L</w:t>
            </w:r>
          </w:p>
        </w:tc>
        <w:tc>
          <w:tcPr>
            <w:tcW w:w="4404" w:type="dxa"/>
          </w:tcPr>
          <w:p w14:paraId="098C3676" w14:textId="77777777" w:rsidR="00470A93" w:rsidRPr="00496684" w:rsidRDefault="00470A93" w:rsidP="00AF494A">
            <w:pPr>
              <w:pStyle w:val="Endnotentext"/>
              <w:tabs>
                <w:tab w:val="clear" w:pos="567"/>
              </w:tabs>
              <w:ind w:left="469" w:hanging="469"/>
              <w:rPr>
                <w:lang w:val="it-IT" w:eastAsia="it-IT"/>
              </w:rPr>
            </w:pPr>
            <w:r w:rsidRPr="00496684">
              <w:rPr>
                <w:lang w:val="it-IT" w:eastAsia="it-IT"/>
              </w:rPr>
              <w:t>1.</w:t>
            </w:r>
            <w:r w:rsidRPr="00496684">
              <w:rPr>
                <w:lang w:val="it-IT" w:eastAsia="it-IT"/>
              </w:rPr>
              <w:tab/>
              <w:t xml:space="preserve">Sospendere imatinib fino a ANC </w:t>
            </w:r>
            <w:r w:rsidRPr="00496684">
              <w:rPr>
                <w:lang w:val="it-IT" w:eastAsia="it-IT"/>
              </w:rPr>
              <w:sym w:font="Symbol" w:char="F0B3"/>
            </w:r>
            <w:r w:rsidRPr="00496684">
              <w:rPr>
                <w:lang w:val="it-IT" w:eastAsia="it-IT"/>
              </w:rPr>
              <w:t>1,5 x 10</w:t>
            </w:r>
            <w:r w:rsidRPr="00496684">
              <w:rPr>
                <w:vertAlign w:val="superscript"/>
                <w:lang w:val="it-IT" w:eastAsia="it-IT"/>
              </w:rPr>
              <w:t>9</w:t>
            </w:r>
            <w:r w:rsidRPr="00496684">
              <w:rPr>
                <w:lang w:val="it-IT" w:eastAsia="it-IT"/>
              </w:rPr>
              <w:t>/</w:t>
            </w:r>
            <w:r w:rsidR="00975EFD" w:rsidRPr="00496684">
              <w:rPr>
                <w:lang w:val="it-IT" w:eastAsia="it-IT"/>
              </w:rPr>
              <w:t>L</w:t>
            </w:r>
            <w:r w:rsidRPr="00496684">
              <w:rPr>
                <w:lang w:val="it-IT" w:eastAsia="it-IT"/>
              </w:rPr>
              <w:t xml:space="preserve"> e piastrine </w:t>
            </w:r>
            <w:r w:rsidRPr="00496684">
              <w:rPr>
                <w:lang w:val="it-IT" w:eastAsia="it-IT"/>
              </w:rPr>
              <w:sym w:font="Symbol" w:char="F0B3"/>
            </w:r>
            <w:r w:rsidRPr="00496684">
              <w:rPr>
                <w:lang w:val="it-IT" w:eastAsia="it-IT"/>
              </w:rPr>
              <w:t>75 x 10</w:t>
            </w:r>
            <w:r w:rsidRPr="00496684">
              <w:rPr>
                <w:vertAlign w:val="superscript"/>
                <w:lang w:val="it-IT" w:eastAsia="it-IT"/>
              </w:rPr>
              <w:t>9</w:t>
            </w:r>
            <w:r w:rsidRPr="00496684">
              <w:rPr>
                <w:lang w:val="it-IT" w:eastAsia="it-IT"/>
              </w:rPr>
              <w:t>/</w:t>
            </w:r>
            <w:r w:rsidR="00975EFD" w:rsidRPr="00496684">
              <w:rPr>
                <w:lang w:val="it-IT" w:eastAsia="it-IT"/>
              </w:rPr>
              <w:t>L</w:t>
            </w:r>
            <w:r w:rsidRPr="00496684">
              <w:rPr>
                <w:lang w:val="it-IT" w:eastAsia="it-IT"/>
              </w:rPr>
              <w:t>.</w:t>
            </w:r>
          </w:p>
          <w:p w14:paraId="6311FAF2" w14:textId="77777777" w:rsidR="00470A93" w:rsidRPr="00496684" w:rsidRDefault="00470A93" w:rsidP="00AF494A">
            <w:pPr>
              <w:pStyle w:val="Endnotentext"/>
              <w:tabs>
                <w:tab w:val="clear" w:pos="567"/>
              </w:tabs>
              <w:ind w:left="469" w:hanging="469"/>
              <w:rPr>
                <w:lang w:val="it-IT" w:eastAsia="it-IT"/>
              </w:rPr>
            </w:pPr>
            <w:r w:rsidRPr="00496684">
              <w:rPr>
                <w:lang w:val="it-IT" w:eastAsia="it-IT"/>
              </w:rPr>
              <w:t>2.</w:t>
            </w:r>
            <w:r w:rsidRPr="00496684">
              <w:rPr>
                <w:lang w:val="it-IT" w:eastAsia="it-IT"/>
              </w:rPr>
              <w:tab/>
              <w:t>Riprendere il trattamento con imatinib alla dose precedente (es. prima della reazione avversa grave).</w:t>
            </w:r>
          </w:p>
          <w:p w14:paraId="43D50AF4" w14:textId="77777777" w:rsidR="00470A93" w:rsidRPr="00496684" w:rsidRDefault="00470A93" w:rsidP="00975EFD">
            <w:pPr>
              <w:pStyle w:val="Table"/>
              <w:keepNext w:val="0"/>
              <w:keepLines w:val="0"/>
              <w:widowControl w:val="0"/>
              <w:suppressLineNumbers/>
              <w:tabs>
                <w:tab w:val="clear" w:pos="284"/>
              </w:tabs>
              <w:spacing w:before="0" w:after="0"/>
              <w:ind w:left="469" w:hanging="469"/>
              <w:rPr>
                <w:rFonts w:ascii="Times New Roman" w:hAnsi="Times New Roman"/>
                <w:sz w:val="22"/>
                <w:szCs w:val="22"/>
                <w:lang w:val="it-IT" w:eastAsia="it-IT"/>
              </w:rPr>
            </w:pPr>
            <w:r w:rsidRPr="00496684">
              <w:rPr>
                <w:rFonts w:ascii="Times New Roman" w:hAnsi="Times New Roman"/>
                <w:sz w:val="22"/>
                <w:lang w:val="it-IT" w:eastAsia="it-IT"/>
              </w:rPr>
              <w:t>3.</w:t>
            </w:r>
            <w:r w:rsidRPr="00496684">
              <w:rPr>
                <w:rFonts w:ascii="Times New Roman" w:hAnsi="Times New Roman"/>
                <w:sz w:val="22"/>
                <w:lang w:val="it-IT" w:eastAsia="it-IT"/>
              </w:rPr>
              <w:tab/>
              <w:t>In caso si ripresenti ANC &lt;1,0 x 10</w:t>
            </w:r>
            <w:r w:rsidRPr="00496684">
              <w:rPr>
                <w:rFonts w:ascii="Times New Roman" w:hAnsi="Times New Roman"/>
                <w:sz w:val="22"/>
                <w:vertAlign w:val="superscript"/>
                <w:lang w:val="it-IT" w:eastAsia="it-IT"/>
              </w:rPr>
              <w:t>9</w:t>
            </w:r>
            <w:r w:rsidRPr="00496684">
              <w:rPr>
                <w:rFonts w:ascii="Times New Roman" w:hAnsi="Times New Roman"/>
                <w:sz w:val="22"/>
                <w:lang w:val="it-IT" w:eastAsia="it-IT"/>
              </w:rPr>
              <w:t>/</w:t>
            </w:r>
            <w:r w:rsidR="00975EFD" w:rsidRPr="00496684">
              <w:rPr>
                <w:rFonts w:ascii="Times New Roman" w:hAnsi="Times New Roman"/>
                <w:sz w:val="22"/>
                <w:lang w:val="it-IT" w:eastAsia="it-IT"/>
              </w:rPr>
              <w:t>L</w:t>
            </w:r>
            <w:r w:rsidRPr="00496684">
              <w:rPr>
                <w:rFonts w:ascii="Times New Roman" w:hAnsi="Times New Roman"/>
                <w:sz w:val="22"/>
                <w:lang w:val="it-IT" w:eastAsia="it-IT"/>
              </w:rPr>
              <w:t xml:space="preserve"> e/o piastrine &lt;50 x 10</w:t>
            </w:r>
            <w:r w:rsidRPr="00496684">
              <w:rPr>
                <w:rFonts w:ascii="Times New Roman" w:hAnsi="Times New Roman"/>
                <w:sz w:val="22"/>
                <w:vertAlign w:val="superscript"/>
                <w:lang w:val="it-IT" w:eastAsia="it-IT"/>
              </w:rPr>
              <w:t>9</w:t>
            </w:r>
            <w:r w:rsidRPr="00496684">
              <w:rPr>
                <w:rFonts w:ascii="Times New Roman" w:hAnsi="Times New Roman"/>
                <w:sz w:val="22"/>
                <w:lang w:val="it-IT" w:eastAsia="it-IT"/>
              </w:rPr>
              <w:t>/</w:t>
            </w:r>
            <w:r w:rsidR="00975EFD" w:rsidRPr="00496684">
              <w:rPr>
                <w:rFonts w:ascii="Times New Roman" w:hAnsi="Times New Roman"/>
                <w:sz w:val="22"/>
                <w:lang w:val="it-IT" w:eastAsia="it-IT"/>
              </w:rPr>
              <w:t>L</w:t>
            </w:r>
            <w:r w:rsidRPr="00496684">
              <w:rPr>
                <w:rFonts w:ascii="Times New Roman" w:hAnsi="Times New Roman"/>
                <w:sz w:val="22"/>
                <w:lang w:val="it-IT" w:eastAsia="it-IT"/>
              </w:rPr>
              <w:t>, ripetere la fase 1 e la somministrazione di imatinib al dosaggio ridotto di 260 mg/m</w:t>
            </w:r>
            <w:r w:rsidRPr="00496684">
              <w:rPr>
                <w:rFonts w:ascii="Times New Roman" w:hAnsi="Times New Roman"/>
                <w:sz w:val="22"/>
                <w:vertAlign w:val="superscript"/>
                <w:lang w:val="it-IT" w:eastAsia="it-IT"/>
              </w:rPr>
              <w:t>2</w:t>
            </w:r>
            <w:r w:rsidRPr="00496684">
              <w:rPr>
                <w:rFonts w:ascii="Times New Roman" w:hAnsi="Times New Roman"/>
                <w:sz w:val="22"/>
                <w:szCs w:val="22"/>
                <w:lang w:val="it-IT" w:eastAsia="it-IT"/>
              </w:rPr>
              <w:t>.</w:t>
            </w:r>
          </w:p>
        </w:tc>
      </w:tr>
      <w:tr w:rsidR="00470A93" w:rsidRPr="00496684" w14:paraId="35F5093A" w14:textId="77777777" w:rsidTr="00470A93">
        <w:tc>
          <w:tcPr>
            <w:tcW w:w="2376" w:type="dxa"/>
            <w:tcBorders>
              <w:top w:val="single" w:sz="4" w:space="0" w:color="auto"/>
              <w:left w:val="single" w:sz="4" w:space="0" w:color="auto"/>
              <w:bottom w:val="single" w:sz="4" w:space="0" w:color="auto"/>
              <w:right w:val="single" w:sz="4" w:space="0" w:color="auto"/>
            </w:tcBorders>
          </w:tcPr>
          <w:p w14:paraId="50DD6EB8" w14:textId="0D12AC11" w:rsidR="00470A93" w:rsidRPr="00496684" w:rsidRDefault="00470A93">
            <w:pPr>
              <w:pStyle w:val="Endnotentext"/>
              <w:widowControl w:val="0"/>
              <w:tabs>
                <w:tab w:val="clear" w:pos="567"/>
              </w:tabs>
              <w:rPr>
                <w:szCs w:val="22"/>
                <w:lang w:val="it-IT" w:eastAsia="it-IT"/>
              </w:rPr>
            </w:pPr>
            <w:r w:rsidRPr="00496684">
              <w:rPr>
                <w:szCs w:val="22"/>
                <w:lang w:val="it-IT" w:eastAsia="it-IT"/>
              </w:rPr>
              <w:t xml:space="preserve">LMC in crisi blastica </w:t>
            </w:r>
            <w:r w:rsidR="00777D41" w:rsidRPr="00496684">
              <w:rPr>
                <w:szCs w:val="22"/>
                <w:lang w:val="it-IT" w:eastAsia="it-IT"/>
              </w:rPr>
              <w:t xml:space="preserve">e LLA Ph+ </w:t>
            </w:r>
            <w:r w:rsidRPr="00496684">
              <w:rPr>
                <w:szCs w:val="22"/>
                <w:lang w:val="it-IT" w:eastAsia="it-IT"/>
              </w:rPr>
              <w:t>(dose iniziale 600 mg)</w:t>
            </w:r>
          </w:p>
        </w:tc>
        <w:tc>
          <w:tcPr>
            <w:tcW w:w="2400" w:type="dxa"/>
            <w:tcBorders>
              <w:top w:val="single" w:sz="4" w:space="0" w:color="auto"/>
              <w:left w:val="single" w:sz="4" w:space="0" w:color="auto"/>
              <w:bottom w:val="single" w:sz="4" w:space="0" w:color="auto"/>
              <w:right w:val="single" w:sz="4" w:space="0" w:color="auto"/>
            </w:tcBorders>
          </w:tcPr>
          <w:p w14:paraId="59ED6BF9" w14:textId="77777777" w:rsidR="00470A93" w:rsidRPr="00496684" w:rsidRDefault="00470A93" w:rsidP="00470A93">
            <w:pPr>
              <w:pStyle w:val="Table"/>
              <w:spacing w:before="0" w:after="0"/>
              <w:rPr>
                <w:rFonts w:ascii="Times New Roman" w:hAnsi="Times New Roman"/>
                <w:sz w:val="22"/>
                <w:szCs w:val="22"/>
                <w:lang w:val="it-IT" w:eastAsia="it-IT"/>
              </w:rPr>
            </w:pPr>
            <w:r w:rsidRPr="00496684">
              <w:rPr>
                <w:rFonts w:ascii="Times New Roman" w:hAnsi="Times New Roman"/>
                <w:sz w:val="22"/>
                <w:szCs w:val="22"/>
                <w:vertAlign w:val="superscript"/>
                <w:lang w:val="it-IT" w:eastAsia="it-IT"/>
              </w:rPr>
              <w:t>a</w:t>
            </w:r>
            <w:r w:rsidRPr="00496684">
              <w:rPr>
                <w:rFonts w:ascii="Times New Roman" w:hAnsi="Times New Roman"/>
                <w:sz w:val="22"/>
                <w:szCs w:val="22"/>
                <w:lang w:val="it-IT" w:eastAsia="it-IT"/>
              </w:rPr>
              <w:t>ANC &lt;0,5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975EFD" w:rsidRPr="00496684">
              <w:rPr>
                <w:rFonts w:ascii="Times New Roman" w:hAnsi="Times New Roman"/>
                <w:sz w:val="22"/>
                <w:szCs w:val="22"/>
                <w:lang w:val="it-IT" w:eastAsia="it-IT"/>
              </w:rPr>
              <w:t>L</w:t>
            </w:r>
          </w:p>
          <w:p w14:paraId="04541537" w14:textId="77777777" w:rsidR="00470A93" w:rsidRPr="00496684" w:rsidRDefault="00470A93" w:rsidP="00470A93">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e/o</w:t>
            </w:r>
          </w:p>
          <w:p w14:paraId="28BE85B8" w14:textId="77777777" w:rsidR="00470A93" w:rsidRPr="00496684" w:rsidRDefault="00470A93" w:rsidP="00975EFD">
            <w:pPr>
              <w:pStyle w:val="Table"/>
              <w:rPr>
                <w:rFonts w:ascii="Times New Roman" w:hAnsi="Times New Roman"/>
                <w:sz w:val="22"/>
                <w:szCs w:val="22"/>
                <w:lang w:val="it-IT" w:eastAsia="it-IT"/>
              </w:rPr>
            </w:pPr>
            <w:r w:rsidRPr="00496684">
              <w:rPr>
                <w:rFonts w:ascii="Times New Roman" w:hAnsi="Times New Roman"/>
                <w:sz w:val="22"/>
                <w:szCs w:val="22"/>
                <w:lang w:val="it-IT" w:eastAsia="it-IT"/>
              </w:rPr>
              <w:t>piastrine &lt;10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975EFD" w:rsidRPr="00496684">
              <w:rPr>
                <w:rFonts w:ascii="Times New Roman" w:hAnsi="Times New Roman"/>
                <w:sz w:val="22"/>
                <w:szCs w:val="22"/>
                <w:lang w:val="it-IT" w:eastAsia="it-IT"/>
              </w:rPr>
              <w:t>L</w:t>
            </w:r>
          </w:p>
        </w:tc>
        <w:tc>
          <w:tcPr>
            <w:tcW w:w="4404" w:type="dxa"/>
            <w:tcBorders>
              <w:top w:val="single" w:sz="4" w:space="0" w:color="auto"/>
              <w:left w:val="single" w:sz="4" w:space="0" w:color="auto"/>
              <w:bottom w:val="single" w:sz="4" w:space="0" w:color="auto"/>
              <w:right w:val="single" w:sz="4" w:space="0" w:color="auto"/>
            </w:tcBorders>
          </w:tcPr>
          <w:p w14:paraId="301CBA2A" w14:textId="77777777" w:rsidR="00470A93" w:rsidRPr="00496684" w:rsidRDefault="00470A93" w:rsidP="00470A93">
            <w:pPr>
              <w:pStyle w:val="Endnotentext"/>
              <w:ind w:left="469" w:hanging="425"/>
              <w:rPr>
                <w:lang w:val="it-IT" w:eastAsia="it-IT"/>
              </w:rPr>
            </w:pPr>
            <w:r w:rsidRPr="00496684">
              <w:rPr>
                <w:lang w:val="it-IT" w:eastAsia="it-IT"/>
              </w:rPr>
              <w:t>1.</w:t>
            </w:r>
            <w:r w:rsidRPr="00496684">
              <w:rPr>
                <w:lang w:val="it-IT" w:eastAsia="it-IT"/>
              </w:rPr>
              <w:tab/>
              <w:t>Controllare se la citopenia è correlata alla leucemia (aspirazione o biopsia del midollo).</w:t>
            </w:r>
          </w:p>
          <w:p w14:paraId="591E9A53" w14:textId="77777777" w:rsidR="00470A93" w:rsidRPr="00496684" w:rsidRDefault="00470A93" w:rsidP="00470A93">
            <w:pPr>
              <w:pStyle w:val="Endnotentext"/>
              <w:ind w:left="469" w:hanging="425"/>
              <w:rPr>
                <w:lang w:val="it-IT" w:eastAsia="it-IT"/>
              </w:rPr>
            </w:pPr>
            <w:r w:rsidRPr="00496684">
              <w:rPr>
                <w:lang w:val="it-IT" w:eastAsia="it-IT"/>
              </w:rPr>
              <w:t>2.</w:t>
            </w:r>
            <w:r w:rsidRPr="00496684">
              <w:rPr>
                <w:lang w:val="it-IT" w:eastAsia="it-IT"/>
              </w:rPr>
              <w:tab/>
              <w:t>Se la citopenia non è correlata alla leucemia, ridurre la dose di imatinib a 400 mg.</w:t>
            </w:r>
          </w:p>
          <w:p w14:paraId="06133D6B" w14:textId="77777777" w:rsidR="00470A93" w:rsidRPr="00496684" w:rsidRDefault="00470A93" w:rsidP="00470A93">
            <w:pPr>
              <w:pStyle w:val="Endnotentext"/>
              <w:ind w:left="469" w:hanging="469"/>
              <w:rPr>
                <w:lang w:val="it-IT" w:eastAsia="it-IT"/>
              </w:rPr>
            </w:pPr>
            <w:r w:rsidRPr="00496684">
              <w:rPr>
                <w:lang w:val="it-IT" w:eastAsia="it-IT"/>
              </w:rPr>
              <w:t>3.</w:t>
            </w:r>
            <w:r w:rsidRPr="00496684">
              <w:rPr>
                <w:lang w:val="it-IT" w:eastAsia="it-IT"/>
              </w:rPr>
              <w:tab/>
              <w:t>Se la citopenia persiste per 2 settimane, ridurre ulteriormente a 300 mg.</w:t>
            </w:r>
          </w:p>
          <w:p w14:paraId="2B27EE7D" w14:textId="77777777" w:rsidR="00470A93" w:rsidRPr="00496684" w:rsidRDefault="00470A93" w:rsidP="00975EFD">
            <w:pPr>
              <w:pStyle w:val="Endnotentext"/>
              <w:tabs>
                <w:tab w:val="clear" w:pos="567"/>
              </w:tabs>
              <w:ind w:left="469" w:hanging="469"/>
              <w:rPr>
                <w:lang w:val="it-IT" w:eastAsia="it-IT"/>
              </w:rPr>
            </w:pPr>
            <w:r w:rsidRPr="00496684">
              <w:rPr>
                <w:lang w:val="it-IT" w:eastAsia="it-IT"/>
              </w:rPr>
              <w:t>4.</w:t>
            </w:r>
            <w:r w:rsidRPr="00496684">
              <w:rPr>
                <w:lang w:val="it-IT" w:eastAsia="it-IT"/>
              </w:rPr>
              <w:tab/>
              <w:t xml:space="preserve">Se la citopenia persiste per 4 settimane e continua a non essere correlata alla leucemia, sospendere </w:t>
            </w:r>
            <w:r w:rsidR="005B37CF" w:rsidRPr="00496684">
              <w:rPr>
                <w:lang w:val="it-IT" w:eastAsia="it-IT"/>
              </w:rPr>
              <w:t>i</w:t>
            </w:r>
            <w:r w:rsidR="00521ABE" w:rsidRPr="00496684">
              <w:rPr>
                <w:lang w:val="it-IT" w:eastAsia="it-IT"/>
              </w:rPr>
              <w:t xml:space="preserve">matinib </w:t>
            </w:r>
            <w:r w:rsidRPr="00496684">
              <w:rPr>
                <w:lang w:val="it-IT" w:eastAsia="it-IT"/>
              </w:rPr>
              <w:t xml:space="preserve">finché ANC </w:t>
            </w:r>
            <w:r w:rsidRPr="00496684">
              <w:rPr>
                <w:lang w:val="it-IT" w:eastAsia="it-IT"/>
              </w:rPr>
              <w:sym w:font="Symbol" w:char="F0B3"/>
            </w:r>
            <w:r w:rsidRPr="00496684">
              <w:rPr>
                <w:lang w:val="it-IT" w:eastAsia="it-IT"/>
              </w:rPr>
              <w:t>1 x 10</w:t>
            </w:r>
            <w:r w:rsidRPr="00496684">
              <w:rPr>
                <w:vertAlign w:val="superscript"/>
                <w:lang w:val="it-IT" w:eastAsia="it-IT"/>
              </w:rPr>
              <w:t>9</w:t>
            </w:r>
            <w:r w:rsidRPr="00496684">
              <w:rPr>
                <w:lang w:val="it-IT" w:eastAsia="it-IT"/>
              </w:rPr>
              <w:t>/</w:t>
            </w:r>
            <w:r w:rsidR="00975EFD" w:rsidRPr="00496684">
              <w:rPr>
                <w:lang w:val="it-IT" w:eastAsia="it-IT"/>
              </w:rPr>
              <w:t>L</w:t>
            </w:r>
            <w:r w:rsidRPr="00496684">
              <w:rPr>
                <w:lang w:val="it-IT" w:eastAsia="it-IT"/>
              </w:rPr>
              <w:t xml:space="preserve"> e le piastrine </w:t>
            </w:r>
            <w:r w:rsidRPr="00496684">
              <w:rPr>
                <w:lang w:val="it-IT" w:eastAsia="it-IT"/>
              </w:rPr>
              <w:sym w:font="Symbol" w:char="F0B3"/>
            </w:r>
            <w:r w:rsidRPr="00496684">
              <w:rPr>
                <w:lang w:val="it-IT" w:eastAsia="it-IT"/>
              </w:rPr>
              <w:t>20 x 10</w:t>
            </w:r>
            <w:r w:rsidRPr="00496684">
              <w:rPr>
                <w:vertAlign w:val="superscript"/>
                <w:lang w:val="it-IT" w:eastAsia="it-IT"/>
              </w:rPr>
              <w:t>9</w:t>
            </w:r>
            <w:r w:rsidRPr="00496684">
              <w:rPr>
                <w:lang w:val="it-IT" w:eastAsia="it-IT"/>
              </w:rPr>
              <w:t>/</w:t>
            </w:r>
            <w:r w:rsidR="00975EFD" w:rsidRPr="00496684">
              <w:rPr>
                <w:lang w:val="it-IT" w:eastAsia="it-IT"/>
              </w:rPr>
              <w:t>L</w:t>
            </w:r>
            <w:r w:rsidRPr="00496684">
              <w:rPr>
                <w:lang w:val="it-IT" w:eastAsia="it-IT"/>
              </w:rPr>
              <w:t>, quindi riprendere il trattamento a 300 mg.</w:t>
            </w:r>
          </w:p>
        </w:tc>
      </w:tr>
      <w:tr w:rsidR="00470A93" w:rsidRPr="00496684" w14:paraId="69044216" w14:textId="77777777" w:rsidTr="00470A93">
        <w:tc>
          <w:tcPr>
            <w:tcW w:w="2376" w:type="dxa"/>
            <w:tcBorders>
              <w:top w:val="single" w:sz="4" w:space="0" w:color="auto"/>
              <w:left w:val="single" w:sz="4" w:space="0" w:color="auto"/>
              <w:bottom w:val="single" w:sz="4" w:space="0" w:color="auto"/>
              <w:right w:val="single" w:sz="4" w:space="0" w:color="auto"/>
            </w:tcBorders>
          </w:tcPr>
          <w:p w14:paraId="146FCB6B" w14:textId="77777777" w:rsidR="00470A93" w:rsidRPr="00496684" w:rsidRDefault="00470A93" w:rsidP="00AF494A">
            <w:pPr>
              <w:pStyle w:val="Endnotentext"/>
              <w:widowControl w:val="0"/>
              <w:tabs>
                <w:tab w:val="clear" w:pos="567"/>
              </w:tabs>
              <w:rPr>
                <w:szCs w:val="22"/>
                <w:lang w:val="it-IT" w:eastAsia="it-IT"/>
              </w:rPr>
            </w:pPr>
            <w:r w:rsidRPr="00496684">
              <w:rPr>
                <w:szCs w:val="22"/>
                <w:lang w:val="it-IT" w:eastAsia="it-IT"/>
              </w:rPr>
              <w:t>LMC in fase accelerata e crisi blastica in pediatria (dose iniziale 340 mg/m</w:t>
            </w:r>
            <w:r w:rsidRPr="00496684">
              <w:rPr>
                <w:szCs w:val="22"/>
                <w:vertAlign w:val="superscript"/>
                <w:lang w:val="it-IT" w:eastAsia="it-IT"/>
              </w:rPr>
              <w:t>2</w:t>
            </w:r>
            <w:r w:rsidRPr="00496684">
              <w:rPr>
                <w:szCs w:val="22"/>
                <w:lang w:val="it-IT" w:eastAsia="it-IT"/>
              </w:rPr>
              <w:t>)</w:t>
            </w:r>
          </w:p>
        </w:tc>
        <w:tc>
          <w:tcPr>
            <w:tcW w:w="2400" w:type="dxa"/>
            <w:tcBorders>
              <w:top w:val="single" w:sz="4" w:space="0" w:color="auto"/>
              <w:left w:val="single" w:sz="4" w:space="0" w:color="auto"/>
              <w:bottom w:val="single" w:sz="4" w:space="0" w:color="auto"/>
              <w:right w:val="single" w:sz="4" w:space="0" w:color="auto"/>
            </w:tcBorders>
          </w:tcPr>
          <w:p w14:paraId="1FDB7714" w14:textId="77777777" w:rsidR="00470A93" w:rsidRPr="00496684" w:rsidRDefault="00470A93" w:rsidP="00470A93">
            <w:pPr>
              <w:pStyle w:val="Table"/>
              <w:spacing w:before="0" w:after="0"/>
              <w:rPr>
                <w:rFonts w:ascii="Times New Roman" w:hAnsi="Times New Roman"/>
                <w:sz w:val="22"/>
                <w:szCs w:val="22"/>
                <w:lang w:val="it-IT" w:eastAsia="it-IT"/>
              </w:rPr>
            </w:pPr>
            <w:r w:rsidRPr="00496684">
              <w:rPr>
                <w:rFonts w:ascii="Times New Roman" w:hAnsi="Times New Roman"/>
                <w:sz w:val="22"/>
                <w:szCs w:val="22"/>
                <w:vertAlign w:val="superscript"/>
                <w:lang w:val="it-IT" w:eastAsia="it-IT"/>
              </w:rPr>
              <w:t>a</w:t>
            </w:r>
            <w:r w:rsidRPr="00496684">
              <w:rPr>
                <w:rFonts w:ascii="Times New Roman" w:hAnsi="Times New Roman"/>
                <w:sz w:val="22"/>
                <w:szCs w:val="22"/>
                <w:lang w:val="it-IT" w:eastAsia="it-IT"/>
              </w:rPr>
              <w:t>ANC &lt;0,5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975EFD" w:rsidRPr="00496684">
              <w:rPr>
                <w:rFonts w:ascii="Times New Roman" w:hAnsi="Times New Roman"/>
                <w:sz w:val="22"/>
                <w:szCs w:val="22"/>
                <w:lang w:val="it-IT" w:eastAsia="it-IT"/>
              </w:rPr>
              <w:t>L</w:t>
            </w:r>
          </w:p>
          <w:p w14:paraId="4173FE60" w14:textId="77777777" w:rsidR="00470A93" w:rsidRPr="00496684" w:rsidRDefault="00470A93" w:rsidP="00470A93">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e/o</w:t>
            </w:r>
          </w:p>
          <w:p w14:paraId="19F286FD" w14:textId="77777777" w:rsidR="00470A93" w:rsidRPr="00496684" w:rsidRDefault="00470A93" w:rsidP="00975EFD">
            <w:pPr>
              <w:pStyle w:val="Table"/>
              <w:spacing w:before="0" w:after="0"/>
              <w:rPr>
                <w:rFonts w:ascii="Times New Roman" w:hAnsi="Times New Roman"/>
                <w:sz w:val="22"/>
                <w:szCs w:val="22"/>
                <w:vertAlign w:val="superscript"/>
                <w:lang w:val="it-IT" w:eastAsia="it-IT"/>
              </w:rPr>
            </w:pPr>
            <w:r w:rsidRPr="00496684">
              <w:rPr>
                <w:rFonts w:ascii="Times New Roman" w:hAnsi="Times New Roman"/>
                <w:sz w:val="22"/>
                <w:szCs w:val="22"/>
                <w:lang w:val="it-IT" w:eastAsia="it-IT"/>
              </w:rPr>
              <w:t>piastrine &lt;10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975EFD" w:rsidRPr="00496684">
              <w:rPr>
                <w:rFonts w:ascii="Times New Roman" w:hAnsi="Times New Roman"/>
                <w:sz w:val="22"/>
                <w:szCs w:val="22"/>
                <w:lang w:val="it-IT" w:eastAsia="it-IT"/>
              </w:rPr>
              <w:t>L</w:t>
            </w:r>
          </w:p>
        </w:tc>
        <w:tc>
          <w:tcPr>
            <w:tcW w:w="4404" w:type="dxa"/>
            <w:tcBorders>
              <w:top w:val="single" w:sz="4" w:space="0" w:color="auto"/>
              <w:left w:val="single" w:sz="4" w:space="0" w:color="auto"/>
              <w:bottom w:val="single" w:sz="4" w:space="0" w:color="auto"/>
              <w:right w:val="single" w:sz="4" w:space="0" w:color="auto"/>
            </w:tcBorders>
          </w:tcPr>
          <w:p w14:paraId="083150C9" w14:textId="77777777" w:rsidR="00470A93" w:rsidRPr="00496684" w:rsidRDefault="00470A93" w:rsidP="00977946">
            <w:pPr>
              <w:pStyle w:val="Endnotentext"/>
              <w:ind w:left="469" w:hanging="425"/>
              <w:rPr>
                <w:lang w:val="it-IT" w:eastAsia="it-IT"/>
              </w:rPr>
            </w:pPr>
            <w:r w:rsidRPr="00496684">
              <w:rPr>
                <w:lang w:val="it-IT" w:eastAsia="it-IT"/>
              </w:rPr>
              <w:t>1.</w:t>
            </w:r>
            <w:r w:rsidRPr="00496684">
              <w:rPr>
                <w:lang w:val="it-IT" w:eastAsia="it-IT"/>
              </w:rPr>
              <w:tab/>
              <w:t>Controllare se la citopenia è correlata alla leucemia (aspirazione o biopsia midollare).</w:t>
            </w:r>
          </w:p>
          <w:p w14:paraId="66F4DD53" w14:textId="77777777" w:rsidR="00470A93" w:rsidRPr="00496684" w:rsidRDefault="00977946" w:rsidP="00977946">
            <w:pPr>
              <w:pStyle w:val="Endnotentext"/>
              <w:tabs>
                <w:tab w:val="clear" w:pos="567"/>
                <w:tab w:val="left" w:pos="469"/>
              </w:tabs>
              <w:ind w:left="469" w:hanging="425"/>
              <w:rPr>
                <w:lang w:val="it-IT" w:eastAsia="it-IT"/>
              </w:rPr>
            </w:pPr>
            <w:r w:rsidRPr="00496684">
              <w:rPr>
                <w:lang w:val="it-IT" w:eastAsia="it-IT"/>
              </w:rPr>
              <w:t xml:space="preserve">2.     </w:t>
            </w:r>
            <w:r w:rsidR="00470A93" w:rsidRPr="00496684">
              <w:rPr>
                <w:lang w:val="it-IT" w:eastAsia="it-IT"/>
              </w:rPr>
              <w:t xml:space="preserve">Se la citopenia non è correlata alla leucemia, ridurre la dose di </w:t>
            </w:r>
            <w:r w:rsidR="005B37CF" w:rsidRPr="00496684">
              <w:rPr>
                <w:lang w:val="it-IT" w:eastAsia="it-IT"/>
              </w:rPr>
              <w:t>i</w:t>
            </w:r>
            <w:r w:rsidR="00521ABE" w:rsidRPr="00496684">
              <w:rPr>
                <w:lang w:val="it-IT" w:eastAsia="it-IT"/>
              </w:rPr>
              <w:t xml:space="preserve">matinib </w:t>
            </w:r>
            <w:r w:rsidR="00470A93" w:rsidRPr="00496684">
              <w:rPr>
                <w:lang w:val="it-IT" w:eastAsia="it-IT"/>
              </w:rPr>
              <w:t>a 260 mg/m2.</w:t>
            </w:r>
          </w:p>
          <w:p w14:paraId="5ADB9CBB" w14:textId="77777777" w:rsidR="00470A93" w:rsidRPr="00496684" w:rsidRDefault="00470A93" w:rsidP="00977946">
            <w:pPr>
              <w:pStyle w:val="Endnotentext"/>
              <w:ind w:left="469" w:hanging="425"/>
              <w:rPr>
                <w:lang w:val="it-IT" w:eastAsia="it-IT"/>
              </w:rPr>
            </w:pPr>
            <w:r w:rsidRPr="00496684">
              <w:rPr>
                <w:lang w:val="it-IT" w:eastAsia="it-IT"/>
              </w:rPr>
              <w:t>3.</w:t>
            </w:r>
            <w:r w:rsidRPr="00496684">
              <w:rPr>
                <w:lang w:val="it-IT" w:eastAsia="it-IT"/>
              </w:rPr>
              <w:tab/>
              <w:t>Se la citopenia persiste per 2 settimane ridurre ulteriormente a 200 mg/m</w:t>
            </w:r>
            <w:r w:rsidRPr="00496684">
              <w:rPr>
                <w:vertAlign w:val="superscript"/>
                <w:lang w:val="it-IT" w:eastAsia="it-IT"/>
              </w:rPr>
              <w:t>2</w:t>
            </w:r>
            <w:r w:rsidRPr="00496684">
              <w:rPr>
                <w:lang w:val="it-IT" w:eastAsia="it-IT"/>
              </w:rPr>
              <w:t>.</w:t>
            </w:r>
          </w:p>
          <w:p w14:paraId="36189B22" w14:textId="77777777" w:rsidR="00470A93" w:rsidRPr="00496684" w:rsidRDefault="00977946" w:rsidP="00975EFD">
            <w:pPr>
              <w:pStyle w:val="Endnotentext"/>
              <w:tabs>
                <w:tab w:val="clear" w:pos="567"/>
                <w:tab w:val="left" w:pos="469"/>
              </w:tabs>
              <w:ind w:left="469" w:hanging="425"/>
              <w:rPr>
                <w:lang w:val="it-IT" w:eastAsia="it-IT"/>
              </w:rPr>
            </w:pPr>
            <w:r w:rsidRPr="00496684">
              <w:rPr>
                <w:lang w:val="it-IT" w:eastAsia="it-IT"/>
              </w:rPr>
              <w:t xml:space="preserve">4.     </w:t>
            </w:r>
            <w:r w:rsidR="00470A93" w:rsidRPr="00496684">
              <w:rPr>
                <w:lang w:val="it-IT" w:eastAsia="it-IT"/>
              </w:rPr>
              <w:t xml:space="preserve">Se la citopenia persiste per 4 settimane e continua a non essere correlata alla leucemia, sospendere </w:t>
            </w:r>
            <w:r w:rsidR="005B37CF" w:rsidRPr="00496684">
              <w:rPr>
                <w:lang w:val="it-IT" w:eastAsia="it-IT"/>
              </w:rPr>
              <w:t>i</w:t>
            </w:r>
            <w:r w:rsidR="00521ABE" w:rsidRPr="00496684">
              <w:rPr>
                <w:lang w:val="it-IT" w:eastAsia="it-IT"/>
              </w:rPr>
              <w:t xml:space="preserve">matinib </w:t>
            </w:r>
            <w:r w:rsidR="00470A93" w:rsidRPr="00496684">
              <w:rPr>
                <w:lang w:val="it-IT" w:eastAsia="it-IT"/>
              </w:rPr>
              <w:t xml:space="preserve">finché ANC </w:t>
            </w:r>
            <w:r w:rsidR="00470A93" w:rsidRPr="00496684">
              <w:rPr>
                <w:lang w:val="it-IT" w:eastAsia="it-IT"/>
              </w:rPr>
              <w:sym w:font="Symbol" w:char="F0B3"/>
            </w:r>
            <w:r w:rsidR="00470A93" w:rsidRPr="00496684">
              <w:rPr>
                <w:lang w:val="it-IT" w:eastAsia="it-IT"/>
              </w:rPr>
              <w:t>1 x 10</w:t>
            </w:r>
            <w:r w:rsidR="00470A93" w:rsidRPr="00496684">
              <w:rPr>
                <w:vertAlign w:val="superscript"/>
                <w:lang w:val="it-IT" w:eastAsia="it-IT"/>
              </w:rPr>
              <w:t>9</w:t>
            </w:r>
            <w:r w:rsidR="00470A93" w:rsidRPr="00496684">
              <w:rPr>
                <w:lang w:val="it-IT" w:eastAsia="it-IT"/>
              </w:rPr>
              <w:t>/</w:t>
            </w:r>
            <w:r w:rsidR="00975EFD" w:rsidRPr="00496684">
              <w:rPr>
                <w:lang w:val="it-IT" w:eastAsia="it-IT"/>
              </w:rPr>
              <w:t>L</w:t>
            </w:r>
            <w:r w:rsidR="00470A93" w:rsidRPr="00496684">
              <w:rPr>
                <w:lang w:val="it-IT" w:eastAsia="it-IT"/>
              </w:rPr>
              <w:t xml:space="preserve"> e le piastrine </w:t>
            </w:r>
            <w:r w:rsidR="00470A93" w:rsidRPr="00496684">
              <w:rPr>
                <w:lang w:val="it-IT" w:eastAsia="it-IT"/>
              </w:rPr>
              <w:sym w:font="Symbol" w:char="F0B3"/>
            </w:r>
            <w:r w:rsidR="00470A93" w:rsidRPr="00496684">
              <w:rPr>
                <w:lang w:val="it-IT" w:eastAsia="it-IT"/>
              </w:rPr>
              <w:t>20 x 10</w:t>
            </w:r>
            <w:r w:rsidR="00470A93" w:rsidRPr="00496684">
              <w:rPr>
                <w:vertAlign w:val="superscript"/>
                <w:lang w:val="it-IT" w:eastAsia="it-IT"/>
              </w:rPr>
              <w:t>9</w:t>
            </w:r>
            <w:r w:rsidR="00470A93" w:rsidRPr="00496684">
              <w:rPr>
                <w:lang w:val="it-IT" w:eastAsia="it-IT"/>
              </w:rPr>
              <w:t>/</w:t>
            </w:r>
            <w:r w:rsidR="00975EFD" w:rsidRPr="00496684">
              <w:rPr>
                <w:lang w:val="it-IT" w:eastAsia="it-IT"/>
              </w:rPr>
              <w:t>L</w:t>
            </w:r>
            <w:r w:rsidR="00470A93" w:rsidRPr="00496684">
              <w:rPr>
                <w:lang w:val="it-IT" w:eastAsia="it-IT"/>
              </w:rPr>
              <w:t>, quindi riprendere il trattamento a 200 mg/m</w:t>
            </w:r>
            <w:r w:rsidR="00470A93" w:rsidRPr="00496684">
              <w:rPr>
                <w:vertAlign w:val="superscript"/>
                <w:lang w:val="it-IT" w:eastAsia="it-IT"/>
              </w:rPr>
              <w:t>2</w:t>
            </w:r>
            <w:r w:rsidR="00470A93" w:rsidRPr="00496684">
              <w:rPr>
                <w:lang w:val="it-IT" w:eastAsia="it-IT"/>
              </w:rPr>
              <w:t>.</w:t>
            </w:r>
          </w:p>
        </w:tc>
      </w:tr>
      <w:tr w:rsidR="00777D41" w:rsidRPr="00496684" w14:paraId="450FD74E" w14:textId="77777777" w:rsidTr="00470A93">
        <w:tc>
          <w:tcPr>
            <w:tcW w:w="2376" w:type="dxa"/>
            <w:tcBorders>
              <w:top w:val="single" w:sz="4" w:space="0" w:color="auto"/>
              <w:left w:val="single" w:sz="4" w:space="0" w:color="auto"/>
              <w:bottom w:val="single" w:sz="4" w:space="0" w:color="auto"/>
              <w:right w:val="single" w:sz="4" w:space="0" w:color="auto"/>
            </w:tcBorders>
          </w:tcPr>
          <w:p w14:paraId="636844EB" w14:textId="77777777" w:rsidR="00777D41" w:rsidRPr="00496684" w:rsidRDefault="00777D41" w:rsidP="00777D41">
            <w:pPr>
              <w:pStyle w:val="Default"/>
              <w:rPr>
                <w:sz w:val="22"/>
                <w:szCs w:val="22"/>
                <w:lang w:val="it-IT"/>
              </w:rPr>
            </w:pPr>
            <w:r w:rsidRPr="00496684">
              <w:rPr>
                <w:sz w:val="22"/>
                <w:szCs w:val="22"/>
                <w:lang w:val="it-IT"/>
              </w:rPr>
              <w:t xml:space="preserve">DFSP </w:t>
            </w:r>
          </w:p>
          <w:p w14:paraId="3228E009" w14:textId="763E67B6" w:rsidR="00777D41" w:rsidRPr="00496684" w:rsidRDefault="00777D41" w:rsidP="00777D41">
            <w:pPr>
              <w:pStyle w:val="Endnotentext"/>
              <w:widowControl w:val="0"/>
              <w:tabs>
                <w:tab w:val="clear" w:pos="567"/>
              </w:tabs>
              <w:rPr>
                <w:szCs w:val="22"/>
                <w:lang w:val="it-IT" w:eastAsia="it-IT"/>
              </w:rPr>
            </w:pPr>
            <w:r w:rsidRPr="00496684">
              <w:rPr>
                <w:szCs w:val="22"/>
                <w:lang w:val="it-IT"/>
              </w:rPr>
              <w:t>(dose 800 mg)</w:t>
            </w:r>
          </w:p>
        </w:tc>
        <w:tc>
          <w:tcPr>
            <w:tcW w:w="2400" w:type="dxa"/>
            <w:tcBorders>
              <w:top w:val="single" w:sz="4" w:space="0" w:color="auto"/>
              <w:left w:val="single" w:sz="4" w:space="0" w:color="auto"/>
              <w:bottom w:val="single" w:sz="4" w:space="0" w:color="auto"/>
              <w:right w:val="single" w:sz="4" w:space="0" w:color="auto"/>
            </w:tcBorders>
          </w:tcPr>
          <w:p w14:paraId="65278BFD" w14:textId="77777777" w:rsidR="00777D41" w:rsidRPr="00496684" w:rsidRDefault="00777D41" w:rsidP="00777D41">
            <w:pPr>
              <w:pStyle w:val="Default"/>
              <w:rPr>
                <w:sz w:val="22"/>
                <w:szCs w:val="22"/>
                <w:lang w:val="it-IT"/>
              </w:rPr>
            </w:pPr>
            <w:r w:rsidRPr="00496684">
              <w:rPr>
                <w:sz w:val="22"/>
                <w:szCs w:val="22"/>
                <w:lang w:val="it-IT"/>
              </w:rPr>
              <w:t xml:space="preserve">ANC &lt;1,0 x </w:t>
            </w:r>
            <w:r w:rsidRPr="00496684">
              <w:rPr>
                <w:sz w:val="22"/>
                <w:szCs w:val="22"/>
                <w:lang w:val="it-IT" w:eastAsia="it-IT"/>
              </w:rPr>
              <w:t>10</w:t>
            </w:r>
            <w:r w:rsidRPr="00496684">
              <w:rPr>
                <w:sz w:val="22"/>
                <w:szCs w:val="22"/>
                <w:vertAlign w:val="superscript"/>
                <w:lang w:val="it-IT" w:eastAsia="it-IT"/>
              </w:rPr>
              <w:t>9</w:t>
            </w:r>
            <w:r w:rsidRPr="00496684">
              <w:rPr>
                <w:sz w:val="22"/>
                <w:szCs w:val="22"/>
                <w:lang w:val="it-IT" w:eastAsia="it-IT"/>
              </w:rPr>
              <w:t>/</w:t>
            </w:r>
            <w:r w:rsidR="00975EFD" w:rsidRPr="00496684">
              <w:rPr>
                <w:sz w:val="22"/>
                <w:szCs w:val="22"/>
                <w:lang w:val="it-IT" w:eastAsia="it-IT"/>
              </w:rPr>
              <w:t>L</w:t>
            </w:r>
          </w:p>
          <w:p w14:paraId="39325721" w14:textId="77777777" w:rsidR="00777D41" w:rsidRPr="00496684" w:rsidRDefault="00777D41" w:rsidP="00777D41">
            <w:pPr>
              <w:pStyle w:val="Default"/>
              <w:rPr>
                <w:sz w:val="22"/>
                <w:szCs w:val="22"/>
                <w:lang w:val="it-IT"/>
              </w:rPr>
            </w:pPr>
            <w:r w:rsidRPr="00496684">
              <w:rPr>
                <w:sz w:val="22"/>
                <w:szCs w:val="22"/>
                <w:lang w:val="it-IT"/>
              </w:rPr>
              <w:t xml:space="preserve">e/o </w:t>
            </w:r>
          </w:p>
          <w:p w14:paraId="5B456E3E" w14:textId="77777777" w:rsidR="00777D41" w:rsidRPr="00496684" w:rsidRDefault="00777D41" w:rsidP="00975EFD">
            <w:pPr>
              <w:pStyle w:val="Table"/>
              <w:spacing w:before="0" w:after="0"/>
              <w:rPr>
                <w:rFonts w:ascii="Times New Roman" w:hAnsi="Times New Roman"/>
                <w:sz w:val="22"/>
                <w:szCs w:val="22"/>
                <w:vertAlign w:val="superscript"/>
                <w:lang w:val="it-IT" w:eastAsia="it-IT"/>
              </w:rPr>
            </w:pPr>
            <w:r w:rsidRPr="00496684">
              <w:rPr>
                <w:sz w:val="22"/>
                <w:szCs w:val="22"/>
                <w:lang w:val="it-IT"/>
              </w:rPr>
              <w:t xml:space="preserve">piastrine &lt;50 x </w:t>
            </w:r>
            <w:r w:rsidRPr="00496684">
              <w:rPr>
                <w:rFonts w:ascii="Times New Roman" w:hAnsi="Times New Roman"/>
                <w:sz w:val="22"/>
                <w:szCs w:val="22"/>
                <w:lang w:val="it-IT" w:eastAsia="it-IT"/>
              </w:rPr>
              <w:t>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975EFD" w:rsidRPr="00496684">
              <w:rPr>
                <w:rFonts w:ascii="Times New Roman" w:hAnsi="Times New Roman"/>
                <w:sz w:val="22"/>
                <w:szCs w:val="22"/>
                <w:lang w:val="it-IT" w:eastAsia="it-IT"/>
              </w:rPr>
              <w:t>L</w:t>
            </w:r>
          </w:p>
        </w:tc>
        <w:tc>
          <w:tcPr>
            <w:tcW w:w="4404" w:type="dxa"/>
            <w:tcBorders>
              <w:top w:val="single" w:sz="4" w:space="0" w:color="auto"/>
              <w:left w:val="single" w:sz="4" w:space="0" w:color="auto"/>
              <w:bottom w:val="single" w:sz="4" w:space="0" w:color="auto"/>
              <w:right w:val="single" w:sz="4" w:space="0" w:color="auto"/>
            </w:tcBorders>
          </w:tcPr>
          <w:p w14:paraId="11A337E3" w14:textId="77777777" w:rsidR="00777D41" w:rsidRPr="00496684" w:rsidRDefault="00777D41" w:rsidP="00777D41">
            <w:pPr>
              <w:pStyle w:val="Default"/>
              <w:numPr>
                <w:ilvl w:val="0"/>
                <w:numId w:val="29"/>
              </w:numPr>
              <w:rPr>
                <w:sz w:val="22"/>
                <w:szCs w:val="22"/>
                <w:lang w:val="it-IT"/>
              </w:rPr>
            </w:pPr>
            <w:r w:rsidRPr="00496684">
              <w:rPr>
                <w:sz w:val="22"/>
                <w:szCs w:val="22"/>
                <w:lang w:val="it-IT"/>
              </w:rPr>
              <w:t xml:space="preserve">Sospendere </w:t>
            </w:r>
            <w:r w:rsidR="008B677B" w:rsidRPr="00496684">
              <w:rPr>
                <w:sz w:val="22"/>
                <w:szCs w:val="22"/>
                <w:lang w:val="it-IT"/>
              </w:rPr>
              <w:t>imatinib</w:t>
            </w:r>
            <w:r w:rsidRPr="00496684">
              <w:rPr>
                <w:sz w:val="22"/>
                <w:szCs w:val="22"/>
                <w:lang w:val="it-IT"/>
              </w:rPr>
              <w:t xml:space="preserve"> fino a ANC </w:t>
            </w:r>
            <w:r w:rsidR="008B677B" w:rsidRPr="00496684">
              <w:rPr>
                <w:lang w:val="it-IT" w:eastAsia="it-IT"/>
              </w:rPr>
              <w:sym w:font="Symbol" w:char="F0B3"/>
            </w:r>
            <w:r w:rsidRPr="00496684">
              <w:rPr>
                <w:sz w:val="22"/>
                <w:szCs w:val="22"/>
                <w:lang w:val="it-IT"/>
              </w:rPr>
              <w:t xml:space="preserve">1,5 x </w:t>
            </w:r>
            <w:r w:rsidR="008B677B" w:rsidRPr="00496684">
              <w:rPr>
                <w:sz w:val="22"/>
                <w:szCs w:val="22"/>
                <w:lang w:val="it-IT" w:eastAsia="it-IT"/>
              </w:rPr>
              <w:t>10</w:t>
            </w:r>
            <w:r w:rsidR="008B677B" w:rsidRPr="00496684">
              <w:rPr>
                <w:sz w:val="22"/>
                <w:szCs w:val="22"/>
                <w:vertAlign w:val="superscript"/>
                <w:lang w:val="it-IT" w:eastAsia="it-IT"/>
              </w:rPr>
              <w:t>9</w:t>
            </w:r>
            <w:r w:rsidR="00927650" w:rsidRPr="00496684">
              <w:rPr>
                <w:sz w:val="22"/>
                <w:szCs w:val="22"/>
                <w:lang w:val="it-IT" w:eastAsia="it-IT"/>
              </w:rPr>
              <w:t>/L</w:t>
            </w:r>
            <w:r w:rsidR="008B677B" w:rsidRPr="00496684">
              <w:rPr>
                <w:sz w:val="22"/>
                <w:szCs w:val="22"/>
                <w:lang w:val="it-IT"/>
              </w:rPr>
              <w:t xml:space="preserve"> </w:t>
            </w:r>
            <w:r w:rsidRPr="00496684">
              <w:rPr>
                <w:sz w:val="22"/>
                <w:szCs w:val="22"/>
                <w:lang w:val="it-IT"/>
              </w:rPr>
              <w:t xml:space="preserve">e piastrine </w:t>
            </w:r>
            <w:r w:rsidR="008B677B" w:rsidRPr="00496684">
              <w:rPr>
                <w:lang w:val="it-IT" w:eastAsia="it-IT"/>
              </w:rPr>
              <w:sym w:font="Symbol" w:char="F0B3"/>
            </w:r>
            <w:r w:rsidRPr="00496684">
              <w:rPr>
                <w:sz w:val="22"/>
                <w:szCs w:val="22"/>
                <w:lang w:val="it-IT"/>
              </w:rPr>
              <w:t xml:space="preserve">75 x </w:t>
            </w:r>
            <w:r w:rsidR="008B677B" w:rsidRPr="00496684">
              <w:rPr>
                <w:sz w:val="22"/>
                <w:szCs w:val="22"/>
                <w:lang w:val="it-IT" w:eastAsia="it-IT"/>
              </w:rPr>
              <w:t>10</w:t>
            </w:r>
            <w:r w:rsidR="008B677B" w:rsidRPr="00496684">
              <w:rPr>
                <w:sz w:val="22"/>
                <w:szCs w:val="22"/>
                <w:vertAlign w:val="superscript"/>
                <w:lang w:val="it-IT" w:eastAsia="it-IT"/>
              </w:rPr>
              <w:t>9</w:t>
            </w:r>
            <w:r w:rsidR="008B677B" w:rsidRPr="00496684">
              <w:rPr>
                <w:sz w:val="22"/>
                <w:szCs w:val="22"/>
                <w:lang w:val="it-IT" w:eastAsia="it-IT"/>
              </w:rPr>
              <w:t>/</w:t>
            </w:r>
            <w:r w:rsidR="00975EFD" w:rsidRPr="00496684">
              <w:rPr>
                <w:sz w:val="22"/>
                <w:szCs w:val="22"/>
                <w:lang w:val="it-IT" w:eastAsia="it-IT"/>
              </w:rPr>
              <w:t>L</w:t>
            </w:r>
            <w:r w:rsidRPr="00496684">
              <w:rPr>
                <w:sz w:val="22"/>
                <w:szCs w:val="22"/>
                <w:lang w:val="it-IT"/>
              </w:rPr>
              <w:t xml:space="preserve">. </w:t>
            </w:r>
          </w:p>
          <w:p w14:paraId="3DA3C081" w14:textId="77777777" w:rsidR="00777D41" w:rsidRPr="00496684" w:rsidRDefault="00777D41" w:rsidP="00777D41">
            <w:pPr>
              <w:pStyle w:val="Default"/>
              <w:numPr>
                <w:ilvl w:val="0"/>
                <w:numId w:val="29"/>
              </w:numPr>
              <w:rPr>
                <w:sz w:val="22"/>
                <w:szCs w:val="22"/>
                <w:lang w:val="it-IT"/>
              </w:rPr>
            </w:pPr>
            <w:r w:rsidRPr="00496684">
              <w:rPr>
                <w:sz w:val="22"/>
                <w:szCs w:val="22"/>
                <w:lang w:val="it-IT"/>
              </w:rPr>
              <w:t xml:space="preserve">Riprendere il trattamento con </w:t>
            </w:r>
            <w:r w:rsidR="008B677B" w:rsidRPr="00496684">
              <w:rPr>
                <w:sz w:val="22"/>
                <w:szCs w:val="22"/>
                <w:lang w:val="it-IT"/>
              </w:rPr>
              <w:t>imatinib</w:t>
            </w:r>
            <w:r w:rsidRPr="00496684">
              <w:rPr>
                <w:sz w:val="22"/>
                <w:szCs w:val="22"/>
                <w:lang w:val="it-IT"/>
              </w:rPr>
              <w:t xml:space="preserve"> a 600 mg. </w:t>
            </w:r>
          </w:p>
          <w:p w14:paraId="4E1CE1D0" w14:textId="77777777" w:rsidR="00777D41" w:rsidRPr="00496684" w:rsidRDefault="00777D41" w:rsidP="00975EFD">
            <w:pPr>
              <w:pStyle w:val="Default"/>
              <w:numPr>
                <w:ilvl w:val="0"/>
                <w:numId w:val="29"/>
              </w:numPr>
              <w:rPr>
                <w:sz w:val="22"/>
                <w:szCs w:val="22"/>
                <w:lang w:val="it-IT"/>
              </w:rPr>
            </w:pPr>
            <w:r w:rsidRPr="00496684">
              <w:rPr>
                <w:sz w:val="22"/>
                <w:szCs w:val="22"/>
                <w:lang w:val="it-IT"/>
              </w:rPr>
              <w:t xml:space="preserve">In caso si ripresenti ANC &lt;1,0 x </w:t>
            </w:r>
            <w:r w:rsidR="008B677B" w:rsidRPr="00496684">
              <w:rPr>
                <w:sz w:val="22"/>
                <w:szCs w:val="22"/>
                <w:lang w:val="it-IT" w:eastAsia="it-IT"/>
              </w:rPr>
              <w:t>10</w:t>
            </w:r>
            <w:r w:rsidR="008B677B" w:rsidRPr="00496684">
              <w:rPr>
                <w:sz w:val="22"/>
                <w:szCs w:val="22"/>
                <w:vertAlign w:val="superscript"/>
                <w:lang w:val="it-IT" w:eastAsia="it-IT"/>
              </w:rPr>
              <w:t>9</w:t>
            </w:r>
            <w:r w:rsidR="008B677B" w:rsidRPr="00496684">
              <w:rPr>
                <w:sz w:val="22"/>
                <w:szCs w:val="22"/>
                <w:lang w:val="it-IT" w:eastAsia="it-IT"/>
              </w:rPr>
              <w:t>/</w:t>
            </w:r>
            <w:r w:rsidR="00975EFD" w:rsidRPr="00496684">
              <w:rPr>
                <w:sz w:val="22"/>
                <w:szCs w:val="22"/>
                <w:lang w:val="it-IT" w:eastAsia="it-IT"/>
              </w:rPr>
              <w:t>L</w:t>
            </w:r>
            <w:r w:rsidR="008B677B" w:rsidRPr="00496684">
              <w:rPr>
                <w:sz w:val="22"/>
                <w:szCs w:val="22"/>
                <w:lang w:val="it-IT"/>
              </w:rPr>
              <w:t xml:space="preserve"> </w:t>
            </w:r>
            <w:r w:rsidRPr="00496684">
              <w:rPr>
                <w:sz w:val="22"/>
                <w:szCs w:val="22"/>
                <w:lang w:val="it-IT"/>
              </w:rPr>
              <w:t xml:space="preserve">e/o piastrine &lt;50 x </w:t>
            </w:r>
            <w:r w:rsidR="008B677B" w:rsidRPr="00496684">
              <w:rPr>
                <w:sz w:val="22"/>
                <w:szCs w:val="22"/>
                <w:lang w:val="it-IT" w:eastAsia="it-IT"/>
              </w:rPr>
              <w:t>10</w:t>
            </w:r>
            <w:r w:rsidR="008B677B" w:rsidRPr="00496684">
              <w:rPr>
                <w:sz w:val="22"/>
                <w:szCs w:val="22"/>
                <w:vertAlign w:val="superscript"/>
                <w:lang w:val="it-IT" w:eastAsia="it-IT"/>
              </w:rPr>
              <w:t>9</w:t>
            </w:r>
            <w:r w:rsidR="008B677B" w:rsidRPr="00496684">
              <w:rPr>
                <w:sz w:val="22"/>
                <w:szCs w:val="22"/>
                <w:lang w:val="it-IT" w:eastAsia="it-IT"/>
              </w:rPr>
              <w:t>/</w:t>
            </w:r>
            <w:r w:rsidR="00975EFD" w:rsidRPr="00496684">
              <w:rPr>
                <w:sz w:val="22"/>
                <w:szCs w:val="22"/>
                <w:lang w:val="it-IT" w:eastAsia="it-IT"/>
              </w:rPr>
              <w:t>L</w:t>
            </w:r>
            <w:r w:rsidRPr="00496684">
              <w:rPr>
                <w:sz w:val="22"/>
                <w:szCs w:val="22"/>
                <w:lang w:val="it-IT"/>
              </w:rPr>
              <w:t xml:space="preserve">, ripetere il punto 1 e riprendere </w:t>
            </w:r>
            <w:r w:rsidR="008B677B" w:rsidRPr="00496684">
              <w:rPr>
                <w:sz w:val="22"/>
                <w:szCs w:val="22"/>
                <w:lang w:val="it-IT"/>
              </w:rPr>
              <w:t>imatinib</w:t>
            </w:r>
            <w:r w:rsidRPr="00496684">
              <w:rPr>
                <w:sz w:val="22"/>
                <w:szCs w:val="22"/>
                <w:lang w:val="it-IT"/>
              </w:rPr>
              <w:t xml:space="preserve"> ad un dosaggio ridotto di 400 mg. </w:t>
            </w:r>
          </w:p>
        </w:tc>
      </w:tr>
      <w:tr w:rsidR="00977946" w:rsidRPr="00496684" w14:paraId="266CE830" w14:textId="77777777" w:rsidTr="00CA2D31">
        <w:tblPrEx>
          <w:tblLook w:val="04A0" w:firstRow="1" w:lastRow="0" w:firstColumn="1" w:lastColumn="0" w:noHBand="0" w:noVBand="1"/>
        </w:tblPrEx>
        <w:trPr>
          <w:trHeight w:val="516"/>
        </w:trPr>
        <w:tc>
          <w:tcPr>
            <w:tcW w:w="9180" w:type="dxa"/>
            <w:gridSpan w:val="3"/>
          </w:tcPr>
          <w:p w14:paraId="0BC3B703" w14:textId="77777777" w:rsidR="00977946" w:rsidRPr="00496684" w:rsidRDefault="00977946" w:rsidP="00AF494A">
            <w:pPr>
              <w:pStyle w:val="Endnotentext"/>
              <w:widowControl w:val="0"/>
              <w:tabs>
                <w:tab w:val="clear" w:pos="567"/>
              </w:tabs>
              <w:rPr>
                <w:szCs w:val="22"/>
                <w:lang w:val="it-IT" w:eastAsia="it-IT"/>
              </w:rPr>
            </w:pPr>
            <w:r w:rsidRPr="00496684">
              <w:rPr>
                <w:szCs w:val="22"/>
                <w:lang w:val="it-IT" w:eastAsia="it-IT"/>
              </w:rPr>
              <w:t>ANC = conta assoluta dei neutrofili</w:t>
            </w:r>
          </w:p>
          <w:p w14:paraId="6E50A23D" w14:textId="77777777" w:rsidR="00977946" w:rsidRPr="00496684" w:rsidRDefault="00977946" w:rsidP="00AF494A">
            <w:pPr>
              <w:pStyle w:val="Endnotentext"/>
              <w:widowControl w:val="0"/>
              <w:rPr>
                <w:szCs w:val="22"/>
                <w:lang w:val="it-IT" w:eastAsia="it-IT"/>
              </w:rPr>
            </w:pPr>
            <w:r w:rsidRPr="00496684">
              <w:rPr>
                <w:szCs w:val="22"/>
                <w:vertAlign w:val="superscript"/>
                <w:lang w:val="it-IT" w:eastAsia="it-IT"/>
              </w:rPr>
              <w:t xml:space="preserve">a </w:t>
            </w:r>
            <w:r w:rsidRPr="00496684">
              <w:rPr>
                <w:szCs w:val="22"/>
                <w:lang w:val="it-IT" w:eastAsia="it-IT"/>
              </w:rPr>
              <w:t>che insorga dopo almeno 1 mese di trattamento</w:t>
            </w:r>
          </w:p>
        </w:tc>
      </w:tr>
    </w:tbl>
    <w:p w14:paraId="3B142DD0" w14:textId="77777777" w:rsidR="00AB2C4F" w:rsidRPr="00496684" w:rsidRDefault="00AB2C4F" w:rsidP="00AB2C4F">
      <w:pPr>
        <w:autoSpaceDE w:val="0"/>
        <w:autoSpaceDN w:val="0"/>
        <w:adjustRightInd w:val="0"/>
        <w:spacing w:after="0" w:line="240" w:lineRule="auto"/>
        <w:rPr>
          <w:rFonts w:ascii="Times New Roman" w:hAnsi="Times New Roman"/>
          <w:lang w:val="it-IT"/>
        </w:rPr>
      </w:pPr>
    </w:p>
    <w:p w14:paraId="102E5D22" w14:textId="77777777" w:rsidR="0068243A" w:rsidRPr="00496684" w:rsidRDefault="00154BC1" w:rsidP="0068243A">
      <w:pPr>
        <w:pStyle w:val="Endnotentext"/>
        <w:widowControl w:val="0"/>
        <w:tabs>
          <w:tab w:val="clear" w:pos="567"/>
        </w:tabs>
        <w:rPr>
          <w:rFonts w:eastAsia="Calibri"/>
          <w:i/>
          <w:szCs w:val="22"/>
          <w:u w:val="single"/>
          <w:lang w:val="it-IT" w:eastAsia="is-IS"/>
        </w:rPr>
      </w:pPr>
      <w:r w:rsidRPr="00496684">
        <w:rPr>
          <w:rFonts w:eastAsia="Calibri"/>
          <w:i/>
          <w:szCs w:val="22"/>
          <w:u w:val="single"/>
          <w:lang w:val="it-IT" w:eastAsia="is-IS"/>
        </w:rPr>
        <w:t>Popolazioni speciali</w:t>
      </w:r>
    </w:p>
    <w:p w14:paraId="5DB78949" w14:textId="77777777" w:rsidR="00154BC1" w:rsidRPr="00496684" w:rsidRDefault="00154BC1" w:rsidP="0068243A">
      <w:pPr>
        <w:autoSpaceDE w:val="0"/>
        <w:autoSpaceDN w:val="0"/>
        <w:adjustRightInd w:val="0"/>
        <w:spacing w:after="0" w:line="240" w:lineRule="auto"/>
        <w:rPr>
          <w:rFonts w:ascii="Times New Roman" w:hAnsi="Times New Roman"/>
          <w:i/>
          <w:u w:val="single"/>
          <w:lang w:val="it-IT" w:eastAsia="is-IS"/>
        </w:rPr>
      </w:pPr>
    </w:p>
    <w:p w14:paraId="4BA9382A" w14:textId="4E9D639A" w:rsidR="0068243A" w:rsidRPr="00496684" w:rsidRDefault="0068243A" w:rsidP="00AB2C4F">
      <w:pPr>
        <w:autoSpaceDE w:val="0"/>
        <w:autoSpaceDN w:val="0"/>
        <w:adjustRightInd w:val="0"/>
        <w:spacing w:after="0" w:line="240" w:lineRule="auto"/>
        <w:rPr>
          <w:rFonts w:ascii="Times New Roman" w:hAnsi="Times New Roman"/>
          <w:lang w:val="it-IT"/>
        </w:rPr>
      </w:pPr>
      <w:r w:rsidRPr="00496684">
        <w:rPr>
          <w:rFonts w:ascii="Times New Roman" w:hAnsi="Times New Roman"/>
          <w:i/>
          <w:lang w:val="it-IT" w:eastAsia="is-IS"/>
        </w:rPr>
        <w:t>Uso pediatrico:</w:t>
      </w:r>
      <w:r w:rsidRPr="00496684">
        <w:rPr>
          <w:rFonts w:ascii="Times New Roman" w:hAnsi="Times New Roman"/>
          <w:lang w:val="it-IT" w:eastAsia="is-IS"/>
        </w:rPr>
        <w:t xml:space="preserve"> Non c’è esperienza nei bambini con LMC di età inferiore a 2 </w:t>
      </w:r>
      <w:r w:rsidR="00BF48F7" w:rsidRPr="00496684">
        <w:rPr>
          <w:rFonts w:ascii="Times New Roman" w:hAnsi="Times New Roman"/>
          <w:lang w:val="it-IT" w:eastAsia="is-IS"/>
        </w:rPr>
        <w:t xml:space="preserve">anni </w:t>
      </w:r>
      <w:r w:rsidR="00BF48F7" w:rsidRPr="00496684">
        <w:rPr>
          <w:rFonts w:ascii="Times New Roman" w:hAnsi="Times New Roman"/>
          <w:lang w:val="it-IT"/>
        </w:rPr>
        <w:t>e nei bambini con LLA Ph+ di età inferiore a 1 anno</w:t>
      </w:r>
      <w:r w:rsidR="00A65DEE" w:rsidRPr="00496684">
        <w:rPr>
          <w:lang w:val="it-IT"/>
        </w:rPr>
        <w:t xml:space="preserve"> </w:t>
      </w:r>
      <w:r w:rsidRPr="00496684">
        <w:rPr>
          <w:rFonts w:ascii="Times New Roman" w:hAnsi="Times New Roman"/>
          <w:lang w:val="it-IT" w:eastAsia="is-IS"/>
        </w:rPr>
        <w:t>(vedere paragrafo 5.1).</w:t>
      </w:r>
      <w:r w:rsidR="00A65DEE" w:rsidRPr="00496684">
        <w:rPr>
          <w:rFonts w:ascii="Times New Roman" w:hAnsi="Times New Roman"/>
          <w:lang w:val="it-IT"/>
        </w:rPr>
        <w:t xml:space="preserve"> </w:t>
      </w:r>
      <w:r w:rsidR="00FC1EE3" w:rsidRPr="00496684">
        <w:rPr>
          <w:rFonts w:ascii="Times New Roman" w:hAnsi="Times New Roman"/>
          <w:lang w:val="it-IT"/>
        </w:rPr>
        <w:t xml:space="preserve">L’esperienza nei bambini con MDS/MPD, DFSP e con HES/LEC </w:t>
      </w:r>
      <w:r w:rsidR="00A65DEE" w:rsidRPr="00496684">
        <w:rPr>
          <w:rFonts w:ascii="Times New Roman" w:hAnsi="Times New Roman"/>
          <w:lang w:val="it-IT"/>
        </w:rPr>
        <w:t>è molto limitata.</w:t>
      </w:r>
    </w:p>
    <w:p w14:paraId="35DC8484" w14:textId="77777777" w:rsidR="00FC1EE3" w:rsidRPr="00496684" w:rsidRDefault="00FC1EE3" w:rsidP="00AB2C4F">
      <w:pPr>
        <w:autoSpaceDE w:val="0"/>
        <w:autoSpaceDN w:val="0"/>
        <w:adjustRightInd w:val="0"/>
        <w:spacing w:after="0" w:line="240" w:lineRule="auto"/>
        <w:rPr>
          <w:rFonts w:ascii="Times New Roman" w:hAnsi="Times New Roman"/>
          <w:lang w:val="it-IT"/>
        </w:rPr>
      </w:pPr>
    </w:p>
    <w:p w14:paraId="67D48CF3" w14:textId="0702E28A" w:rsidR="00FC1EE3" w:rsidRPr="00496684" w:rsidRDefault="00FC1EE3" w:rsidP="00AB2C4F">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La sicurezza e l’efficacia di imatinib nei</w:t>
      </w:r>
      <w:r w:rsidR="00D20367" w:rsidRPr="00496684">
        <w:rPr>
          <w:rFonts w:ascii="Times New Roman" w:hAnsi="Times New Roman"/>
          <w:lang w:val="it-IT"/>
        </w:rPr>
        <w:t xml:space="preserve"> bambini con MDS/MPD, DFSP </w:t>
      </w:r>
      <w:r w:rsidRPr="00496684">
        <w:rPr>
          <w:rFonts w:ascii="Times New Roman" w:hAnsi="Times New Roman"/>
          <w:lang w:val="it-IT"/>
        </w:rPr>
        <w:t>e HES/LEC di età inferiore a 18 anni non sono state stabilite negli studi clinici. I dati pubblicati al momento disponibili sono riassunti nel paragrafo 5.1 ma non può essere fatta alcuna raccomandazione riguardante la posologia.</w:t>
      </w:r>
    </w:p>
    <w:p w14:paraId="60302DAD" w14:textId="77777777" w:rsidR="00FC1EE3" w:rsidRPr="00496684" w:rsidRDefault="00FC1EE3" w:rsidP="00AB2C4F">
      <w:pPr>
        <w:autoSpaceDE w:val="0"/>
        <w:autoSpaceDN w:val="0"/>
        <w:adjustRightInd w:val="0"/>
        <w:spacing w:after="0" w:line="240" w:lineRule="auto"/>
        <w:rPr>
          <w:rFonts w:ascii="Times New Roman" w:hAnsi="Times New Roman"/>
          <w:lang w:val="it-IT"/>
        </w:rPr>
      </w:pPr>
    </w:p>
    <w:p w14:paraId="3355392A" w14:textId="77777777" w:rsidR="0068243A" w:rsidRPr="00496684" w:rsidRDefault="004C7EE6" w:rsidP="0068243A">
      <w:pPr>
        <w:pStyle w:val="Endnotentext"/>
        <w:widowControl w:val="0"/>
        <w:tabs>
          <w:tab w:val="clear" w:pos="567"/>
        </w:tabs>
        <w:rPr>
          <w:szCs w:val="22"/>
          <w:lang w:val="it-IT"/>
        </w:rPr>
      </w:pPr>
      <w:r w:rsidRPr="00496684">
        <w:rPr>
          <w:i/>
          <w:u w:val="single"/>
          <w:lang w:val="it-IT"/>
        </w:rPr>
        <w:t>Insufficienza epatica</w:t>
      </w:r>
      <w:r w:rsidR="0068243A" w:rsidRPr="00496684">
        <w:rPr>
          <w:i/>
          <w:szCs w:val="22"/>
          <w:lang w:val="it-IT"/>
        </w:rPr>
        <w:t>:</w:t>
      </w:r>
      <w:r w:rsidR="0068243A" w:rsidRPr="00496684">
        <w:rPr>
          <w:szCs w:val="22"/>
          <w:lang w:val="it-IT"/>
        </w:rPr>
        <w:t xml:space="preserve"> Imatinib è principalmente metabolizzato attraverso il fegato. Ai pazienti con disfunzione epatica di natura lieve, moderata o grave dovrebbe essere somministrata la minima dose raccomandata di 400 mg al giorno. La dose può essere ridotta se non tollerata (vedere paragrafi 4.4, 4.8 e 5.2).</w:t>
      </w:r>
    </w:p>
    <w:p w14:paraId="677EC8A3" w14:textId="77777777" w:rsidR="0068243A" w:rsidRPr="00496684" w:rsidRDefault="0068243A" w:rsidP="0068243A">
      <w:pPr>
        <w:pStyle w:val="Endnotentext"/>
        <w:widowControl w:val="0"/>
        <w:tabs>
          <w:tab w:val="clear" w:pos="567"/>
        </w:tabs>
        <w:rPr>
          <w:szCs w:val="22"/>
          <w:lang w:val="it-IT"/>
        </w:rPr>
      </w:pPr>
    </w:p>
    <w:p w14:paraId="05E400E4" w14:textId="77777777" w:rsidR="0068243A" w:rsidRPr="00496684" w:rsidRDefault="0068243A" w:rsidP="0068243A">
      <w:pPr>
        <w:pStyle w:val="Endnotentext"/>
        <w:widowControl w:val="0"/>
        <w:tabs>
          <w:tab w:val="clear" w:pos="567"/>
        </w:tabs>
        <w:rPr>
          <w:szCs w:val="22"/>
          <w:lang w:val="it-IT"/>
        </w:rPr>
      </w:pPr>
      <w:r w:rsidRPr="00496684">
        <w:rPr>
          <w:szCs w:val="22"/>
          <w:lang w:val="it-IT"/>
        </w:rPr>
        <w:t>Classificazione della disfunzione epatica:</w:t>
      </w:r>
    </w:p>
    <w:p w14:paraId="1702DEFB" w14:textId="77777777" w:rsidR="0068243A" w:rsidRPr="00496684" w:rsidRDefault="0068243A" w:rsidP="0068243A">
      <w:pPr>
        <w:pStyle w:val="Text"/>
        <w:spacing w:before="0"/>
        <w:jc w:val="left"/>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5918"/>
      </w:tblGrid>
      <w:tr w:rsidR="0068243A" w:rsidRPr="00496684" w14:paraId="06E154F4" w14:textId="77777777" w:rsidTr="00AF494A">
        <w:tc>
          <w:tcPr>
            <w:tcW w:w="3369" w:type="dxa"/>
          </w:tcPr>
          <w:p w14:paraId="643106D8" w14:textId="77777777" w:rsidR="0068243A" w:rsidRPr="00496684" w:rsidRDefault="0068243A" w:rsidP="00AF494A">
            <w:pPr>
              <w:pStyle w:val="Text"/>
              <w:spacing w:before="0"/>
              <w:jc w:val="left"/>
              <w:rPr>
                <w:sz w:val="22"/>
                <w:szCs w:val="22"/>
                <w:lang w:val="it-IT"/>
              </w:rPr>
            </w:pPr>
            <w:r w:rsidRPr="00496684">
              <w:rPr>
                <w:sz w:val="22"/>
                <w:szCs w:val="22"/>
                <w:lang w:val="it-IT"/>
              </w:rPr>
              <w:t>Disfunzione epatica</w:t>
            </w:r>
          </w:p>
        </w:tc>
        <w:tc>
          <w:tcPr>
            <w:tcW w:w="5918" w:type="dxa"/>
          </w:tcPr>
          <w:p w14:paraId="47E06722" w14:textId="77777777" w:rsidR="0068243A" w:rsidRPr="00496684" w:rsidRDefault="0068243A" w:rsidP="00AF494A">
            <w:pPr>
              <w:pStyle w:val="Text"/>
              <w:spacing w:before="0"/>
              <w:jc w:val="left"/>
              <w:rPr>
                <w:sz w:val="22"/>
                <w:szCs w:val="22"/>
                <w:lang w:val="it-IT"/>
              </w:rPr>
            </w:pPr>
            <w:r w:rsidRPr="00496684">
              <w:rPr>
                <w:sz w:val="22"/>
                <w:szCs w:val="22"/>
                <w:lang w:val="it-IT"/>
              </w:rPr>
              <w:t>Analisi della funzione epatica</w:t>
            </w:r>
          </w:p>
        </w:tc>
      </w:tr>
      <w:tr w:rsidR="0068243A" w:rsidRPr="00496684" w14:paraId="6853901C" w14:textId="77777777" w:rsidTr="00AF494A">
        <w:tc>
          <w:tcPr>
            <w:tcW w:w="3369" w:type="dxa"/>
          </w:tcPr>
          <w:p w14:paraId="0D84C0B4" w14:textId="77777777" w:rsidR="0068243A" w:rsidRPr="00496684" w:rsidRDefault="0068243A" w:rsidP="00AF494A">
            <w:pPr>
              <w:pStyle w:val="Text"/>
              <w:spacing w:before="0"/>
              <w:jc w:val="left"/>
              <w:rPr>
                <w:sz w:val="22"/>
                <w:szCs w:val="22"/>
                <w:lang w:val="it-IT"/>
              </w:rPr>
            </w:pPr>
            <w:r w:rsidRPr="00496684">
              <w:rPr>
                <w:sz w:val="22"/>
                <w:szCs w:val="22"/>
                <w:lang w:val="it-IT"/>
              </w:rPr>
              <w:t>Lieve</w:t>
            </w:r>
          </w:p>
        </w:tc>
        <w:tc>
          <w:tcPr>
            <w:tcW w:w="5918" w:type="dxa"/>
          </w:tcPr>
          <w:p w14:paraId="38E16560" w14:textId="77777777" w:rsidR="0068243A" w:rsidRPr="00496684" w:rsidRDefault="0068243A" w:rsidP="0068243A">
            <w:pPr>
              <w:spacing w:after="0"/>
              <w:rPr>
                <w:rFonts w:ascii="Times New Roman" w:hAnsi="Times New Roman"/>
                <w:snapToGrid w:val="0"/>
                <w:lang w:val="it-IT"/>
              </w:rPr>
            </w:pPr>
            <w:r w:rsidRPr="00496684">
              <w:rPr>
                <w:rFonts w:ascii="Times New Roman" w:hAnsi="Times New Roman"/>
                <w:snapToGrid w:val="0"/>
                <w:lang w:val="it-IT"/>
              </w:rPr>
              <w:t>Bilirubina totale: = 1,5 ULN</w:t>
            </w:r>
          </w:p>
          <w:p w14:paraId="39FADF41" w14:textId="77777777" w:rsidR="0068243A" w:rsidRPr="00496684" w:rsidRDefault="0068243A" w:rsidP="0068243A">
            <w:pPr>
              <w:pStyle w:val="Text"/>
              <w:spacing w:before="0"/>
              <w:jc w:val="left"/>
              <w:rPr>
                <w:sz w:val="22"/>
                <w:szCs w:val="22"/>
                <w:lang w:val="it-IT"/>
              </w:rPr>
            </w:pPr>
            <w:r w:rsidRPr="00496684">
              <w:rPr>
                <w:snapToGrid w:val="0"/>
                <w:sz w:val="22"/>
                <w:szCs w:val="22"/>
                <w:lang w:val="it-IT"/>
              </w:rPr>
              <w:t>AST: &gt;ULN (può essere normale o &lt;ULN se la bilirubina totale è &gt;ULN)</w:t>
            </w:r>
          </w:p>
        </w:tc>
      </w:tr>
      <w:tr w:rsidR="0068243A" w:rsidRPr="00496684" w14:paraId="4585FA7B" w14:textId="77777777" w:rsidTr="00AF494A">
        <w:tc>
          <w:tcPr>
            <w:tcW w:w="3369" w:type="dxa"/>
          </w:tcPr>
          <w:p w14:paraId="68CC77A8" w14:textId="77777777" w:rsidR="0068243A" w:rsidRPr="00496684" w:rsidRDefault="0068243A" w:rsidP="00AF494A">
            <w:pPr>
              <w:pStyle w:val="Text"/>
              <w:spacing w:before="0"/>
              <w:jc w:val="left"/>
              <w:rPr>
                <w:sz w:val="22"/>
                <w:szCs w:val="22"/>
                <w:lang w:val="it-IT"/>
              </w:rPr>
            </w:pPr>
            <w:r w:rsidRPr="00496684">
              <w:rPr>
                <w:sz w:val="22"/>
                <w:szCs w:val="22"/>
                <w:lang w:val="it-IT"/>
              </w:rPr>
              <w:t>Moderata</w:t>
            </w:r>
          </w:p>
        </w:tc>
        <w:tc>
          <w:tcPr>
            <w:tcW w:w="5918" w:type="dxa"/>
          </w:tcPr>
          <w:p w14:paraId="0717610B" w14:textId="77777777" w:rsidR="0068243A" w:rsidRPr="00496684" w:rsidRDefault="0068243A" w:rsidP="0068243A">
            <w:pPr>
              <w:spacing w:after="0"/>
              <w:rPr>
                <w:rFonts w:ascii="Times New Roman" w:hAnsi="Times New Roman"/>
                <w:snapToGrid w:val="0"/>
                <w:lang w:val="it-IT"/>
              </w:rPr>
            </w:pPr>
            <w:r w:rsidRPr="00496684">
              <w:rPr>
                <w:rFonts w:ascii="Times New Roman" w:hAnsi="Times New Roman"/>
                <w:snapToGrid w:val="0"/>
                <w:lang w:val="it-IT"/>
              </w:rPr>
              <w:t>Bilirubina totale: &gt;1,5</w:t>
            </w:r>
            <w:r w:rsidRPr="00496684">
              <w:rPr>
                <w:rFonts w:ascii="Times New Roman" w:hAnsi="Times New Roman"/>
                <w:lang w:val="it-IT"/>
              </w:rPr>
              <w:t>–</w:t>
            </w:r>
            <w:r w:rsidRPr="00496684">
              <w:rPr>
                <w:rFonts w:ascii="Times New Roman" w:hAnsi="Times New Roman"/>
                <w:snapToGrid w:val="0"/>
                <w:lang w:val="it-IT"/>
              </w:rPr>
              <w:t>3,0 ULN</w:t>
            </w:r>
          </w:p>
          <w:p w14:paraId="26F2A3E3" w14:textId="77777777" w:rsidR="0068243A" w:rsidRPr="00496684" w:rsidRDefault="0068243A" w:rsidP="0068243A">
            <w:pPr>
              <w:pStyle w:val="Text"/>
              <w:spacing w:before="0"/>
              <w:jc w:val="left"/>
              <w:rPr>
                <w:sz w:val="22"/>
                <w:szCs w:val="22"/>
                <w:lang w:val="it-IT"/>
              </w:rPr>
            </w:pPr>
            <w:r w:rsidRPr="00496684">
              <w:rPr>
                <w:snapToGrid w:val="0"/>
                <w:sz w:val="22"/>
                <w:szCs w:val="22"/>
                <w:lang w:val="it-IT"/>
              </w:rPr>
              <w:t>AST: qualunque</w:t>
            </w:r>
          </w:p>
        </w:tc>
      </w:tr>
      <w:tr w:rsidR="0068243A" w:rsidRPr="00496684" w14:paraId="3130E747" w14:textId="77777777" w:rsidTr="00AF494A">
        <w:tc>
          <w:tcPr>
            <w:tcW w:w="3369" w:type="dxa"/>
          </w:tcPr>
          <w:p w14:paraId="3FE7114F" w14:textId="77777777" w:rsidR="0068243A" w:rsidRPr="00496684" w:rsidRDefault="0068243A" w:rsidP="00AF494A">
            <w:pPr>
              <w:pStyle w:val="Text"/>
              <w:spacing w:before="0"/>
              <w:jc w:val="left"/>
              <w:rPr>
                <w:sz w:val="22"/>
                <w:szCs w:val="22"/>
                <w:lang w:val="it-IT"/>
              </w:rPr>
            </w:pPr>
            <w:r w:rsidRPr="00496684">
              <w:rPr>
                <w:sz w:val="22"/>
                <w:szCs w:val="22"/>
                <w:lang w:val="it-IT"/>
              </w:rPr>
              <w:t>Grave</w:t>
            </w:r>
          </w:p>
        </w:tc>
        <w:tc>
          <w:tcPr>
            <w:tcW w:w="5918" w:type="dxa"/>
          </w:tcPr>
          <w:p w14:paraId="1E8FC843" w14:textId="77777777" w:rsidR="0068243A" w:rsidRPr="00496684" w:rsidRDefault="0068243A" w:rsidP="0068243A">
            <w:pPr>
              <w:spacing w:after="0"/>
              <w:rPr>
                <w:rFonts w:ascii="Times New Roman" w:hAnsi="Times New Roman"/>
                <w:snapToGrid w:val="0"/>
                <w:lang w:val="it-IT"/>
              </w:rPr>
            </w:pPr>
            <w:r w:rsidRPr="00496684">
              <w:rPr>
                <w:rFonts w:ascii="Times New Roman" w:hAnsi="Times New Roman"/>
                <w:snapToGrid w:val="0"/>
                <w:lang w:val="it-IT"/>
              </w:rPr>
              <w:t>Bilirubina totale: &gt;3</w:t>
            </w:r>
            <w:r w:rsidRPr="00496684">
              <w:rPr>
                <w:rFonts w:ascii="Times New Roman" w:hAnsi="Times New Roman"/>
                <w:lang w:val="it-IT"/>
              </w:rPr>
              <w:t>–</w:t>
            </w:r>
            <w:r w:rsidRPr="00496684">
              <w:rPr>
                <w:rFonts w:ascii="Times New Roman" w:hAnsi="Times New Roman"/>
                <w:snapToGrid w:val="0"/>
                <w:lang w:val="it-IT"/>
              </w:rPr>
              <w:t>10 ULN</w:t>
            </w:r>
          </w:p>
          <w:p w14:paraId="0D026D89" w14:textId="77777777" w:rsidR="0068243A" w:rsidRPr="00496684" w:rsidRDefault="0068243A" w:rsidP="0068243A">
            <w:pPr>
              <w:pStyle w:val="Text"/>
              <w:spacing w:before="0"/>
              <w:jc w:val="left"/>
              <w:rPr>
                <w:sz w:val="22"/>
                <w:szCs w:val="22"/>
                <w:lang w:val="it-IT"/>
              </w:rPr>
            </w:pPr>
            <w:r w:rsidRPr="00496684">
              <w:rPr>
                <w:snapToGrid w:val="0"/>
                <w:sz w:val="22"/>
                <w:szCs w:val="22"/>
                <w:lang w:val="it-IT"/>
              </w:rPr>
              <w:t>AST: qualunque</w:t>
            </w:r>
          </w:p>
        </w:tc>
      </w:tr>
    </w:tbl>
    <w:p w14:paraId="3C2565B6" w14:textId="77777777" w:rsidR="0068243A" w:rsidRPr="00496684" w:rsidRDefault="0068243A" w:rsidP="0068243A">
      <w:pPr>
        <w:pStyle w:val="Text"/>
        <w:spacing w:before="0"/>
        <w:jc w:val="left"/>
        <w:rPr>
          <w:sz w:val="22"/>
          <w:szCs w:val="22"/>
          <w:lang w:val="it-IT"/>
        </w:rPr>
      </w:pPr>
      <w:r w:rsidRPr="00496684">
        <w:rPr>
          <w:sz w:val="22"/>
          <w:szCs w:val="22"/>
          <w:lang w:val="it-IT"/>
        </w:rPr>
        <w:t>ULN = limite superiore del valore normale per l’istituzione</w:t>
      </w:r>
    </w:p>
    <w:p w14:paraId="01BBC592" w14:textId="77777777" w:rsidR="0068243A" w:rsidRPr="00496684" w:rsidRDefault="0068243A" w:rsidP="0068243A">
      <w:pPr>
        <w:autoSpaceDE w:val="0"/>
        <w:autoSpaceDN w:val="0"/>
        <w:adjustRightInd w:val="0"/>
        <w:ind w:left="993" w:hanging="993"/>
        <w:rPr>
          <w:rFonts w:ascii="Times New Roman" w:eastAsia="MS Mincho" w:hAnsi="Times New Roman"/>
          <w:bCs/>
          <w:lang w:val="it-IT" w:eastAsia="ja-JP"/>
        </w:rPr>
      </w:pPr>
      <w:r w:rsidRPr="00496684">
        <w:rPr>
          <w:rFonts w:ascii="Times New Roman" w:eastAsia="MS Mincho" w:hAnsi="Times New Roman"/>
          <w:bCs/>
          <w:lang w:val="it-IT" w:eastAsia="ja-JP"/>
        </w:rPr>
        <w:t xml:space="preserve">AST = </w:t>
      </w:r>
      <w:r w:rsidRPr="00496684">
        <w:rPr>
          <w:rFonts w:ascii="Times New Roman" w:hAnsi="Times New Roman"/>
          <w:lang w:val="it-IT"/>
        </w:rPr>
        <w:t>aspartato aminotransferasi</w:t>
      </w:r>
    </w:p>
    <w:p w14:paraId="1B972C56" w14:textId="77777777" w:rsidR="0068243A" w:rsidRPr="00496684" w:rsidRDefault="004C7EE6" w:rsidP="0068243A">
      <w:pPr>
        <w:pStyle w:val="Endnotentext"/>
        <w:widowControl w:val="0"/>
        <w:tabs>
          <w:tab w:val="clear" w:pos="567"/>
        </w:tabs>
        <w:rPr>
          <w:szCs w:val="22"/>
          <w:lang w:val="it-IT"/>
        </w:rPr>
      </w:pPr>
      <w:r w:rsidRPr="00496684">
        <w:rPr>
          <w:i/>
          <w:lang w:val="it-IT"/>
        </w:rPr>
        <w:t>Insufficienza renale</w:t>
      </w:r>
      <w:r w:rsidR="0068243A" w:rsidRPr="00496684">
        <w:rPr>
          <w:szCs w:val="22"/>
          <w:lang w:val="it-IT"/>
        </w:rPr>
        <w:t>: Ai pazienti con disfunzione renale o sottoposti a dialisi</w:t>
      </w:r>
      <w:r w:rsidR="0068243A" w:rsidRPr="00496684">
        <w:rPr>
          <w:snapToGrid w:val="0"/>
          <w:szCs w:val="22"/>
          <w:lang w:val="it-IT"/>
        </w:rPr>
        <w:t xml:space="preserve"> </w:t>
      </w:r>
      <w:r w:rsidR="0068243A" w:rsidRPr="00496684">
        <w:rPr>
          <w:szCs w:val="22"/>
          <w:lang w:val="it-IT"/>
        </w:rPr>
        <w:t>deve essere somministrata come dose iniziale la dose minima raccomandata di 400 mg al giorno. Comunque, si raccomanda cautela in questi pazienti. La dose può essere ridotta se non tollerata. Se tollerata, la dose può essere aumentata per mancanza di efficacia (vedere paragrafi 4.4 e 5.2).</w:t>
      </w:r>
    </w:p>
    <w:p w14:paraId="118C9EDD" w14:textId="77777777" w:rsidR="0068243A" w:rsidRPr="00496684" w:rsidRDefault="0068243A" w:rsidP="0068243A">
      <w:pPr>
        <w:pStyle w:val="Endnotentext"/>
        <w:widowControl w:val="0"/>
        <w:tabs>
          <w:tab w:val="clear" w:pos="567"/>
        </w:tabs>
        <w:rPr>
          <w:szCs w:val="22"/>
          <w:lang w:val="it-IT"/>
        </w:rPr>
      </w:pPr>
    </w:p>
    <w:p w14:paraId="5AB73091" w14:textId="77777777" w:rsidR="0068243A" w:rsidRPr="00496684" w:rsidRDefault="004C7EE6" w:rsidP="0068243A">
      <w:pPr>
        <w:pStyle w:val="Endnotentext"/>
        <w:widowControl w:val="0"/>
        <w:tabs>
          <w:tab w:val="clear" w:pos="567"/>
        </w:tabs>
        <w:rPr>
          <w:szCs w:val="22"/>
          <w:lang w:val="it-IT"/>
        </w:rPr>
      </w:pPr>
      <w:r w:rsidRPr="00496684">
        <w:rPr>
          <w:i/>
          <w:lang w:val="it-IT"/>
        </w:rPr>
        <w:t>Pazienti anziani</w:t>
      </w:r>
      <w:r w:rsidR="0068243A" w:rsidRPr="00496684">
        <w:rPr>
          <w:i/>
          <w:szCs w:val="22"/>
          <w:lang w:val="it-IT"/>
        </w:rPr>
        <w:t>:</w:t>
      </w:r>
      <w:r w:rsidR="0068243A" w:rsidRPr="00496684">
        <w:rPr>
          <w:szCs w:val="22"/>
          <w:lang w:val="it-IT"/>
        </w:rPr>
        <w:t xml:space="preserve"> La farmacocinetica di imatinib </w:t>
      </w:r>
      <w:r w:rsidR="00D20367" w:rsidRPr="00496684">
        <w:rPr>
          <w:szCs w:val="22"/>
          <w:lang w:val="it-IT"/>
        </w:rPr>
        <w:t>nelle persone anziane</w:t>
      </w:r>
      <w:r w:rsidR="0068243A" w:rsidRPr="00496684">
        <w:rPr>
          <w:szCs w:val="22"/>
          <w:lang w:val="it-IT"/>
        </w:rPr>
        <w:t xml:space="preserve"> non è stata specificamente studiata. Nei pazienti adulti non si sono osservate significative differenze farmacocinetiche correlate all'età negli studi clinici che comprendevano più del 20% dei pazienti di 65 anni o di età superiore. Non è necessaria una specifica raccomandazione della dose </w:t>
      </w:r>
      <w:r w:rsidR="00D20367" w:rsidRPr="00496684">
        <w:rPr>
          <w:szCs w:val="22"/>
          <w:lang w:val="it-IT"/>
        </w:rPr>
        <w:t>nelle persone anziane</w:t>
      </w:r>
      <w:r w:rsidR="0068243A" w:rsidRPr="00496684">
        <w:rPr>
          <w:szCs w:val="22"/>
          <w:lang w:val="it-IT"/>
        </w:rPr>
        <w:t>.</w:t>
      </w:r>
    </w:p>
    <w:p w14:paraId="40CF11ED" w14:textId="77777777" w:rsidR="007721F4" w:rsidRPr="00496684" w:rsidRDefault="007721F4" w:rsidP="00AB2C4F">
      <w:pPr>
        <w:autoSpaceDE w:val="0"/>
        <w:autoSpaceDN w:val="0"/>
        <w:adjustRightInd w:val="0"/>
        <w:spacing w:after="0" w:line="240" w:lineRule="auto"/>
        <w:rPr>
          <w:rFonts w:ascii="Times New Roman" w:hAnsi="Times New Roman"/>
          <w:lang w:val="it-IT" w:eastAsia="is-IS"/>
        </w:rPr>
      </w:pPr>
    </w:p>
    <w:p w14:paraId="62EF9679" w14:textId="77777777" w:rsidR="007721F4" w:rsidRPr="00496684" w:rsidRDefault="0068243A" w:rsidP="00AB2C4F">
      <w:pPr>
        <w:autoSpaceDE w:val="0"/>
        <w:autoSpaceDN w:val="0"/>
        <w:adjustRightInd w:val="0"/>
        <w:spacing w:after="0" w:line="240" w:lineRule="auto"/>
        <w:rPr>
          <w:rFonts w:ascii="Times New Roman" w:hAnsi="Times New Roman"/>
          <w:u w:val="single"/>
          <w:lang w:val="it-IT" w:eastAsia="is-IS"/>
        </w:rPr>
      </w:pPr>
      <w:r w:rsidRPr="00496684">
        <w:rPr>
          <w:rFonts w:ascii="Times New Roman" w:hAnsi="Times New Roman"/>
          <w:u w:val="single"/>
          <w:lang w:val="it-IT" w:eastAsia="is-IS"/>
        </w:rPr>
        <w:t>Modo di somministrazione</w:t>
      </w:r>
    </w:p>
    <w:p w14:paraId="1C6C96F2" w14:textId="77777777" w:rsidR="007721F4" w:rsidRPr="00496684" w:rsidRDefault="007721F4" w:rsidP="00AB2C4F">
      <w:pPr>
        <w:autoSpaceDE w:val="0"/>
        <w:autoSpaceDN w:val="0"/>
        <w:adjustRightInd w:val="0"/>
        <w:spacing w:after="0" w:line="240" w:lineRule="auto"/>
        <w:rPr>
          <w:rFonts w:ascii="Times New Roman" w:eastAsia="Times New Roman" w:hAnsi="Times New Roman"/>
          <w:lang w:val="it-IT" w:eastAsia="it-IT"/>
        </w:rPr>
      </w:pPr>
    </w:p>
    <w:p w14:paraId="0CE7867A" w14:textId="77777777" w:rsidR="0068243A" w:rsidRPr="00496684" w:rsidRDefault="0068243A" w:rsidP="0080484F">
      <w:pPr>
        <w:pStyle w:val="Default"/>
        <w:rPr>
          <w:sz w:val="22"/>
          <w:szCs w:val="22"/>
          <w:lang w:val="it-IT"/>
        </w:rPr>
      </w:pPr>
      <w:r w:rsidRPr="00496684">
        <w:rPr>
          <w:sz w:val="22"/>
          <w:szCs w:val="22"/>
          <w:lang w:val="it-IT"/>
        </w:rPr>
        <w:t xml:space="preserve">La dose prescritta deve essere assunta per via orale insieme ai pasti e con un </w:t>
      </w:r>
      <w:r w:rsidR="00AF494A" w:rsidRPr="00496684">
        <w:rPr>
          <w:sz w:val="22"/>
          <w:szCs w:val="22"/>
          <w:lang w:val="it-IT"/>
        </w:rPr>
        <w:t>abbondante</w:t>
      </w:r>
      <w:r w:rsidRPr="00496684">
        <w:rPr>
          <w:sz w:val="22"/>
          <w:szCs w:val="22"/>
          <w:lang w:val="it-IT"/>
        </w:rPr>
        <w:t xml:space="preserve"> bicchiere d'acqua per minimizzare il rischio di irritazioni gastrointestinali. Le dosi da 400 mg e 600 mg devono essere assunte una volta al giorno mentre la dose giornaliera da 800 mg deve somministrata come 400 mg due volte al giorno, al mattino e alla sera.</w:t>
      </w:r>
    </w:p>
    <w:p w14:paraId="291EB184" w14:textId="77777777" w:rsidR="0080484F" w:rsidRPr="00496684" w:rsidRDefault="0080484F" w:rsidP="0080484F">
      <w:pPr>
        <w:pStyle w:val="Default"/>
        <w:rPr>
          <w:sz w:val="22"/>
          <w:szCs w:val="22"/>
          <w:lang w:val="it-IT"/>
        </w:rPr>
      </w:pPr>
    </w:p>
    <w:p w14:paraId="198CDB77" w14:textId="77777777" w:rsidR="0068243A" w:rsidRPr="00496684" w:rsidRDefault="0068243A" w:rsidP="0080484F">
      <w:pPr>
        <w:pStyle w:val="KeinLeerraum"/>
        <w:rPr>
          <w:rFonts w:ascii="Times New Roman" w:hAnsi="Times New Roman"/>
          <w:color w:val="000000"/>
          <w:lang w:val="it-IT" w:eastAsia="is-IS"/>
        </w:rPr>
      </w:pPr>
      <w:r w:rsidRPr="00496684">
        <w:rPr>
          <w:rFonts w:ascii="Times New Roman" w:hAnsi="Times New Roman"/>
          <w:color w:val="000000"/>
          <w:lang w:val="it-IT" w:eastAsia="is-IS"/>
        </w:rPr>
        <w:t xml:space="preserve">Per i pazienti </w:t>
      </w:r>
      <w:r w:rsidR="00A65DEE" w:rsidRPr="00496684">
        <w:rPr>
          <w:rFonts w:ascii="Times New Roman" w:hAnsi="Times New Roman"/>
          <w:color w:val="000000"/>
          <w:lang w:val="it-IT" w:eastAsia="is-IS"/>
        </w:rPr>
        <w:t xml:space="preserve">(bambini) </w:t>
      </w:r>
      <w:r w:rsidR="00AF494A" w:rsidRPr="00496684">
        <w:rPr>
          <w:rFonts w:ascii="Times New Roman" w:hAnsi="Times New Roman"/>
          <w:color w:val="000000"/>
          <w:lang w:val="it-IT" w:eastAsia="is-IS"/>
        </w:rPr>
        <w:t>che non riescono</w:t>
      </w:r>
      <w:r w:rsidRPr="00496684">
        <w:rPr>
          <w:rFonts w:ascii="Times New Roman" w:hAnsi="Times New Roman"/>
          <w:color w:val="000000"/>
          <w:lang w:val="it-IT" w:eastAsia="is-IS"/>
        </w:rPr>
        <w:t xml:space="preserve"> </w:t>
      </w:r>
      <w:r w:rsidR="00AF494A" w:rsidRPr="00496684">
        <w:rPr>
          <w:rFonts w:ascii="Times New Roman" w:hAnsi="Times New Roman"/>
          <w:color w:val="000000"/>
          <w:lang w:val="it-IT" w:eastAsia="is-IS"/>
        </w:rPr>
        <w:t>a</w:t>
      </w:r>
      <w:r w:rsidR="00C368C9" w:rsidRPr="00496684">
        <w:rPr>
          <w:rFonts w:ascii="Times New Roman" w:hAnsi="Times New Roman"/>
          <w:color w:val="000000"/>
          <w:lang w:val="it-IT" w:eastAsia="is-IS"/>
        </w:rPr>
        <w:t xml:space="preserve"> deglutire</w:t>
      </w:r>
      <w:r w:rsidR="00AF494A" w:rsidRPr="00496684">
        <w:rPr>
          <w:rFonts w:ascii="Times New Roman" w:hAnsi="Times New Roman"/>
          <w:color w:val="000000"/>
          <w:lang w:val="it-IT" w:eastAsia="is-IS"/>
        </w:rPr>
        <w:t xml:space="preserve"> </w:t>
      </w:r>
      <w:r w:rsidRPr="00496684">
        <w:rPr>
          <w:rFonts w:ascii="Times New Roman" w:hAnsi="Times New Roman"/>
          <w:color w:val="000000"/>
          <w:lang w:val="it-IT" w:eastAsia="is-IS"/>
        </w:rPr>
        <w:t>le capsule, il contenuto può essere diluito in un bicchiere o d'acqua o di succo di mela</w:t>
      </w:r>
      <w:r w:rsidR="00B93C62" w:rsidRPr="00496684">
        <w:rPr>
          <w:rFonts w:ascii="Times New Roman" w:hAnsi="Times New Roman"/>
          <w:color w:val="000000"/>
          <w:lang w:val="it-IT" w:eastAsia="is-IS"/>
        </w:rPr>
        <w:t>.</w:t>
      </w:r>
      <w:r w:rsidR="003707F7" w:rsidRPr="00496684">
        <w:rPr>
          <w:rFonts w:ascii="Times New Roman" w:hAnsi="Times New Roman"/>
          <w:color w:val="000000"/>
          <w:lang w:val="it-IT" w:eastAsia="is-IS"/>
        </w:rPr>
        <w:t xml:space="preserve"> Poichè gli studi negli animali hanno evidenziato tossicità riproduttiva e il rischio potenziale per il feto umano non è noto, le donne in età fertile che aprono le capsule devono essere avvisate di maneggiare il contenuto con cautela ed evitare il contatto con gli occhi o l’inalazione (vedere paragrafo 4.6). Le mani devono essere lavate immediatamente dopo aver toccato le capsule aperte. </w:t>
      </w:r>
    </w:p>
    <w:p w14:paraId="4BCC14C9" w14:textId="77777777" w:rsidR="0020671B" w:rsidRPr="00496684" w:rsidRDefault="0020671B" w:rsidP="00154217">
      <w:pPr>
        <w:autoSpaceDE w:val="0"/>
        <w:autoSpaceDN w:val="0"/>
        <w:adjustRightInd w:val="0"/>
        <w:spacing w:after="0" w:line="240" w:lineRule="auto"/>
        <w:rPr>
          <w:rFonts w:ascii="Times New Roman" w:hAnsi="Times New Roman"/>
          <w:b/>
          <w:bCs/>
          <w:lang w:val="it-IT" w:eastAsia="is-IS"/>
        </w:rPr>
      </w:pPr>
    </w:p>
    <w:p w14:paraId="6F463178" w14:textId="77777777" w:rsidR="00154217" w:rsidRPr="00496684" w:rsidRDefault="00154217" w:rsidP="00154217">
      <w:pPr>
        <w:autoSpaceDE w:val="0"/>
        <w:autoSpaceDN w:val="0"/>
        <w:adjustRightInd w:val="0"/>
        <w:spacing w:after="0" w:line="240" w:lineRule="auto"/>
        <w:rPr>
          <w:rFonts w:ascii="Times New Roman" w:hAnsi="Times New Roman"/>
          <w:b/>
          <w:bCs/>
          <w:lang w:val="it-IT" w:eastAsia="is-IS"/>
        </w:rPr>
      </w:pPr>
      <w:r w:rsidRPr="00496684">
        <w:rPr>
          <w:rFonts w:ascii="Times New Roman" w:hAnsi="Times New Roman"/>
          <w:b/>
          <w:bCs/>
          <w:lang w:val="it-IT" w:eastAsia="is-IS"/>
        </w:rPr>
        <w:t>4.3</w:t>
      </w:r>
      <w:r w:rsidRPr="00496684">
        <w:rPr>
          <w:rFonts w:ascii="Times New Roman" w:hAnsi="Times New Roman"/>
          <w:b/>
          <w:bCs/>
          <w:lang w:val="it-IT" w:eastAsia="is-IS"/>
        </w:rPr>
        <w:tab/>
      </w:r>
      <w:r w:rsidR="004F716F" w:rsidRPr="00496684">
        <w:rPr>
          <w:rFonts w:ascii="Times New Roman" w:hAnsi="Times New Roman"/>
          <w:b/>
          <w:lang w:val="it-IT"/>
        </w:rPr>
        <w:t>Controindicazioni</w:t>
      </w:r>
    </w:p>
    <w:p w14:paraId="72E4A940" w14:textId="77777777" w:rsidR="00154217" w:rsidRPr="00496684" w:rsidRDefault="00154217" w:rsidP="00154217">
      <w:pPr>
        <w:autoSpaceDE w:val="0"/>
        <w:autoSpaceDN w:val="0"/>
        <w:adjustRightInd w:val="0"/>
        <w:spacing w:after="0" w:line="240" w:lineRule="auto"/>
        <w:rPr>
          <w:rFonts w:ascii="Times New Roman" w:hAnsi="Times New Roman"/>
          <w:bCs/>
          <w:lang w:val="it-IT" w:eastAsia="is-IS"/>
        </w:rPr>
      </w:pPr>
    </w:p>
    <w:p w14:paraId="493DE261" w14:textId="77777777" w:rsidR="0080484F" w:rsidRPr="00496684" w:rsidRDefault="0080484F" w:rsidP="0080484F">
      <w:pPr>
        <w:pStyle w:val="Endnotentext"/>
        <w:widowControl w:val="0"/>
        <w:tabs>
          <w:tab w:val="clear" w:pos="567"/>
        </w:tabs>
        <w:rPr>
          <w:szCs w:val="22"/>
          <w:lang w:val="it-IT"/>
        </w:rPr>
      </w:pPr>
      <w:r w:rsidRPr="00496684">
        <w:rPr>
          <w:szCs w:val="22"/>
          <w:lang w:val="it-IT"/>
        </w:rPr>
        <w:t xml:space="preserve">Ipersensibilità al principio attivo o ad uno qualsiasi degli eccipienti </w:t>
      </w:r>
      <w:r w:rsidRPr="00496684">
        <w:rPr>
          <w:noProof/>
          <w:szCs w:val="24"/>
          <w:lang w:val="it-IT"/>
        </w:rPr>
        <w:t>elencati al paragrafo 6.1</w:t>
      </w:r>
      <w:r w:rsidRPr="00496684">
        <w:rPr>
          <w:szCs w:val="22"/>
          <w:lang w:val="it-IT"/>
        </w:rPr>
        <w:t>.</w:t>
      </w:r>
    </w:p>
    <w:p w14:paraId="66226CE4" w14:textId="77777777" w:rsidR="008E466E" w:rsidRPr="00496684" w:rsidRDefault="008E466E">
      <w:pPr>
        <w:autoSpaceDE w:val="0"/>
        <w:autoSpaceDN w:val="0"/>
        <w:adjustRightInd w:val="0"/>
        <w:spacing w:after="0" w:line="240" w:lineRule="auto"/>
        <w:rPr>
          <w:rFonts w:ascii="Times New Roman" w:hAnsi="Times New Roman"/>
          <w:lang w:val="it-IT"/>
        </w:rPr>
      </w:pPr>
    </w:p>
    <w:p w14:paraId="51B855DF" w14:textId="77777777" w:rsidR="00154217" w:rsidRPr="00496684" w:rsidRDefault="00154217" w:rsidP="00154217">
      <w:pPr>
        <w:autoSpaceDE w:val="0"/>
        <w:autoSpaceDN w:val="0"/>
        <w:adjustRightInd w:val="0"/>
        <w:spacing w:after="0" w:line="240" w:lineRule="auto"/>
        <w:rPr>
          <w:rFonts w:ascii="Times New Roman" w:hAnsi="Times New Roman"/>
          <w:b/>
          <w:bCs/>
          <w:lang w:val="it-IT" w:eastAsia="is-IS"/>
        </w:rPr>
      </w:pPr>
      <w:r w:rsidRPr="00496684">
        <w:rPr>
          <w:rFonts w:ascii="Times New Roman" w:hAnsi="Times New Roman"/>
          <w:b/>
          <w:bCs/>
          <w:lang w:val="it-IT" w:eastAsia="is-IS"/>
        </w:rPr>
        <w:t>4.4</w:t>
      </w:r>
      <w:r w:rsidRPr="00496684">
        <w:rPr>
          <w:rFonts w:ascii="Times New Roman" w:hAnsi="Times New Roman"/>
          <w:b/>
          <w:bCs/>
          <w:lang w:val="it-IT" w:eastAsia="is-IS"/>
        </w:rPr>
        <w:tab/>
      </w:r>
      <w:r w:rsidR="004F716F" w:rsidRPr="00496684">
        <w:rPr>
          <w:rFonts w:ascii="Times New Roman" w:hAnsi="Times New Roman"/>
          <w:b/>
          <w:lang w:val="it-IT"/>
        </w:rPr>
        <w:t>Avvertenze speciali e precauzioni di impiego</w:t>
      </w:r>
    </w:p>
    <w:p w14:paraId="27C32D32" w14:textId="77777777" w:rsidR="00154217" w:rsidRPr="00496684" w:rsidRDefault="00154217" w:rsidP="00154217">
      <w:pPr>
        <w:autoSpaceDE w:val="0"/>
        <w:autoSpaceDN w:val="0"/>
        <w:adjustRightInd w:val="0"/>
        <w:spacing w:after="0" w:line="240" w:lineRule="auto"/>
        <w:rPr>
          <w:rFonts w:ascii="Times New Roman" w:hAnsi="Times New Roman"/>
          <w:bCs/>
          <w:lang w:val="it-IT" w:eastAsia="is-IS"/>
        </w:rPr>
      </w:pPr>
    </w:p>
    <w:p w14:paraId="05A9A132" w14:textId="77777777" w:rsidR="004F716F" w:rsidRPr="00496684" w:rsidRDefault="004F716F" w:rsidP="004F716F">
      <w:pPr>
        <w:pStyle w:val="Endnotentext"/>
        <w:widowControl w:val="0"/>
        <w:tabs>
          <w:tab w:val="clear" w:pos="567"/>
        </w:tabs>
        <w:rPr>
          <w:szCs w:val="22"/>
          <w:lang w:val="it-IT"/>
        </w:rPr>
      </w:pPr>
      <w:r w:rsidRPr="00496684">
        <w:rPr>
          <w:szCs w:val="22"/>
          <w:lang w:val="it-IT"/>
        </w:rPr>
        <w:t xml:space="preserve">Quando </w:t>
      </w:r>
      <w:r w:rsidR="005B37CF" w:rsidRPr="00496684">
        <w:rPr>
          <w:szCs w:val="22"/>
          <w:lang w:val="it-IT"/>
        </w:rPr>
        <w:t>i</w:t>
      </w:r>
      <w:r w:rsidR="00521ABE" w:rsidRPr="00496684">
        <w:rPr>
          <w:szCs w:val="22"/>
          <w:lang w:val="it-IT"/>
        </w:rPr>
        <w:t xml:space="preserve">matinib </w:t>
      </w:r>
      <w:r w:rsidRPr="00496684">
        <w:rPr>
          <w:szCs w:val="22"/>
          <w:lang w:val="it-IT"/>
        </w:rPr>
        <w:t xml:space="preserve">è somministrato insieme ad altri medicinali, sono possibili interazioni farmacologiche. Si deve prestare cautela quando si somministra </w:t>
      </w:r>
      <w:r w:rsidR="005B37CF" w:rsidRPr="00496684">
        <w:rPr>
          <w:szCs w:val="22"/>
          <w:lang w:val="it-IT"/>
        </w:rPr>
        <w:t>i</w:t>
      </w:r>
      <w:r w:rsidR="00521ABE" w:rsidRPr="00496684">
        <w:rPr>
          <w:szCs w:val="22"/>
          <w:lang w:val="it-IT"/>
        </w:rPr>
        <w:t xml:space="preserve">matinib </w:t>
      </w:r>
      <w:r w:rsidRPr="00496684">
        <w:rPr>
          <w:szCs w:val="22"/>
          <w:lang w:val="it-IT"/>
        </w:rPr>
        <w:t>con inibitori delle proteasi, antifungini azolici</w:t>
      </w:r>
      <w:r w:rsidRPr="00496684">
        <w:rPr>
          <w:lang w:val="it-IT"/>
        </w:rPr>
        <w:t>,</w:t>
      </w:r>
      <w:r w:rsidRPr="00496684">
        <w:rPr>
          <w:szCs w:val="22"/>
          <w:lang w:val="it-IT"/>
        </w:rPr>
        <w:t xml:space="preserve"> alcuni macrolidi (vedere paragrafo 4.5), substrati del CYP3A4 con una ristretta finestra terapeutica (es. ciclosporina, pimozide, tacrolimus, sirolimus, ergotamina, diergotamina, fentanil, alfentanil, terfenadina, bortezomib, docetaxel, chinidina) o warfarina e altri derivati cumarinici (vedere paragrafo 4.5).</w:t>
      </w:r>
    </w:p>
    <w:p w14:paraId="5799C052" w14:textId="77777777" w:rsidR="004F716F" w:rsidRPr="00496684" w:rsidRDefault="004F716F" w:rsidP="004F716F">
      <w:pPr>
        <w:pStyle w:val="Endnotentext"/>
        <w:widowControl w:val="0"/>
        <w:tabs>
          <w:tab w:val="clear" w:pos="567"/>
        </w:tabs>
        <w:rPr>
          <w:szCs w:val="22"/>
          <w:lang w:val="it-IT"/>
        </w:rPr>
      </w:pPr>
    </w:p>
    <w:p w14:paraId="4073FCBB" w14:textId="77777777" w:rsidR="004F716F" w:rsidRPr="00496684" w:rsidRDefault="004F716F" w:rsidP="004F716F">
      <w:pPr>
        <w:pStyle w:val="Endnotentext"/>
        <w:widowControl w:val="0"/>
        <w:tabs>
          <w:tab w:val="clear" w:pos="567"/>
        </w:tabs>
        <w:rPr>
          <w:szCs w:val="22"/>
          <w:lang w:val="it-IT"/>
        </w:rPr>
      </w:pPr>
      <w:r w:rsidRPr="00496684">
        <w:rPr>
          <w:szCs w:val="22"/>
          <w:lang w:val="it-IT"/>
        </w:rPr>
        <w:t xml:space="preserve">L’uso concomitante di imatinib e di medicinali che inducono il CYP3A4 (es. desametasone, fenitoina, carbamazepina, rifampicina, fenobarbitale o </w:t>
      </w:r>
      <w:r w:rsidRPr="00496684">
        <w:rPr>
          <w:i/>
          <w:szCs w:val="22"/>
          <w:lang w:val="it-IT"/>
        </w:rPr>
        <w:t>Hypericum perforatum</w:t>
      </w:r>
      <w:r w:rsidRPr="00496684">
        <w:rPr>
          <w:szCs w:val="22"/>
          <w:lang w:val="it-IT"/>
        </w:rPr>
        <w:t xml:space="preserve">, anche noto come erba di San Giovanni) può ridurre significativamente l’esposizione a </w:t>
      </w:r>
      <w:r w:rsidR="005B37CF" w:rsidRPr="00496684">
        <w:rPr>
          <w:szCs w:val="22"/>
          <w:lang w:val="it-IT"/>
        </w:rPr>
        <w:t>imatinib</w:t>
      </w:r>
      <w:r w:rsidRPr="00496684">
        <w:rPr>
          <w:szCs w:val="22"/>
          <w:lang w:val="it-IT"/>
        </w:rPr>
        <w:t>, aumentando potenzialmente il rischio di fallimento terapeutico. Pertanto l’uso concomitante di forti induttori del CYP3A4 e di imatinib deve essere evitato (vedere paragrafo 4.5).</w:t>
      </w:r>
    </w:p>
    <w:p w14:paraId="3CB35DD6" w14:textId="77777777" w:rsidR="004F716F" w:rsidRPr="00496684" w:rsidRDefault="004F716F" w:rsidP="00154217">
      <w:pPr>
        <w:autoSpaceDE w:val="0"/>
        <w:autoSpaceDN w:val="0"/>
        <w:adjustRightInd w:val="0"/>
        <w:spacing w:after="0" w:line="240" w:lineRule="auto"/>
        <w:rPr>
          <w:rFonts w:ascii="Times New Roman" w:hAnsi="Times New Roman"/>
          <w:bCs/>
          <w:lang w:val="it-IT" w:eastAsia="is-IS"/>
        </w:rPr>
      </w:pPr>
    </w:p>
    <w:p w14:paraId="4823B4A8" w14:textId="77777777" w:rsidR="004F716F" w:rsidRPr="00496684" w:rsidRDefault="004F716F" w:rsidP="004F716F">
      <w:pPr>
        <w:pStyle w:val="Endnotentext"/>
        <w:widowControl w:val="0"/>
        <w:tabs>
          <w:tab w:val="clear" w:pos="567"/>
        </w:tabs>
        <w:rPr>
          <w:szCs w:val="22"/>
          <w:lang w:val="it-IT"/>
        </w:rPr>
      </w:pPr>
      <w:r w:rsidRPr="00496684">
        <w:rPr>
          <w:szCs w:val="22"/>
          <w:u w:val="single"/>
          <w:lang w:val="it-IT"/>
        </w:rPr>
        <w:t>Ipotiroidismo</w:t>
      </w:r>
    </w:p>
    <w:p w14:paraId="1CD669AD" w14:textId="77777777" w:rsidR="004F716F" w:rsidRPr="00496684" w:rsidRDefault="004F716F" w:rsidP="004F716F">
      <w:pPr>
        <w:pStyle w:val="Endnotentext"/>
        <w:widowControl w:val="0"/>
        <w:tabs>
          <w:tab w:val="clear" w:pos="567"/>
        </w:tabs>
        <w:rPr>
          <w:szCs w:val="22"/>
          <w:lang w:val="it-IT"/>
        </w:rPr>
      </w:pPr>
      <w:r w:rsidRPr="00496684">
        <w:rPr>
          <w:szCs w:val="22"/>
          <w:lang w:val="it-IT"/>
        </w:rPr>
        <w:t xml:space="preserve">Sono stati riportati casi clinici di ipotiroidismo in pazienti tiroidectomizzati in trattamento sostitutivo con levotiroxina durante la terapia con </w:t>
      </w:r>
      <w:r w:rsidR="005B37CF" w:rsidRPr="00496684">
        <w:rPr>
          <w:szCs w:val="22"/>
          <w:lang w:val="it-IT"/>
        </w:rPr>
        <w:t>i</w:t>
      </w:r>
      <w:r w:rsidR="00521ABE" w:rsidRPr="00496684">
        <w:rPr>
          <w:szCs w:val="22"/>
          <w:lang w:val="it-IT"/>
        </w:rPr>
        <w:t xml:space="preserve">matinib </w:t>
      </w:r>
      <w:r w:rsidRPr="00496684">
        <w:rPr>
          <w:szCs w:val="22"/>
          <w:lang w:val="it-IT"/>
        </w:rPr>
        <w:t>(vedere paragrafo 4.5). In tali pazienti si devono monitorare attentamente i livelli dell’ormone tireostimolante (TSH).</w:t>
      </w:r>
    </w:p>
    <w:p w14:paraId="68A0C0C0" w14:textId="77777777" w:rsidR="004F716F" w:rsidRPr="00496684" w:rsidRDefault="004F716F" w:rsidP="004F716F">
      <w:pPr>
        <w:pStyle w:val="Endnotentext"/>
        <w:widowControl w:val="0"/>
        <w:tabs>
          <w:tab w:val="clear" w:pos="567"/>
        </w:tabs>
        <w:rPr>
          <w:szCs w:val="22"/>
          <w:lang w:val="it-IT"/>
        </w:rPr>
      </w:pPr>
    </w:p>
    <w:p w14:paraId="7A0F7AB6" w14:textId="77777777" w:rsidR="004F716F" w:rsidRPr="00496684" w:rsidRDefault="004F716F" w:rsidP="004F716F">
      <w:pPr>
        <w:pStyle w:val="Endnotentext"/>
        <w:widowControl w:val="0"/>
        <w:tabs>
          <w:tab w:val="clear" w:pos="567"/>
        </w:tabs>
        <w:rPr>
          <w:szCs w:val="22"/>
          <w:lang w:val="it-IT"/>
        </w:rPr>
      </w:pPr>
      <w:r w:rsidRPr="00496684">
        <w:rPr>
          <w:szCs w:val="22"/>
          <w:u w:val="single"/>
          <w:lang w:val="it-IT"/>
        </w:rPr>
        <w:t>Epatotossicità</w:t>
      </w:r>
    </w:p>
    <w:p w14:paraId="3EE386B6" w14:textId="6B2F5E25" w:rsidR="004F716F" w:rsidRPr="00496684" w:rsidRDefault="004F716F" w:rsidP="004F716F">
      <w:pPr>
        <w:pStyle w:val="Endnotentext"/>
        <w:widowControl w:val="0"/>
        <w:tabs>
          <w:tab w:val="clear" w:pos="567"/>
        </w:tabs>
        <w:rPr>
          <w:szCs w:val="22"/>
          <w:lang w:val="it-IT"/>
        </w:rPr>
      </w:pPr>
      <w:r w:rsidRPr="00496684">
        <w:rPr>
          <w:szCs w:val="22"/>
          <w:lang w:val="it-IT"/>
        </w:rPr>
        <w:t xml:space="preserve">Il metabolismo di </w:t>
      </w:r>
      <w:r w:rsidR="005B37CF" w:rsidRPr="00496684">
        <w:rPr>
          <w:szCs w:val="22"/>
          <w:lang w:val="it-IT"/>
        </w:rPr>
        <w:t>i</w:t>
      </w:r>
      <w:r w:rsidR="00521ABE" w:rsidRPr="00496684">
        <w:rPr>
          <w:szCs w:val="22"/>
          <w:lang w:val="it-IT"/>
        </w:rPr>
        <w:t xml:space="preserve">matinib </w:t>
      </w:r>
      <w:r w:rsidRPr="00496684">
        <w:rPr>
          <w:szCs w:val="22"/>
          <w:lang w:val="it-IT"/>
        </w:rPr>
        <w:t xml:space="preserve">è principalmente epatico, e solo il 13% dell'escrezione avviene attraverso i reni. Nei pazienti con disfunzione epatica (lieve, moderata o grave), l'esame del sangue periferico e gli enzimi epatici devono essere attentamente monitorati (vedere paragrafi 4.2, 4.8 e 5.2). </w:t>
      </w:r>
      <w:r w:rsidR="00A65DEE" w:rsidRPr="00496684">
        <w:rPr>
          <w:szCs w:val="22"/>
          <w:lang w:val="it-IT"/>
        </w:rPr>
        <w:t xml:space="preserve">È stato rilevato che i pazienti con GIST possono avere metastasi epatiche che </w:t>
      </w:r>
      <w:r w:rsidR="00391DAF" w:rsidRPr="00496684">
        <w:rPr>
          <w:szCs w:val="22"/>
          <w:lang w:val="it-IT"/>
        </w:rPr>
        <w:t>possono</w:t>
      </w:r>
      <w:r w:rsidR="00A65DEE" w:rsidRPr="00496684">
        <w:rPr>
          <w:szCs w:val="22"/>
          <w:lang w:val="it-IT"/>
        </w:rPr>
        <w:t xml:space="preserve"> causare compromissione epatica.</w:t>
      </w:r>
    </w:p>
    <w:p w14:paraId="39B3D1DA" w14:textId="77777777" w:rsidR="004F716F" w:rsidRPr="00496684" w:rsidRDefault="004F716F" w:rsidP="004F716F">
      <w:pPr>
        <w:pStyle w:val="Endnotentext"/>
        <w:widowControl w:val="0"/>
        <w:tabs>
          <w:tab w:val="clear" w:pos="567"/>
        </w:tabs>
        <w:rPr>
          <w:szCs w:val="22"/>
          <w:lang w:val="it-IT"/>
        </w:rPr>
      </w:pPr>
    </w:p>
    <w:p w14:paraId="42867AF3" w14:textId="77777777" w:rsidR="004F716F" w:rsidRPr="00496684" w:rsidRDefault="004F716F" w:rsidP="004F716F">
      <w:pPr>
        <w:pStyle w:val="Endnotentext"/>
        <w:widowControl w:val="0"/>
        <w:tabs>
          <w:tab w:val="clear" w:pos="567"/>
        </w:tabs>
        <w:rPr>
          <w:szCs w:val="22"/>
          <w:lang w:val="it-IT"/>
        </w:rPr>
      </w:pPr>
      <w:r w:rsidRPr="00496684">
        <w:rPr>
          <w:szCs w:val="22"/>
          <w:lang w:val="it-IT"/>
        </w:rPr>
        <w:t>Con imatinib sono stati osservati casi di danno epatico, comprendenti insufficienza epatica e necrosi epatica. Quando imatinib è associato a regimi di chemioterapia ad alte dosi, è stato riscontrato un aumento delle reazioni epatiche gravi. La funzione epatica deve essere attentamente monitorata in situazioni in cui imatinib è unito a regimi di chemioterapia, noti anche per essere associati a disfunzione epatica (vedere paragrafi 4.5 e 4.8).</w:t>
      </w:r>
    </w:p>
    <w:p w14:paraId="3C27A58D" w14:textId="77777777" w:rsidR="004F716F" w:rsidRPr="00496684" w:rsidRDefault="004F716F" w:rsidP="004F716F">
      <w:pPr>
        <w:pStyle w:val="Endnotentext"/>
        <w:widowControl w:val="0"/>
        <w:tabs>
          <w:tab w:val="clear" w:pos="567"/>
        </w:tabs>
        <w:rPr>
          <w:szCs w:val="22"/>
          <w:lang w:val="it-IT"/>
        </w:rPr>
      </w:pPr>
    </w:p>
    <w:p w14:paraId="5806F3EE" w14:textId="77777777" w:rsidR="004F716F" w:rsidRPr="00496684" w:rsidRDefault="004F716F" w:rsidP="004F716F">
      <w:pPr>
        <w:pStyle w:val="Endnotentext"/>
        <w:widowControl w:val="0"/>
        <w:tabs>
          <w:tab w:val="clear" w:pos="567"/>
        </w:tabs>
        <w:rPr>
          <w:szCs w:val="22"/>
          <w:lang w:val="it-IT"/>
        </w:rPr>
      </w:pPr>
      <w:r w:rsidRPr="00496684">
        <w:rPr>
          <w:szCs w:val="22"/>
          <w:u w:val="single"/>
          <w:lang w:val="it-IT"/>
        </w:rPr>
        <w:t xml:space="preserve">Ritenzione di </w:t>
      </w:r>
      <w:r w:rsidR="00DB266A" w:rsidRPr="00496684">
        <w:rPr>
          <w:szCs w:val="22"/>
          <w:u w:val="single"/>
          <w:lang w:val="it-IT"/>
        </w:rPr>
        <w:t>liquidi</w:t>
      </w:r>
    </w:p>
    <w:p w14:paraId="1DC8C5E8" w14:textId="77777777" w:rsidR="004F716F" w:rsidRPr="00496684" w:rsidRDefault="004F716F" w:rsidP="004F716F">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Sono stati segnalati casi di grave ritenzione di </w:t>
      </w:r>
      <w:r w:rsidR="00DB266A" w:rsidRPr="00496684">
        <w:rPr>
          <w:rFonts w:ascii="Times New Roman" w:eastAsia="Times New Roman" w:hAnsi="Times New Roman"/>
          <w:lang w:val="it-IT" w:eastAsia="it-IT"/>
        </w:rPr>
        <w:t xml:space="preserve">liquidi </w:t>
      </w:r>
      <w:r w:rsidRPr="00496684">
        <w:rPr>
          <w:rFonts w:ascii="Times New Roman" w:eastAsia="Times New Roman" w:hAnsi="Times New Roman"/>
          <w:lang w:val="it-IT" w:eastAsia="it-IT"/>
        </w:rPr>
        <w:t xml:space="preserve">(effusione pleurica, edema, edema polmonare, ascite, edema superficiale) approssimativamente nel 2,5% dei pazienti con LMC di nuova diagnosi trattati con </w:t>
      </w:r>
      <w:r w:rsidR="000866E4"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Pertanto è altamente raccomandato di pesare regolarmente i pazienti. Un imprevisto rapido aumento di peso deve essere accuratamente esaminato e se necessario devono essere adottate appropriate cure di supporto e misure terapeutiche. Negli studi clinici, vi è un aumento dell'incidenza di questi eventi in pazienti anziani e in quelli con storia pregressa di malattie cardiache. Pertanto, si deve prestare attenzione nei pazienti con disfunzione cardiaca</w:t>
      </w:r>
    </w:p>
    <w:p w14:paraId="3A5D23F5" w14:textId="77777777" w:rsidR="00154217" w:rsidRPr="00496684" w:rsidRDefault="00154217" w:rsidP="00154217">
      <w:pPr>
        <w:autoSpaceDE w:val="0"/>
        <w:autoSpaceDN w:val="0"/>
        <w:adjustRightInd w:val="0"/>
        <w:spacing w:after="0" w:line="240" w:lineRule="auto"/>
        <w:rPr>
          <w:rFonts w:ascii="Times New Roman" w:hAnsi="Times New Roman"/>
          <w:lang w:val="it-IT" w:eastAsia="is-IS"/>
        </w:rPr>
      </w:pPr>
    </w:p>
    <w:p w14:paraId="22393D35" w14:textId="77777777" w:rsidR="004F716F" w:rsidRPr="00496684" w:rsidRDefault="004F716F" w:rsidP="004F716F">
      <w:pPr>
        <w:pStyle w:val="Endnotentext"/>
        <w:widowControl w:val="0"/>
        <w:tabs>
          <w:tab w:val="clear" w:pos="567"/>
        </w:tabs>
        <w:rPr>
          <w:szCs w:val="22"/>
          <w:lang w:val="it-IT"/>
        </w:rPr>
      </w:pPr>
      <w:r w:rsidRPr="00496684">
        <w:rPr>
          <w:szCs w:val="22"/>
          <w:u w:val="single"/>
          <w:lang w:val="it-IT"/>
        </w:rPr>
        <w:t>Pazienti con malattia cardiaca</w:t>
      </w:r>
    </w:p>
    <w:p w14:paraId="08EDCD82" w14:textId="77777777" w:rsidR="004F716F" w:rsidRPr="00496684" w:rsidRDefault="004F716F" w:rsidP="004F716F">
      <w:pPr>
        <w:pStyle w:val="Endnotentext"/>
        <w:widowControl w:val="0"/>
        <w:tabs>
          <w:tab w:val="clear" w:pos="567"/>
        </w:tabs>
        <w:rPr>
          <w:szCs w:val="22"/>
          <w:lang w:val="it-IT"/>
        </w:rPr>
      </w:pPr>
      <w:r w:rsidRPr="00496684">
        <w:rPr>
          <w:szCs w:val="22"/>
          <w:lang w:val="it-IT"/>
        </w:rPr>
        <w:t>I pazienti con malattia cardiaca, con fattori di rischio per l’insufficienza cardiaca o storia di insufficienza renale devono essere monitorati attentamente e tutti i pazienti con segni o sintomi correlati</w:t>
      </w:r>
      <w:r w:rsidRPr="00496684">
        <w:rPr>
          <w:b/>
          <w:szCs w:val="22"/>
          <w:lang w:val="it-IT"/>
        </w:rPr>
        <w:t xml:space="preserve"> </w:t>
      </w:r>
      <w:r w:rsidRPr="00496684">
        <w:rPr>
          <w:szCs w:val="22"/>
          <w:lang w:val="it-IT"/>
        </w:rPr>
        <w:t>all’insufficienza cardiaca o renale devono essere valutati e trattati.</w:t>
      </w:r>
    </w:p>
    <w:p w14:paraId="25F1B0FF" w14:textId="77777777" w:rsidR="00154217" w:rsidRPr="00496684" w:rsidRDefault="00154217" w:rsidP="00154217">
      <w:pPr>
        <w:autoSpaceDE w:val="0"/>
        <w:autoSpaceDN w:val="0"/>
        <w:adjustRightInd w:val="0"/>
        <w:spacing w:after="0" w:line="240" w:lineRule="auto"/>
        <w:rPr>
          <w:rFonts w:ascii="Times New Roman" w:hAnsi="Times New Roman"/>
          <w:lang w:val="it-IT" w:eastAsia="is-IS"/>
        </w:rPr>
      </w:pPr>
    </w:p>
    <w:p w14:paraId="441FE607" w14:textId="77777777" w:rsidR="004F716F" w:rsidRPr="00496684" w:rsidRDefault="004F716F" w:rsidP="004F716F">
      <w:pPr>
        <w:pStyle w:val="Endnotentext"/>
        <w:widowControl w:val="0"/>
        <w:tabs>
          <w:tab w:val="clear" w:pos="567"/>
        </w:tabs>
        <w:rPr>
          <w:szCs w:val="22"/>
          <w:lang w:val="it-IT"/>
        </w:rPr>
      </w:pPr>
      <w:r w:rsidRPr="00496684">
        <w:rPr>
          <w:szCs w:val="22"/>
          <w:lang w:val="it-IT"/>
        </w:rPr>
        <w:t>In pazienti con sindrome ipereosinofila (HES) con infiltrazione occulta delle cellule HES all’interno del miocardio, casi isolati di shock cardiogeno/disfunzione del ventricolo sinistro sono stati associati con degranulazione delle cellule HES subito dopo l’inizio della terapia con imatinib. La condizione è stata riportata come reversibile con la somministrazione di steroidi per via sistemica, di misure di supporto emodinamico e con la sospensione temporanea di imatinib. Poiché sono stati riportati non comunemente eventi avversi cardiaci con imatinib, si deve valutare con attenzione il rapporto beneficio/rischio della terapia con imatinib nella popolazione di pazienti con HES/LEC prima di iniziare il trattamento.</w:t>
      </w:r>
    </w:p>
    <w:p w14:paraId="16C867A6" w14:textId="77777777" w:rsidR="004F716F" w:rsidRPr="00496684" w:rsidRDefault="004F716F" w:rsidP="004F716F">
      <w:pPr>
        <w:pStyle w:val="Endnotentext"/>
        <w:widowControl w:val="0"/>
        <w:tabs>
          <w:tab w:val="clear" w:pos="567"/>
        </w:tabs>
        <w:rPr>
          <w:szCs w:val="22"/>
          <w:lang w:val="it-IT"/>
        </w:rPr>
      </w:pPr>
    </w:p>
    <w:p w14:paraId="213CFB43" w14:textId="133BAE5A" w:rsidR="004F716F" w:rsidRPr="00496684" w:rsidRDefault="004F716F" w:rsidP="004F716F">
      <w:pPr>
        <w:pStyle w:val="Endnotentext"/>
        <w:widowControl w:val="0"/>
        <w:tabs>
          <w:tab w:val="clear" w:pos="567"/>
        </w:tabs>
        <w:rPr>
          <w:szCs w:val="22"/>
          <w:lang w:val="it-IT"/>
        </w:rPr>
      </w:pPr>
      <w:r w:rsidRPr="00496684">
        <w:rPr>
          <w:szCs w:val="22"/>
          <w:lang w:val="it-IT"/>
        </w:rPr>
        <w:t xml:space="preserve">Le malattie mielodisplastiche/mieloproliferative con riarrangiamenti del gene PDGFR </w:t>
      </w:r>
      <w:r w:rsidR="00391DAF" w:rsidRPr="00496684">
        <w:rPr>
          <w:szCs w:val="22"/>
          <w:lang w:val="it-IT"/>
        </w:rPr>
        <w:t>possono</w:t>
      </w:r>
      <w:r w:rsidRPr="00496684">
        <w:rPr>
          <w:szCs w:val="22"/>
          <w:lang w:val="it-IT"/>
        </w:rPr>
        <w:t xml:space="preserve"> essere associate a livelli elevati di eosinofili. Pertanto nei pazienti con HES/LEC e nei pazienti con </w:t>
      </w:r>
      <w:smartTag w:uri="urn:schemas-microsoft-com:office:smarttags" w:element="stockticker">
        <w:r w:rsidRPr="00496684">
          <w:rPr>
            <w:szCs w:val="22"/>
            <w:lang w:val="it-IT"/>
          </w:rPr>
          <w:t>MDS</w:t>
        </w:r>
      </w:smartTag>
      <w:r w:rsidRPr="00496684">
        <w:rPr>
          <w:szCs w:val="22"/>
          <w:lang w:val="it-IT"/>
        </w:rPr>
        <w:t>/MPD associate a livelli elevati di eosinofili, prima della somministrazione di imatinib, si deve considerare la valutazione di un cardiologo, l’esecuzione di un ecocardiogramma e la determinazione della troponina sierica. Se uno dei due è fuori dalla norma, si devono considerare, all’inizio della terapia, il controllo periodico di un cardiologo e l’uso profilattico di steroidi per via sistemica (1</w:t>
      </w:r>
      <w:r w:rsidRPr="00496684">
        <w:rPr>
          <w:szCs w:val="22"/>
          <w:lang w:val="it-IT"/>
        </w:rPr>
        <w:noBreakHyphen/>
        <w:t>2 mg/kg) da una a due settimane in concomitanza con l’inizio della terapia.</w:t>
      </w:r>
    </w:p>
    <w:p w14:paraId="3B7FF668" w14:textId="77777777" w:rsidR="00154217" w:rsidRPr="00496684" w:rsidRDefault="00154217" w:rsidP="00154217">
      <w:pPr>
        <w:autoSpaceDE w:val="0"/>
        <w:autoSpaceDN w:val="0"/>
        <w:adjustRightInd w:val="0"/>
        <w:spacing w:after="0" w:line="240" w:lineRule="auto"/>
        <w:rPr>
          <w:rFonts w:ascii="Times New Roman" w:hAnsi="Times New Roman"/>
          <w:lang w:val="it-IT" w:eastAsia="is-IS"/>
        </w:rPr>
      </w:pPr>
    </w:p>
    <w:p w14:paraId="371CCF0B" w14:textId="77777777" w:rsidR="0080484F" w:rsidRPr="00496684" w:rsidRDefault="0080484F" w:rsidP="0080484F">
      <w:pPr>
        <w:pStyle w:val="Endnotentext"/>
        <w:widowControl w:val="0"/>
        <w:tabs>
          <w:tab w:val="clear" w:pos="567"/>
        </w:tabs>
        <w:rPr>
          <w:szCs w:val="22"/>
          <w:lang w:val="it-IT"/>
        </w:rPr>
      </w:pPr>
      <w:r w:rsidRPr="00496684">
        <w:rPr>
          <w:szCs w:val="22"/>
          <w:u w:val="single"/>
          <w:lang w:val="it-IT"/>
        </w:rPr>
        <w:t>Emorragia gastrointestinale</w:t>
      </w:r>
    </w:p>
    <w:p w14:paraId="673FBBF9" w14:textId="77777777" w:rsidR="00A65DEE" w:rsidRPr="00496684" w:rsidRDefault="00A65DEE" w:rsidP="00A65DEE">
      <w:pPr>
        <w:pStyle w:val="Endnotentext"/>
        <w:widowControl w:val="0"/>
        <w:tabs>
          <w:tab w:val="clear" w:pos="567"/>
        </w:tabs>
        <w:rPr>
          <w:szCs w:val="22"/>
          <w:lang w:val="it-IT"/>
        </w:rPr>
      </w:pPr>
      <w:r w:rsidRPr="00496684">
        <w:rPr>
          <w:szCs w:val="22"/>
          <w:lang w:val="it-IT"/>
        </w:rPr>
        <w:t>Nello studio nei pazienti con GIST non operabile e/o metastatico, sono state riportate emorragie sia gastrointestinali sia intra-tumorali (vedere paragrafo 4.8). Sulla base dei dati disponibili, non sono stati identificati fattori predisponenti (esempio dimensione del tumore, localizzazione del tumore, alterazioni della coagulazione) che pongono i pazienti con GIST ad un rischio maggiore verso entrambi i tipi di emorragie. Poichè l'aumentata vascolarizzazione e la propensione al sanguinamento sono parte della natura e del decorso clinico dei GIST, per tutti i pazienti si devono adottare le comuni pratiche mediche e procedure per il monitoraggio ed il trattamento delle emorragie.</w:t>
      </w:r>
    </w:p>
    <w:p w14:paraId="131B3DA4" w14:textId="14B98893" w:rsidR="00EA62BA" w:rsidRPr="00496684" w:rsidRDefault="00A65DEE" w:rsidP="00A65DEE">
      <w:pPr>
        <w:pStyle w:val="Endnotentext"/>
        <w:widowControl w:val="0"/>
        <w:tabs>
          <w:tab w:val="clear" w:pos="567"/>
        </w:tabs>
        <w:rPr>
          <w:szCs w:val="22"/>
          <w:lang w:val="it-IT"/>
        </w:rPr>
      </w:pPr>
      <w:r w:rsidRPr="00496684">
        <w:rPr>
          <w:szCs w:val="22"/>
          <w:lang w:val="it-IT"/>
        </w:rPr>
        <w:t>Inoltre, e</w:t>
      </w:r>
      <w:r w:rsidR="00EA62BA" w:rsidRPr="00496684">
        <w:rPr>
          <w:szCs w:val="22"/>
          <w:lang w:val="it-IT"/>
        </w:rPr>
        <w:t>ctasia vascolare gastrica antrale (GAVE), una causa rara di emorragia gastrointestinale, è stata riportata nell’esperienza post-marketing in pazienti con LMC, LLA e altre malattie (vedere paragrafo 4.8). Quando necessario, può essere considerata la sospensione del trattamento con imatinib.</w:t>
      </w:r>
    </w:p>
    <w:p w14:paraId="17186B90" w14:textId="77777777" w:rsidR="0080484F" w:rsidRPr="00496684" w:rsidRDefault="0080484F" w:rsidP="0080484F">
      <w:pPr>
        <w:pStyle w:val="Endnotentext"/>
        <w:widowControl w:val="0"/>
        <w:tabs>
          <w:tab w:val="clear" w:pos="567"/>
        </w:tabs>
        <w:rPr>
          <w:szCs w:val="22"/>
          <w:lang w:val="it-IT"/>
        </w:rPr>
      </w:pPr>
    </w:p>
    <w:p w14:paraId="1EE32285" w14:textId="77777777" w:rsidR="0080484F" w:rsidRPr="00496684" w:rsidRDefault="0080484F" w:rsidP="0080484F">
      <w:pPr>
        <w:pStyle w:val="Endnotentext"/>
        <w:widowControl w:val="0"/>
        <w:tabs>
          <w:tab w:val="clear" w:pos="567"/>
        </w:tabs>
        <w:rPr>
          <w:szCs w:val="22"/>
          <w:lang w:val="it-IT"/>
        </w:rPr>
      </w:pPr>
      <w:r w:rsidRPr="00496684">
        <w:rPr>
          <w:szCs w:val="22"/>
          <w:u w:val="single"/>
          <w:lang w:val="it-IT"/>
        </w:rPr>
        <w:t>Sindrome da lisi tumorale</w:t>
      </w:r>
    </w:p>
    <w:p w14:paraId="0AB00C6E" w14:textId="77777777" w:rsidR="0080484F" w:rsidRPr="00496684" w:rsidRDefault="0080484F" w:rsidP="0080484F">
      <w:pPr>
        <w:pStyle w:val="Endnotentext"/>
        <w:widowControl w:val="0"/>
        <w:tabs>
          <w:tab w:val="clear" w:pos="567"/>
        </w:tabs>
        <w:rPr>
          <w:szCs w:val="22"/>
          <w:lang w:val="it-IT"/>
        </w:rPr>
      </w:pPr>
      <w:r w:rsidRPr="00496684">
        <w:rPr>
          <w:szCs w:val="22"/>
          <w:lang w:val="it-IT"/>
        </w:rPr>
        <w:t>A causa del possibile verificarsi della sindrome da lisi tumorale (TLS), prima di iniziare</w:t>
      </w:r>
      <w:r w:rsidR="009339F7" w:rsidRPr="00496684">
        <w:rPr>
          <w:szCs w:val="22"/>
          <w:lang w:val="it-IT"/>
        </w:rPr>
        <w:t xml:space="preserve"> i</w:t>
      </w:r>
      <w:r w:rsidR="00521ABE" w:rsidRPr="00496684">
        <w:rPr>
          <w:szCs w:val="22"/>
          <w:lang w:val="it-IT"/>
        </w:rPr>
        <w:t xml:space="preserve">matinib </w:t>
      </w:r>
      <w:r w:rsidRPr="00496684">
        <w:rPr>
          <w:szCs w:val="22"/>
          <w:lang w:val="it-IT"/>
        </w:rPr>
        <w:t xml:space="preserve">si raccomanda la correzione di una </w:t>
      </w:r>
      <w:bookmarkStart w:id="1" w:name="OLE_LINK1"/>
      <w:r w:rsidRPr="00496684">
        <w:rPr>
          <w:szCs w:val="22"/>
          <w:lang w:val="it-IT"/>
        </w:rPr>
        <w:t xml:space="preserve">disidratazione </w:t>
      </w:r>
      <w:bookmarkEnd w:id="1"/>
      <w:r w:rsidRPr="00496684">
        <w:rPr>
          <w:szCs w:val="22"/>
          <w:lang w:val="it-IT"/>
        </w:rPr>
        <w:t>clinicamente significativa e il trattamento di alti livelli di acido urico (vedere paragrafo 4.8).</w:t>
      </w:r>
    </w:p>
    <w:p w14:paraId="1ED98FB6" w14:textId="77777777" w:rsidR="008668CB" w:rsidRPr="00496684" w:rsidRDefault="008668CB" w:rsidP="0080484F">
      <w:pPr>
        <w:pStyle w:val="Endnotentext"/>
        <w:widowControl w:val="0"/>
        <w:tabs>
          <w:tab w:val="clear" w:pos="567"/>
        </w:tabs>
        <w:rPr>
          <w:szCs w:val="22"/>
          <w:lang w:val="it-IT"/>
        </w:rPr>
      </w:pPr>
    </w:p>
    <w:p w14:paraId="1B6AF1FE" w14:textId="77777777" w:rsidR="00CC0E89" w:rsidRPr="00496684" w:rsidRDefault="00CC0E89" w:rsidP="001E7ECA">
      <w:pPr>
        <w:pStyle w:val="Endnotentext"/>
        <w:widowControl w:val="0"/>
        <w:tabs>
          <w:tab w:val="clear" w:pos="567"/>
        </w:tabs>
        <w:rPr>
          <w:szCs w:val="22"/>
          <w:u w:val="single"/>
          <w:lang w:val="it-IT"/>
        </w:rPr>
      </w:pPr>
      <w:r w:rsidRPr="00496684">
        <w:rPr>
          <w:szCs w:val="22"/>
          <w:u w:val="single"/>
          <w:lang w:val="it-IT"/>
        </w:rPr>
        <w:t>Riattivazione della epatite B</w:t>
      </w:r>
    </w:p>
    <w:p w14:paraId="70D24B94" w14:textId="77777777" w:rsidR="00CC0E89" w:rsidRPr="00496684" w:rsidRDefault="00CC0E89" w:rsidP="001E7ECA">
      <w:pPr>
        <w:pStyle w:val="Endnotentext"/>
        <w:widowControl w:val="0"/>
        <w:tabs>
          <w:tab w:val="clear" w:pos="567"/>
        </w:tabs>
        <w:rPr>
          <w:szCs w:val="22"/>
          <w:lang w:val="it-IT"/>
        </w:rPr>
      </w:pPr>
      <w:r w:rsidRPr="00496684">
        <w:rPr>
          <w:szCs w:val="22"/>
          <w:lang w:val="it-IT"/>
        </w:rPr>
        <w:t>La riattivazione della epatite B nei pazienti che sono portatori cronici di questo virus si è verificata dopo</w:t>
      </w:r>
    </w:p>
    <w:p w14:paraId="4EAA5058" w14:textId="77777777" w:rsidR="00CC0E89" w:rsidRPr="00496684" w:rsidRDefault="00CC0E89" w:rsidP="001E7ECA">
      <w:pPr>
        <w:pStyle w:val="Endnotentext"/>
        <w:widowControl w:val="0"/>
        <w:tabs>
          <w:tab w:val="clear" w:pos="567"/>
        </w:tabs>
        <w:rPr>
          <w:szCs w:val="22"/>
          <w:lang w:val="it-IT"/>
        </w:rPr>
      </w:pPr>
      <w:r w:rsidRPr="00496684">
        <w:rPr>
          <w:szCs w:val="22"/>
          <w:lang w:val="it-IT"/>
        </w:rPr>
        <w:t>che questi pazienti hanno ricevuto gli inibitori della tirosina-chinasi Bcr-Abl. Alcuni casi hanno portato a</w:t>
      </w:r>
    </w:p>
    <w:p w14:paraId="76D9293D" w14:textId="77777777" w:rsidR="00CC0E89" w:rsidRPr="00496684" w:rsidRDefault="00CC0E89" w:rsidP="001E7ECA">
      <w:pPr>
        <w:pStyle w:val="Endnotentext"/>
        <w:widowControl w:val="0"/>
        <w:tabs>
          <w:tab w:val="clear" w:pos="567"/>
        </w:tabs>
        <w:rPr>
          <w:szCs w:val="22"/>
          <w:lang w:val="it-IT"/>
        </w:rPr>
      </w:pPr>
      <w:r w:rsidRPr="00496684">
        <w:rPr>
          <w:szCs w:val="22"/>
          <w:lang w:val="it-IT"/>
        </w:rPr>
        <w:t>insufficienza epatica acuta o epatite fulminante portando al trapianto del fegato o a un esito fatale.</w:t>
      </w:r>
    </w:p>
    <w:p w14:paraId="0410113C" w14:textId="77777777" w:rsidR="00CC0E89" w:rsidRPr="00496684" w:rsidRDefault="00CC0E89" w:rsidP="001E7ECA">
      <w:pPr>
        <w:pStyle w:val="Endnotentext"/>
        <w:widowControl w:val="0"/>
        <w:tabs>
          <w:tab w:val="clear" w:pos="567"/>
        </w:tabs>
        <w:rPr>
          <w:szCs w:val="22"/>
          <w:lang w:val="it-IT"/>
        </w:rPr>
      </w:pPr>
      <w:r w:rsidRPr="00496684">
        <w:rPr>
          <w:szCs w:val="22"/>
          <w:lang w:val="it-IT"/>
        </w:rPr>
        <w:t>I pazienti devono essere testati per l’infezione da HBV prima di cominciare il trattamento con</w:t>
      </w:r>
    </w:p>
    <w:p w14:paraId="7771D8E0" w14:textId="77777777" w:rsidR="00CC0E89" w:rsidRPr="00496684" w:rsidRDefault="001E7ECA" w:rsidP="001E7ECA">
      <w:pPr>
        <w:pStyle w:val="Endnotentext"/>
        <w:widowControl w:val="0"/>
        <w:tabs>
          <w:tab w:val="clear" w:pos="567"/>
        </w:tabs>
        <w:rPr>
          <w:szCs w:val="22"/>
          <w:lang w:val="it-IT"/>
        </w:rPr>
      </w:pPr>
      <w:r w:rsidRPr="00496684">
        <w:rPr>
          <w:szCs w:val="22"/>
          <w:lang w:val="it-IT"/>
        </w:rPr>
        <w:t>Imatinib Actavis.</w:t>
      </w:r>
      <w:r w:rsidR="00CC0E89" w:rsidRPr="00496684">
        <w:rPr>
          <w:szCs w:val="22"/>
          <w:lang w:val="it-IT"/>
        </w:rPr>
        <w:t xml:space="preserve"> Gli esperti delle malattie epatiche e del trattamento dell’epatite B</w:t>
      </w:r>
    </w:p>
    <w:p w14:paraId="6599FE69" w14:textId="77777777" w:rsidR="00CC0E89" w:rsidRPr="00496684" w:rsidRDefault="00CC0E89" w:rsidP="001E7ECA">
      <w:pPr>
        <w:pStyle w:val="Endnotentext"/>
        <w:widowControl w:val="0"/>
        <w:tabs>
          <w:tab w:val="clear" w:pos="567"/>
        </w:tabs>
        <w:rPr>
          <w:szCs w:val="22"/>
          <w:lang w:val="it-IT"/>
        </w:rPr>
      </w:pPr>
      <w:r w:rsidRPr="00496684">
        <w:rPr>
          <w:szCs w:val="22"/>
          <w:lang w:val="it-IT"/>
        </w:rPr>
        <w:t>devono essere consultati prima che il trattamento venga iniziato in pazienti con sierologia positiva</w:t>
      </w:r>
    </w:p>
    <w:p w14:paraId="5FC1F7DB" w14:textId="77777777" w:rsidR="00CC0E89" w:rsidRPr="00496684" w:rsidRDefault="00CC0E89" w:rsidP="001E7ECA">
      <w:pPr>
        <w:pStyle w:val="Endnotentext"/>
        <w:widowControl w:val="0"/>
        <w:tabs>
          <w:tab w:val="clear" w:pos="567"/>
        </w:tabs>
        <w:rPr>
          <w:szCs w:val="22"/>
          <w:lang w:val="it-IT"/>
        </w:rPr>
      </w:pPr>
      <w:r w:rsidRPr="00496684">
        <w:rPr>
          <w:szCs w:val="22"/>
          <w:lang w:val="it-IT"/>
        </w:rPr>
        <w:t>all’epatite B (inclusi quelli con malattia attiva) e per pazienti che risultano positivi all’infezione da HBV</w:t>
      </w:r>
    </w:p>
    <w:p w14:paraId="2F4E741C" w14:textId="77777777" w:rsidR="00CC0E89" w:rsidRPr="00496684" w:rsidRDefault="00CC0E89" w:rsidP="001E7ECA">
      <w:pPr>
        <w:pStyle w:val="Endnotentext"/>
        <w:widowControl w:val="0"/>
        <w:tabs>
          <w:tab w:val="clear" w:pos="567"/>
        </w:tabs>
        <w:rPr>
          <w:szCs w:val="22"/>
          <w:lang w:val="it-IT"/>
        </w:rPr>
      </w:pPr>
      <w:r w:rsidRPr="00496684">
        <w:rPr>
          <w:szCs w:val="22"/>
          <w:lang w:val="it-IT"/>
        </w:rPr>
        <w:t xml:space="preserve">durante il trattamento. I portatori di HBV che richiedono il trattamento con </w:t>
      </w:r>
      <w:r w:rsidR="001E7ECA" w:rsidRPr="00496684">
        <w:rPr>
          <w:szCs w:val="22"/>
          <w:lang w:val="it-IT"/>
        </w:rPr>
        <w:t xml:space="preserve">Imatinib Actavis, </w:t>
      </w:r>
      <w:r w:rsidRPr="00496684">
        <w:rPr>
          <w:szCs w:val="22"/>
          <w:lang w:val="it-IT"/>
        </w:rPr>
        <w:t>devono essere monitorati attentamente per segni e sintomi dell’infezione attiva da HBV per tutto il</w:t>
      </w:r>
    </w:p>
    <w:p w14:paraId="6FC9310F" w14:textId="77777777" w:rsidR="001E7ECA" w:rsidRPr="00496684" w:rsidRDefault="00CC0E89" w:rsidP="001E7ECA">
      <w:pPr>
        <w:pStyle w:val="Endnotentext"/>
        <w:widowControl w:val="0"/>
        <w:tabs>
          <w:tab w:val="clear" w:pos="567"/>
        </w:tabs>
        <w:rPr>
          <w:szCs w:val="22"/>
          <w:lang w:val="it-IT"/>
        </w:rPr>
      </w:pPr>
      <w:r w:rsidRPr="00496684">
        <w:rPr>
          <w:szCs w:val="22"/>
          <w:lang w:val="it-IT"/>
        </w:rPr>
        <w:t>corso della terapia e per alcuni mesi dopo la fine della terapia (vedere paragrafo 4.8).</w:t>
      </w:r>
    </w:p>
    <w:p w14:paraId="146BF2F4" w14:textId="77777777" w:rsidR="0080484F" w:rsidRPr="00496684" w:rsidRDefault="0080484F" w:rsidP="0080484F">
      <w:pPr>
        <w:pStyle w:val="Endnotentext"/>
        <w:widowControl w:val="0"/>
        <w:tabs>
          <w:tab w:val="clear" w:pos="567"/>
        </w:tabs>
        <w:rPr>
          <w:szCs w:val="22"/>
          <w:lang w:val="it-IT"/>
        </w:rPr>
      </w:pPr>
    </w:p>
    <w:p w14:paraId="0C5440B4" w14:textId="77777777" w:rsidR="00AD5B18" w:rsidRPr="00496684" w:rsidRDefault="00AD5B18" w:rsidP="00AD5B18">
      <w:pPr>
        <w:pStyle w:val="Endnotentext"/>
        <w:keepNext/>
        <w:widowControl w:val="0"/>
        <w:tabs>
          <w:tab w:val="clear" w:pos="567"/>
        </w:tabs>
        <w:rPr>
          <w:szCs w:val="22"/>
          <w:u w:val="single"/>
          <w:lang w:val="it-IT"/>
        </w:rPr>
      </w:pPr>
      <w:r w:rsidRPr="00496684">
        <w:rPr>
          <w:szCs w:val="22"/>
          <w:u w:val="single"/>
          <w:lang w:val="it-IT"/>
        </w:rPr>
        <w:t>Fototossicità</w:t>
      </w:r>
    </w:p>
    <w:p w14:paraId="1742E680" w14:textId="77777777" w:rsidR="00AD5B18" w:rsidRPr="00496684" w:rsidRDefault="00AD5B18" w:rsidP="00AD5B18">
      <w:pPr>
        <w:pStyle w:val="Endnotentext"/>
        <w:widowControl w:val="0"/>
        <w:tabs>
          <w:tab w:val="clear" w:pos="567"/>
        </w:tabs>
        <w:rPr>
          <w:szCs w:val="22"/>
          <w:lang w:val="it-IT"/>
        </w:rPr>
      </w:pPr>
      <w:r w:rsidRPr="00496684">
        <w:rPr>
          <w:szCs w:val="22"/>
          <w:lang w:val="it-IT"/>
        </w:rPr>
        <w:t>L’esposizione alla luce solare diretta deve essere evitata o minimizzata a causa del rischio di fototossicità associato al trattamento con imatinib. I pazienti devono essere avvisati di utilizzare misure come indumenti protettivi e filtro solare con elevato fattore di protezione solare (sun protection factor, SPF).</w:t>
      </w:r>
    </w:p>
    <w:p w14:paraId="64128C4F" w14:textId="77777777" w:rsidR="00391DAF" w:rsidRPr="00496684" w:rsidRDefault="00391DAF" w:rsidP="00AD5B18">
      <w:pPr>
        <w:pStyle w:val="Endnotentext"/>
        <w:widowControl w:val="0"/>
        <w:tabs>
          <w:tab w:val="clear" w:pos="567"/>
        </w:tabs>
        <w:rPr>
          <w:szCs w:val="22"/>
          <w:lang w:val="it-IT"/>
        </w:rPr>
      </w:pPr>
    </w:p>
    <w:p w14:paraId="46608736" w14:textId="77777777" w:rsidR="00391DAF" w:rsidRPr="00496684" w:rsidRDefault="00391DAF" w:rsidP="00391DAF">
      <w:pPr>
        <w:pStyle w:val="Endnotentext"/>
        <w:widowControl w:val="0"/>
        <w:rPr>
          <w:u w:val="single"/>
          <w:lang w:val="it-IT"/>
        </w:rPr>
      </w:pPr>
      <w:r w:rsidRPr="00496684">
        <w:rPr>
          <w:u w:val="single"/>
          <w:lang w:val="it-IT"/>
        </w:rPr>
        <w:t>Microangiopatia trombotica</w:t>
      </w:r>
    </w:p>
    <w:p w14:paraId="55C374B1" w14:textId="1706569B" w:rsidR="00391DAF" w:rsidRPr="00496684" w:rsidRDefault="00391DAF" w:rsidP="00AD5B18">
      <w:pPr>
        <w:pStyle w:val="Endnotentext"/>
        <w:widowControl w:val="0"/>
        <w:tabs>
          <w:tab w:val="clear" w:pos="567"/>
        </w:tabs>
        <w:rPr>
          <w:szCs w:val="22"/>
          <w:lang w:val="it-IT"/>
        </w:rPr>
      </w:pPr>
      <w:r w:rsidRPr="00496684">
        <w:rPr>
          <w:szCs w:val="22"/>
          <w:lang w:val="it-IT"/>
        </w:rPr>
        <w:t>Gli inibitori della tirosina-chinasi Bcr-Abl (TKI) sono stati associati alla microangiopatia trombotica (TMA), incluse segnalazioni di casi individuali per Imatinib Actavis (vedere paragrafo 4.8). Se evidenze di laboratorio o cliniche associate alla TMA si verificano in un paziente che riceve Imatinib Actavis, il trattamento deve essere interrotto e deve essere completata una valutazione approfondita della TMA, inclusa l’attività di ADAMTS13 e la determinazione dell’anticorpo anti-ADAMTS13. Se gli anticorpi anti-ADAMTS13 sono elevati in presenza di una bassa attività di ADAMTS13, il trattamento con Imatinib Actavis non deve essere ripreso.</w:t>
      </w:r>
    </w:p>
    <w:p w14:paraId="7C917D4F" w14:textId="77777777" w:rsidR="00AD5B18" w:rsidRPr="00496684" w:rsidRDefault="00AD5B18" w:rsidP="0080484F">
      <w:pPr>
        <w:pStyle w:val="Endnotentext"/>
        <w:widowControl w:val="0"/>
        <w:tabs>
          <w:tab w:val="clear" w:pos="567"/>
        </w:tabs>
        <w:rPr>
          <w:szCs w:val="22"/>
          <w:u w:val="single"/>
          <w:lang w:val="it-IT"/>
        </w:rPr>
      </w:pPr>
    </w:p>
    <w:p w14:paraId="74814478" w14:textId="77777777" w:rsidR="0080484F" w:rsidRPr="00496684" w:rsidRDefault="0080484F" w:rsidP="0080484F">
      <w:pPr>
        <w:pStyle w:val="Endnotentext"/>
        <w:widowControl w:val="0"/>
        <w:tabs>
          <w:tab w:val="clear" w:pos="567"/>
        </w:tabs>
        <w:rPr>
          <w:szCs w:val="22"/>
          <w:lang w:val="it-IT"/>
        </w:rPr>
      </w:pPr>
      <w:r w:rsidRPr="00496684">
        <w:rPr>
          <w:szCs w:val="22"/>
          <w:u w:val="single"/>
          <w:lang w:val="it-IT"/>
        </w:rPr>
        <w:t>Analisi di laboratorio</w:t>
      </w:r>
    </w:p>
    <w:p w14:paraId="1E2CAAB4" w14:textId="77777777" w:rsidR="0080484F" w:rsidRPr="00496684" w:rsidRDefault="0080484F" w:rsidP="0080484F">
      <w:pPr>
        <w:pStyle w:val="Endnotentext"/>
        <w:widowControl w:val="0"/>
        <w:tabs>
          <w:tab w:val="clear" w:pos="567"/>
        </w:tabs>
        <w:rPr>
          <w:szCs w:val="22"/>
          <w:lang w:val="it-IT"/>
        </w:rPr>
      </w:pPr>
      <w:r w:rsidRPr="00496684">
        <w:rPr>
          <w:szCs w:val="22"/>
          <w:lang w:val="it-IT"/>
        </w:rPr>
        <w:t xml:space="preserve">Durante la terapia con </w:t>
      </w:r>
      <w:r w:rsidR="00521ABE" w:rsidRPr="00496684">
        <w:rPr>
          <w:szCs w:val="22"/>
          <w:lang w:val="it-IT"/>
        </w:rPr>
        <w:t xml:space="preserve">Imatinib </w:t>
      </w:r>
      <w:r w:rsidRPr="00496684">
        <w:rPr>
          <w:szCs w:val="22"/>
          <w:lang w:val="it-IT"/>
        </w:rPr>
        <w:t xml:space="preserve">effettuare regolarmente un conteggio ematico completo. Il trattamento con </w:t>
      </w:r>
      <w:r w:rsidR="009339F7" w:rsidRPr="00496684">
        <w:rPr>
          <w:szCs w:val="22"/>
          <w:lang w:val="it-IT"/>
        </w:rPr>
        <w:t>i</w:t>
      </w:r>
      <w:r w:rsidR="00521ABE" w:rsidRPr="00496684">
        <w:rPr>
          <w:szCs w:val="22"/>
          <w:lang w:val="it-IT"/>
        </w:rPr>
        <w:t xml:space="preserve">matinib </w:t>
      </w:r>
      <w:r w:rsidRPr="00496684">
        <w:rPr>
          <w:szCs w:val="22"/>
          <w:lang w:val="it-IT"/>
        </w:rPr>
        <w:t xml:space="preserve">di pazienti affetti da LMC è stato associato a neutropenia o trombocitopenia. Tuttavia il verificarsi di queste citopenie è probabilmente correlato allo stadio della malattia trattata ed è risultato più frequente nei pazienti con LMC in fase accelerata o crisi blastica rispetto ai pazienti con LMC in fase cronica. Il trattamento con </w:t>
      </w:r>
      <w:r w:rsidR="009339F7" w:rsidRPr="00496684">
        <w:rPr>
          <w:szCs w:val="22"/>
          <w:lang w:val="it-IT"/>
        </w:rPr>
        <w:t>i</w:t>
      </w:r>
      <w:r w:rsidR="00521ABE" w:rsidRPr="00496684">
        <w:rPr>
          <w:szCs w:val="22"/>
          <w:lang w:val="it-IT"/>
        </w:rPr>
        <w:t xml:space="preserve">matinib </w:t>
      </w:r>
      <w:r w:rsidRPr="00496684">
        <w:rPr>
          <w:szCs w:val="22"/>
          <w:lang w:val="it-IT"/>
        </w:rPr>
        <w:t>può essere interrotto o la dose può essere ridotta come raccomandato nel paragrafo 4.2.</w:t>
      </w:r>
    </w:p>
    <w:p w14:paraId="329D7FA7" w14:textId="77777777" w:rsidR="0080484F" w:rsidRPr="00496684" w:rsidRDefault="0080484F" w:rsidP="0080484F">
      <w:pPr>
        <w:pStyle w:val="Endnotentext"/>
        <w:widowControl w:val="0"/>
        <w:tabs>
          <w:tab w:val="clear" w:pos="567"/>
        </w:tabs>
        <w:rPr>
          <w:szCs w:val="22"/>
          <w:lang w:val="it-IT"/>
        </w:rPr>
      </w:pPr>
    </w:p>
    <w:p w14:paraId="5F36EF5A" w14:textId="77777777" w:rsidR="0080484F" w:rsidRPr="00496684" w:rsidRDefault="0080484F" w:rsidP="0080484F">
      <w:pPr>
        <w:pStyle w:val="Endnotentext"/>
        <w:widowControl w:val="0"/>
        <w:tabs>
          <w:tab w:val="clear" w:pos="567"/>
        </w:tabs>
        <w:rPr>
          <w:szCs w:val="22"/>
          <w:lang w:val="it-IT"/>
        </w:rPr>
      </w:pPr>
      <w:r w:rsidRPr="00496684">
        <w:rPr>
          <w:szCs w:val="22"/>
          <w:lang w:val="it-IT"/>
        </w:rPr>
        <w:t xml:space="preserve">Nei pazienti trattati con </w:t>
      </w:r>
      <w:r w:rsidR="009339F7" w:rsidRPr="00496684">
        <w:rPr>
          <w:szCs w:val="22"/>
          <w:lang w:val="it-IT"/>
        </w:rPr>
        <w:t>i</w:t>
      </w:r>
      <w:r w:rsidR="00521ABE" w:rsidRPr="00496684">
        <w:rPr>
          <w:szCs w:val="22"/>
          <w:lang w:val="it-IT"/>
        </w:rPr>
        <w:t xml:space="preserve">matinib </w:t>
      </w:r>
      <w:r w:rsidRPr="00496684">
        <w:rPr>
          <w:szCs w:val="22"/>
          <w:lang w:val="it-IT"/>
        </w:rPr>
        <w:t>la funzione epatica (transaminasi, bilirubina, fosfatasi alcalina) deve essere monitorata regolarmente.</w:t>
      </w:r>
    </w:p>
    <w:p w14:paraId="598926B0" w14:textId="77777777" w:rsidR="0080484F" w:rsidRPr="00496684" w:rsidRDefault="0080484F" w:rsidP="0080484F">
      <w:pPr>
        <w:pStyle w:val="Endnotentext"/>
        <w:widowControl w:val="0"/>
        <w:tabs>
          <w:tab w:val="clear" w:pos="567"/>
        </w:tabs>
        <w:rPr>
          <w:szCs w:val="22"/>
          <w:lang w:val="it-IT"/>
        </w:rPr>
      </w:pPr>
    </w:p>
    <w:p w14:paraId="7D9E035A" w14:textId="77777777" w:rsidR="0080484F" w:rsidRPr="00496684" w:rsidRDefault="0080484F" w:rsidP="0080484F">
      <w:pPr>
        <w:pStyle w:val="Endnotentext"/>
        <w:widowControl w:val="0"/>
        <w:tabs>
          <w:tab w:val="clear" w:pos="567"/>
        </w:tabs>
        <w:rPr>
          <w:szCs w:val="22"/>
          <w:lang w:val="it-IT"/>
        </w:rPr>
      </w:pPr>
      <w:r w:rsidRPr="00496684">
        <w:rPr>
          <w:szCs w:val="22"/>
          <w:lang w:val="it-IT"/>
        </w:rPr>
        <w:t>Nei pazienti con funzionalità renale compromessa, l’esposizione plasmatica di imatinib sembra essere maggiore rispetto a quella osservata in pazienti con normale funzionalità renale, probabilmente a causa di elevati livelli plasmatici di alfa glicoproteina acida (AGP), proteina a cui si lega imatinib, in questi pazienti. Ai pazienti con compromissione renale deve essere somministrata la minima dose iniziale. I pazienti con grave compromissione renale devono essere trattati con cautela. La dose può essere ridotta se non tollerata (vedere paragrafi 4.2 e 5.2).</w:t>
      </w:r>
    </w:p>
    <w:p w14:paraId="31F39699" w14:textId="77777777" w:rsidR="00FF08F8" w:rsidRPr="00496684" w:rsidRDefault="00FF08F8" w:rsidP="0080484F">
      <w:pPr>
        <w:pStyle w:val="Endnotentext"/>
        <w:widowControl w:val="0"/>
        <w:tabs>
          <w:tab w:val="clear" w:pos="567"/>
        </w:tabs>
        <w:rPr>
          <w:szCs w:val="22"/>
          <w:lang w:val="it-IT"/>
        </w:rPr>
      </w:pPr>
    </w:p>
    <w:p w14:paraId="68E52BA5" w14:textId="77777777" w:rsidR="00154217" w:rsidRPr="00496684" w:rsidRDefault="00FF08F8" w:rsidP="00154217">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Il trattamento a lungo termine con imatinib può essere associato ad una riduzione della funzione renale clinicamente significativa. Pertanto la funzionalità renale deve essere valutata prima dell’inizio della terapia con imatinib e strettamente monitorata durante la terapia, con particolare attenzione a quei pazienti che presentano fattori di rischio per disfunzione renale. Se si osserva disfunzione renale, deve essere appropriatamente gestita e trattata in conformità con le linee guida standard di trattamento.</w:t>
      </w:r>
    </w:p>
    <w:p w14:paraId="3AC83E65" w14:textId="77777777" w:rsidR="00C0775F" w:rsidRPr="00496684" w:rsidRDefault="00C0775F" w:rsidP="00154217">
      <w:pPr>
        <w:autoSpaceDE w:val="0"/>
        <w:autoSpaceDN w:val="0"/>
        <w:adjustRightInd w:val="0"/>
        <w:spacing w:after="0" w:line="240" w:lineRule="auto"/>
        <w:rPr>
          <w:rFonts w:ascii="Times New Roman" w:hAnsi="Times New Roman"/>
          <w:lang w:val="it-IT" w:eastAsia="is-IS"/>
        </w:rPr>
      </w:pPr>
    </w:p>
    <w:p w14:paraId="2F0E8049" w14:textId="77777777" w:rsidR="0080484F" w:rsidRPr="00496684" w:rsidRDefault="0080484F" w:rsidP="0080484F">
      <w:pPr>
        <w:pStyle w:val="Endnotentext"/>
        <w:widowControl w:val="0"/>
        <w:tabs>
          <w:tab w:val="clear" w:pos="567"/>
        </w:tabs>
        <w:rPr>
          <w:szCs w:val="22"/>
          <w:u w:val="single"/>
          <w:lang w:val="it-IT"/>
        </w:rPr>
      </w:pPr>
      <w:r w:rsidRPr="00496684">
        <w:rPr>
          <w:szCs w:val="22"/>
          <w:u w:val="single"/>
          <w:lang w:val="it-IT"/>
        </w:rPr>
        <w:t>Popolazione pediatrica</w:t>
      </w:r>
    </w:p>
    <w:p w14:paraId="5A5C30F5" w14:textId="2CB92AF9" w:rsidR="0080484F" w:rsidRPr="00496684" w:rsidRDefault="0080484F" w:rsidP="0080484F">
      <w:pPr>
        <w:pStyle w:val="Endnotentext"/>
        <w:widowControl w:val="0"/>
        <w:tabs>
          <w:tab w:val="clear" w:pos="567"/>
        </w:tabs>
        <w:rPr>
          <w:szCs w:val="22"/>
          <w:lang w:val="it-IT"/>
        </w:rPr>
      </w:pPr>
      <w:r w:rsidRPr="00496684">
        <w:rPr>
          <w:szCs w:val="22"/>
          <w:lang w:val="it-IT"/>
        </w:rPr>
        <w:t xml:space="preserve">Casi di ritardo della crescita sono stati segnalati in bambini e pre-adolescenti in trattamento con imatinib. </w:t>
      </w:r>
      <w:r w:rsidR="00C0775F" w:rsidRPr="00496684">
        <w:rPr>
          <w:szCs w:val="22"/>
          <w:lang w:val="it-IT"/>
        </w:rPr>
        <w:t>In uno studio osservazionale nella popolazione pediatrica con LMC, in due piccoli sottogruppi è stata riportata una diminuzione statisticamente significativa (ma di incerta rilevanza clinica) dei punteggi di deviazione standard dell’altezza mediana dopo 12 e 24 mesi di trattamento indipendentemente da stadio puberale o sesso.</w:t>
      </w:r>
      <w:r w:rsidRPr="00496684">
        <w:rPr>
          <w:szCs w:val="22"/>
          <w:lang w:val="it-IT"/>
        </w:rPr>
        <w:t xml:space="preserve"> </w:t>
      </w:r>
      <w:r w:rsidR="00C0775F" w:rsidRPr="00496684">
        <w:rPr>
          <w:szCs w:val="22"/>
          <w:lang w:val="it-IT"/>
        </w:rPr>
        <w:t>S</w:t>
      </w:r>
      <w:r w:rsidRPr="00496684">
        <w:rPr>
          <w:szCs w:val="22"/>
          <w:lang w:val="it-IT"/>
        </w:rPr>
        <w:t>i raccomanda un attento monitoraggio della crescita nei bambini in trattamento con imatinib (vedere paragrafo</w:t>
      </w:r>
      <w:r w:rsidR="00C0775F" w:rsidRPr="00496684">
        <w:rPr>
          <w:szCs w:val="22"/>
          <w:lang w:val="it-IT"/>
        </w:rPr>
        <w:t> </w:t>
      </w:r>
      <w:r w:rsidRPr="00496684">
        <w:rPr>
          <w:szCs w:val="22"/>
          <w:lang w:val="it-IT"/>
        </w:rPr>
        <w:t>4.8).</w:t>
      </w:r>
    </w:p>
    <w:p w14:paraId="2C279FFA" w14:textId="77777777" w:rsidR="00AE2C3C" w:rsidRPr="00496684" w:rsidRDefault="00AE2C3C" w:rsidP="0080484F">
      <w:pPr>
        <w:pStyle w:val="Endnotentext"/>
        <w:widowControl w:val="0"/>
        <w:tabs>
          <w:tab w:val="clear" w:pos="567"/>
        </w:tabs>
        <w:rPr>
          <w:szCs w:val="22"/>
          <w:lang w:val="it-IT"/>
        </w:rPr>
      </w:pPr>
    </w:p>
    <w:p w14:paraId="0730FF0F" w14:textId="7DB58FA1" w:rsidR="00AE2C3C" w:rsidRPr="00496684" w:rsidRDefault="00AE2C3C" w:rsidP="0080484F">
      <w:pPr>
        <w:pStyle w:val="Endnotentext"/>
        <w:widowControl w:val="0"/>
        <w:tabs>
          <w:tab w:val="clear" w:pos="567"/>
        </w:tabs>
        <w:rPr>
          <w:szCs w:val="22"/>
          <w:u w:val="single"/>
          <w:lang w:val="it-IT"/>
        </w:rPr>
      </w:pPr>
      <w:r w:rsidRPr="00496684">
        <w:rPr>
          <w:szCs w:val="22"/>
          <w:u w:val="single"/>
          <w:lang w:val="it-IT"/>
        </w:rPr>
        <w:t>Eccipiente(i)</w:t>
      </w:r>
    </w:p>
    <w:p w14:paraId="395401A2" w14:textId="77777777" w:rsidR="00AE2C3C" w:rsidRPr="00496684" w:rsidRDefault="00AE2C3C" w:rsidP="0080484F">
      <w:pPr>
        <w:pStyle w:val="Endnotentext"/>
        <w:widowControl w:val="0"/>
        <w:tabs>
          <w:tab w:val="clear" w:pos="567"/>
        </w:tabs>
        <w:rPr>
          <w:szCs w:val="22"/>
          <w:u w:val="single"/>
          <w:lang w:val="it-IT"/>
        </w:rPr>
      </w:pPr>
    </w:p>
    <w:p w14:paraId="66CF7E4A" w14:textId="6CCC38F8" w:rsidR="00AE2C3C" w:rsidRPr="00496684" w:rsidRDefault="00AE2C3C" w:rsidP="0080484F">
      <w:pPr>
        <w:pStyle w:val="Endnotentext"/>
        <w:widowControl w:val="0"/>
        <w:tabs>
          <w:tab w:val="clear" w:pos="567"/>
        </w:tabs>
        <w:rPr>
          <w:i/>
          <w:szCs w:val="22"/>
          <w:lang w:val="it-IT"/>
        </w:rPr>
      </w:pPr>
      <w:r w:rsidRPr="00496684">
        <w:rPr>
          <w:i/>
          <w:szCs w:val="22"/>
          <w:lang w:val="it-IT"/>
        </w:rPr>
        <w:t>Sodio</w:t>
      </w:r>
    </w:p>
    <w:p w14:paraId="412CBFF0" w14:textId="240F11ED" w:rsidR="00AE2C3C" w:rsidRPr="00496684" w:rsidRDefault="00AE2C3C" w:rsidP="0080484F">
      <w:pPr>
        <w:pStyle w:val="Endnotentext"/>
        <w:widowControl w:val="0"/>
        <w:tabs>
          <w:tab w:val="clear" w:pos="567"/>
        </w:tabs>
        <w:rPr>
          <w:szCs w:val="22"/>
          <w:lang w:val="it-IT"/>
        </w:rPr>
      </w:pPr>
      <w:r w:rsidRPr="00496684">
        <w:rPr>
          <w:szCs w:val="22"/>
          <w:lang w:val="it-IT"/>
        </w:rPr>
        <w:t>Questo medicinale contiene meno di 1 mmol (23 mg) di sodio per capsula rigida, cioè essenzialmente ‘senza sodio’.</w:t>
      </w:r>
    </w:p>
    <w:p w14:paraId="1DCF08F0" w14:textId="77777777" w:rsidR="00191FF7" w:rsidRPr="00496684" w:rsidRDefault="00191FF7">
      <w:pPr>
        <w:autoSpaceDE w:val="0"/>
        <w:autoSpaceDN w:val="0"/>
        <w:adjustRightInd w:val="0"/>
        <w:spacing w:after="0" w:line="240" w:lineRule="auto"/>
        <w:rPr>
          <w:rFonts w:ascii="Times New Roman" w:hAnsi="Times New Roman"/>
          <w:lang w:val="it-IT"/>
        </w:rPr>
      </w:pPr>
    </w:p>
    <w:p w14:paraId="2A96A22D" w14:textId="77777777" w:rsidR="00154217" w:rsidRPr="00496684" w:rsidRDefault="00154217" w:rsidP="00154217">
      <w:pPr>
        <w:autoSpaceDE w:val="0"/>
        <w:autoSpaceDN w:val="0"/>
        <w:adjustRightInd w:val="0"/>
        <w:spacing w:after="0" w:line="240" w:lineRule="auto"/>
        <w:rPr>
          <w:rFonts w:ascii="Times New Roman" w:hAnsi="Times New Roman"/>
          <w:b/>
          <w:bCs/>
          <w:lang w:val="it-IT" w:eastAsia="is-IS"/>
        </w:rPr>
      </w:pPr>
      <w:r w:rsidRPr="00496684">
        <w:rPr>
          <w:rFonts w:ascii="Times New Roman" w:hAnsi="Times New Roman"/>
          <w:b/>
          <w:bCs/>
          <w:lang w:val="it-IT" w:eastAsia="is-IS"/>
        </w:rPr>
        <w:t>4.5</w:t>
      </w:r>
      <w:r w:rsidRPr="00496684">
        <w:rPr>
          <w:rFonts w:ascii="Times New Roman" w:hAnsi="Times New Roman"/>
          <w:b/>
          <w:bCs/>
          <w:lang w:val="it-IT" w:eastAsia="is-IS"/>
        </w:rPr>
        <w:tab/>
      </w:r>
      <w:r w:rsidR="0080484F" w:rsidRPr="00496684">
        <w:rPr>
          <w:rFonts w:ascii="Times New Roman" w:hAnsi="Times New Roman"/>
          <w:b/>
          <w:lang w:val="it-IT"/>
        </w:rPr>
        <w:t>Interazioni con altri medicinali ed altre forme di interazione</w:t>
      </w:r>
    </w:p>
    <w:p w14:paraId="6FD85AA8" w14:textId="77777777" w:rsidR="00154217" w:rsidRPr="00496684" w:rsidRDefault="00154217" w:rsidP="00154217">
      <w:pPr>
        <w:autoSpaceDE w:val="0"/>
        <w:autoSpaceDN w:val="0"/>
        <w:adjustRightInd w:val="0"/>
        <w:spacing w:after="0" w:line="240" w:lineRule="auto"/>
        <w:rPr>
          <w:rFonts w:ascii="Times New Roman" w:hAnsi="Times New Roman"/>
          <w:bCs/>
          <w:lang w:val="it-IT" w:eastAsia="is-IS"/>
        </w:rPr>
      </w:pPr>
    </w:p>
    <w:p w14:paraId="5A1AD5B7" w14:textId="739C5E60" w:rsidR="0080484F" w:rsidRPr="00496684" w:rsidRDefault="0080484F" w:rsidP="00173BFD">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 xml:space="preserve">Principi attivi che </w:t>
      </w:r>
      <w:r w:rsidR="00406388" w:rsidRPr="00496684">
        <w:rPr>
          <w:rFonts w:ascii="Times New Roman" w:eastAsia="Times New Roman" w:hAnsi="Times New Roman"/>
          <w:u w:val="single"/>
          <w:lang w:val="it-IT" w:eastAsia="it-IT"/>
        </w:rPr>
        <w:t>possono</w:t>
      </w:r>
      <w:r w:rsidRPr="00496684">
        <w:rPr>
          <w:rFonts w:ascii="Times New Roman" w:eastAsia="Times New Roman" w:hAnsi="Times New Roman"/>
          <w:u w:val="single"/>
          <w:lang w:val="it-IT" w:eastAsia="it-IT"/>
        </w:rPr>
        <w:t xml:space="preserve"> </w:t>
      </w:r>
      <w:r w:rsidRPr="00496684">
        <w:rPr>
          <w:rFonts w:ascii="Times New Roman" w:eastAsia="Times New Roman" w:hAnsi="Times New Roman"/>
          <w:b/>
          <w:u w:val="single"/>
          <w:lang w:val="it-IT" w:eastAsia="it-IT"/>
        </w:rPr>
        <w:t>aumentare</w:t>
      </w:r>
      <w:r w:rsidRPr="00496684">
        <w:rPr>
          <w:rFonts w:ascii="Times New Roman" w:eastAsia="Times New Roman" w:hAnsi="Times New Roman"/>
          <w:u w:val="single"/>
          <w:lang w:val="it-IT" w:eastAsia="it-IT"/>
        </w:rPr>
        <w:t xml:space="preserve"> le concentrazioni plasmatiche di imatinib:</w:t>
      </w:r>
    </w:p>
    <w:p w14:paraId="5285C2E4" w14:textId="50DD851B" w:rsidR="0080484F" w:rsidRPr="00496684" w:rsidRDefault="0080484F" w:rsidP="00942B75">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Le sostanze che inibiscono l’attività dell’isoenzima CYP3A4 del citocromo P450 (es. inibitori delle proteasi quali indinavir, lopinavir/ritonavir, ritonavir, saquinavir, telaprevir, nelfinavir, boceprevir; antifungini azolici incluso ketoconazolo, itraconazolo, posaconazolo, voriconazolo; alcuni macrolidi come eritromicina, claritromicina e telitromicina) </w:t>
      </w:r>
      <w:r w:rsidR="00406388" w:rsidRPr="00496684">
        <w:rPr>
          <w:rFonts w:ascii="Times New Roman" w:eastAsia="Times New Roman" w:hAnsi="Times New Roman"/>
          <w:lang w:val="it-IT" w:eastAsia="it-IT"/>
        </w:rPr>
        <w:t>possono</w:t>
      </w:r>
      <w:r w:rsidRPr="00496684">
        <w:rPr>
          <w:rFonts w:ascii="Times New Roman" w:eastAsia="Times New Roman" w:hAnsi="Times New Roman"/>
          <w:lang w:val="it-IT" w:eastAsia="it-IT"/>
        </w:rPr>
        <w:t xml:space="preserve"> ridurre il metabolismo ed aumentare le concentrazioni di imatinib. E’ stato riscontrato un significativo aumento dell’esposizione a imatinib (i valori medi di Cmax e di AUC di imatinib sono aumentati rispettivamente del 26% e del 40%) nei soggetti sani in caso di somministrazione contemporanea di una singola dose di chetoconazolo (un inibitore del CYP3A4). E' necessaria cautela nella somministrazione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con la famiglia di inibitori CYP3A4</w:t>
      </w:r>
      <w:r w:rsidR="00942B75" w:rsidRPr="00496684">
        <w:rPr>
          <w:rFonts w:ascii="Times New Roman" w:eastAsia="Times New Roman" w:hAnsi="Times New Roman"/>
          <w:lang w:val="it-IT" w:eastAsia="it-IT"/>
        </w:rPr>
        <w:t>.</w:t>
      </w:r>
    </w:p>
    <w:p w14:paraId="709296DE" w14:textId="77777777" w:rsidR="0080484F" w:rsidRPr="00496684" w:rsidRDefault="0080484F" w:rsidP="00942B75">
      <w:pPr>
        <w:spacing w:after="0" w:line="240" w:lineRule="auto"/>
        <w:rPr>
          <w:rFonts w:ascii="Times New Roman" w:eastAsia="Times New Roman" w:hAnsi="Times New Roman"/>
          <w:lang w:val="it-IT" w:eastAsia="it-IT"/>
        </w:rPr>
      </w:pPr>
    </w:p>
    <w:p w14:paraId="42B2AE05" w14:textId="5D483CCA" w:rsidR="0080484F" w:rsidRPr="00496684" w:rsidRDefault="0080484F" w:rsidP="00942B75">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 xml:space="preserve">Principi attivi che </w:t>
      </w:r>
      <w:r w:rsidR="00406388" w:rsidRPr="00496684">
        <w:rPr>
          <w:rFonts w:ascii="Times New Roman" w:eastAsia="Times New Roman" w:hAnsi="Times New Roman"/>
          <w:u w:val="single"/>
          <w:lang w:val="it-IT" w:eastAsia="it-IT"/>
        </w:rPr>
        <w:t>possono</w:t>
      </w:r>
      <w:r w:rsidRPr="00496684">
        <w:rPr>
          <w:rFonts w:ascii="Times New Roman" w:eastAsia="Times New Roman" w:hAnsi="Times New Roman"/>
          <w:u w:val="single"/>
          <w:lang w:val="it-IT" w:eastAsia="it-IT"/>
        </w:rPr>
        <w:t xml:space="preserve"> </w:t>
      </w:r>
      <w:r w:rsidRPr="00496684">
        <w:rPr>
          <w:rFonts w:ascii="Times New Roman" w:eastAsia="Times New Roman" w:hAnsi="Times New Roman"/>
          <w:b/>
          <w:u w:val="single"/>
          <w:lang w:val="it-IT" w:eastAsia="it-IT"/>
        </w:rPr>
        <w:t>ridurre</w:t>
      </w:r>
      <w:r w:rsidRPr="00496684">
        <w:rPr>
          <w:rFonts w:ascii="Times New Roman" w:eastAsia="Times New Roman" w:hAnsi="Times New Roman"/>
          <w:u w:val="single"/>
          <w:lang w:val="it-IT" w:eastAsia="it-IT"/>
        </w:rPr>
        <w:t xml:space="preserve"> le concentrazioni plasmatiche di imatinib:</w:t>
      </w:r>
    </w:p>
    <w:p w14:paraId="5BCADAE5" w14:textId="77777777" w:rsidR="0080484F" w:rsidRPr="00496684" w:rsidRDefault="0080484F" w:rsidP="00173BFD">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Le sostanze che stimolano l’attività del CYP3A4 (es. desametasone, fenitoina, carbamazepina, rifampicina, fenobarbitale, fosfenitoina, primidone o Hypericum perforatum, anche noto come erba di San Giovanni) possono ridurre significativamente l’esposizione a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matinib</w:t>
      </w:r>
      <w:r w:rsidRPr="00496684">
        <w:rPr>
          <w:rFonts w:ascii="Times New Roman" w:eastAsia="Times New Roman" w:hAnsi="Times New Roman"/>
          <w:lang w:val="it-IT" w:eastAsia="it-IT"/>
        </w:rPr>
        <w:t xml:space="preserve">, aumentando potenzialmente il rischio di fallimento terapeutico. Il pretrattamento con dosi multiple di rifampicina 600 mg seguite da una dose singola di 400 mg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matinib</w:t>
      </w:r>
      <w:r w:rsidRPr="00496684">
        <w:rPr>
          <w:rFonts w:ascii="Times New Roman" w:eastAsia="Times New Roman" w:hAnsi="Times New Roman"/>
          <w:lang w:val="it-IT" w:eastAsia="it-IT"/>
        </w:rPr>
        <w:t xml:space="preserve">, ha determinato una diminuzione di Cmax, e di AUC (0-∞) di almeno il 54% e il 74% rispetto ai relativi valori senza trattamento con rifampicina. Risultati simili sono stati osservati in pazienti con gliomi maligni trattati con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mentre assumevano </w:t>
      </w:r>
      <w:r w:rsidR="004D7835" w:rsidRPr="00496684">
        <w:rPr>
          <w:rFonts w:ascii="Times New Roman" w:eastAsia="Times New Roman" w:hAnsi="Times New Roman"/>
          <w:lang w:val="it-IT" w:eastAsia="it-IT"/>
        </w:rPr>
        <w:t xml:space="preserve">medicinali </w:t>
      </w:r>
      <w:r w:rsidRPr="00496684">
        <w:rPr>
          <w:rFonts w:ascii="Times New Roman" w:eastAsia="Times New Roman" w:hAnsi="Times New Roman"/>
          <w:lang w:val="it-IT" w:eastAsia="it-IT"/>
        </w:rPr>
        <w:t>antiepilettici induttori enzimatici (EIAED) quali carbamazepina, oxcarbazepina e fenitoina. L’AUC plasmatica di imatinib è stata ridotta del 73% rispetto ai pazienti non trattati con EIAED. L’uso concomitante di rifampicina o di forti induttori del CYP3A4 e di imatinib deve essere evitato.</w:t>
      </w:r>
    </w:p>
    <w:p w14:paraId="103C5E4F" w14:textId="77777777" w:rsidR="00154217" w:rsidRPr="00496684" w:rsidRDefault="00154217" w:rsidP="00173BFD">
      <w:pPr>
        <w:spacing w:after="0" w:line="240" w:lineRule="auto"/>
        <w:rPr>
          <w:rFonts w:ascii="Times New Roman" w:hAnsi="Times New Roman"/>
          <w:lang w:val="it-IT" w:eastAsia="is-IS"/>
        </w:rPr>
      </w:pPr>
    </w:p>
    <w:p w14:paraId="76FAAB60" w14:textId="77777777" w:rsidR="0080484F" w:rsidRPr="00496684" w:rsidRDefault="0080484F" w:rsidP="00173BFD">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 xml:space="preserve">Principi attivi la cui concentrazione plasmatica può essere alterata da </w:t>
      </w:r>
      <w:r w:rsidR="009339F7" w:rsidRPr="00496684">
        <w:rPr>
          <w:rFonts w:ascii="Times New Roman" w:eastAsia="Times New Roman" w:hAnsi="Times New Roman"/>
          <w:u w:val="single"/>
          <w:lang w:val="it-IT" w:eastAsia="it-IT"/>
        </w:rPr>
        <w:t>i</w:t>
      </w:r>
      <w:r w:rsidR="00521ABE" w:rsidRPr="00496684">
        <w:rPr>
          <w:rFonts w:ascii="Times New Roman" w:eastAsia="Times New Roman" w:hAnsi="Times New Roman"/>
          <w:u w:val="single"/>
          <w:lang w:val="it-IT" w:eastAsia="it-IT"/>
        </w:rPr>
        <w:t xml:space="preserve">matinib </w:t>
      </w:r>
    </w:p>
    <w:p w14:paraId="098D884D" w14:textId="3751055F" w:rsidR="0080484F" w:rsidRPr="00496684" w:rsidRDefault="0080484F" w:rsidP="00173BFD">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aumenta i valori medi C</w:t>
      </w:r>
      <w:r w:rsidRPr="00496684">
        <w:rPr>
          <w:rFonts w:ascii="Times New Roman" w:eastAsia="Times New Roman" w:hAnsi="Times New Roman"/>
          <w:vertAlign w:val="subscript"/>
          <w:lang w:val="it-IT" w:eastAsia="it-IT"/>
        </w:rPr>
        <w:t>max</w:t>
      </w:r>
      <w:r w:rsidRPr="00496684">
        <w:rPr>
          <w:rFonts w:ascii="Times New Roman" w:eastAsia="Times New Roman" w:hAnsi="Times New Roman"/>
          <w:lang w:val="it-IT" w:eastAsia="it-IT"/>
        </w:rPr>
        <w:t xml:space="preserve"> e AUC della simvastatina (substrato del CYP3A4) rispettivamente di 2 e 3,5 volte, indicando un'inibizione del CYP3A4 da parte di imatinib. Si raccomanda quindi cautela nella somministrazione di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con substrati del CYP3A4 con una stretta finestra terapeutica (es. ciclosporina, pimozide, tacrolimus, sirolimus, ergotamina, diergotamina, fentanil, alfentanil, terfenadina, bortezomib, docetaxel e chinidina). </w:t>
      </w:r>
      <w:r w:rsidR="00521ABE" w:rsidRPr="00496684">
        <w:rPr>
          <w:rFonts w:ascii="Times New Roman" w:eastAsia="Times New Roman" w:hAnsi="Times New Roman"/>
          <w:lang w:val="it-IT" w:eastAsia="it-IT"/>
        </w:rPr>
        <w:t xml:space="preserve">Imatinib </w:t>
      </w:r>
      <w:r w:rsidR="00406388" w:rsidRPr="00496684">
        <w:rPr>
          <w:rFonts w:ascii="Times New Roman" w:eastAsia="Times New Roman" w:hAnsi="Times New Roman"/>
          <w:lang w:val="it-IT" w:eastAsia="it-IT"/>
        </w:rPr>
        <w:t>può</w:t>
      </w:r>
      <w:r w:rsidRPr="00496684">
        <w:rPr>
          <w:rFonts w:ascii="Times New Roman" w:eastAsia="Times New Roman" w:hAnsi="Times New Roman"/>
          <w:lang w:val="it-IT" w:eastAsia="it-IT"/>
        </w:rPr>
        <w:t xml:space="preserve"> aumentare le concentrazioni plasmatiche di altri farmaci metabolizzati dal CYP3A4 (es. triazolo-benzodiazepina, diidropiridina, bloccanti dei canali del calcio, alcuni inibitori della </w:t>
      </w:r>
      <w:smartTag w:uri="urn:schemas-microsoft-com:office:smarttags" w:element="stockticker">
        <w:r w:rsidRPr="00496684">
          <w:rPr>
            <w:rFonts w:ascii="Times New Roman" w:eastAsia="Times New Roman" w:hAnsi="Times New Roman"/>
            <w:lang w:val="it-IT" w:eastAsia="it-IT"/>
          </w:rPr>
          <w:t>HMG</w:t>
        </w:r>
      </w:smartTag>
      <w:r w:rsidRPr="00496684">
        <w:rPr>
          <w:rFonts w:ascii="Times New Roman" w:eastAsia="Times New Roman" w:hAnsi="Times New Roman"/>
          <w:lang w:val="it-IT" w:eastAsia="it-IT"/>
        </w:rPr>
        <w:t>-CoA reduttasi, es. statine etc.).</w:t>
      </w:r>
    </w:p>
    <w:p w14:paraId="15B2A05B" w14:textId="77777777" w:rsidR="0080484F" w:rsidRPr="00496684" w:rsidRDefault="0080484F" w:rsidP="00942B75">
      <w:pPr>
        <w:spacing w:after="0" w:line="240" w:lineRule="auto"/>
        <w:rPr>
          <w:rFonts w:ascii="Times New Roman" w:eastAsia="Times New Roman" w:hAnsi="Times New Roman"/>
          <w:lang w:val="it-IT" w:eastAsia="it-IT"/>
        </w:rPr>
      </w:pPr>
    </w:p>
    <w:p w14:paraId="00BE873F" w14:textId="77777777" w:rsidR="004632E7" w:rsidRPr="00496684" w:rsidRDefault="0080484F" w:rsidP="00942B75">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 causa del noto aumento dei rischi di sanguinamento in concomitanza con l’uso di imatinib (es. emorragia), i pazienti che richiedono anticoagulanti dovrebbero ricevere eparina standard o di basso peso molecolare, invece di derivati cumarinici come la warfarina</w:t>
      </w:r>
    </w:p>
    <w:p w14:paraId="28573A9A" w14:textId="77777777" w:rsidR="0080484F" w:rsidRPr="00496684" w:rsidRDefault="0080484F" w:rsidP="00942B75">
      <w:pPr>
        <w:spacing w:after="0" w:line="240" w:lineRule="auto"/>
        <w:rPr>
          <w:rFonts w:ascii="Times New Roman" w:eastAsia="Times New Roman" w:hAnsi="Times New Roman"/>
          <w:lang w:val="it-IT" w:eastAsia="it-IT"/>
        </w:rPr>
      </w:pPr>
    </w:p>
    <w:p w14:paraId="3570010F" w14:textId="77777777" w:rsidR="0080484F" w:rsidRPr="00496684" w:rsidRDefault="0080484F" w:rsidP="00942B75">
      <w:pPr>
        <w:spacing w:after="0" w:line="240" w:lineRule="auto"/>
        <w:rPr>
          <w:rFonts w:ascii="Times New Roman" w:eastAsia="Times New Roman" w:hAnsi="Times New Roman"/>
          <w:lang w:val="it-IT" w:eastAsia="it-IT"/>
        </w:rPr>
      </w:pPr>
      <w:r w:rsidRPr="00496684">
        <w:rPr>
          <w:rFonts w:ascii="Times New Roman" w:eastAsia="Times New Roman" w:hAnsi="Times New Roman"/>
          <w:i/>
          <w:lang w:val="it-IT" w:eastAsia="it-IT"/>
        </w:rPr>
        <w:t>In vitro</w:t>
      </w:r>
      <w:r w:rsidRPr="00496684">
        <w:rPr>
          <w:rFonts w:ascii="Times New Roman" w:eastAsia="Times New Roman" w:hAnsi="Times New Roman"/>
          <w:lang w:val="it-IT" w:eastAsia="it-IT"/>
        </w:rPr>
        <w:t xml:space="preserve">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inibisce l’attività dell’isoenzima CYP2D6 del citocromo P450 a concentrazioni simili a quelle che influiscono sull’attività del CYP3A4. Imatinib 400 mg due volte al giorno ha avuto un effetto inibitorio sul metabolismo del metoprololo mediato da CYP2D6, con un aumento della Cmax e dell’AUC di circa il 23% (90%IC [1,16</w:t>
      </w:r>
      <w:r w:rsidRPr="00496684">
        <w:rPr>
          <w:rFonts w:ascii="Times New Roman" w:eastAsia="Times New Roman" w:hAnsi="Times New Roman"/>
          <w:lang w:val="it-IT" w:eastAsia="it-IT"/>
        </w:rPr>
        <w:noBreakHyphen/>
        <w:t>1,30]). Aggiustamenti della dose non sembrano essere necessari quando imatinib è somministrato in concomitanza con substrati del CYP2D6, tuttavia si consiglia cautela per i substrati del CYP2D6 con una stretta finestra terapeutica come il metoprololo. In pazienti trattati con metoprololo deve essere preso in considerazione il monitoraggio clinico.</w:t>
      </w:r>
    </w:p>
    <w:p w14:paraId="24E57CFF" w14:textId="77777777" w:rsidR="0080484F" w:rsidRPr="00496684" w:rsidRDefault="0080484F" w:rsidP="00173BFD">
      <w:pPr>
        <w:spacing w:after="0" w:line="240" w:lineRule="auto"/>
        <w:rPr>
          <w:rFonts w:ascii="Times New Roman" w:eastAsia="Times New Roman" w:hAnsi="Times New Roman"/>
          <w:lang w:val="it-IT" w:eastAsia="it-IT"/>
        </w:rPr>
      </w:pPr>
    </w:p>
    <w:p w14:paraId="12F90B05" w14:textId="77777777" w:rsidR="0080484F" w:rsidRPr="00496684" w:rsidRDefault="004C7EE6" w:rsidP="00173BFD">
      <w:pPr>
        <w:spacing w:after="0" w:line="240" w:lineRule="auto"/>
        <w:rPr>
          <w:rFonts w:ascii="Times New Roman" w:eastAsia="Times New Roman" w:hAnsi="Times New Roman"/>
          <w:lang w:val="it-IT" w:eastAsia="it-IT"/>
        </w:rPr>
      </w:pPr>
      <w:r w:rsidRPr="00496684">
        <w:rPr>
          <w:rFonts w:ascii="Times New Roman" w:hAnsi="Times New Roman"/>
          <w:i/>
          <w:lang w:val="it-IT"/>
        </w:rPr>
        <w:t>In vitro</w:t>
      </w:r>
      <w:r w:rsidR="0080484F" w:rsidRPr="00496684">
        <w:rPr>
          <w:rFonts w:ascii="Times New Roman" w:eastAsia="Times New Roman" w:hAnsi="Times New Roman"/>
          <w:lang w:val="it-IT" w:eastAsia="it-IT"/>
        </w:rPr>
        <w:t xml:space="preserve">,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0080484F" w:rsidRPr="00496684">
        <w:rPr>
          <w:rFonts w:ascii="Times New Roman" w:eastAsia="Times New Roman" w:hAnsi="Times New Roman"/>
          <w:lang w:val="it-IT" w:eastAsia="it-IT"/>
        </w:rPr>
        <w:t>inibisce la O-glucuronidazione del paracetamolo con un valore Ki di 58,5 micromoli/</w:t>
      </w:r>
      <w:r w:rsidR="004D7835" w:rsidRPr="00496684">
        <w:rPr>
          <w:rFonts w:ascii="Times New Roman" w:eastAsia="Times New Roman" w:hAnsi="Times New Roman"/>
          <w:lang w:val="it-IT" w:eastAsia="it-IT"/>
        </w:rPr>
        <w:t>L</w:t>
      </w:r>
      <w:r w:rsidR="0080484F" w:rsidRPr="00496684">
        <w:rPr>
          <w:rFonts w:ascii="Times New Roman" w:eastAsia="Times New Roman" w:hAnsi="Times New Roman"/>
          <w:lang w:val="it-IT" w:eastAsia="it-IT"/>
        </w:rPr>
        <w:t xml:space="preserve">. Questa inibizione non è stata osservata in vivo dopo la somministrazione di 400 mg di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0080484F" w:rsidRPr="00496684">
        <w:rPr>
          <w:rFonts w:ascii="Times New Roman" w:eastAsia="Times New Roman" w:hAnsi="Times New Roman"/>
          <w:lang w:val="it-IT" w:eastAsia="it-IT"/>
        </w:rPr>
        <w:t xml:space="preserve">e di 1000 mg di paracetamolo. Dosi più elevate di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0080484F" w:rsidRPr="00496684">
        <w:rPr>
          <w:rFonts w:ascii="Times New Roman" w:eastAsia="Times New Roman" w:hAnsi="Times New Roman"/>
          <w:lang w:val="it-IT" w:eastAsia="it-IT"/>
        </w:rPr>
        <w:t>e paracetamolo non sono state studiate.</w:t>
      </w:r>
    </w:p>
    <w:p w14:paraId="7728841F" w14:textId="77777777" w:rsidR="00154217" w:rsidRPr="00496684" w:rsidRDefault="00154217" w:rsidP="00173BFD">
      <w:pPr>
        <w:spacing w:after="0" w:line="240" w:lineRule="auto"/>
        <w:rPr>
          <w:rFonts w:ascii="Times New Roman" w:eastAsia="Times New Roman" w:hAnsi="Times New Roman"/>
          <w:lang w:val="it-IT" w:eastAsia="it-IT"/>
        </w:rPr>
      </w:pPr>
    </w:p>
    <w:p w14:paraId="68619A23" w14:textId="77777777" w:rsidR="0080484F" w:rsidRPr="00496684" w:rsidRDefault="0080484F" w:rsidP="00173BFD">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Deve essere pertanto prestata attenzione quando si usano in modo concomitante dosi elevate di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e paracetamolo.</w:t>
      </w:r>
    </w:p>
    <w:p w14:paraId="03631ABE" w14:textId="77777777" w:rsidR="0080484F" w:rsidRPr="00496684" w:rsidRDefault="0080484F" w:rsidP="00173BFD">
      <w:pPr>
        <w:spacing w:after="0" w:line="240" w:lineRule="auto"/>
        <w:rPr>
          <w:rFonts w:ascii="Times New Roman" w:eastAsia="Times New Roman" w:hAnsi="Times New Roman"/>
          <w:lang w:val="it-IT" w:eastAsia="it-IT"/>
        </w:rPr>
      </w:pPr>
    </w:p>
    <w:p w14:paraId="0C059F54" w14:textId="77777777" w:rsidR="0080484F" w:rsidRPr="00496684" w:rsidRDefault="0080484F" w:rsidP="00173BFD">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Nei pazienti tiroidectomizzati in trattamento con levotiroxina, può essere diminuita l’esposizione plasmatica alla levotiroxina in caso di somministrazione concomitante di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(vedere paragrafo 4.4). Si raccomanda pertanto cautela. Il meccanismo dell’interazione osservata è, comunque, al momento non noto.</w:t>
      </w:r>
    </w:p>
    <w:p w14:paraId="4EBE04C0" w14:textId="77777777" w:rsidR="00173BFD" w:rsidRPr="00496684" w:rsidRDefault="00173BFD" w:rsidP="00173BFD">
      <w:pPr>
        <w:spacing w:after="0" w:line="240" w:lineRule="auto"/>
        <w:rPr>
          <w:rFonts w:ascii="Times New Roman" w:eastAsia="Times New Roman" w:hAnsi="Times New Roman"/>
          <w:lang w:val="it-IT" w:eastAsia="it-IT"/>
        </w:rPr>
      </w:pPr>
    </w:p>
    <w:p w14:paraId="6AC90C2B" w14:textId="3A47EE3F" w:rsidR="00520611" w:rsidRPr="00496684" w:rsidRDefault="0080484F" w:rsidP="00173BFD">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Nei pazienti con LLA Ph+ ci sono esperienze cliniche di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somministrato in concomitanza alla chemioterapia (vedere paragrafo 5.1), ma non sono state completamente caratterizzate le interazioni farmacologiche tra imatinib e regimi chemioterapici. Gli eventi avversi di imatinib, come epatotossicità, mielosoppressione o altri, </w:t>
      </w:r>
      <w:r w:rsidR="00406388" w:rsidRPr="00496684">
        <w:rPr>
          <w:rFonts w:ascii="Times New Roman" w:eastAsia="Times New Roman" w:hAnsi="Times New Roman"/>
          <w:lang w:val="it-IT" w:eastAsia="it-IT"/>
        </w:rPr>
        <w:t>possono</w:t>
      </w:r>
      <w:r w:rsidRPr="00496684">
        <w:rPr>
          <w:rFonts w:ascii="Times New Roman" w:eastAsia="Times New Roman" w:hAnsi="Times New Roman"/>
          <w:lang w:val="it-IT" w:eastAsia="it-IT"/>
        </w:rPr>
        <w:t xml:space="preserve"> aumentare ed è stato riportato che l’uso concomitante con L-asparaginasi può essere associato ad un’aumentata epatotossicità (vedere paragrafo 4.8). Pertanto l’uso di </w:t>
      </w:r>
      <w:r w:rsidR="00942B75"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in </w:t>
      </w:r>
      <w:r w:rsidR="00736C59" w:rsidRPr="00496684">
        <w:rPr>
          <w:rFonts w:ascii="Times New Roman" w:eastAsia="Times New Roman" w:hAnsi="Times New Roman"/>
          <w:lang w:val="it-IT" w:eastAsia="it-IT"/>
        </w:rPr>
        <w:t xml:space="preserve">associazione con altri chemioterapici </w:t>
      </w:r>
      <w:r w:rsidRPr="00496684">
        <w:rPr>
          <w:rFonts w:ascii="Times New Roman" w:eastAsia="Times New Roman" w:hAnsi="Times New Roman"/>
          <w:lang w:val="it-IT" w:eastAsia="it-IT"/>
        </w:rPr>
        <w:t>richiede una speciale precauzione.</w:t>
      </w:r>
    </w:p>
    <w:p w14:paraId="3DE4C655" w14:textId="77777777" w:rsidR="00520611" w:rsidRPr="00496684" w:rsidRDefault="00520611" w:rsidP="00154217">
      <w:pPr>
        <w:autoSpaceDE w:val="0"/>
        <w:autoSpaceDN w:val="0"/>
        <w:adjustRightInd w:val="0"/>
        <w:spacing w:after="0" w:line="240" w:lineRule="auto"/>
        <w:rPr>
          <w:rFonts w:ascii="Times New Roman" w:hAnsi="Times New Roman"/>
          <w:lang w:val="it-IT" w:eastAsia="is-IS"/>
        </w:rPr>
      </w:pPr>
    </w:p>
    <w:p w14:paraId="0C997656" w14:textId="77777777" w:rsidR="00B15A66" w:rsidRPr="00496684" w:rsidRDefault="00B15A66" w:rsidP="00B15A6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4.6</w:t>
      </w:r>
      <w:r w:rsidRPr="00496684">
        <w:rPr>
          <w:rFonts w:ascii="Times New Roman" w:hAnsi="Times New Roman"/>
          <w:b/>
          <w:bCs/>
          <w:lang w:val="it-IT"/>
        </w:rPr>
        <w:tab/>
      </w:r>
      <w:r w:rsidR="00932488" w:rsidRPr="00496684">
        <w:rPr>
          <w:rFonts w:ascii="Times New Roman" w:hAnsi="Times New Roman"/>
          <w:b/>
          <w:lang w:val="it-IT"/>
        </w:rPr>
        <w:t>Fertilità, gravidanza e allattamento</w:t>
      </w:r>
    </w:p>
    <w:p w14:paraId="765D7158" w14:textId="77777777" w:rsidR="00826F36" w:rsidRPr="00496684" w:rsidRDefault="00826F36" w:rsidP="00826F36">
      <w:pPr>
        <w:autoSpaceDE w:val="0"/>
        <w:autoSpaceDN w:val="0"/>
        <w:adjustRightInd w:val="0"/>
        <w:spacing w:after="0" w:line="240" w:lineRule="auto"/>
        <w:rPr>
          <w:rFonts w:ascii="Times New Roman" w:eastAsia="Times New Roman" w:hAnsi="Times New Roman"/>
          <w:color w:val="000000"/>
          <w:lang w:val="it-IT" w:eastAsia="it-IT"/>
        </w:rPr>
      </w:pPr>
    </w:p>
    <w:p w14:paraId="79D22E55" w14:textId="77777777" w:rsidR="00826F36" w:rsidRPr="00496684" w:rsidRDefault="00826F36" w:rsidP="00826F36">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Donne potenzialmente fertili </w:t>
      </w:r>
    </w:p>
    <w:p w14:paraId="0F486C57" w14:textId="2F835EE1" w:rsidR="00B15A66" w:rsidRPr="00496684" w:rsidRDefault="004C7EE6" w:rsidP="00826F36">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hAnsi="Times New Roman"/>
          <w:color w:val="000000"/>
          <w:lang w:val="it-IT"/>
        </w:rPr>
        <w:t>Alle donne in età fertile deve essere segnalata la necessità di utilizzare misure contraccettive</w:t>
      </w:r>
      <w:r w:rsidR="00DB017C">
        <w:rPr>
          <w:rFonts w:ascii="Times New Roman" w:hAnsi="Times New Roman"/>
          <w:color w:val="000000"/>
          <w:lang w:val="it-IT"/>
        </w:rPr>
        <w:t xml:space="preserve"> efficaci durante il trattamento </w:t>
      </w:r>
      <w:r w:rsidR="00D32294">
        <w:rPr>
          <w:rFonts w:ascii="Times New Roman" w:hAnsi="Times New Roman"/>
          <w:color w:val="000000"/>
          <w:lang w:val="it-IT"/>
        </w:rPr>
        <w:t>e per almeno 15 </w:t>
      </w:r>
      <w:r w:rsidR="00DB017C">
        <w:rPr>
          <w:rFonts w:ascii="Times New Roman" w:hAnsi="Times New Roman"/>
          <w:color w:val="000000"/>
          <w:lang w:val="it-IT"/>
        </w:rPr>
        <w:t>giorni dopo l’interruzione del trattamento con Imatinib Actavis</w:t>
      </w:r>
      <w:r w:rsidRPr="00496684">
        <w:rPr>
          <w:rFonts w:ascii="Times New Roman" w:hAnsi="Times New Roman"/>
          <w:color w:val="000000"/>
          <w:lang w:val="it-IT"/>
        </w:rPr>
        <w:t>.</w:t>
      </w:r>
    </w:p>
    <w:p w14:paraId="68710A03" w14:textId="77777777" w:rsidR="00826F36" w:rsidRPr="00496684" w:rsidRDefault="00826F36" w:rsidP="00826F36">
      <w:pPr>
        <w:autoSpaceDE w:val="0"/>
        <w:autoSpaceDN w:val="0"/>
        <w:adjustRightInd w:val="0"/>
        <w:spacing w:after="0" w:line="240" w:lineRule="auto"/>
        <w:rPr>
          <w:rFonts w:ascii="Times New Roman" w:hAnsi="Times New Roman"/>
          <w:bCs/>
          <w:lang w:val="it-IT"/>
        </w:rPr>
      </w:pPr>
    </w:p>
    <w:p w14:paraId="539A0F12" w14:textId="77777777" w:rsidR="00932488" w:rsidRPr="00496684" w:rsidRDefault="00932488" w:rsidP="00932488">
      <w:pPr>
        <w:pStyle w:val="Endnotentext"/>
        <w:widowControl w:val="0"/>
        <w:tabs>
          <w:tab w:val="clear" w:pos="567"/>
        </w:tabs>
        <w:rPr>
          <w:szCs w:val="22"/>
          <w:u w:val="single"/>
          <w:lang w:val="it-IT"/>
        </w:rPr>
      </w:pPr>
      <w:r w:rsidRPr="00496684">
        <w:rPr>
          <w:szCs w:val="22"/>
          <w:u w:val="single"/>
          <w:lang w:val="it-IT"/>
        </w:rPr>
        <w:t>Gravidanza</w:t>
      </w:r>
    </w:p>
    <w:p w14:paraId="58411AA7" w14:textId="77777777" w:rsidR="00932488" w:rsidRPr="00496684" w:rsidRDefault="00932488" w:rsidP="00932488">
      <w:pPr>
        <w:pStyle w:val="Endnotentext"/>
        <w:widowControl w:val="0"/>
        <w:tabs>
          <w:tab w:val="clear" w:pos="567"/>
        </w:tabs>
        <w:rPr>
          <w:szCs w:val="22"/>
          <w:lang w:val="it-IT"/>
        </w:rPr>
      </w:pPr>
      <w:r w:rsidRPr="00496684">
        <w:rPr>
          <w:szCs w:val="22"/>
          <w:lang w:val="it-IT"/>
        </w:rPr>
        <w:t xml:space="preserve">Vi sono dati limitati riguardanti l’uso di imatinib in donne in gravidanza. </w:t>
      </w:r>
      <w:r w:rsidR="00F02BB9" w:rsidRPr="00496684">
        <w:rPr>
          <w:szCs w:val="22"/>
          <w:lang w:val="it-IT"/>
        </w:rPr>
        <w:t xml:space="preserve">Vi sono state segnalazioni post-marketing di aborti spontanei e malformazioni congenite infantili da parte di donne che hanno assunto imatinib. </w:t>
      </w:r>
      <w:r w:rsidRPr="00496684">
        <w:rPr>
          <w:szCs w:val="22"/>
          <w:lang w:val="it-IT"/>
        </w:rPr>
        <w:t xml:space="preserve">Tuttavia, gli studi sugli animali hanno mostrato una tossicità riproduttiva (vedere paragrafo 5.3) e il rischio potenziale per il feto non è noto. </w:t>
      </w:r>
      <w:r w:rsidR="00521ABE" w:rsidRPr="00496684">
        <w:rPr>
          <w:szCs w:val="22"/>
          <w:lang w:val="it-IT"/>
        </w:rPr>
        <w:t xml:space="preserve">Imatinib </w:t>
      </w:r>
      <w:r w:rsidRPr="00496684">
        <w:rPr>
          <w:szCs w:val="22"/>
          <w:lang w:val="it-IT"/>
        </w:rPr>
        <w:t xml:space="preserve">non deve essere usato durante la gravidanza, se non in caso di assoluta necessità. In caso di somministrazione in gravidanza, la paziente </w:t>
      </w:r>
      <w:r w:rsidR="00A015EF" w:rsidRPr="00496684">
        <w:rPr>
          <w:szCs w:val="22"/>
          <w:lang w:val="it-IT"/>
        </w:rPr>
        <w:t xml:space="preserve">deve essere informata </w:t>
      </w:r>
      <w:r w:rsidRPr="00496684">
        <w:rPr>
          <w:szCs w:val="22"/>
          <w:lang w:val="it-IT"/>
        </w:rPr>
        <w:t>circa il potenziale rischio per il feto.</w:t>
      </w:r>
    </w:p>
    <w:p w14:paraId="54A84ED6" w14:textId="77777777" w:rsidR="00932488" w:rsidRPr="00496684" w:rsidRDefault="00932488" w:rsidP="00B15A66">
      <w:pPr>
        <w:autoSpaceDE w:val="0"/>
        <w:autoSpaceDN w:val="0"/>
        <w:adjustRightInd w:val="0"/>
        <w:spacing w:after="0" w:line="240" w:lineRule="auto"/>
        <w:rPr>
          <w:rFonts w:ascii="Times New Roman" w:hAnsi="Times New Roman"/>
          <w:bCs/>
          <w:lang w:val="it-IT"/>
        </w:rPr>
      </w:pPr>
    </w:p>
    <w:p w14:paraId="57E53D3C" w14:textId="77777777" w:rsidR="00932488" w:rsidRPr="00496684" w:rsidRDefault="00932488" w:rsidP="00932488">
      <w:pPr>
        <w:pStyle w:val="Endnotentext"/>
        <w:widowControl w:val="0"/>
        <w:tabs>
          <w:tab w:val="clear" w:pos="567"/>
        </w:tabs>
        <w:rPr>
          <w:szCs w:val="22"/>
          <w:lang w:val="it-IT"/>
        </w:rPr>
      </w:pPr>
      <w:r w:rsidRPr="00496684">
        <w:rPr>
          <w:szCs w:val="22"/>
          <w:u w:val="single"/>
          <w:lang w:val="it-IT"/>
        </w:rPr>
        <w:t>Allattamento</w:t>
      </w:r>
    </w:p>
    <w:p w14:paraId="106B0A4E" w14:textId="67237304" w:rsidR="00932488" w:rsidRPr="00496684" w:rsidRDefault="00932488" w:rsidP="00932488">
      <w:pPr>
        <w:pStyle w:val="Endnotentext"/>
        <w:widowControl w:val="0"/>
        <w:tabs>
          <w:tab w:val="clear" w:pos="567"/>
        </w:tabs>
        <w:rPr>
          <w:szCs w:val="22"/>
          <w:lang w:val="it-IT"/>
        </w:rPr>
      </w:pPr>
      <w:r w:rsidRPr="00496684">
        <w:rPr>
          <w:szCs w:val="22"/>
          <w:lang w:val="it-IT"/>
        </w:rPr>
        <w:t xml:space="preserve">Ci sono informazioni limitate riguardanti la distribuzione di imatinib nel latte materno. Valutazioni in due donne che allattavano hanno mostrato che sia imatinib sia il suo metabolita attivo possono essere distribuiti nel latte materno. Il rapporto latte/plasma, valutato in una singola paziente, è stato determinato essere 0,5 per imatinib e 0,9 per il metabolita, suggerendo una maggiore distribuzione del metabolita nel latte. Tenendo in considerazione la concentrazione combinata di imatinib e del metabolita e la massima assunzione giornaliera di latte dei neonati, l’esposizione totale sembrerebbe essere bassa (circa il 10% di una dose terapeutica). Tuttavia, poiché gli effetti di un’esposizione a basse dosi </w:t>
      </w:r>
      <w:r w:rsidR="00D32294" w:rsidRPr="00D35BA8">
        <w:rPr>
          <w:lang w:val="it-IT"/>
        </w:rPr>
        <w:t>di imatinib</w:t>
      </w:r>
      <w:r w:rsidR="00D32294" w:rsidRPr="001B184F">
        <w:rPr>
          <w:spacing w:val="1"/>
          <w:lang w:val="it-IT"/>
        </w:rPr>
        <w:t xml:space="preserve"> </w:t>
      </w:r>
      <w:r w:rsidRPr="00496684">
        <w:rPr>
          <w:szCs w:val="22"/>
          <w:lang w:val="it-IT"/>
        </w:rPr>
        <w:t>nei neonati non sono noti, le donne non devono allattare</w:t>
      </w:r>
      <w:r w:rsidR="00DB017C">
        <w:rPr>
          <w:szCs w:val="22"/>
          <w:lang w:val="it-IT"/>
        </w:rPr>
        <w:t xml:space="preserve"> durante</w:t>
      </w:r>
      <w:r w:rsidR="00D32294">
        <w:rPr>
          <w:szCs w:val="22"/>
          <w:lang w:val="it-IT"/>
        </w:rPr>
        <w:t xml:space="preserve"> il trattamento e per almeno 15 </w:t>
      </w:r>
      <w:r w:rsidR="00DB017C">
        <w:rPr>
          <w:szCs w:val="22"/>
          <w:lang w:val="it-IT"/>
        </w:rPr>
        <w:t>giorni dopo l’interruzione del trattamento con Imatinib Actavis</w:t>
      </w:r>
      <w:r w:rsidRPr="00496684">
        <w:rPr>
          <w:szCs w:val="22"/>
          <w:lang w:val="it-IT"/>
        </w:rPr>
        <w:t>.</w:t>
      </w:r>
    </w:p>
    <w:p w14:paraId="75770E33" w14:textId="77777777" w:rsidR="00932488" w:rsidRPr="00496684" w:rsidRDefault="00932488" w:rsidP="00B15A66">
      <w:pPr>
        <w:autoSpaceDE w:val="0"/>
        <w:autoSpaceDN w:val="0"/>
        <w:adjustRightInd w:val="0"/>
        <w:spacing w:after="0" w:line="240" w:lineRule="auto"/>
        <w:rPr>
          <w:rFonts w:ascii="Times New Roman" w:hAnsi="Times New Roman"/>
          <w:bCs/>
          <w:lang w:val="it-IT"/>
        </w:rPr>
      </w:pPr>
    </w:p>
    <w:p w14:paraId="7368BFBF" w14:textId="77777777" w:rsidR="00932488" w:rsidRPr="00496684" w:rsidRDefault="00932488" w:rsidP="00932488">
      <w:pPr>
        <w:pStyle w:val="Endnotentext"/>
        <w:widowControl w:val="0"/>
        <w:tabs>
          <w:tab w:val="clear" w:pos="567"/>
        </w:tabs>
        <w:rPr>
          <w:szCs w:val="22"/>
          <w:u w:val="single"/>
          <w:lang w:val="it-IT"/>
        </w:rPr>
      </w:pPr>
      <w:r w:rsidRPr="00496684">
        <w:rPr>
          <w:szCs w:val="22"/>
          <w:u w:val="single"/>
          <w:lang w:val="it-IT"/>
        </w:rPr>
        <w:t>Fertilità</w:t>
      </w:r>
    </w:p>
    <w:p w14:paraId="14910118" w14:textId="52F76046" w:rsidR="00932488" w:rsidRPr="00496684" w:rsidRDefault="00932488" w:rsidP="00A81163">
      <w:pPr>
        <w:pStyle w:val="Endnotentext"/>
        <w:widowControl w:val="0"/>
        <w:tabs>
          <w:tab w:val="clear" w:pos="567"/>
        </w:tabs>
        <w:rPr>
          <w:szCs w:val="22"/>
          <w:lang w:val="it-IT"/>
        </w:rPr>
      </w:pPr>
      <w:r w:rsidRPr="00496684">
        <w:rPr>
          <w:szCs w:val="22"/>
          <w:lang w:val="it-IT"/>
        </w:rPr>
        <w:t>In studi non clinici, la fertilità dei ratti di sesso maschile e femminile non è stata influenzata</w:t>
      </w:r>
      <w:r w:rsidR="00DB017C">
        <w:rPr>
          <w:szCs w:val="22"/>
          <w:lang w:val="it-IT"/>
        </w:rPr>
        <w:t xml:space="preserve">, </w:t>
      </w:r>
      <w:r w:rsidR="00A81163" w:rsidRPr="00D35BA8">
        <w:rPr>
          <w:lang w:val="it-IT"/>
        </w:rPr>
        <w:t>sebbene</w:t>
      </w:r>
      <w:r w:rsidR="00DB017C">
        <w:rPr>
          <w:szCs w:val="22"/>
          <w:lang w:val="it-IT"/>
        </w:rPr>
        <w:t xml:space="preserve"> siano stati osservati effetti sui parametri riproduttivi</w:t>
      </w:r>
      <w:r w:rsidRPr="00496684">
        <w:rPr>
          <w:szCs w:val="22"/>
          <w:lang w:val="it-IT"/>
        </w:rPr>
        <w:t xml:space="preserve"> (vedere paragrafo 5.3). Non sono stati condotti studi in pazienti trattati con </w:t>
      </w:r>
      <w:r w:rsidR="00942B75" w:rsidRPr="00496684">
        <w:rPr>
          <w:szCs w:val="22"/>
          <w:lang w:val="it-IT"/>
        </w:rPr>
        <w:t>i</w:t>
      </w:r>
      <w:r w:rsidR="00521ABE" w:rsidRPr="00496684">
        <w:rPr>
          <w:szCs w:val="22"/>
          <w:lang w:val="it-IT"/>
        </w:rPr>
        <w:t xml:space="preserve">matinib </w:t>
      </w:r>
      <w:r w:rsidRPr="00496684">
        <w:rPr>
          <w:szCs w:val="22"/>
          <w:lang w:val="it-IT"/>
        </w:rPr>
        <w:t xml:space="preserve">per valutarne l’effetto sulla fertilità e la spermatogenesi. I pazienti che sono preoccupati per la loro fertilità durante il trattamento con </w:t>
      </w:r>
      <w:r w:rsidR="00942B75" w:rsidRPr="00496684">
        <w:rPr>
          <w:szCs w:val="22"/>
          <w:lang w:val="it-IT"/>
        </w:rPr>
        <w:t xml:space="preserve">imatinib </w:t>
      </w:r>
      <w:r w:rsidRPr="00496684">
        <w:rPr>
          <w:szCs w:val="22"/>
          <w:lang w:val="it-IT"/>
        </w:rPr>
        <w:t>devono consultare il medico.</w:t>
      </w:r>
    </w:p>
    <w:p w14:paraId="19E3AF31" w14:textId="77777777" w:rsidR="007A0AD3" w:rsidRPr="00496684" w:rsidRDefault="007A0AD3">
      <w:pPr>
        <w:autoSpaceDE w:val="0"/>
        <w:autoSpaceDN w:val="0"/>
        <w:adjustRightInd w:val="0"/>
        <w:spacing w:after="0" w:line="240" w:lineRule="auto"/>
        <w:rPr>
          <w:rFonts w:ascii="Times New Roman" w:hAnsi="Times New Roman"/>
          <w:lang w:val="it-IT"/>
        </w:rPr>
      </w:pPr>
    </w:p>
    <w:p w14:paraId="4EC4AA7D" w14:textId="77777777" w:rsidR="00B15A66" w:rsidRPr="00496684" w:rsidRDefault="00B15A66" w:rsidP="00B15A6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4.7</w:t>
      </w:r>
      <w:r w:rsidRPr="00496684">
        <w:rPr>
          <w:rFonts w:ascii="Times New Roman" w:hAnsi="Times New Roman"/>
          <w:b/>
          <w:bCs/>
          <w:lang w:val="it-IT"/>
        </w:rPr>
        <w:tab/>
      </w:r>
      <w:r w:rsidR="002A0967" w:rsidRPr="00496684">
        <w:rPr>
          <w:rFonts w:ascii="Times New Roman" w:hAnsi="Times New Roman"/>
          <w:b/>
          <w:lang w:val="it-IT"/>
        </w:rPr>
        <w:t>Effetti sulla capacità di guidare veicoli e sull’uso di macchinari</w:t>
      </w:r>
    </w:p>
    <w:p w14:paraId="69CD6662" w14:textId="77777777" w:rsidR="00B15A66" w:rsidRPr="00496684" w:rsidRDefault="00B15A66" w:rsidP="00B15A66">
      <w:pPr>
        <w:autoSpaceDE w:val="0"/>
        <w:autoSpaceDN w:val="0"/>
        <w:adjustRightInd w:val="0"/>
        <w:spacing w:after="0" w:line="240" w:lineRule="auto"/>
        <w:rPr>
          <w:rFonts w:ascii="Times New Roman" w:hAnsi="Times New Roman"/>
          <w:bCs/>
          <w:lang w:val="it-IT"/>
        </w:rPr>
      </w:pPr>
    </w:p>
    <w:p w14:paraId="07DDA9CD" w14:textId="748BAD77" w:rsidR="002A0967" w:rsidRPr="00496684" w:rsidRDefault="002A0967" w:rsidP="002A0967">
      <w:pPr>
        <w:pStyle w:val="Endnotentext"/>
        <w:widowControl w:val="0"/>
        <w:tabs>
          <w:tab w:val="clear" w:pos="567"/>
        </w:tabs>
        <w:rPr>
          <w:snapToGrid w:val="0"/>
          <w:szCs w:val="22"/>
          <w:lang w:val="it-IT"/>
        </w:rPr>
      </w:pPr>
      <w:r w:rsidRPr="00496684">
        <w:rPr>
          <w:snapToGrid w:val="0"/>
          <w:szCs w:val="22"/>
          <w:lang w:val="it-IT"/>
        </w:rPr>
        <w:t xml:space="preserve">I pazienti devono essere avvisati che </w:t>
      </w:r>
      <w:r w:rsidR="00406388" w:rsidRPr="00496684">
        <w:rPr>
          <w:snapToGrid w:val="0"/>
          <w:szCs w:val="22"/>
          <w:lang w:val="it-IT"/>
        </w:rPr>
        <w:t>possono</w:t>
      </w:r>
      <w:r w:rsidRPr="00496684">
        <w:rPr>
          <w:snapToGrid w:val="0"/>
          <w:szCs w:val="22"/>
          <w:lang w:val="it-IT"/>
        </w:rPr>
        <w:t xml:space="preserve"> comparire effetti indesiderati come capogiri, offuscamento della vista o sonnolenza durante il trattamento con imatinib. Perciò si raccomanda attenzione durante la guida di veicoli e durante l'uso di macchinari.</w:t>
      </w:r>
    </w:p>
    <w:p w14:paraId="5DC7DC09" w14:textId="77777777" w:rsidR="00B15A66" w:rsidRPr="00496684" w:rsidRDefault="00B15A66">
      <w:pPr>
        <w:autoSpaceDE w:val="0"/>
        <w:autoSpaceDN w:val="0"/>
        <w:adjustRightInd w:val="0"/>
        <w:spacing w:after="0" w:line="240" w:lineRule="auto"/>
        <w:rPr>
          <w:rFonts w:ascii="Times New Roman" w:hAnsi="Times New Roman"/>
          <w:lang w:val="it-IT"/>
        </w:rPr>
      </w:pPr>
    </w:p>
    <w:p w14:paraId="575138CF" w14:textId="77777777" w:rsidR="00B15A66" w:rsidRPr="00496684" w:rsidRDefault="00B15A66" w:rsidP="00B15A66">
      <w:pPr>
        <w:autoSpaceDE w:val="0"/>
        <w:autoSpaceDN w:val="0"/>
        <w:adjustRightInd w:val="0"/>
        <w:spacing w:after="0" w:line="240" w:lineRule="auto"/>
        <w:rPr>
          <w:rFonts w:ascii="Times New Roman" w:hAnsi="Times New Roman"/>
          <w:b/>
          <w:lang w:val="it-IT"/>
        </w:rPr>
      </w:pPr>
      <w:r w:rsidRPr="00496684">
        <w:rPr>
          <w:rFonts w:ascii="Times New Roman" w:hAnsi="Times New Roman"/>
          <w:b/>
          <w:bCs/>
          <w:lang w:val="it-IT"/>
        </w:rPr>
        <w:t>4.8</w:t>
      </w:r>
      <w:r w:rsidRPr="00496684">
        <w:rPr>
          <w:rFonts w:ascii="Times New Roman" w:hAnsi="Times New Roman"/>
          <w:b/>
          <w:bCs/>
          <w:lang w:val="it-IT"/>
        </w:rPr>
        <w:tab/>
      </w:r>
      <w:r w:rsidR="002A0967" w:rsidRPr="00496684">
        <w:rPr>
          <w:rFonts w:ascii="Times New Roman" w:hAnsi="Times New Roman"/>
          <w:b/>
          <w:lang w:val="it-IT"/>
        </w:rPr>
        <w:t>Effetti indesiderati</w:t>
      </w:r>
    </w:p>
    <w:p w14:paraId="61FD3A7C" w14:textId="77777777" w:rsidR="002A0967" w:rsidRPr="00496684" w:rsidRDefault="002A0967" w:rsidP="00B15A66">
      <w:pPr>
        <w:autoSpaceDE w:val="0"/>
        <w:autoSpaceDN w:val="0"/>
        <w:adjustRightInd w:val="0"/>
        <w:spacing w:after="0" w:line="240" w:lineRule="auto"/>
        <w:rPr>
          <w:rFonts w:ascii="Times New Roman" w:hAnsi="Times New Roman"/>
          <w:bCs/>
          <w:lang w:val="it-IT"/>
        </w:rPr>
      </w:pPr>
    </w:p>
    <w:p w14:paraId="4AB9865B" w14:textId="77777777" w:rsidR="00826F36" w:rsidRPr="00496684" w:rsidRDefault="00826F36" w:rsidP="002A0967">
      <w:pPr>
        <w:pStyle w:val="Text"/>
        <w:widowControl w:val="0"/>
        <w:spacing w:before="0"/>
        <w:jc w:val="left"/>
        <w:rPr>
          <w:sz w:val="22"/>
          <w:szCs w:val="22"/>
          <w:u w:val="single"/>
          <w:lang w:val="it-IT"/>
        </w:rPr>
      </w:pPr>
      <w:r w:rsidRPr="00496684">
        <w:rPr>
          <w:sz w:val="22"/>
          <w:szCs w:val="22"/>
          <w:u w:val="single"/>
          <w:lang w:val="it-IT"/>
        </w:rPr>
        <w:t>Sintesi del profilo di sicurezza</w:t>
      </w:r>
    </w:p>
    <w:p w14:paraId="4A642CB2" w14:textId="2D8AB27B" w:rsidR="002A0967" w:rsidRPr="00496684" w:rsidRDefault="002A0967" w:rsidP="002A0967">
      <w:pPr>
        <w:pStyle w:val="Text"/>
        <w:widowControl w:val="0"/>
        <w:spacing w:before="0"/>
        <w:jc w:val="left"/>
        <w:rPr>
          <w:sz w:val="22"/>
          <w:szCs w:val="22"/>
          <w:lang w:val="it-IT"/>
        </w:rPr>
      </w:pPr>
      <w:r w:rsidRPr="00496684">
        <w:rPr>
          <w:sz w:val="22"/>
          <w:szCs w:val="22"/>
          <w:lang w:val="it-IT"/>
        </w:rPr>
        <w:t xml:space="preserve">I pazienti con tumori in stadi avanzati </w:t>
      </w:r>
      <w:r w:rsidR="00406388" w:rsidRPr="00496684">
        <w:rPr>
          <w:sz w:val="22"/>
          <w:szCs w:val="22"/>
          <w:lang w:val="it-IT"/>
        </w:rPr>
        <w:t>possono</w:t>
      </w:r>
      <w:r w:rsidRPr="00496684">
        <w:rPr>
          <w:sz w:val="22"/>
          <w:szCs w:val="22"/>
          <w:lang w:val="it-IT"/>
        </w:rPr>
        <w:t xml:space="preserve"> presentare numerose condizioni cliniche </w:t>
      </w:r>
      <w:r w:rsidR="00FE7E2F" w:rsidRPr="00496684">
        <w:rPr>
          <w:sz w:val="22"/>
          <w:szCs w:val="22"/>
          <w:lang w:val="it-IT"/>
        </w:rPr>
        <w:t>confondenti</w:t>
      </w:r>
      <w:r w:rsidRPr="00496684">
        <w:rPr>
          <w:sz w:val="22"/>
          <w:szCs w:val="22"/>
          <w:lang w:val="it-IT"/>
        </w:rPr>
        <w:t xml:space="preserve"> che rendono difficile valutare la causa delle reazioni avverse data la varietà di sintomi correlati alla malattia di base, alla sua progressione e alla somministrazione contemporanea di numerosi medicinali.</w:t>
      </w:r>
    </w:p>
    <w:p w14:paraId="00138820" w14:textId="77777777" w:rsidR="00F57FEA" w:rsidRPr="00496684" w:rsidRDefault="00F57FEA" w:rsidP="002A0967">
      <w:pPr>
        <w:pStyle w:val="Text"/>
        <w:widowControl w:val="0"/>
        <w:spacing w:before="0"/>
        <w:jc w:val="left"/>
        <w:rPr>
          <w:sz w:val="22"/>
          <w:szCs w:val="22"/>
          <w:lang w:val="it-IT"/>
        </w:rPr>
      </w:pPr>
    </w:p>
    <w:p w14:paraId="0859F6D7" w14:textId="77777777" w:rsidR="002A0967" w:rsidRPr="00496684" w:rsidRDefault="002A0967" w:rsidP="002A0967">
      <w:pPr>
        <w:pStyle w:val="Text"/>
        <w:widowControl w:val="0"/>
        <w:spacing w:before="0"/>
        <w:jc w:val="left"/>
        <w:rPr>
          <w:sz w:val="22"/>
          <w:szCs w:val="22"/>
          <w:lang w:val="it-IT"/>
        </w:rPr>
      </w:pPr>
      <w:r w:rsidRPr="00496684">
        <w:rPr>
          <w:sz w:val="22"/>
          <w:szCs w:val="22"/>
          <w:lang w:val="it-IT"/>
        </w:rPr>
        <w:t xml:space="preserve">Negli studi clinici sulla LMC la sospensione del farmaco per reazioni avverse associate al farmaco stesso è stata osservata nel 2,4% dei pazienti di nuova diagnosi, nel 4% dei pazienti in fase cronica </w:t>
      </w:r>
      <w:r w:rsidR="004D049F" w:rsidRPr="00496684">
        <w:rPr>
          <w:sz w:val="22"/>
          <w:szCs w:val="22"/>
          <w:lang w:val="it-IT"/>
        </w:rPr>
        <w:t xml:space="preserve">accelerata </w:t>
      </w:r>
      <w:r w:rsidRPr="00496684">
        <w:rPr>
          <w:sz w:val="22"/>
          <w:szCs w:val="22"/>
          <w:lang w:val="it-IT"/>
        </w:rPr>
        <w:t>dopo fallimento della terapia con interferone, nel 4% dei pazienti in fase accelerata dopo fallimento della terapia con interferone e nel 5% dei pazienti con crisi blastica dopo fallimento della terapia con interferone. Negli studi sui GIST la somministrazione del farmaco è stata interrotta nel 4% dei pazienti a causa di reazioni avverse correlate al farmaco.</w:t>
      </w:r>
    </w:p>
    <w:p w14:paraId="7E5F46F5" w14:textId="77777777" w:rsidR="002A0967" w:rsidRPr="00496684" w:rsidRDefault="002A0967" w:rsidP="00B15A66">
      <w:pPr>
        <w:autoSpaceDE w:val="0"/>
        <w:autoSpaceDN w:val="0"/>
        <w:adjustRightInd w:val="0"/>
        <w:spacing w:after="0" w:line="240" w:lineRule="auto"/>
        <w:rPr>
          <w:rFonts w:ascii="Times New Roman" w:hAnsi="Times New Roman"/>
          <w:lang w:val="it-IT"/>
        </w:rPr>
      </w:pPr>
    </w:p>
    <w:p w14:paraId="28321CFC" w14:textId="0D2DAAFF" w:rsidR="002A0967" w:rsidRPr="00496684" w:rsidRDefault="002A0967" w:rsidP="002A0967">
      <w:pPr>
        <w:pStyle w:val="Text"/>
        <w:widowControl w:val="0"/>
        <w:spacing w:before="0"/>
        <w:jc w:val="left"/>
        <w:rPr>
          <w:sz w:val="22"/>
          <w:szCs w:val="22"/>
          <w:lang w:val="it-IT"/>
        </w:rPr>
      </w:pPr>
      <w:r w:rsidRPr="00496684">
        <w:rPr>
          <w:sz w:val="22"/>
          <w:szCs w:val="22"/>
          <w:lang w:val="it-IT"/>
        </w:rPr>
        <w:t xml:space="preserve">Le reazioni avverse erano simili in tutte le indicazioni, con due eccezioni. Vi è stata maggiore mielosoppressione osservata nei pazienti con LMC rispetto ai pazienti con GIST, che probabilmente è dovuta alla malattia di base. Nello studio nei pazienti con GIST non operabile e/o metastatico, in 7 pazienti (5%) si sono verificati sanguinamenti GI di grado 3/4 </w:t>
      </w:r>
      <w:smartTag w:uri="urn:schemas-microsoft-com:office:smarttags" w:element="stockticker">
        <w:r w:rsidRPr="00496684">
          <w:rPr>
            <w:sz w:val="22"/>
            <w:szCs w:val="22"/>
            <w:lang w:val="it-IT"/>
          </w:rPr>
          <w:t>CTC</w:t>
        </w:r>
      </w:smartTag>
      <w:r w:rsidRPr="00496684">
        <w:rPr>
          <w:sz w:val="22"/>
          <w:szCs w:val="22"/>
          <w:lang w:val="it-IT"/>
        </w:rPr>
        <w:t xml:space="preserve"> (3 pazienti), sanguinamenti intra-tumorali (3 pazienti) o entrambi (1 paziente). La localizzazione dei tumori GI </w:t>
      </w:r>
      <w:r w:rsidR="00406388" w:rsidRPr="00496684">
        <w:rPr>
          <w:sz w:val="22"/>
          <w:szCs w:val="22"/>
          <w:lang w:val="it-IT"/>
        </w:rPr>
        <w:t>può</w:t>
      </w:r>
      <w:r w:rsidRPr="00496684">
        <w:rPr>
          <w:sz w:val="22"/>
          <w:szCs w:val="22"/>
          <w:lang w:val="it-IT"/>
        </w:rPr>
        <w:t xml:space="preserve"> essere stata la causa dei sanguinamenti GI (vedere paragrafo 4.4). Il sanguinamento GI ed il sanguinamento tumorale </w:t>
      </w:r>
      <w:r w:rsidR="00406388" w:rsidRPr="00496684">
        <w:rPr>
          <w:sz w:val="22"/>
          <w:szCs w:val="22"/>
          <w:lang w:val="it-IT"/>
        </w:rPr>
        <w:t>possono</w:t>
      </w:r>
      <w:r w:rsidRPr="00496684">
        <w:rPr>
          <w:sz w:val="22"/>
          <w:szCs w:val="22"/>
          <w:lang w:val="it-IT"/>
        </w:rPr>
        <w:t xml:space="preserve"> essere seri e alcune volte fatali. Le reazioni avverse associate al farmaco segnalate più comunemente (</w:t>
      </w:r>
      <w:r w:rsidRPr="00496684">
        <w:rPr>
          <w:sz w:val="22"/>
          <w:szCs w:val="22"/>
          <w:lang w:val="it-IT"/>
        </w:rPr>
        <w:sym w:font="Symbol" w:char="F0B3"/>
      </w:r>
      <w:r w:rsidRPr="00496684">
        <w:rPr>
          <w:sz w:val="22"/>
          <w:szCs w:val="22"/>
          <w:lang w:val="it-IT"/>
        </w:rPr>
        <w:t xml:space="preserve">10%) in entrambe le patologie sono state nausea lieve, vomito, diarrea, dolori addominali, fatica, mialgia, crampi muscolari ed eruzioni cutanee. In tutti gli studi sono stati comunemente riscontrati edemi superficiali, descritti primariamente come edemi periorbitali o agli arti inferiori. Tuttavia raramente questi edemi sono risultati gravi e possono essere gestiti con diuretici, altre misure di supporto o riducendo la dose di </w:t>
      </w:r>
      <w:r w:rsidR="009339F7" w:rsidRPr="00496684">
        <w:rPr>
          <w:sz w:val="22"/>
          <w:szCs w:val="22"/>
          <w:lang w:val="it-IT"/>
        </w:rPr>
        <w:t>i</w:t>
      </w:r>
      <w:r w:rsidR="00521ABE" w:rsidRPr="00496684">
        <w:rPr>
          <w:sz w:val="22"/>
          <w:szCs w:val="22"/>
          <w:lang w:val="it-IT"/>
        </w:rPr>
        <w:t>matinib</w:t>
      </w:r>
      <w:r w:rsidRPr="00496684">
        <w:rPr>
          <w:sz w:val="22"/>
          <w:szCs w:val="22"/>
          <w:lang w:val="it-IT"/>
        </w:rPr>
        <w:t>.</w:t>
      </w:r>
    </w:p>
    <w:p w14:paraId="258EBA41" w14:textId="77777777" w:rsidR="00B15A66" w:rsidRPr="00496684" w:rsidRDefault="00B15A66" w:rsidP="00B15A66">
      <w:pPr>
        <w:autoSpaceDE w:val="0"/>
        <w:autoSpaceDN w:val="0"/>
        <w:adjustRightInd w:val="0"/>
        <w:spacing w:after="0" w:line="240" w:lineRule="auto"/>
        <w:rPr>
          <w:rFonts w:ascii="Times New Roman" w:hAnsi="Times New Roman"/>
          <w:lang w:val="it-IT"/>
        </w:rPr>
      </w:pPr>
    </w:p>
    <w:p w14:paraId="6F8C06C2" w14:textId="77777777" w:rsidR="002A0967" w:rsidRPr="00496684" w:rsidRDefault="002A0967" w:rsidP="002A0967">
      <w:pPr>
        <w:pStyle w:val="Text"/>
        <w:widowControl w:val="0"/>
        <w:spacing w:before="0"/>
        <w:jc w:val="left"/>
        <w:rPr>
          <w:sz w:val="22"/>
          <w:szCs w:val="22"/>
          <w:lang w:val="it-IT"/>
        </w:rPr>
      </w:pPr>
      <w:r w:rsidRPr="00496684">
        <w:rPr>
          <w:sz w:val="22"/>
          <w:szCs w:val="22"/>
          <w:lang w:val="it-IT"/>
        </w:rPr>
        <w:t>Quando imatinib è stato associato a chemioterapia ad alte dosi nei pazienti con LLA Ph+, si è osservata tossicità epatica transitoria in termini di aumento delle transaminasi ed iperbilirubinemia.</w:t>
      </w:r>
      <w:r w:rsidR="00A65DEE" w:rsidRPr="00496684">
        <w:rPr>
          <w:sz w:val="22"/>
          <w:szCs w:val="22"/>
          <w:lang w:val="it-IT"/>
        </w:rPr>
        <w:t xml:space="preserve"> Considerando le limitate informazioni di sicurezza, gli eventi avversi finora riportati nei bambini sono coerenti con il profilo di sicurezza definito nei pazienti adulti con LLA Ph+. Le informazioni di sicurezza per i bambini con LLA Ph+ sono molto limitate, in ogni caso non sono state identificate nuove problematiche di sicurezza.</w:t>
      </w:r>
    </w:p>
    <w:p w14:paraId="69EC34B0" w14:textId="77777777" w:rsidR="002A0967" w:rsidRPr="00496684" w:rsidRDefault="002A0967" w:rsidP="002A0967">
      <w:pPr>
        <w:pStyle w:val="Text"/>
        <w:widowControl w:val="0"/>
        <w:spacing w:before="0"/>
        <w:jc w:val="left"/>
        <w:rPr>
          <w:sz w:val="22"/>
          <w:szCs w:val="22"/>
          <w:lang w:val="it-IT"/>
        </w:rPr>
      </w:pPr>
    </w:p>
    <w:p w14:paraId="25AE39A7" w14:textId="77777777" w:rsidR="002A0967" w:rsidRPr="00496684" w:rsidRDefault="002A0967" w:rsidP="002A0967">
      <w:pPr>
        <w:pStyle w:val="Text"/>
        <w:widowControl w:val="0"/>
        <w:spacing w:before="0"/>
        <w:jc w:val="left"/>
        <w:rPr>
          <w:sz w:val="22"/>
          <w:szCs w:val="22"/>
          <w:lang w:val="it-IT"/>
        </w:rPr>
      </w:pPr>
      <w:r w:rsidRPr="00496684">
        <w:rPr>
          <w:sz w:val="22"/>
          <w:szCs w:val="22"/>
          <w:lang w:val="it-IT"/>
        </w:rPr>
        <w:t xml:space="preserve">Varie reazioni avverse come effusione pleurica, ascite, edemi polmonari e rapido aumento del peso corporeo con o senza edemi superficiali possono essere descritte collettivamente come “ritenzione di fluidi”. Queste reazioni possono essere gestite generalmente sospendendo temporaneamente il trattamento con </w:t>
      </w:r>
      <w:r w:rsidR="009339F7" w:rsidRPr="00496684">
        <w:rPr>
          <w:sz w:val="22"/>
          <w:szCs w:val="22"/>
          <w:lang w:val="it-IT"/>
        </w:rPr>
        <w:t>i</w:t>
      </w:r>
      <w:r w:rsidR="00521ABE" w:rsidRPr="00496684">
        <w:rPr>
          <w:sz w:val="22"/>
          <w:szCs w:val="22"/>
          <w:lang w:val="it-IT"/>
        </w:rPr>
        <w:t xml:space="preserve">matinib </w:t>
      </w:r>
      <w:r w:rsidRPr="00496684">
        <w:rPr>
          <w:sz w:val="22"/>
          <w:szCs w:val="22"/>
          <w:lang w:val="it-IT"/>
        </w:rPr>
        <w:t>e con diuretici e altre misure terapeutiche di supporto adeguate. Alcune di queste reazioni, tuttavia, possono essere gravi o rischiose per la vita dei soggetti e diversi pazienti con crisi blastica sono deceduti con un complesso quadro clinico di effusione pleurica, insufficienza cardiaca congestizia e insufficienza renale. Nessun particolare aspetto di safety è emerso dagli studi clinici condotti in pazienti pediatrici.</w:t>
      </w:r>
    </w:p>
    <w:p w14:paraId="27E67CDB" w14:textId="77777777" w:rsidR="00B15A66" w:rsidRPr="00496684" w:rsidRDefault="00B15A66" w:rsidP="00B15A66">
      <w:pPr>
        <w:autoSpaceDE w:val="0"/>
        <w:autoSpaceDN w:val="0"/>
        <w:adjustRightInd w:val="0"/>
        <w:spacing w:after="0" w:line="240" w:lineRule="auto"/>
        <w:rPr>
          <w:rFonts w:ascii="Times New Roman" w:hAnsi="Times New Roman"/>
          <w:lang w:val="it-IT"/>
        </w:rPr>
      </w:pPr>
    </w:p>
    <w:p w14:paraId="5050B872" w14:textId="77777777" w:rsidR="002A0967" w:rsidRPr="00496684" w:rsidRDefault="002A0967" w:rsidP="002A0967">
      <w:pPr>
        <w:pStyle w:val="Text"/>
        <w:widowControl w:val="0"/>
        <w:spacing w:before="0"/>
        <w:jc w:val="left"/>
        <w:rPr>
          <w:sz w:val="22"/>
          <w:szCs w:val="22"/>
          <w:u w:val="single"/>
          <w:lang w:val="it-IT"/>
        </w:rPr>
      </w:pPr>
      <w:r w:rsidRPr="00496684">
        <w:rPr>
          <w:sz w:val="22"/>
          <w:szCs w:val="22"/>
          <w:u w:val="single"/>
          <w:lang w:val="it-IT"/>
        </w:rPr>
        <w:t>Reazioni avverse</w:t>
      </w:r>
    </w:p>
    <w:p w14:paraId="43C0D3EB" w14:textId="77777777" w:rsidR="002A0967" w:rsidRPr="00496684" w:rsidRDefault="002A0967" w:rsidP="002A0967">
      <w:pPr>
        <w:pStyle w:val="Text"/>
        <w:widowControl w:val="0"/>
        <w:spacing w:before="0"/>
        <w:jc w:val="left"/>
        <w:rPr>
          <w:sz w:val="22"/>
          <w:szCs w:val="22"/>
          <w:lang w:val="it-IT"/>
        </w:rPr>
      </w:pPr>
      <w:r w:rsidRPr="00496684">
        <w:rPr>
          <w:sz w:val="22"/>
          <w:szCs w:val="22"/>
          <w:lang w:val="it-IT"/>
        </w:rPr>
        <w:t>Le reazioni avverse riportate come più di un caso isolato, sono elencate di seguito, secondo classificazione sistemica organica e frequenza. Le categorie di frequenza sono definite utilizzando la seguente convenzione: molto comune (</w:t>
      </w:r>
      <w:r w:rsidRPr="00496684">
        <w:rPr>
          <w:noProof/>
          <w:sz w:val="22"/>
          <w:szCs w:val="22"/>
          <w:lang w:val="it-IT"/>
        </w:rPr>
        <w:sym w:font="Symbol" w:char="F0B3"/>
      </w:r>
      <w:r w:rsidRPr="00496684">
        <w:rPr>
          <w:sz w:val="22"/>
          <w:szCs w:val="22"/>
          <w:lang w:val="it-IT"/>
        </w:rPr>
        <w:t>1/10), comune (</w:t>
      </w:r>
      <w:r w:rsidRPr="00496684">
        <w:rPr>
          <w:noProof/>
          <w:sz w:val="22"/>
          <w:szCs w:val="22"/>
          <w:lang w:val="it-IT"/>
        </w:rPr>
        <w:sym w:font="Symbol" w:char="F0B3"/>
      </w:r>
      <w:r w:rsidRPr="00496684">
        <w:rPr>
          <w:sz w:val="22"/>
          <w:szCs w:val="22"/>
          <w:lang w:val="it-IT"/>
        </w:rPr>
        <w:t>1/100, &lt;1/10), non comune (</w:t>
      </w:r>
      <w:r w:rsidRPr="00496684">
        <w:rPr>
          <w:noProof/>
          <w:sz w:val="22"/>
          <w:szCs w:val="22"/>
          <w:lang w:val="it-IT"/>
        </w:rPr>
        <w:sym w:font="Symbol" w:char="F0B3"/>
      </w:r>
      <w:r w:rsidRPr="00496684">
        <w:rPr>
          <w:sz w:val="22"/>
          <w:szCs w:val="22"/>
          <w:lang w:val="it-IT"/>
        </w:rPr>
        <w:t>1/1.000, &lt;1/100), raro (</w:t>
      </w:r>
      <w:r w:rsidRPr="00496684">
        <w:rPr>
          <w:noProof/>
          <w:sz w:val="22"/>
          <w:szCs w:val="22"/>
          <w:lang w:val="it-IT"/>
        </w:rPr>
        <w:sym w:font="Symbol" w:char="F0B3"/>
      </w:r>
      <w:r w:rsidRPr="00496684">
        <w:rPr>
          <w:noProof/>
          <w:sz w:val="22"/>
          <w:szCs w:val="22"/>
          <w:lang w:val="it-IT"/>
        </w:rPr>
        <w:t>1/10.000, &lt;</w:t>
      </w:r>
      <w:r w:rsidRPr="00496684">
        <w:rPr>
          <w:sz w:val="22"/>
          <w:szCs w:val="22"/>
          <w:lang w:val="it-IT"/>
        </w:rPr>
        <w:t>1/1.000), molto raro (&lt;1/10.000), non nota (la frequenza non può essere definita sulla base dei dati disponibili).</w:t>
      </w:r>
    </w:p>
    <w:p w14:paraId="578EA46E" w14:textId="77777777" w:rsidR="002A0967" w:rsidRPr="00496684" w:rsidRDefault="002A0967" w:rsidP="002A0967">
      <w:pPr>
        <w:pStyle w:val="Text"/>
        <w:widowControl w:val="0"/>
        <w:spacing w:before="0"/>
        <w:jc w:val="left"/>
        <w:rPr>
          <w:sz w:val="22"/>
          <w:szCs w:val="22"/>
          <w:lang w:val="it-IT"/>
        </w:rPr>
      </w:pPr>
    </w:p>
    <w:p w14:paraId="1646E36F" w14:textId="77777777" w:rsidR="002A0967" w:rsidRPr="00496684" w:rsidRDefault="002A0967" w:rsidP="002A0967">
      <w:pPr>
        <w:pStyle w:val="Text"/>
        <w:widowControl w:val="0"/>
        <w:spacing w:before="0"/>
        <w:jc w:val="left"/>
        <w:rPr>
          <w:sz w:val="22"/>
          <w:szCs w:val="22"/>
          <w:lang w:val="it-IT"/>
        </w:rPr>
      </w:pPr>
      <w:r w:rsidRPr="00496684">
        <w:rPr>
          <w:sz w:val="22"/>
          <w:szCs w:val="22"/>
          <w:lang w:val="it-IT"/>
        </w:rPr>
        <w:t>All’interno di ciascuna classe di frequenza, gli effetti indesiderati sono riportati in ordine di frequenza, il più frequente per primo.</w:t>
      </w:r>
    </w:p>
    <w:p w14:paraId="388FDA23" w14:textId="77777777" w:rsidR="002A0967" w:rsidRPr="00496684" w:rsidRDefault="002A0967" w:rsidP="002A0967">
      <w:pPr>
        <w:pStyle w:val="Text"/>
        <w:widowControl w:val="0"/>
        <w:spacing w:before="0"/>
        <w:jc w:val="left"/>
        <w:rPr>
          <w:sz w:val="22"/>
          <w:szCs w:val="22"/>
          <w:lang w:val="it-IT"/>
        </w:rPr>
      </w:pPr>
    </w:p>
    <w:p w14:paraId="01B04F21" w14:textId="77777777" w:rsidR="002A0967" w:rsidRPr="00496684" w:rsidRDefault="002A0967" w:rsidP="002A0967">
      <w:pPr>
        <w:pStyle w:val="Text"/>
        <w:widowControl w:val="0"/>
        <w:spacing w:before="0"/>
        <w:jc w:val="left"/>
        <w:rPr>
          <w:sz w:val="22"/>
          <w:szCs w:val="22"/>
          <w:lang w:val="it-IT"/>
        </w:rPr>
      </w:pPr>
      <w:r w:rsidRPr="00496684">
        <w:rPr>
          <w:sz w:val="22"/>
          <w:szCs w:val="22"/>
          <w:lang w:val="it-IT"/>
        </w:rPr>
        <w:t xml:space="preserve">Le reazioni avverse e le loro frequenze </w:t>
      </w:r>
      <w:r w:rsidR="00F51DA1" w:rsidRPr="00496684">
        <w:rPr>
          <w:sz w:val="22"/>
          <w:szCs w:val="22"/>
          <w:lang w:val="it-IT"/>
        </w:rPr>
        <w:t xml:space="preserve">sono </w:t>
      </w:r>
      <w:r w:rsidRPr="00496684">
        <w:rPr>
          <w:sz w:val="22"/>
          <w:szCs w:val="22"/>
          <w:lang w:val="it-IT"/>
        </w:rPr>
        <w:t>riportate nella Tabella 1</w:t>
      </w:r>
      <w:r w:rsidR="00F51DA1" w:rsidRPr="00496684">
        <w:rPr>
          <w:sz w:val="22"/>
          <w:szCs w:val="22"/>
          <w:lang w:val="it-IT"/>
        </w:rPr>
        <w:t>.</w:t>
      </w:r>
      <w:r w:rsidRPr="00496684">
        <w:rPr>
          <w:sz w:val="22"/>
          <w:szCs w:val="22"/>
          <w:lang w:val="it-IT"/>
        </w:rPr>
        <w:t>.</w:t>
      </w:r>
    </w:p>
    <w:p w14:paraId="63D8535E" w14:textId="77777777" w:rsidR="00B15A66" w:rsidRPr="00496684" w:rsidRDefault="00B15A66">
      <w:pPr>
        <w:autoSpaceDE w:val="0"/>
        <w:autoSpaceDN w:val="0"/>
        <w:adjustRightInd w:val="0"/>
        <w:spacing w:after="0" w:line="240" w:lineRule="auto"/>
        <w:rPr>
          <w:rFonts w:ascii="Times New Roman" w:hAnsi="Times New Roman"/>
          <w:lang w:val="it-IT"/>
        </w:rPr>
      </w:pPr>
    </w:p>
    <w:p w14:paraId="7D0327B2" w14:textId="56B25571" w:rsidR="002A0967" w:rsidRPr="00496684" w:rsidRDefault="002A0967" w:rsidP="002A0967">
      <w:pPr>
        <w:pStyle w:val="Text"/>
        <w:widowControl w:val="0"/>
        <w:spacing w:before="0"/>
        <w:jc w:val="left"/>
        <w:rPr>
          <w:b/>
          <w:sz w:val="22"/>
          <w:szCs w:val="22"/>
          <w:lang w:val="it-IT"/>
        </w:rPr>
      </w:pPr>
      <w:r w:rsidRPr="00496684">
        <w:rPr>
          <w:b/>
          <w:sz w:val="22"/>
          <w:szCs w:val="22"/>
          <w:lang w:val="it-IT"/>
        </w:rPr>
        <w:t>Tabella 1</w:t>
      </w:r>
      <w:r w:rsidRPr="00496684">
        <w:rPr>
          <w:b/>
          <w:sz w:val="22"/>
          <w:szCs w:val="22"/>
          <w:lang w:val="it-IT"/>
        </w:rPr>
        <w:tab/>
      </w:r>
      <w:r w:rsidR="00F51DA1" w:rsidRPr="00496684">
        <w:rPr>
          <w:b/>
          <w:sz w:val="22"/>
          <w:szCs w:val="22"/>
          <w:lang w:val="it-IT"/>
        </w:rPr>
        <w:t>Tabella riepilogativa delle r</w:t>
      </w:r>
      <w:r w:rsidRPr="00496684">
        <w:rPr>
          <w:b/>
          <w:sz w:val="22"/>
          <w:szCs w:val="22"/>
          <w:lang w:val="it-IT"/>
        </w:rPr>
        <w:t>eazioni avverse</w:t>
      </w:r>
    </w:p>
    <w:p w14:paraId="7D16D3BE" w14:textId="77777777" w:rsidR="00B15A66" w:rsidRPr="00496684" w:rsidRDefault="00B15A66">
      <w:pPr>
        <w:autoSpaceDE w:val="0"/>
        <w:autoSpaceDN w:val="0"/>
        <w:adjustRightInd w:val="0"/>
        <w:spacing w:after="0" w:line="240" w:lineRule="auto"/>
        <w:rPr>
          <w:rFonts w:ascii="Times New Roman" w:hAnsi="Times New Roman"/>
          <w:lang w:val="it-IT"/>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714C90" w:rsidRPr="00496684" w14:paraId="1DA43045" w14:textId="77777777" w:rsidTr="00AF494A">
        <w:tc>
          <w:tcPr>
            <w:tcW w:w="9322" w:type="dxa"/>
            <w:gridSpan w:val="2"/>
          </w:tcPr>
          <w:p w14:paraId="6FC6186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Infezioni e infestazioni</w:t>
            </w:r>
          </w:p>
        </w:tc>
      </w:tr>
      <w:tr w:rsidR="00714C90" w:rsidRPr="00496684" w14:paraId="6C872FC4" w14:textId="77777777" w:rsidTr="00AF494A">
        <w:tc>
          <w:tcPr>
            <w:tcW w:w="2235" w:type="dxa"/>
          </w:tcPr>
          <w:p w14:paraId="3EDC87BB"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2D4FE168"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Herpes zoster, herpes simplex, rinofaringite, polmonite</w:t>
            </w:r>
            <w:r w:rsidRPr="00496684">
              <w:rPr>
                <w:rFonts w:ascii="Times New Roman" w:hAnsi="Times New Roman"/>
                <w:vertAlign w:val="superscript"/>
                <w:lang w:val="it-IT"/>
              </w:rPr>
              <w:t>1</w:t>
            </w:r>
            <w:r w:rsidRPr="00496684">
              <w:rPr>
                <w:rFonts w:ascii="Times New Roman" w:hAnsi="Times New Roman"/>
                <w:lang w:val="it-IT"/>
              </w:rPr>
              <w:t>, sinusite, cellulite, infezione delle vie respiratorie superiori, influenza, infezione del tratto urinario, gastroenterite, sepsi</w:t>
            </w:r>
          </w:p>
        </w:tc>
      </w:tr>
      <w:tr w:rsidR="00714C90" w:rsidRPr="00496684" w14:paraId="553F7B39" w14:textId="77777777" w:rsidTr="00AF494A">
        <w:tc>
          <w:tcPr>
            <w:tcW w:w="2235" w:type="dxa"/>
          </w:tcPr>
          <w:p w14:paraId="19405C01"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5516581F"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Infezione micotica</w:t>
            </w:r>
          </w:p>
        </w:tc>
      </w:tr>
      <w:tr w:rsidR="001E7ECA" w:rsidRPr="00496684" w14:paraId="2D4A1A43" w14:textId="77777777" w:rsidTr="00AF494A">
        <w:tc>
          <w:tcPr>
            <w:tcW w:w="2235" w:type="dxa"/>
          </w:tcPr>
          <w:p w14:paraId="7F670B00" w14:textId="77777777" w:rsidR="001E7ECA" w:rsidRPr="00496684" w:rsidRDefault="001E7ECA" w:rsidP="00714C90">
            <w:pPr>
              <w:spacing w:after="0" w:line="240" w:lineRule="auto"/>
              <w:rPr>
                <w:rFonts w:ascii="Times New Roman" w:hAnsi="Times New Roman"/>
                <w:i/>
                <w:lang w:val="it-IT"/>
              </w:rPr>
            </w:pPr>
            <w:r w:rsidRPr="00496684">
              <w:rPr>
                <w:rFonts w:ascii="Times New Roman" w:hAnsi="Times New Roman"/>
                <w:i/>
                <w:lang w:val="it-IT"/>
              </w:rPr>
              <w:t>Non nota</w:t>
            </w:r>
          </w:p>
        </w:tc>
        <w:tc>
          <w:tcPr>
            <w:tcW w:w="7087" w:type="dxa"/>
          </w:tcPr>
          <w:p w14:paraId="2F1E0247" w14:textId="77777777" w:rsidR="001E7ECA" w:rsidRPr="00496684" w:rsidRDefault="001E7ECA" w:rsidP="00714C90">
            <w:pPr>
              <w:spacing w:after="0" w:line="240" w:lineRule="auto"/>
              <w:rPr>
                <w:rFonts w:ascii="Times New Roman" w:hAnsi="Times New Roman"/>
                <w:lang w:val="it-IT"/>
              </w:rPr>
            </w:pPr>
            <w:r w:rsidRPr="00496684">
              <w:rPr>
                <w:rFonts w:ascii="Times New Roman" w:hAnsi="Times New Roman"/>
                <w:lang w:val="it-IT"/>
              </w:rPr>
              <w:t xml:space="preserve">Riattivazione della epatite B </w:t>
            </w:r>
            <w:r w:rsidR="00C91BBD" w:rsidRPr="00496684">
              <w:rPr>
                <w:rFonts w:ascii="Times New Roman" w:hAnsi="Times New Roman"/>
                <w:vertAlign w:val="superscript"/>
                <w:lang w:val="it-IT"/>
              </w:rPr>
              <w:t>*</w:t>
            </w:r>
          </w:p>
        </w:tc>
      </w:tr>
      <w:tr w:rsidR="00714C90" w:rsidRPr="00496684" w14:paraId="0038AFEF" w14:textId="77777777" w:rsidTr="00AF494A">
        <w:tc>
          <w:tcPr>
            <w:tcW w:w="9322" w:type="dxa"/>
            <w:gridSpan w:val="2"/>
          </w:tcPr>
          <w:p w14:paraId="0EDE4639" w14:textId="77777777" w:rsidR="00714C90" w:rsidRPr="00496684" w:rsidRDefault="00714C90" w:rsidP="00714C90">
            <w:pPr>
              <w:spacing w:after="0" w:line="240" w:lineRule="auto"/>
              <w:rPr>
                <w:rFonts w:ascii="Times New Roman" w:hAnsi="Times New Roman"/>
                <w:b/>
                <w:lang w:val="it-IT"/>
              </w:rPr>
            </w:pPr>
            <w:r w:rsidRPr="00496684">
              <w:rPr>
                <w:rFonts w:ascii="Times New Roman" w:hAnsi="Times New Roman"/>
                <w:b/>
                <w:noProof/>
                <w:lang w:val="it-IT"/>
              </w:rPr>
              <w:t>Tumori benigni, maligni e non specificati (cisti e polipi compresi)</w:t>
            </w:r>
          </w:p>
        </w:tc>
      </w:tr>
      <w:tr w:rsidR="00714C90" w:rsidRPr="00496684" w14:paraId="61720906" w14:textId="77777777" w:rsidTr="00AF494A">
        <w:tc>
          <w:tcPr>
            <w:tcW w:w="2235" w:type="dxa"/>
          </w:tcPr>
          <w:p w14:paraId="19C21248"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45441F50"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Sindrome da lisi tumorale</w:t>
            </w:r>
          </w:p>
        </w:tc>
      </w:tr>
      <w:tr w:rsidR="00F51DA1" w:rsidRPr="00496684" w14:paraId="23B53DFD" w14:textId="77777777" w:rsidTr="00AF494A">
        <w:tc>
          <w:tcPr>
            <w:tcW w:w="2235" w:type="dxa"/>
          </w:tcPr>
          <w:p w14:paraId="6ED109BD" w14:textId="77777777" w:rsidR="00F51DA1" w:rsidRPr="00496684" w:rsidRDefault="00F51DA1"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646F7A57" w14:textId="77777777" w:rsidR="00F51DA1" w:rsidRPr="00496684" w:rsidRDefault="00F51DA1" w:rsidP="00714C90">
            <w:pPr>
              <w:spacing w:after="0" w:line="240" w:lineRule="auto"/>
              <w:rPr>
                <w:rFonts w:ascii="Times New Roman" w:hAnsi="Times New Roman"/>
                <w:lang w:val="it-IT"/>
              </w:rPr>
            </w:pPr>
            <w:r w:rsidRPr="00496684">
              <w:rPr>
                <w:rFonts w:ascii="Times New Roman" w:hAnsi="Times New Roman"/>
                <w:lang w:val="it-IT"/>
              </w:rPr>
              <w:t>Emorragia tumorale/necrosi tumorale*</w:t>
            </w:r>
          </w:p>
        </w:tc>
      </w:tr>
      <w:tr w:rsidR="00F51DA1" w:rsidRPr="00496684" w14:paraId="5CF9D4EA" w14:textId="77777777" w:rsidTr="00AF494A">
        <w:tc>
          <w:tcPr>
            <w:tcW w:w="9322" w:type="dxa"/>
            <w:gridSpan w:val="2"/>
          </w:tcPr>
          <w:p w14:paraId="7B17D957" w14:textId="77777777" w:rsidR="00F51DA1" w:rsidRPr="00496684" w:rsidRDefault="00F51DA1" w:rsidP="00714C90">
            <w:pPr>
              <w:spacing w:after="0" w:line="240" w:lineRule="auto"/>
              <w:rPr>
                <w:rFonts w:ascii="Times New Roman" w:hAnsi="Times New Roman"/>
                <w:b/>
                <w:lang w:val="it-IT"/>
              </w:rPr>
            </w:pPr>
            <w:r w:rsidRPr="00496684">
              <w:rPr>
                <w:rFonts w:ascii="Times New Roman" w:hAnsi="Times New Roman"/>
                <w:b/>
                <w:lang w:val="it-IT"/>
              </w:rPr>
              <w:t>Disturbi del sistema immunitario</w:t>
            </w:r>
          </w:p>
        </w:tc>
      </w:tr>
      <w:tr w:rsidR="00F51DA1" w:rsidRPr="00496684" w14:paraId="70AA5CEA" w14:textId="77777777" w:rsidTr="00F51DA1">
        <w:tc>
          <w:tcPr>
            <w:tcW w:w="2235" w:type="dxa"/>
          </w:tcPr>
          <w:p w14:paraId="776A0E04" w14:textId="77777777" w:rsidR="00F51DA1" w:rsidRPr="00496684" w:rsidRDefault="00F51DA1" w:rsidP="00F51DA1">
            <w:pPr>
              <w:spacing w:after="0" w:line="240" w:lineRule="auto"/>
              <w:rPr>
                <w:rFonts w:ascii="Times New Roman" w:hAnsi="Times New Roman"/>
                <w:b/>
                <w:lang w:val="it-IT"/>
              </w:rPr>
            </w:pPr>
            <w:r w:rsidRPr="00496684">
              <w:rPr>
                <w:rFonts w:ascii="Times New Roman" w:hAnsi="Times New Roman"/>
                <w:i/>
                <w:lang w:val="it-IT"/>
              </w:rPr>
              <w:t>Non noto:</w:t>
            </w:r>
          </w:p>
        </w:tc>
        <w:tc>
          <w:tcPr>
            <w:tcW w:w="7087" w:type="dxa"/>
          </w:tcPr>
          <w:p w14:paraId="3AA896B4" w14:textId="77777777" w:rsidR="00F51DA1" w:rsidRPr="00496684" w:rsidRDefault="00F51DA1" w:rsidP="00F51DA1">
            <w:pPr>
              <w:spacing w:after="0" w:line="240" w:lineRule="auto"/>
              <w:rPr>
                <w:rFonts w:ascii="Times New Roman" w:hAnsi="Times New Roman"/>
                <w:b/>
                <w:lang w:val="it-IT"/>
              </w:rPr>
            </w:pPr>
            <w:r w:rsidRPr="00496684">
              <w:rPr>
                <w:rFonts w:ascii="Times New Roman" w:hAnsi="Times New Roman"/>
                <w:lang w:val="it-IT"/>
              </w:rPr>
              <w:t>Shock anafilattico*</w:t>
            </w:r>
          </w:p>
        </w:tc>
      </w:tr>
      <w:tr w:rsidR="00714C90" w:rsidRPr="00496684" w14:paraId="7E746A4A" w14:textId="77777777" w:rsidTr="00AF494A">
        <w:tc>
          <w:tcPr>
            <w:tcW w:w="9322" w:type="dxa"/>
            <w:gridSpan w:val="2"/>
          </w:tcPr>
          <w:p w14:paraId="52BB81E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del sistema emolinfopoietico</w:t>
            </w:r>
          </w:p>
        </w:tc>
      </w:tr>
      <w:tr w:rsidR="00714C90" w:rsidRPr="00496684" w14:paraId="14B9A22E" w14:textId="77777777" w:rsidTr="00AF494A">
        <w:tc>
          <w:tcPr>
            <w:tcW w:w="2235" w:type="dxa"/>
          </w:tcPr>
          <w:p w14:paraId="531E8920"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557F6E5C"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Neutropenia, trombocitopenia, anemia</w:t>
            </w:r>
          </w:p>
        </w:tc>
      </w:tr>
      <w:tr w:rsidR="00714C90" w:rsidRPr="00496684" w14:paraId="3C3BDA0A" w14:textId="77777777" w:rsidTr="00AF494A">
        <w:tc>
          <w:tcPr>
            <w:tcW w:w="2235" w:type="dxa"/>
          </w:tcPr>
          <w:p w14:paraId="308F81A0"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0C6C9279"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Pancitopenia, neutropenia febbrile</w:t>
            </w:r>
          </w:p>
        </w:tc>
      </w:tr>
      <w:tr w:rsidR="00714C90" w:rsidRPr="00496684" w14:paraId="38EDC22B" w14:textId="77777777" w:rsidTr="00AF494A">
        <w:tc>
          <w:tcPr>
            <w:tcW w:w="2235" w:type="dxa"/>
          </w:tcPr>
          <w:p w14:paraId="5F28804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2FCF25E6"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Trombocitemia, linfopenia, depressione midollare, eosinofilia, linfoadenopatia</w:t>
            </w:r>
          </w:p>
        </w:tc>
      </w:tr>
      <w:tr w:rsidR="00714C90" w:rsidRPr="00496684" w14:paraId="1E0AFEF8" w14:textId="77777777" w:rsidTr="00AF494A">
        <w:tc>
          <w:tcPr>
            <w:tcW w:w="2235" w:type="dxa"/>
          </w:tcPr>
          <w:p w14:paraId="143ECEC1"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488E8181" w14:textId="75950070"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Anemia emolitica</w:t>
            </w:r>
            <w:r w:rsidR="00406388" w:rsidRPr="00496684">
              <w:rPr>
                <w:rFonts w:ascii="Times New Roman" w:hAnsi="Times New Roman"/>
                <w:lang w:val="it-IT"/>
              </w:rPr>
              <w:t>, microangiopatia trombotica</w:t>
            </w:r>
          </w:p>
        </w:tc>
      </w:tr>
      <w:tr w:rsidR="00714C90" w:rsidRPr="00496684" w14:paraId="18AE4FCB" w14:textId="77777777" w:rsidTr="00AF494A">
        <w:tc>
          <w:tcPr>
            <w:tcW w:w="9322" w:type="dxa"/>
            <w:gridSpan w:val="2"/>
          </w:tcPr>
          <w:p w14:paraId="26E4200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Disturbi del metabolismo e della nutrizione</w:t>
            </w:r>
          </w:p>
        </w:tc>
      </w:tr>
      <w:tr w:rsidR="00714C90" w:rsidRPr="00496684" w14:paraId="5E9D8CA0" w14:textId="77777777" w:rsidTr="00AF494A">
        <w:tc>
          <w:tcPr>
            <w:tcW w:w="2235" w:type="dxa"/>
          </w:tcPr>
          <w:p w14:paraId="7237D3A5"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62BF43EB"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Anoressia</w:t>
            </w:r>
          </w:p>
        </w:tc>
      </w:tr>
      <w:tr w:rsidR="00714C90" w:rsidRPr="00496684" w14:paraId="580CB733" w14:textId="77777777" w:rsidTr="00AF494A">
        <w:tc>
          <w:tcPr>
            <w:tcW w:w="2235" w:type="dxa"/>
          </w:tcPr>
          <w:p w14:paraId="5D28B26F"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7D524422"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Ipokaliemia, aumento dell’appetito, ipofosfatemia, diminuzione dell’appetito, disidratazione, gotta, iperuricemia, ipercalcemia, iperglicemia, iponatriemia</w:t>
            </w:r>
          </w:p>
        </w:tc>
      </w:tr>
      <w:tr w:rsidR="00714C90" w:rsidRPr="00496684" w14:paraId="7FDDB483" w14:textId="77777777" w:rsidTr="00AF494A">
        <w:tc>
          <w:tcPr>
            <w:tcW w:w="2235" w:type="dxa"/>
          </w:tcPr>
          <w:p w14:paraId="7ADCFA43"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0A79DB46"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Iperkaliemia, ipomagnesiemia</w:t>
            </w:r>
          </w:p>
        </w:tc>
      </w:tr>
      <w:tr w:rsidR="00714C90" w:rsidRPr="00496684" w14:paraId="2DE7A2CD" w14:textId="77777777" w:rsidTr="00AF494A">
        <w:tc>
          <w:tcPr>
            <w:tcW w:w="9322" w:type="dxa"/>
            <w:gridSpan w:val="2"/>
          </w:tcPr>
          <w:p w14:paraId="77630C9C"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Disturbi psichiatrici</w:t>
            </w:r>
          </w:p>
        </w:tc>
      </w:tr>
      <w:tr w:rsidR="00714C90" w:rsidRPr="00496684" w14:paraId="666C4F4D" w14:textId="77777777" w:rsidTr="00AF494A">
        <w:tc>
          <w:tcPr>
            <w:tcW w:w="2235" w:type="dxa"/>
          </w:tcPr>
          <w:p w14:paraId="2A5D5C21"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5AA426AB"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Insonnia</w:t>
            </w:r>
          </w:p>
        </w:tc>
      </w:tr>
      <w:tr w:rsidR="00714C90" w:rsidRPr="00496684" w14:paraId="097B8748" w14:textId="77777777" w:rsidTr="00AF494A">
        <w:tc>
          <w:tcPr>
            <w:tcW w:w="2235" w:type="dxa"/>
          </w:tcPr>
          <w:p w14:paraId="642B2D5D"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6778344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Depressione, riduzione della libido, ansia</w:t>
            </w:r>
          </w:p>
        </w:tc>
      </w:tr>
      <w:tr w:rsidR="00714C90" w:rsidRPr="00496684" w14:paraId="2F9D7E68" w14:textId="77777777" w:rsidTr="00AF494A">
        <w:tc>
          <w:tcPr>
            <w:tcW w:w="2235" w:type="dxa"/>
          </w:tcPr>
          <w:p w14:paraId="63017AB2"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4ACCD894"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Stato confusionale</w:t>
            </w:r>
          </w:p>
        </w:tc>
      </w:tr>
      <w:tr w:rsidR="00714C90" w:rsidRPr="00496684" w14:paraId="56F18E52" w14:textId="77777777" w:rsidTr="00AF494A">
        <w:tc>
          <w:tcPr>
            <w:tcW w:w="9322" w:type="dxa"/>
            <w:gridSpan w:val="2"/>
          </w:tcPr>
          <w:p w14:paraId="4807310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del sistema nervoso</w:t>
            </w:r>
          </w:p>
        </w:tc>
      </w:tr>
      <w:tr w:rsidR="00714C90" w:rsidRPr="00496684" w14:paraId="2BD6BD00" w14:textId="77777777" w:rsidTr="00AF494A">
        <w:tc>
          <w:tcPr>
            <w:tcW w:w="2235" w:type="dxa"/>
          </w:tcPr>
          <w:p w14:paraId="0BEDCE63"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3D136356"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Cefalea</w:t>
            </w:r>
            <w:r w:rsidRPr="00496684">
              <w:rPr>
                <w:rFonts w:ascii="Times New Roman" w:hAnsi="Times New Roman"/>
                <w:vertAlign w:val="superscript"/>
                <w:lang w:val="it-IT"/>
              </w:rPr>
              <w:t>2</w:t>
            </w:r>
          </w:p>
        </w:tc>
      </w:tr>
      <w:tr w:rsidR="00714C90" w:rsidRPr="00496684" w14:paraId="5FD77023" w14:textId="77777777" w:rsidTr="00AF494A">
        <w:tc>
          <w:tcPr>
            <w:tcW w:w="2235" w:type="dxa"/>
          </w:tcPr>
          <w:p w14:paraId="681D6BE9"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4BC1AB5A"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Capogiri, parestesia, alterazioni del gusto, ipoestesia</w:t>
            </w:r>
          </w:p>
        </w:tc>
      </w:tr>
      <w:tr w:rsidR="00714C90" w:rsidRPr="00496684" w14:paraId="67AA00AD" w14:textId="77777777" w:rsidTr="00AF494A">
        <w:tc>
          <w:tcPr>
            <w:tcW w:w="2235" w:type="dxa"/>
          </w:tcPr>
          <w:p w14:paraId="66F5E3C0"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022F3251"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Emicrania, sonnolenza, sincope, neuropatia periferica, indebolimento della memoria, sciatalgia, sindrome delle gambe senza riposo, tremore, emorragia cerebrale</w:t>
            </w:r>
          </w:p>
        </w:tc>
      </w:tr>
      <w:tr w:rsidR="00714C90" w:rsidRPr="00496684" w14:paraId="39263FE0" w14:textId="77777777" w:rsidTr="00AF494A">
        <w:tc>
          <w:tcPr>
            <w:tcW w:w="2235" w:type="dxa"/>
          </w:tcPr>
          <w:p w14:paraId="7FE8CFFA"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217FA694"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Aumento della pressione intracranica, convulsioni, neurite ottica</w:t>
            </w:r>
          </w:p>
        </w:tc>
      </w:tr>
      <w:tr w:rsidR="00F51DA1" w:rsidRPr="00496684" w14:paraId="7D1C24D2" w14:textId="77777777" w:rsidTr="00AF494A">
        <w:tc>
          <w:tcPr>
            <w:tcW w:w="2235" w:type="dxa"/>
          </w:tcPr>
          <w:p w14:paraId="0B6D527D" w14:textId="77777777" w:rsidR="00F51DA1" w:rsidRPr="00496684" w:rsidRDefault="00F51DA1" w:rsidP="00F51DA1">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7C023E47" w14:textId="77777777" w:rsidR="00F51DA1" w:rsidRPr="00496684" w:rsidRDefault="00F51DA1" w:rsidP="00714C90">
            <w:pPr>
              <w:spacing w:after="0" w:line="240" w:lineRule="auto"/>
              <w:rPr>
                <w:rFonts w:ascii="Times New Roman" w:hAnsi="Times New Roman"/>
                <w:lang w:val="it-IT"/>
              </w:rPr>
            </w:pPr>
            <w:r w:rsidRPr="00496684">
              <w:rPr>
                <w:rFonts w:ascii="Times New Roman" w:hAnsi="Times New Roman"/>
                <w:lang w:val="it-IT"/>
              </w:rPr>
              <w:t>Edema cerebrale*</w:t>
            </w:r>
          </w:p>
        </w:tc>
      </w:tr>
      <w:tr w:rsidR="00714C90" w:rsidRPr="00496684" w14:paraId="733EFE72" w14:textId="77777777" w:rsidTr="00AF494A">
        <w:tc>
          <w:tcPr>
            <w:tcW w:w="9322" w:type="dxa"/>
            <w:gridSpan w:val="2"/>
          </w:tcPr>
          <w:p w14:paraId="3BBD9662"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dell'occhio</w:t>
            </w:r>
          </w:p>
        </w:tc>
      </w:tr>
      <w:tr w:rsidR="00714C90" w:rsidRPr="00496684" w14:paraId="369BD038" w14:textId="77777777" w:rsidTr="00AF494A">
        <w:tc>
          <w:tcPr>
            <w:tcW w:w="2235" w:type="dxa"/>
          </w:tcPr>
          <w:p w14:paraId="52B45B3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6C1D2ED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Edema delle palpebre, aumento della lacrimazione, emorragia congiuntivale, congiuntivite, secchezza oculare, offuscamento della visione</w:t>
            </w:r>
          </w:p>
        </w:tc>
      </w:tr>
      <w:tr w:rsidR="00714C90" w:rsidRPr="00496684" w14:paraId="44D00244" w14:textId="77777777" w:rsidTr="00AF494A">
        <w:tc>
          <w:tcPr>
            <w:tcW w:w="2235" w:type="dxa"/>
          </w:tcPr>
          <w:p w14:paraId="128FB89B"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2EA9D7F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Irritazione oculare, dolore oculare, edema orbitale, emorragia della sclera, emorragia retinica, blefarite, edema maculare</w:t>
            </w:r>
          </w:p>
        </w:tc>
      </w:tr>
      <w:tr w:rsidR="00714C90" w:rsidRPr="00496684" w14:paraId="47CF1589" w14:textId="77777777" w:rsidTr="00AF494A">
        <w:tc>
          <w:tcPr>
            <w:tcW w:w="2235" w:type="dxa"/>
          </w:tcPr>
          <w:p w14:paraId="7AF3C01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741E41CC"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Cataratta, glaucoma, papilledema</w:t>
            </w:r>
          </w:p>
        </w:tc>
      </w:tr>
      <w:tr w:rsidR="00F51DA1" w:rsidRPr="00496684" w14:paraId="58DA4C73" w14:textId="77777777" w:rsidTr="00AF494A">
        <w:tc>
          <w:tcPr>
            <w:tcW w:w="2235" w:type="dxa"/>
          </w:tcPr>
          <w:p w14:paraId="6E7A0E4B" w14:textId="77777777" w:rsidR="00F51DA1" w:rsidRPr="00496684" w:rsidRDefault="00F51DA1"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5B83582B" w14:textId="77777777" w:rsidR="00F51DA1" w:rsidRPr="00496684" w:rsidRDefault="00F51DA1" w:rsidP="00F51DA1">
            <w:pPr>
              <w:tabs>
                <w:tab w:val="left" w:pos="33"/>
              </w:tabs>
              <w:spacing w:after="0" w:line="240" w:lineRule="auto"/>
              <w:rPr>
                <w:rFonts w:ascii="Times New Roman" w:hAnsi="Times New Roman"/>
                <w:lang w:val="it-IT"/>
              </w:rPr>
            </w:pPr>
            <w:r w:rsidRPr="00496684">
              <w:rPr>
                <w:rFonts w:ascii="Times New Roman" w:hAnsi="Times New Roman"/>
                <w:lang w:val="it-IT"/>
              </w:rPr>
              <w:tab/>
              <w:t>Emorragia del corpo vitreo*</w:t>
            </w:r>
          </w:p>
        </w:tc>
      </w:tr>
      <w:tr w:rsidR="00714C90" w:rsidRPr="00496684" w14:paraId="110D4568" w14:textId="77777777" w:rsidTr="00AF494A">
        <w:tc>
          <w:tcPr>
            <w:tcW w:w="9322" w:type="dxa"/>
            <w:gridSpan w:val="2"/>
          </w:tcPr>
          <w:p w14:paraId="49B3C80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dell'orecchio e del labirinto</w:t>
            </w:r>
          </w:p>
        </w:tc>
      </w:tr>
      <w:tr w:rsidR="00714C90" w:rsidRPr="00496684" w14:paraId="291A6E05" w14:textId="77777777" w:rsidTr="00AF494A">
        <w:tc>
          <w:tcPr>
            <w:tcW w:w="2235" w:type="dxa"/>
          </w:tcPr>
          <w:p w14:paraId="452C553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50CED050"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Vertigini, acufeni, perdita di udito</w:t>
            </w:r>
          </w:p>
        </w:tc>
      </w:tr>
      <w:tr w:rsidR="00714C90" w:rsidRPr="00496684" w14:paraId="4F022EDB" w14:textId="77777777" w:rsidTr="00AF494A">
        <w:tc>
          <w:tcPr>
            <w:tcW w:w="9322" w:type="dxa"/>
            <w:gridSpan w:val="2"/>
          </w:tcPr>
          <w:p w14:paraId="75FB914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cardiache</w:t>
            </w:r>
          </w:p>
        </w:tc>
      </w:tr>
      <w:tr w:rsidR="00714C90" w:rsidRPr="00496684" w14:paraId="4453B0F9" w14:textId="77777777" w:rsidTr="00AF494A">
        <w:tc>
          <w:tcPr>
            <w:tcW w:w="2235" w:type="dxa"/>
          </w:tcPr>
          <w:p w14:paraId="21CC7960"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3C592E58"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Palpitazioni, tachicardia, scompenso cardiaco congestizio</w:t>
            </w:r>
            <w:r w:rsidRPr="00496684">
              <w:rPr>
                <w:rFonts w:ascii="Times New Roman" w:hAnsi="Times New Roman"/>
                <w:vertAlign w:val="superscript"/>
                <w:lang w:val="it-IT"/>
              </w:rPr>
              <w:t>3</w:t>
            </w:r>
            <w:r w:rsidRPr="00496684">
              <w:rPr>
                <w:rFonts w:ascii="Times New Roman" w:hAnsi="Times New Roman"/>
                <w:lang w:val="it-IT"/>
              </w:rPr>
              <w:t>, edema polmonare</w:t>
            </w:r>
          </w:p>
        </w:tc>
      </w:tr>
      <w:tr w:rsidR="00714C90" w:rsidRPr="00496684" w14:paraId="5840AA7F" w14:textId="77777777" w:rsidTr="00AF494A">
        <w:tc>
          <w:tcPr>
            <w:tcW w:w="2235" w:type="dxa"/>
          </w:tcPr>
          <w:p w14:paraId="59B9137A"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2C2D130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Aritmia, fibrillazione atriale, arresto cardiaco, infarto miocardico, angina pectoris, effusione pericardica</w:t>
            </w:r>
          </w:p>
        </w:tc>
      </w:tr>
      <w:tr w:rsidR="00F51DA1" w:rsidRPr="00496684" w14:paraId="4C5754E1" w14:textId="77777777" w:rsidTr="00AF494A">
        <w:tc>
          <w:tcPr>
            <w:tcW w:w="2235" w:type="dxa"/>
          </w:tcPr>
          <w:p w14:paraId="43D99CA2" w14:textId="77777777" w:rsidR="00F51DA1" w:rsidRPr="00496684" w:rsidRDefault="00F51DA1"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0E5ACC2B" w14:textId="77777777" w:rsidR="00F51DA1" w:rsidRPr="00496684" w:rsidRDefault="00F51DA1" w:rsidP="00714C90">
            <w:pPr>
              <w:spacing w:after="0" w:line="240" w:lineRule="auto"/>
              <w:rPr>
                <w:rFonts w:ascii="Times New Roman" w:hAnsi="Times New Roman"/>
                <w:lang w:val="it-IT"/>
              </w:rPr>
            </w:pPr>
            <w:r w:rsidRPr="00496684">
              <w:rPr>
                <w:rFonts w:ascii="Times New Roman" w:hAnsi="Times New Roman"/>
                <w:lang w:val="it-IT"/>
              </w:rPr>
              <w:t>Pericardite*, tamponamento cardiaco*</w:t>
            </w:r>
          </w:p>
        </w:tc>
      </w:tr>
      <w:tr w:rsidR="00714C90" w:rsidRPr="00496684" w14:paraId="78AA51A2" w14:textId="77777777" w:rsidTr="00AF494A">
        <w:tc>
          <w:tcPr>
            <w:tcW w:w="9322" w:type="dxa"/>
            <w:gridSpan w:val="2"/>
          </w:tcPr>
          <w:p w14:paraId="4D600B9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vascolari</w:t>
            </w:r>
            <w:r w:rsidRPr="00496684">
              <w:rPr>
                <w:rFonts w:ascii="Times New Roman" w:hAnsi="Times New Roman"/>
                <w:b/>
                <w:vertAlign w:val="superscript"/>
                <w:lang w:val="it-IT"/>
              </w:rPr>
              <w:t>4</w:t>
            </w:r>
          </w:p>
        </w:tc>
      </w:tr>
      <w:tr w:rsidR="00714C90" w:rsidRPr="00496684" w14:paraId="5F649473" w14:textId="77777777" w:rsidTr="00AF494A">
        <w:tc>
          <w:tcPr>
            <w:tcW w:w="2235" w:type="dxa"/>
          </w:tcPr>
          <w:p w14:paraId="390ABE9F"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6C3F9C8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Vampate, emorragia</w:t>
            </w:r>
          </w:p>
        </w:tc>
      </w:tr>
      <w:tr w:rsidR="00714C90" w:rsidRPr="00496684" w14:paraId="34E29B8E" w14:textId="77777777" w:rsidTr="00AF494A">
        <w:tc>
          <w:tcPr>
            <w:tcW w:w="2235" w:type="dxa"/>
          </w:tcPr>
          <w:p w14:paraId="309FDC9D"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7FDF4EE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Ipertensione, ematoma, ematoma subdurale, raffreddamento delle estremità, ipotensione, fenomeno di Raynaud</w:t>
            </w:r>
          </w:p>
        </w:tc>
      </w:tr>
      <w:tr w:rsidR="00F51DA1" w:rsidRPr="00496684" w14:paraId="0ACD526E" w14:textId="77777777" w:rsidTr="00AF494A">
        <w:tc>
          <w:tcPr>
            <w:tcW w:w="2235" w:type="dxa"/>
          </w:tcPr>
          <w:p w14:paraId="747673DE" w14:textId="77777777" w:rsidR="00F51DA1" w:rsidRPr="00496684" w:rsidRDefault="00F51DA1"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7F481151" w14:textId="77777777" w:rsidR="00F51DA1" w:rsidRPr="00496684" w:rsidRDefault="00F51DA1" w:rsidP="00714C90">
            <w:pPr>
              <w:spacing w:after="0" w:line="240" w:lineRule="auto"/>
              <w:rPr>
                <w:rFonts w:ascii="Times New Roman" w:hAnsi="Times New Roman"/>
                <w:lang w:val="it-IT"/>
              </w:rPr>
            </w:pPr>
            <w:r w:rsidRPr="00496684">
              <w:rPr>
                <w:rFonts w:ascii="Times New Roman" w:hAnsi="Times New Roman"/>
                <w:lang w:val="it-IT"/>
              </w:rPr>
              <w:t>Trombosi/embolia*</w:t>
            </w:r>
          </w:p>
        </w:tc>
      </w:tr>
      <w:tr w:rsidR="00714C90" w:rsidRPr="00496684" w14:paraId="094B8589" w14:textId="77777777" w:rsidTr="00AF494A">
        <w:tc>
          <w:tcPr>
            <w:tcW w:w="9322" w:type="dxa"/>
            <w:gridSpan w:val="2"/>
          </w:tcPr>
          <w:p w14:paraId="01DFFF23"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respiratorie, toraciche e mediastiniche</w:t>
            </w:r>
          </w:p>
        </w:tc>
      </w:tr>
      <w:tr w:rsidR="00714C90" w:rsidRPr="00496684" w14:paraId="26BD0F81" w14:textId="77777777" w:rsidTr="00AF494A">
        <w:tc>
          <w:tcPr>
            <w:tcW w:w="2235" w:type="dxa"/>
          </w:tcPr>
          <w:p w14:paraId="314E8581"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2C648131"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Dispnea, epistassi, tosse</w:t>
            </w:r>
          </w:p>
        </w:tc>
      </w:tr>
      <w:tr w:rsidR="00714C90" w:rsidRPr="00496684" w14:paraId="72683F2B" w14:textId="77777777" w:rsidTr="00AF494A">
        <w:tc>
          <w:tcPr>
            <w:tcW w:w="2235" w:type="dxa"/>
          </w:tcPr>
          <w:p w14:paraId="3E0889C3"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6899E161"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Effusione pleurica</w:t>
            </w:r>
            <w:r w:rsidRPr="00496684">
              <w:rPr>
                <w:rFonts w:ascii="Times New Roman" w:hAnsi="Times New Roman"/>
                <w:vertAlign w:val="superscript"/>
                <w:lang w:val="it-IT"/>
              </w:rPr>
              <w:t>5</w:t>
            </w:r>
            <w:r w:rsidRPr="00496684">
              <w:rPr>
                <w:rFonts w:ascii="Times New Roman" w:hAnsi="Times New Roman"/>
                <w:lang w:val="it-IT"/>
              </w:rPr>
              <w:t>, dolore faringolaringeo, faringite</w:t>
            </w:r>
          </w:p>
        </w:tc>
      </w:tr>
      <w:tr w:rsidR="00714C90" w:rsidRPr="00496684" w14:paraId="247A6003" w14:textId="77777777" w:rsidTr="00AF494A">
        <w:tc>
          <w:tcPr>
            <w:tcW w:w="2235" w:type="dxa"/>
          </w:tcPr>
          <w:p w14:paraId="244C5B4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20562948"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Dolore pleuritico, fibrosi polmonare, ipertensione polmonare, emorragia polmonare</w:t>
            </w:r>
          </w:p>
        </w:tc>
      </w:tr>
      <w:tr w:rsidR="00F51DA1" w:rsidRPr="00496684" w14:paraId="19B6C1AC" w14:textId="77777777" w:rsidTr="00AF494A">
        <w:tc>
          <w:tcPr>
            <w:tcW w:w="2235" w:type="dxa"/>
          </w:tcPr>
          <w:p w14:paraId="05C2170E" w14:textId="77777777" w:rsidR="00F51DA1" w:rsidRPr="00496684" w:rsidRDefault="00F51DA1"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01FB1DE6" w14:textId="77777777" w:rsidR="00F51DA1" w:rsidRPr="00496684" w:rsidRDefault="00F51DA1" w:rsidP="00714C90">
            <w:pPr>
              <w:spacing w:after="0" w:line="240" w:lineRule="auto"/>
              <w:rPr>
                <w:rFonts w:ascii="Times New Roman" w:hAnsi="Times New Roman"/>
                <w:lang w:val="it-IT"/>
              </w:rPr>
            </w:pPr>
            <w:r w:rsidRPr="00496684">
              <w:rPr>
                <w:rFonts w:ascii="Times New Roman" w:hAnsi="Times New Roman"/>
                <w:lang w:val="it-IT"/>
              </w:rPr>
              <w:t>Insufficienza respiratoria acuta</w:t>
            </w:r>
            <w:r w:rsidRPr="00496684">
              <w:rPr>
                <w:rFonts w:ascii="Times New Roman" w:hAnsi="Times New Roman"/>
                <w:vertAlign w:val="superscript"/>
                <w:lang w:val="it-IT"/>
              </w:rPr>
              <w:t>1</w:t>
            </w:r>
            <w:r w:rsidR="00FB5C15" w:rsidRPr="00496684">
              <w:rPr>
                <w:rFonts w:ascii="Times New Roman" w:hAnsi="Times New Roman"/>
                <w:vertAlign w:val="superscript"/>
                <w:lang w:val="it-IT"/>
              </w:rPr>
              <w:t>1</w:t>
            </w:r>
            <w:r w:rsidRPr="00496684">
              <w:rPr>
                <w:rFonts w:ascii="Times New Roman" w:hAnsi="Times New Roman"/>
                <w:lang w:val="it-IT"/>
              </w:rPr>
              <w:t>*, malattia polmonare interstiziale*</w:t>
            </w:r>
          </w:p>
        </w:tc>
      </w:tr>
      <w:tr w:rsidR="00714C90" w:rsidRPr="00496684" w14:paraId="49392E42" w14:textId="77777777" w:rsidTr="00AF494A">
        <w:tc>
          <w:tcPr>
            <w:tcW w:w="9322" w:type="dxa"/>
            <w:gridSpan w:val="2"/>
          </w:tcPr>
          <w:p w14:paraId="1330910C"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gastrointestinali</w:t>
            </w:r>
          </w:p>
        </w:tc>
      </w:tr>
      <w:tr w:rsidR="00714C90" w:rsidRPr="00496684" w14:paraId="2A5E3FA2" w14:textId="77777777" w:rsidTr="00AF494A">
        <w:tc>
          <w:tcPr>
            <w:tcW w:w="2235" w:type="dxa"/>
          </w:tcPr>
          <w:p w14:paraId="31B07CF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5AB69AD2"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Nausea, diarrea, vomito, dispepsia, dolori addominali</w:t>
            </w:r>
            <w:r w:rsidRPr="00496684">
              <w:rPr>
                <w:rFonts w:ascii="Times New Roman" w:hAnsi="Times New Roman"/>
                <w:vertAlign w:val="superscript"/>
                <w:lang w:val="it-IT"/>
              </w:rPr>
              <w:t>6</w:t>
            </w:r>
          </w:p>
        </w:tc>
      </w:tr>
      <w:tr w:rsidR="00714C90" w:rsidRPr="00496684" w14:paraId="3C8E8C27" w14:textId="77777777" w:rsidTr="00AF494A">
        <w:tc>
          <w:tcPr>
            <w:tcW w:w="2235" w:type="dxa"/>
          </w:tcPr>
          <w:p w14:paraId="7CBBFF6B"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53429658"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Flatulenza, distensione addominale, reflusso gastroesofageo, stipsi, secchezza delle fauci, gastrite</w:t>
            </w:r>
          </w:p>
        </w:tc>
      </w:tr>
      <w:tr w:rsidR="00714C90" w:rsidRPr="00496684" w14:paraId="41F6C667" w14:textId="77777777" w:rsidTr="00AF494A">
        <w:tc>
          <w:tcPr>
            <w:tcW w:w="2235" w:type="dxa"/>
          </w:tcPr>
          <w:p w14:paraId="43A39A5F"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7665FF0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Stomatite, ulcerazione della bocca, emorragia gastrointestinale</w:t>
            </w:r>
            <w:r w:rsidRPr="00496684">
              <w:rPr>
                <w:rFonts w:ascii="Times New Roman" w:hAnsi="Times New Roman"/>
                <w:vertAlign w:val="superscript"/>
                <w:lang w:val="it-IT"/>
              </w:rPr>
              <w:t>7</w:t>
            </w:r>
            <w:r w:rsidRPr="00496684">
              <w:rPr>
                <w:rFonts w:ascii="Times New Roman" w:hAnsi="Times New Roman"/>
                <w:lang w:val="it-IT"/>
              </w:rPr>
              <w:t>, eruttazione, melena, esofagite, ascite, ulcera gastrica, ematemesi, cheilite, disfagia, pancreatite</w:t>
            </w:r>
          </w:p>
        </w:tc>
      </w:tr>
      <w:tr w:rsidR="00714C90" w:rsidRPr="00496684" w14:paraId="25E1D834" w14:textId="77777777" w:rsidTr="00AF494A">
        <w:tc>
          <w:tcPr>
            <w:tcW w:w="2235" w:type="dxa"/>
          </w:tcPr>
          <w:p w14:paraId="3326433F"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5DEE9BF4" w14:textId="77777777" w:rsidR="00714C90" w:rsidRPr="00496684" w:rsidRDefault="00714C90" w:rsidP="00714C90">
            <w:pPr>
              <w:spacing w:after="0" w:line="240" w:lineRule="auto"/>
              <w:rPr>
                <w:rFonts w:ascii="Times New Roman" w:hAnsi="Times New Roman"/>
                <w:snapToGrid w:val="0"/>
                <w:lang w:val="it-IT"/>
              </w:rPr>
            </w:pPr>
            <w:r w:rsidRPr="00496684">
              <w:rPr>
                <w:rFonts w:ascii="Times New Roman" w:hAnsi="Times New Roman"/>
                <w:lang w:val="it-IT"/>
              </w:rPr>
              <w:t>Colite, ileo, malattia infiammatoria intestinale</w:t>
            </w:r>
          </w:p>
        </w:tc>
      </w:tr>
      <w:tr w:rsidR="00E008A6" w:rsidRPr="00496684" w14:paraId="59176623" w14:textId="77777777" w:rsidTr="00AF494A">
        <w:tc>
          <w:tcPr>
            <w:tcW w:w="2235" w:type="dxa"/>
          </w:tcPr>
          <w:p w14:paraId="64300054" w14:textId="77777777" w:rsidR="00E008A6" w:rsidRPr="00496684" w:rsidRDefault="00E008A6"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2089949F" w14:textId="77777777" w:rsidR="00E008A6" w:rsidRPr="00496684" w:rsidRDefault="00E008A6" w:rsidP="00714C90">
            <w:pPr>
              <w:spacing w:after="0" w:line="240" w:lineRule="auto"/>
              <w:rPr>
                <w:rFonts w:ascii="Times New Roman" w:hAnsi="Times New Roman"/>
                <w:lang w:val="it-IT"/>
              </w:rPr>
            </w:pPr>
            <w:r w:rsidRPr="00496684">
              <w:rPr>
                <w:rFonts w:ascii="Times New Roman" w:hAnsi="Times New Roman"/>
                <w:lang w:val="it-IT"/>
              </w:rPr>
              <w:t>Ostruzione ileo/intestinale*, perforazione gastrointestinale*, diverticolite*, ectasia vascolare gastrica antrale (GAVE)*</w:t>
            </w:r>
          </w:p>
        </w:tc>
      </w:tr>
      <w:tr w:rsidR="00714C90" w:rsidRPr="00496684" w14:paraId="73EC2783" w14:textId="77777777" w:rsidTr="00AF494A">
        <w:tc>
          <w:tcPr>
            <w:tcW w:w="9322" w:type="dxa"/>
            <w:gridSpan w:val="2"/>
          </w:tcPr>
          <w:p w14:paraId="71B62667" w14:textId="77777777" w:rsidR="00714C90" w:rsidRPr="00496684" w:rsidRDefault="00714C90" w:rsidP="00714C90">
            <w:pPr>
              <w:spacing w:after="0" w:line="240" w:lineRule="auto"/>
              <w:rPr>
                <w:rFonts w:ascii="Times New Roman" w:hAnsi="Times New Roman"/>
                <w:snapToGrid w:val="0"/>
                <w:lang w:val="it-IT"/>
              </w:rPr>
            </w:pPr>
            <w:r w:rsidRPr="00496684">
              <w:rPr>
                <w:rFonts w:ascii="Times New Roman" w:hAnsi="Times New Roman"/>
                <w:b/>
                <w:lang w:val="it-IT"/>
              </w:rPr>
              <w:t>Patologie epatobiliari</w:t>
            </w:r>
          </w:p>
        </w:tc>
      </w:tr>
      <w:tr w:rsidR="00714C90" w:rsidRPr="00496684" w14:paraId="1B0E1BC3" w14:textId="77777777" w:rsidTr="00AF494A">
        <w:tc>
          <w:tcPr>
            <w:tcW w:w="2235" w:type="dxa"/>
          </w:tcPr>
          <w:p w14:paraId="45B4D496"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454C4C0B"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Aumento degli enzimi epatici</w:t>
            </w:r>
          </w:p>
        </w:tc>
      </w:tr>
      <w:tr w:rsidR="00714C90" w:rsidRPr="00496684" w14:paraId="5948A693" w14:textId="77777777" w:rsidTr="00AF494A">
        <w:tc>
          <w:tcPr>
            <w:tcW w:w="2235" w:type="dxa"/>
          </w:tcPr>
          <w:p w14:paraId="074BD28C"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02D8FC03"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Iperbilirubinemia, epatite, ittero</w:t>
            </w:r>
          </w:p>
        </w:tc>
      </w:tr>
      <w:tr w:rsidR="00714C90" w:rsidRPr="00496684" w14:paraId="4D5D5849" w14:textId="77777777" w:rsidTr="00AF494A">
        <w:tc>
          <w:tcPr>
            <w:tcW w:w="2235" w:type="dxa"/>
          </w:tcPr>
          <w:p w14:paraId="532B4B0B"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3EEAB638"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Insufficienza epatica</w:t>
            </w:r>
            <w:r w:rsidRPr="00496684">
              <w:rPr>
                <w:rFonts w:ascii="Times New Roman" w:hAnsi="Times New Roman"/>
                <w:vertAlign w:val="superscript"/>
                <w:lang w:val="it-IT"/>
              </w:rPr>
              <w:t>8</w:t>
            </w:r>
            <w:r w:rsidRPr="00496684">
              <w:rPr>
                <w:rFonts w:ascii="Times New Roman" w:hAnsi="Times New Roman"/>
                <w:lang w:val="it-IT"/>
              </w:rPr>
              <w:t>, necrosi epatica</w:t>
            </w:r>
          </w:p>
        </w:tc>
      </w:tr>
      <w:tr w:rsidR="00714C90" w:rsidRPr="00496684" w14:paraId="4CF41E76" w14:textId="77777777" w:rsidTr="00AF494A">
        <w:tc>
          <w:tcPr>
            <w:tcW w:w="9322" w:type="dxa"/>
            <w:gridSpan w:val="2"/>
          </w:tcPr>
          <w:p w14:paraId="1110CF79"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della cute e del tessuto sottocutaneo</w:t>
            </w:r>
          </w:p>
        </w:tc>
      </w:tr>
      <w:tr w:rsidR="00714C90" w:rsidRPr="00496684" w14:paraId="6EA93961" w14:textId="77777777" w:rsidTr="00AF494A">
        <w:tc>
          <w:tcPr>
            <w:tcW w:w="2235" w:type="dxa"/>
          </w:tcPr>
          <w:p w14:paraId="4C4175F9"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0657BAE3"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Edema periorbitale, dermatite/eczema/eruzione cutanea</w:t>
            </w:r>
          </w:p>
        </w:tc>
      </w:tr>
      <w:tr w:rsidR="00714C90" w:rsidRPr="00496684" w14:paraId="26049871" w14:textId="77777777" w:rsidTr="00AF494A">
        <w:tc>
          <w:tcPr>
            <w:tcW w:w="2235" w:type="dxa"/>
          </w:tcPr>
          <w:p w14:paraId="6D0B30C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615C1E5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Prurito, edema facciale, secchezza della cute, eritema, alopecia, sudorazione notturna, reazioni di fotosensibilità</w:t>
            </w:r>
          </w:p>
        </w:tc>
      </w:tr>
      <w:tr w:rsidR="00714C90" w:rsidRPr="00496684" w14:paraId="45A75638" w14:textId="77777777" w:rsidTr="00AF494A">
        <w:tc>
          <w:tcPr>
            <w:tcW w:w="2235" w:type="dxa"/>
          </w:tcPr>
          <w:p w14:paraId="195900AB"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067B5CE4"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Eruzione cutanea pustolosa, contusioni, aumento della sudorazione, orticaria, ecchimosi, aumento della tendenza a sviluppare lividi, ipotricosi, ipopigmentazione cutanea, dermatite esfoliativa, onicoclasia, follicolite, petecchie, psoriasi, porpora, iperpigmentazione cutanea, eruzioni bollose</w:t>
            </w:r>
          </w:p>
        </w:tc>
      </w:tr>
      <w:tr w:rsidR="00714C90" w:rsidRPr="00496684" w14:paraId="572E6F5D" w14:textId="77777777" w:rsidTr="00AF494A">
        <w:tc>
          <w:tcPr>
            <w:tcW w:w="2235" w:type="dxa"/>
          </w:tcPr>
          <w:p w14:paraId="3FA36F72"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7BF73EBA"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Dermatosi neutrofila febbrile acuta (sindrome di Sweet), alterazione del colore delle unghie, edema angioneurotico, eruzione cutanea vescicolare, eritema multiforme, vasculite leucocitoclastica, sindrome di Stevens-Johnson, pustolosi esantematosa generalizzata acuta (AGEP)</w:t>
            </w:r>
          </w:p>
        </w:tc>
      </w:tr>
      <w:tr w:rsidR="00E008A6" w:rsidRPr="00496684" w14:paraId="08386C51" w14:textId="77777777" w:rsidTr="00CE7998">
        <w:trPr>
          <w:trHeight w:val="954"/>
        </w:trPr>
        <w:tc>
          <w:tcPr>
            <w:tcW w:w="2235" w:type="dxa"/>
          </w:tcPr>
          <w:p w14:paraId="2B731E20" w14:textId="77777777" w:rsidR="00E008A6" w:rsidRPr="00496684" w:rsidRDefault="00E008A6"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7A577535" w14:textId="77777777" w:rsidR="00E008A6" w:rsidRPr="00496684" w:rsidRDefault="00E008A6" w:rsidP="00714C90">
            <w:pPr>
              <w:spacing w:after="0" w:line="240" w:lineRule="auto"/>
              <w:rPr>
                <w:rFonts w:ascii="Times New Roman" w:hAnsi="Times New Roman"/>
                <w:lang w:val="it-IT"/>
              </w:rPr>
            </w:pPr>
            <w:r w:rsidRPr="00496684">
              <w:rPr>
                <w:rFonts w:ascii="Times New Roman" w:hAnsi="Times New Roman"/>
                <w:lang w:val="it-IT"/>
              </w:rPr>
              <w:t>Sindrome da eritrodisestesia palmo-plantare*, cheratosi lichenoide*, lichen planus*, necrolisi epidermica tossica*, reazione cutanea da farmaco con eosinofilia e sintomi sistemici (DRESS)*</w:t>
            </w:r>
            <w:r w:rsidR="00AD5B18" w:rsidRPr="00496684">
              <w:rPr>
                <w:rFonts w:ascii="Times New Roman" w:hAnsi="Times New Roman"/>
                <w:lang w:val="it-IT"/>
              </w:rPr>
              <w:t>, pseudoporfiria*</w:t>
            </w:r>
          </w:p>
        </w:tc>
      </w:tr>
      <w:tr w:rsidR="00714C90" w:rsidRPr="00496684" w14:paraId="5266C093" w14:textId="77777777" w:rsidTr="00AF494A">
        <w:tc>
          <w:tcPr>
            <w:tcW w:w="9322" w:type="dxa"/>
            <w:gridSpan w:val="2"/>
          </w:tcPr>
          <w:p w14:paraId="77A00EDA"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del sistema muscoloscheletrico e del tessuto connettivo</w:t>
            </w:r>
          </w:p>
        </w:tc>
      </w:tr>
      <w:tr w:rsidR="00714C90" w:rsidRPr="00496684" w14:paraId="4411405D" w14:textId="77777777" w:rsidTr="00AF494A">
        <w:tc>
          <w:tcPr>
            <w:tcW w:w="2235" w:type="dxa"/>
          </w:tcPr>
          <w:p w14:paraId="4AF69926"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Molto comune</w:t>
            </w:r>
          </w:p>
        </w:tc>
        <w:tc>
          <w:tcPr>
            <w:tcW w:w="7087" w:type="dxa"/>
          </w:tcPr>
          <w:p w14:paraId="715E2729"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Spasmi e crampi muscolari, dolore muscoloscheletrico incluso mialgia</w:t>
            </w:r>
            <w:r w:rsidR="00C91BBD" w:rsidRPr="00496684">
              <w:rPr>
                <w:rFonts w:ascii="Times New Roman" w:hAnsi="Times New Roman"/>
                <w:vertAlign w:val="superscript"/>
                <w:lang w:val="it-IT"/>
              </w:rPr>
              <w:t>9</w:t>
            </w:r>
            <w:r w:rsidRPr="00496684">
              <w:rPr>
                <w:rFonts w:ascii="Times New Roman" w:hAnsi="Times New Roman"/>
                <w:lang w:val="it-IT"/>
              </w:rPr>
              <w:t>, artralgia, dolore osseo</w:t>
            </w:r>
            <w:r w:rsidR="00C91BBD" w:rsidRPr="00496684">
              <w:rPr>
                <w:rFonts w:ascii="Times New Roman" w:hAnsi="Times New Roman"/>
                <w:vertAlign w:val="superscript"/>
                <w:lang w:val="it-IT"/>
              </w:rPr>
              <w:t>10</w:t>
            </w:r>
          </w:p>
        </w:tc>
      </w:tr>
      <w:tr w:rsidR="00714C90" w:rsidRPr="00496684" w14:paraId="1B5EF367" w14:textId="77777777" w:rsidTr="00AF494A">
        <w:tc>
          <w:tcPr>
            <w:tcW w:w="2235" w:type="dxa"/>
          </w:tcPr>
          <w:p w14:paraId="64DEFBFC"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5975E85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Gonfiore articolare</w:t>
            </w:r>
          </w:p>
        </w:tc>
      </w:tr>
      <w:tr w:rsidR="00714C90" w:rsidRPr="00496684" w14:paraId="3CF5CD28" w14:textId="77777777" w:rsidTr="00AF494A">
        <w:tc>
          <w:tcPr>
            <w:tcW w:w="2235" w:type="dxa"/>
          </w:tcPr>
          <w:p w14:paraId="24AC66D3"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04F16D2B"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Rigidità articolare e muscolare</w:t>
            </w:r>
          </w:p>
        </w:tc>
      </w:tr>
      <w:tr w:rsidR="00714C90" w:rsidRPr="00496684" w14:paraId="750372D7" w14:textId="77777777" w:rsidTr="00AF494A">
        <w:tc>
          <w:tcPr>
            <w:tcW w:w="2235" w:type="dxa"/>
          </w:tcPr>
          <w:p w14:paraId="3CCC5CC3"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070F6788"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Debolezza muscolare, artrite, rabdomiolisi/miopatia</w:t>
            </w:r>
          </w:p>
        </w:tc>
      </w:tr>
      <w:tr w:rsidR="00E008A6" w:rsidRPr="00496684" w14:paraId="1C8EC7BC" w14:textId="77777777" w:rsidTr="00AF494A">
        <w:tc>
          <w:tcPr>
            <w:tcW w:w="2235" w:type="dxa"/>
          </w:tcPr>
          <w:p w14:paraId="2059A947" w14:textId="77777777" w:rsidR="00E008A6" w:rsidRPr="00496684" w:rsidRDefault="00E008A6"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2ABFD658" w14:textId="77777777" w:rsidR="00E008A6" w:rsidRPr="00496684" w:rsidRDefault="00E008A6" w:rsidP="00714C90">
            <w:pPr>
              <w:spacing w:after="0" w:line="240" w:lineRule="auto"/>
              <w:rPr>
                <w:rFonts w:ascii="Times New Roman" w:hAnsi="Times New Roman"/>
                <w:lang w:val="it-IT"/>
              </w:rPr>
            </w:pPr>
            <w:r w:rsidRPr="00496684">
              <w:rPr>
                <w:rFonts w:ascii="Times New Roman" w:hAnsi="Times New Roman"/>
                <w:lang w:val="it-IT"/>
              </w:rPr>
              <w:t>Necrosi avascolare/necrosi dell’anca*, ritardo della crescita nei bambini*</w:t>
            </w:r>
          </w:p>
        </w:tc>
      </w:tr>
      <w:tr w:rsidR="00714C90" w:rsidRPr="00496684" w14:paraId="5B9DD782" w14:textId="77777777" w:rsidTr="00AF494A">
        <w:tc>
          <w:tcPr>
            <w:tcW w:w="9322" w:type="dxa"/>
            <w:gridSpan w:val="2"/>
          </w:tcPr>
          <w:p w14:paraId="2C914200" w14:textId="77777777" w:rsidR="00714C90" w:rsidRPr="00496684" w:rsidRDefault="00714C90" w:rsidP="00714C90">
            <w:pPr>
              <w:spacing w:after="0" w:line="240" w:lineRule="auto"/>
              <w:rPr>
                <w:rFonts w:ascii="Times New Roman" w:hAnsi="Times New Roman"/>
                <w:b/>
                <w:lang w:val="it-IT"/>
              </w:rPr>
            </w:pPr>
            <w:r w:rsidRPr="00496684">
              <w:rPr>
                <w:rFonts w:ascii="Times New Roman" w:hAnsi="Times New Roman"/>
                <w:b/>
                <w:lang w:val="it-IT"/>
              </w:rPr>
              <w:t>Patologie renali e urinarie</w:t>
            </w:r>
          </w:p>
        </w:tc>
      </w:tr>
      <w:tr w:rsidR="00714C90" w:rsidRPr="00496684" w14:paraId="3D92B0BC" w14:textId="77777777" w:rsidTr="00AF494A">
        <w:tc>
          <w:tcPr>
            <w:tcW w:w="2235" w:type="dxa"/>
          </w:tcPr>
          <w:p w14:paraId="51618A71"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2608E054"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Dolore renale, ematuria, insufficienza renale acuta, pollachiuria</w:t>
            </w:r>
          </w:p>
        </w:tc>
      </w:tr>
      <w:tr w:rsidR="00E008A6" w:rsidRPr="00496684" w14:paraId="4C072FCF" w14:textId="77777777" w:rsidTr="00AF494A">
        <w:tc>
          <w:tcPr>
            <w:tcW w:w="2235" w:type="dxa"/>
          </w:tcPr>
          <w:p w14:paraId="3F92FB4E" w14:textId="77777777" w:rsidR="00E008A6" w:rsidRPr="00496684" w:rsidRDefault="00E008A6" w:rsidP="00714C90">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04BFC578" w14:textId="77777777" w:rsidR="00E008A6" w:rsidRPr="00496684" w:rsidRDefault="00E008A6" w:rsidP="00714C90">
            <w:pPr>
              <w:spacing w:after="0" w:line="240" w:lineRule="auto"/>
              <w:rPr>
                <w:rFonts w:ascii="Times New Roman" w:hAnsi="Times New Roman"/>
                <w:lang w:val="it-IT"/>
              </w:rPr>
            </w:pPr>
            <w:r w:rsidRPr="00496684">
              <w:rPr>
                <w:rFonts w:ascii="Times New Roman" w:hAnsi="Times New Roman"/>
                <w:lang w:val="it-IT"/>
              </w:rPr>
              <w:t>Insufficienza renale cronica</w:t>
            </w:r>
          </w:p>
        </w:tc>
      </w:tr>
      <w:tr w:rsidR="00714C90" w:rsidRPr="00496684" w14:paraId="0F9162BC" w14:textId="77777777" w:rsidTr="00AF494A">
        <w:tc>
          <w:tcPr>
            <w:tcW w:w="9322" w:type="dxa"/>
            <w:gridSpan w:val="2"/>
          </w:tcPr>
          <w:p w14:paraId="4AC20046"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dell'apparato riproduttivo e della mammella</w:t>
            </w:r>
          </w:p>
        </w:tc>
      </w:tr>
      <w:tr w:rsidR="00714C90" w:rsidRPr="00496684" w14:paraId="52ACC6F8" w14:textId="77777777" w:rsidTr="00AF494A">
        <w:tc>
          <w:tcPr>
            <w:tcW w:w="2235" w:type="dxa"/>
          </w:tcPr>
          <w:p w14:paraId="57858FF3"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39F04C52"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Ginecomastia, disfunzione erettile, menorragia, mestruazioni irregolari, disfunzione sessuale, dolore al capezzolo, ingrossamento della mammella, edema scrotale</w:t>
            </w:r>
          </w:p>
        </w:tc>
      </w:tr>
      <w:tr w:rsidR="00714C90" w:rsidRPr="00496684" w14:paraId="2A2C759E" w14:textId="77777777" w:rsidTr="00AF494A">
        <w:tc>
          <w:tcPr>
            <w:tcW w:w="2235" w:type="dxa"/>
          </w:tcPr>
          <w:p w14:paraId="495A087C"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1E046892"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Corpo luteo emorragico/cisti ovarica emorragica</w:t>
            </w:r>
          </w:p>
        </w:tc>
      </w:tr>
      <w:tr w:rsidR="00714C90" w:rsidRPr="00496684" w14:paraId="1B9735E4" w14:textId="77777777" w:rsidTr="00AF494A">
        <w:tc>
          <w:tcPr>
            <w:tcW w:w="9322" w:type="dxa"/>
            <w:gridSpan w:val="2"/>
          </w:tcPr>
          <w:p w14:paraId="06A8FA4E"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Patologie sistemiche e condizioni relative alla sede di somministrazione</w:t>
            </w:r>
          </w:p>
        </w:tc>
      </w:tr>
      <w:tr w:rsidR="00714C90" w:rsidRPr="00496684" w14:paraId="1FE818DE" w14:textId="77777777" w:rsidTr="00AF494A">
        <w:tc>
          <w:tcPr>
            <w:tcW w:w="2235" w:type="dxa"/>
          </w:tcPr>
          <w:p w14:paraId="12FB1E1C"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Molto comune</w:t>
            </w:r>
          </w:p>
        </w:tc>
        <w:tc>
          <w:tcPr>
            <w:tcW w:w="7087" w:type="dxa"/>
          </w:tcPr>
          <w:p w14:paraId="46BEC714"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Ritenzione idrica ed edema, affaticamento</w:t>
            </w:r>
          </w:p>
        </w:tc>
      </w:tr>
      <w:tr w:rsidR="00714C90" w:rsidRPr="00496684" w14:paraId="697509B6" w14:textId="77777777" w:rsidTr="00AF494A">
        <w:tc>
          <w:tcPr>
            <w:tcW w:w="2235" w:type="dxa"/>
          </w:tcPr>
          <w:p w14:paraId="260EC4E2"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1FA3C97A"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Debolezza, febbre, anasarca, brividi, tremore</w:t>
            </w:r>
          </w:p>
        </w:tc>
      </w:tr>
      <w:tr w:rsidR="00714C90" w:rsidRPr="00496684" w14:paraId="0EB2E7B8" w14:textId="77777777" w:rsidTr="00AF494A">
        <w:tc>
          <w:tcPr>
            <w:tcW w:w="2235" w:type="dxa"/>
          </w:tcPr>
          <w:p w14:paraId="4A027464"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5B380209"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Dolore toracico, malessere</w:t>
            </w:r>
          </w:p>
        </w:tc>
      </w:tr>
      <w:tr w:rsidR="00714C90" w:rsidRPr="00496684" w14:paraId="69749BBA" w14:textId="77777777" w:rsidTr="00AF494A">
        <w:tc>
          <w:tcPr>
            <w:tcW w:w="9322" w:type="dxa"/>
            <w:gridSpan w:val="2"/>
          </w:tcPr>
          <w:p w14:paraId="00702629"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b/>
                <w:lang w:val="it-IT"/>
              </w:rPr>
              <w:t>Esami diagnostici</w:t>
            </w:r>
          </w:p>
        </w:tc>
      </w:tr>
      <w:tr w:rsidR="00714C90" w:rsidRPr="00496684" w14:paraId="491F02E0" w14:textId="77777777" w:rsidTr="00AF494A">
        <w:tc>
          <w:tcPr>
            <w:tcW w:w="2235" w:type="dxa"/>
          </w:tcPr>
          <w:p w14:paraId="39872E8D"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12119F7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Aumento di peso</w:t>
            </w:r>
          </w:p>
        </w:tc>
      </w:tr>
      <w:tr w:rsidR="00714C90" w:rsidRPr="00496684" w14:paraId="135D990D" w14:textId="77777777" w:rsidTr="00AF494A">
        <w:tc>
          <w:tcPr>
            <w:tcW w:w="2235" w:type="dxa"/>
          </w:tcPr>
          <w:p w14:paraId="45BE2E21"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2BFC9144"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Diminuzione di peso</w:t>
            </w:r>
          </w:p>
        </w:tc>
      </w:tr>
      <w:tr w:rsidR="00714C90" w:rsidRPr="00496684" w14:paraId="7BA3E6C9" w14:textId="77777777" w:rsidTr="00AF494A">
        <w:tc>
          <w:tcPr>
            <w:tcW w:w="2235" w:type="dxa"/>
          </w:tcPr>
          <w:p w14:paraId="08C535CF"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10ADEE84"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Aumento della creatinina ematica, aumento della creatinfosfochinasi ematica, aumento della lattato deidrogenasi ematica, aumento della fosfatasi alcalina ematica</w:t>
            </w:r>
          </w:p>
        </w:tc>
      </w:tr>
      <w:tr w:rsidR="00714C90" w:rsidRPr="00496684" w14:paraId="265465F5" w14:textId="77777777" w:rsidTr="00AF494A">
        <w:tc>
          <w:tcPr>
            <w:tcW w:w="2235" w:type="dxa"/>
          </w:tcPr>
          <w:p w14:paraId="59D9ACFF" w14:textId="77777777" w:rsidR="00714C90" w:rsidRPr="00496684" w:rsidRDefault="00714C90" w:rsidP="00714C90">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0ECE95C5" w14:textId="77777777" w:rsidR="00714C90" w:rsidRPr="00496684" w:rsidRDefault="00714C90" w:rsidP="00714C90">
            <w:pPr>
              <w:spacing w:after="0" w:line="240" w:lineRule="auto"/>
              <w:rPr>
                <w:rFonts w:ascii="Times New Roman" w:hAnsi="Times New Roman"/>
                <w:lang w:val="it-IT"/>
              </w:rPr>
            </w:pPr>
            <w:r w:rsidRPr="00496684">
              <w:rPr>
                <w:rFonts w:ascii="Times New Roman" w:hAnsi="Times New Roman"/>
                <w:lang w:val="it-IT"/>
              </w:rPr>
              <w:t>Aumento dell’amilasi ematica</w:t>
            </w:r>
          </w:p>
        </w:tc>
      </w:tr>
    </w:tbl>
    <w:p w14:paraId="0ED8351C" w14:textId="77777777" w:rsidR="00B15A66" w:rsidRPr="00496684" w:rsidRDefault="00B15A66" w:rsidP="00FB4DA5">
      <w:pPr>
        <w:autoSpaceDE w:val="0"/>
        <w:autoSpaceDN w:val="0"/>
        <w:adjustRightInd w:val="0"/>
        <w:spacing w:after="0" w:line="240" w:lineRule="auto"/>
        <w:rPr>
          <w:rFonts w:ascii="Times New Roman" w:hAnsi="Times New Roman"/>
          <w:lang w:val="it-IT"/>
        </w:rPr>
      </w:pPr>
    </w:p>
    <w:p w14:paraId="177A2321" w14:textId="77777777" w:rsidR="00E008A6" w:rsidRPr="00496684" w:rsidRDefault="00E008A6" w:rsidP="00E008A6">
      <w:pPr>
        <w:widowControl w:val="0"/>
        <w:ind w:left="567" w:hanging="567"/>
        <w:jc w:val="both"/>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Questi tipi di reazioni sono stati segnalati principalmente dall’esperienza post-marketing con imatinib. Comprendono segnalazioni spontanee ed eventi avversi gravi riportati in studi in corso, programmi di accesso allargato, studi di farmacologia clinica e studi esplorativi nelle indicazioni non approvate. Poiché tali reazioni sono segnalate in una popolazione di dimensioni sconosciute, non è sempre possibile stimarne in modo affidabile la frequenza o stabilire una relazione causale con l’esposizione ad imatinib.</w:t>
      </w:r>
    </w:p>
    <w:p w14:paraId="43A2660E" w14:textId="77777777" w:rsidR="00FB4DA5" w:rsidRPr="00496684" w:rsidRDefault="00FB4DA5"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1</w:t>
      </w:r>
      <w:r w:rsidRPr="00496684">
        <w:rPr>
          <w:rFonts w:ascii="Times New Roman" w:hAnsi="Times New Roman"/>
          <w:lang w:val="it-IT"/>
        </w:rPr>
        <w:tab/>
        <w:t xml:space="preserve">Polmonite è stata segnalata più comunemente nei pazienti con LMC </w:t>
      </w:r>
      <w:r w:rsidR="004D049F" w:rsidRPr="00496684">
        <w:rPr>
          <w:rFonts w:ascii="Times New Roman" w:hAnsi="Times New Roman"/>
          <w:lang w:val="it-IT"/>
        </w:rPr>
        <w:t xml:space="preserve">accelerata </w:t>
      </w:r>
      <w:r w:rsidRPr="00496684">
        <w:rPr>
          <w:rFonts w:ascii="Times New Roman" w:hAnsi="Times New Roman"/>
          <w:lang w:val="it-IT"/>
        </w:rPr>
        <w:t>e nei pazienti con GIST.</w:t>
      </w:r>
    </w:p>
    <w:p w14:paraId="48320259" w14:textId="77777777" w:rsidR="00FB4DA5" w:rsidRPr="00496684" w:rsidRDefault="00FB4DA5"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2</w:t>
      </w:r>
      <w:r w:rsidRPr="00496684">
        <w:rPr>
          <w:rFonts w:ascii="Times New Roman" w:hAnsi="Times New Roman"/>
          <w:lang w:val="it-IT"/>
        </w:rPr>
        <w:tab/>
        <w:t>La cefalea è stata più comune nei pazienti con GIST.</w:t>
      </w:r>
    </w:p>
    <w:p w14:paraId="4190F350" w14:textId="77777777" w:rsidR="00FB4DA5" w:rsidRPr="00496684" w:rsidRDefault="00FB4DA5"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3</w:t>
      </w:r>
      <w:r w:rsidRPr="00496684">
        <w:rPr>
          <w:rFonts w:ascii="Times New Roman" w:hAnsi="Times New Roman"/>
          <w:lang w:val="it-IT"/>
        </w:rPr>
        <w:tab/>
        <w:t xml:space="preserve">Su base paziente-anno, gli eventi cardiaci incluso lo scompenso cardiaco congestizio sono stati osservati più comunemente nei pazienti con LMC </w:t>
      </w:r>
      <w:r w:rsidR="004D049F" w:rsidRPr="00496684">
        <w:rPr>
          <w:rFonts w:ascii="Times New Roman" w:hAnsi="Times New Roman"/>
          <w:lang w:val="it-IT"/>
        </w:rPr>
        <w:t xml:space="preserve">accelerata </w:t>
      </w:r>
      <w:r w:rsidRPr="00496684">
        <w:rPr>
          <w:rFonts w:ascii="Times New Roman" w:hAnsi="Times New Roman"/>
          <w:lang w:val="it-IT"/>
        </w:rPr>
        <w:t>rispetto ai pazienti con LMC cronica.</w:t>
      </w:r>
    </w:p>
    <w:p w14:paraId="70D31BE0" w14:textId="77777777" w:rsidR="00FB4DA5" w:rsidRPr="00496684" w:rsidRDefault="00FB4DA5"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4</w:t>
      </w:r>
      <w:r w:rsidRPr="00496684">
        <w:rPr>
          <w:rFonts w:ascii="Times New Roman" w:hAnsi="Times New Roman"/>
          <w:lang w:val="it-IT"/>
        </w:rPr>
        <w:tab/>
        <w:t xml:space="preserve">Le vampate sono state più comuni nei pazienti con GIST ed il sanguinamento (ematoma, emorragia) è stato più comune nei pazienti con GIST e con LMC </w:t>
      </w:r>
      <w:r w:rsidR="004D049F" w:rsidRPr="00496684">
        <w:rPr>
          <w:rFonts w:ascii="Times New Roman" w:hAnsi="Times New Roman"/>
          <w:lang w:val="it-IT"/>
        </w:rPr>
        <w:t xml:space="preserve">accelerata </w:t>
      </w:r>
      <w:r w:rsidRPr="00496684">
        <w:rPr>
          <w:rFonts w:ascii="Times New Roman" w:hAnsi="Times New Roman"/>
          <w:lang w:val="it-IT"/>
        </w:rPr>
        <w:t>(LMC-AP e LMC-BC).</w:t>
      </w:r>
    </w:p>
    <w:p w14:paraId="6DE15C14" w14:textId="77777777" w:rsidR="00FB4DA5" w:rsidRPr="00496684" w:rsidRDefault="00FB4DA5"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5</w:t>
      </w:r>
      <w:r w:rsidRPr="00496684">
        <w:rPr>
          <w:rFonts w:ascii="Times New Roman" w:hAnsi="Times New Roman"/>
          <w:lang w:val="it-IT"/>
        </w:rPr>
        <w:tab/>
        <w:t xml:space="preserve">Effusione pleurica è stata segnalata più comunemente nei pazienti con GIST e nei pazienti con LMC </w:t>
      </w:r>
      <w:r w:rsidR="004D049F" w:rsidRPr="00496684">
        <w:rPr>
          <w:rFonts w:ascii="Times New Roman" w:hAnsi="Times New Roman"/>
          <w:lang w:val="it-IT"/>
        </w:rPr>
        <w:t xml:space="preserve">accelerata </w:t>
      </w:r>
      <w:r w:rsidRPr="00496684">
        <w:rPr>
          <w:rFonts w:ascii="Times New Roman" w:hAnsi="Times New Roman"/>
          <w:lang w:val="it-IT"/>
        </w:rPr>
        <w:t>(LMC-AP e LMC-BC) rispetto ai pazienti con LMC cronica.</w:t>
      </w:r>
    </w:p>
    <w:p w14:paraId="79966745" w14:textId="77777777" w:rsidR="00FB4DA5" w:rsidRPr="00496684" w:rsidRDefault="00FB4DA5"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6+7</w:t>
      </w:r>
      <w:r w:rsidRPr="00496684">
        <w:rPr>
          <w:rFonts w:ascii="Times New Roman" w:hAnsi="Times New Roman"/>
          <w:lang w:val="it-IT"/>
        </w:rPr>
        <w:tab/>
        <w:t>Dolore addominale ed emorragia gastrointestinale sono stati osservati più comunemente nei pazienti con GIST.</w:t>
      </w:r>
    </w:p>
    <w:p w14:paraId="1A04B396" w14:textId="77777777" w:rsidR="00FB4DA5" w:rsidRPr="00496684" w:rsidRDefault="00FB4DA5"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8</w:t>
      </w:r>
      <w:r w:rsidRPr="00496684">
        <w:rPr>
          <w:rFonts w:ascii="Times New Roman" w:hAnsi="Times New Roman"/>
          <w:lang w:val="it-IT"/>
        </w:rPr>
        <w:tab/>
        <w:t>Sono stati segnalati alcuni casi fatali di insufficienza epatica e di necrosi epatica.</w:t>
      </w:r>
    </w:p>
    <w:p w14:paraId="416A3C29" w14:textId="77777777" w:rsidR="00B36D4C" w:rsidRPr="00496684" w:rsidRDefault="00B36D4C" w:rsidP="00FB4DA5">
      <w:pPr>
        <w:widowControl w:val="0"/>
        <w:spacing w:after="0" w:line="240" w:lineRule="auto"/>
        <w:ind w:left="567" w:hanging="567"/>
        <w:rPr>
          <w:rFonts w:ascii="Times New Roman" w:hAnsi="Times New Roman"/>
          <w:lang w:val="it-IT"/>
        </w:rPr>
      </w:pPr>
      <w:r w:rsidRPr="00496684">
        <w:rPr>
          <w:rFonts w:ascii="Times New Roman" w:eastAsia="Times New Roman" w:hAnsi="Times New Roman"/>
          <w:lang w:val="it-IT" w:eastAsia="it-IT"/>
        </w:rPr>
        <w:t>9</w:t>
      </w:r>
      <w:r w:rsidRPr="00496684">
        <w:rPr>
          <w:rFonts w:ascii="Times New Roman" w:eastAsia="Times New Roman" w:hAnsi="Times New Roman"/>
          <w:lang w:val="it-IT" w:eastAsia="it-IT"/>
        </w:rPr>
        <w:tab/>
        <w:t>Dolore muscoloscheletrico è stato osservato, dopo la commercializzazione, durante il trattamento con imatinib o dopo l’interruzione del trattamento.</w:t>
      </w:r>
    </w:p>
    <w:p w14:paraId="2392D35A" w14:textId="77777777" w:rsidR="00FB4DA5" w:rsidRPr="00496684" w:rsidRDefault="00B36D4C" w:rsidP="00FB4DA5">
      <w:pPr>
        <w:widowControl w:val="0"/>
        <w:spacing w:after="0" w:line="240" w:lineRule="auto"/>
        <w:ind w:left="567" w:hanging="567"/>
        <w:rPr>
          <w:rFonts w:ascii="Times New Roman" w:hAnsi="Times New Roman"/>
          <w:lang w:val="it-IT"/>
        </w:rPr>
      </w:pPr>
      <w:r w:rsidRPr="00496684">
        <w:rPr>
          <w:rFonts w:ascii="Times New Roman" w:hAnsi="Times New Roman"/>
          <w:lang w:val="it-IT"/>
        </w:rPr>
        <w:t>10</w:t>
      </w:r>
      <w:r w:rsidR="00FB4DA5" w:rsidRPr="00496684">
        <w:rPr>
          <w:rFonts w:ascii="Times New Roman" w:hAnsi="Times New Roman"/>
          <w:lang w:val="it-IT"/>
        </w:rPr>
        <w:tab/>
        <w:t>Dolore muscoloscheletrico ed eventi correlati sono stati osservati più comunemente nei pazienti con LMC che nei pazienti con GIST.</w:t>
      </w:r>
    </w:p>
    <w:p w14:paraId="52C2F118" w14:textId="77777777" w:rsidR="00E008A6" w:rsidRPr="00496684" w:rsidRDefault="00B36D4C" w:rsidP="001E7ECA">
      <w:pPr>
        <w:widowControl w:val="0"/>
        <w:spacing w:after="0" w:line="240" w:lineRule="auto"/>
        <w:ind w:left="567" w:hanging="567"/>
        <w:rPr>
          <w:rFonts w:ascii="Times New Roman" w:hAnsi="Times New Roman"/>
          <w:lang w:val="it-IT"/>
        </w:rPr>
      </w:pPr>
      <w:r w:rsidRPr="00496684">
        <w:rPr>
          <w:rFonts w:ascii="Times New Roman" w:hAnsi="Times New Roman"/>
          <w:lang w:val="it-IT"/>
        </w:rPr>
        <w:t>11</w:t>
      </w:r>
      <w:r w:rsidR="00E008A6" w:rsidRPr="00496684">
        <w:rPr>
          <w:rFonts w:ascii="Times New Roman" w:hAnsi="Times New Roman"/>
          <w:lang w:val="it-IT"/>
        </w:rPr>
        <w:tab/>
        <w:t>Sono stati riportati casi fatali in pazienti con malattia avanzata, gravi infezioni, grave neutropenia ed altre gravi condizioni concomitanti.</w:t>
      </w:r>
    </w:p>
    <w:p w14:paraId="1BA817E9" w14:textId="77777777" w:rsidR="001E7ECA" w:rsidRPr="00496684" w:rsidRDefault="001E7ECA" w:rsidP="001E7ECA">
      <w:pPr>
        <w:widowControl w:val="0"/>
        <w:spacing w:after="0" w:line="240" w:lineRule="auto"/>
        <w:ind w:left="567"/>
        <w:rPr>
          <w:rFonts w:ascii="Times New Roman" w:hAnsi="Times New Roman"/>
          <w:lang w:val="it-IT"/>
        </w:rPr>
      </w:pPr>
    </w:p>
    <w:p w14:paraId="1AAA1898" w14:textId="77777777" w:rsidR="006E4320" w:rsidRPr="00496684" w:rsidRDefault="006E4320" w:rsidP="00FB4DA5">
      <w:pPr>
        <w:pStyle w:val="Text"/>
        <w:spacing w:before="0"/>
        <w:jc w:val="left"/>
        <w:rPr>
          <w:sz w:val="22"/>
          <w:lang w:val="it-IT" w:eastAsia="ja-JP"/>
        </w:rPr>
      </w:pPr>
    </w:p>
    <w:p w14:paraId="0A7E359F" w14:textId="77777777" w:rsidR="00B15A66" w:rsidRPr="00496684" w:rsidRDefault="00B15A66">
      <w:pPr>
        <w:autoSpaceDE w:val="0"/>
        <w:autoSpaceDN w:val="0"/>
        <w:adjustRightInd w:val="0"/>
        <w:spacing w:after="0" w:line="240" w:lineRule="auto"/>
        <w:rPr>
          <w:rFonts w:ascii="Times New Roman" w:hAnsi="Times New Roman"/>
          <w:lang w:val="it-IT"/>
        </w:rPr>
      </w:pPr>
    </w:p>
    <w:p w14:paraId="26DBC34B" w14:textId="77777777" w:rsidR="00197BED" w:rsidRPr="00496684" w:rsidRDefault="00197BED" w:rsidP="00197BED">
      <w:pPr>
        <w:pStyle w:val="berschrift4"/>
        <w:keepNext w:val="0"/>
        <w:widowControl w:val="0"/>
        <w:tabs>
          <w:tab w:val="clear" w:pos="567"/>
        </w:tabs>
        <w:spacing w:line="240" w:lineRule="auto"/>
        <w:jc w:val="left"/>
        <w:rPr>
          <w:b w:val="0"/>
          <w:i/>
          <w:noProof w:val="0"/>
          <w:szCs w:val="22"/>
          <w:u w:val="single"/>
          <w:lang w:val="it-IT"/>
        </w:rPr>
      </w:pPr>
      <w:r w:rsidRPr="00496684">
        <w:rPr>
          <w:b w:val="0"/>
          <w:i/>
          <w:noProof w:val="0"/>
          <w:szCs w:val="22"/>
          <w:u w:val="single"/>
          <w:lang w:val="it-IT"/>
        </w:rPr>
        <w:t>Anomalie nelle analisi di laboratorio:</w:t>
      </w:r>
    </w:p>
    <w:p w14:paraId="57DFE65E" w14:textId="77777777" w:rsidR="00197BED" w:rsidRPr="00496684" w:rsidRDefault="00197BED" w:rsidP="00197BED">
      <w:pPr>
        <w:pStyle w:val="Text"/>
        <w:widowControl w:val="0"/>
        <w:spacing w:before="0"/>
        <w:jc w:val="left"/>
        <w:rPr>
          <w:i/>
          <w:sz w:val="22"/>
          <w:szCs w:val="22"/>
          <w:lang w:val="it-IT"/>
        </w:rPr>
      </w:pPr>
      <w:r w:rsidRPr="00496684">
        <w:rPr>
          <w:i/>
          <w:sz w:val="22"/>
          <w:szCs w:val="22"/>
          <w:lang w:val="it-IT"/>
        </w:rPr>
        <w:t>Ematologia</w:t>
      </w:r>
    </w:p>
    <w:p w14:paraId="439580FC" w14:textId="77777777" w:rsidR="00197BED" w:rsidRPr="00496684" w:rsidRDefault="00197BED" w:rsidP="00197BED">
      <w:pPr>
        <w:pStyle w:val="Text"/>
        <w:widowControl w:val="0"/>
        <w:spacing w:before="0"/>
        <w:jc w:val="left"/>
        <w:rPr>
          <w:sz w:val="22"/>
          <w:szCs w:val="22"/>
          <w:lang w:val="it-IT"/>
        </w:rPr>
      </w:pPr>
      <w:r w:rsidRPr="00496684">
        <w:rPr>
          <w:sz w:val="22"/>
          <w:szCs w:val="22"/>
          <w:lang w:val="it-IT"/>
        </w:rPr>
        <w:t xml:space="preserve">Nella LMC, le citopenie, ed in particolare la neutropenia e la trombocitopenia, sono state di riscontro comune in tutti gli studi, con l’indicazione di una maggiore frequenza ad alte dosi </w:t>
      </w:r>
      <w:r w:rsidRPr="00496684">
        <w:rPr>
          <w:sz w:val="22"/>
          <w:szCs w:val="22"/>
          <w:lang w:val="it-IT"/>
        </w:rPr>
        <w:sym w:font="Symbol" w:char="F0B3"/>
      </w:r>
      <w:r w:rsidRPr="00496684">
        <w:rPr>
          <w:sz w:val="22"/>
          <w:szCs w:val="22"/>
          <w:lang w:val="it-IT"/>
        </w:rPr>
        <w:t>750 mg (studio fase I). Tuttavia la comparsa di citopenia è risultata dipendere chiaramente anche dallo stadio della malattia, la frequenza di neutropenia (ANC &lt;1,0 x 10</w:t>
      </w:r>
      <w:r w:rsidRPr="00496684">
        <w:rPr>
          <w:sz w:val="22"/>
          <w:szCs w:val="22"/>
          <w:vertAlign w:val="superscript"/>
          <w:lang w:val="it-IT"/>
        </w:rPr>
        <w:t>9</w:t>
      </w:r>
      <w:r w:rsidRPr="00496684">
        <w:rPr>
          <w:sz w:val="22"/>
          <w:szCs w:val="22"/>
          <w:lang w:val="it-IT"/>
        </w:rPr>
        <w:t>/</w:t>
      </w:r>
      <w:r w:rsidR="00E62D60" w:rsidRPr="00496684">
        <w:rPr>
          <w:sz w:val="22"/>
          <w:szCs w:val="22"/>
          <w:lang w:val="it-IT"/>
        </w:rPr>
        <w:t>L</w:t>
      </w:r>
      <w:r w:rsidRPr="00496684">
        <w:rPr>
          <w:sz w:val="22"/>
          <w:szCs w:val="22"/>
          <w:lang w:val="it-IT"/>
        </w:rPr>
        <w:t>) e trombocitopenia (conteggio delle piastrine &lt;50 x 10</w:t>
      </w:r>
      <w:r w:rsidRPr="00496684">
        <w:rPr>
          <w:sz w:val="22"/>
          <w:szCs w:val="22"/>
          <w:vertAlign w:val="superscript"/>
          <w:lang w:val="it-IT"/>
        </w:rPr>
        <w:t>9</w:t>
      </w:r>
      <w:r w:rsidRPr="00496684">
        <w:rPr>
          <w:sz w:val="22"/>
          <w:szCs w:val="22"/>
          <w:lang w:val="it-IT"/>
        </w:rPr>
        <w:t>/</w:t>
      </w:r>
      <w:r w:rsidR="00E62D60" w:rsidRPr="00496684">
        <w:rPr>
          <w:sz w:val="22"/>
          <w:szCs w:val="22"/>
          <w:lang w:val="it-IT"/>
        </w:rPr>
        <w:t>L</w:t>
      </w:r>
      <w:r w:rsidRPr="00496684">
        <w:rPr>
          <w:sz w:val="22"/>
          <w:szCs w:val="22"/>
          <w:lang w:val="it-IT"/>
        </w:rPr>
        <w:t>) di grado 3 o 4 è risultata di 4 e 6 volte superiore nei pazienti in crisi blastica e in fase accelerata (59–64% e 44–63% rispettivamente per la neutropenia e la trombocitopenia) rispetto ai pazienti con LMC di nuova diagnosi in fase cronica (16,7% neutropenia e 8,9% trombocitopenia). Nella LMC di nuova diagnosi in fase cronica, la neutropenia (ANC &lt;0,5 x 10</w:t>
      </w:r>
      <w:r w:rsidRPr="00496684">
        <w:rPr>
          <w:sz w:val="22"/>
          <w:szCs w:val="22"/>
          <w:vertAlign w:val="superscript"/>
          <w:lang w:val="it-IT"/>
        </w:rPr>
        <w:t>9</w:t>
      </w:r>
      <w:r w:rsidRPr="00496684">
        <w:rPr>
          <w:sz w:val="22"/>
          <w:szCs w:val="22"/>
          <w:lang w:val="it-IT"/>
        </w:rPr>
        <w:t>/</w:t>
      </w:r>
      <w:r w:rsidR="00E62D60" w:rsidRPr="00496684">
        <w:rPr>
          <w:sz w:val="22"/>
          <w:szCs w:val="22"/>
          <w:lang w:val="it-IT"/>
        </w:rPr>
        <w:t>L</w:t>
      </w:r>
      <w:r w:rsidRPr="00496684">
        <w:rPr>
          <w:sz w:val="22"/>
          <w:szCs w:val="22"/>
          <w:lang w:val="it-IT"/>
        </w:rPr>
        <w:t>) e la trombocitopenia (conteggio delle piastrine &lt;10 x 10</w:t>
      </w:r>
      <w:r w:rsidRPr="00496684">
        <w:rPr>
          <w:sz w:val="22"/>
          <w:szCs w:val="22"/>
          <w:vertAlign w:val="superscript"/>
          <w:lang w:val="it-IT"/>
        </w:rPr>
        <w:t>9</w:t>
      </w:r>
      <w:r w:rsidRPr="00496684">
        <w:rPr>
          <w:sz w:val="22"/>
          <w:szCs w:val="22"/>
          <w:lang w:val="it-IT"/>
        </w:rPr>
        <w:t>/</w:t>
      </w:r>
      <w:r w:rsidR="00E62D60" w:rsidRPr="00496684">
        <w:rPr>
          <w:sz w:val="22"/>
          <w:szCs w:val="22"/>
          <w:lang w:val="it-IT"/>
        </w:rPr>
        <w:t>L</w:t>
      </w:r>
      <w:r w:rsidRPr="00496684">
        <w:rPr>
          <w:sz w:val="22"/>
          <w:szCs w:val="22"/>
          <w:lang w:val="it-IT"/>
        </w:rPr>
        <w:t xml:space="preserve">) di grado 4 sono state osservate rispettivamente nel 3,6% e in meno dell’1% dei pazienti. La durata media degli episodi neutropenici e trombocitopenici variava in genere rispettivamente da </w:t>
      </w:r>
      <w:smartTag w:uri="urn:schemas-microsoft-com:office:smarttags" w:element="metricconverter">
        <w:smartTagPr>
          <w:attr w:name="ProductID" w:val="2 a"/>
        </w:smartTagPr>
        <w:r w:rsidRPr="00496684">
          <w:rPr>
            <w:sz w:val="22"/>
            <w:szCs w:val="22"/>
            <w:lang w:val="it-IT"/>
          </w:rPr>
          <w:t>2 a</w:t>
        </w:r>
      </w:smartTag>
      <w:r w:rsidRPr="00496684">
        <w:rPr>
          <w:sz w:val="22"/>
          <w:szCs w:val="22"/>
          <w:lang w:val="it-IT"/>
        </w:rPr>
        <w:t xml:space="preserve"> 3 settimane e da </w:t>
      </w:r>
      <w:smartTag w:uri="urn:schemas-microsoft-com:office:smarttags" w:element="metricconverter">
        <w:smartTagPr>
          <w:attr w:name="ProductID" w:val="3 a"/>
        </w:smartTagPr>
        <w:r w:rsidRPr="00496684">
          <w:rPr>
            <w:sz w:val="22"/>
            <w:szCs w:val="22"/>
            <w:lang w:val="it-IT"/>
          </w:rPr>
          <w:t>3 a</w:t>
        </w:r>
      </w:smartTag>
      <w:r w:rsidRPr="00496684">
        <w:rPr>
          <w:sz w:val="22"/>
          <w:szCs w:val="22"/>
          <w:lang w:val="it-IT"/>
        </w:rPr>
        <w:t xml:space="preserve"> 4 settimane. Questi eventi possono essere gestiti generalmente sia con una riduzione della dose sia con l'interruzione del trattamento con </w:t>
      </w:r>
      <w:r w:rsidR="009339F7" w:rsidRPr="00496684">
        <w:rPr>
          <w:sz w:val="22"/>
          <w:szCs w:val="22"/>
          <w:lang w:val="it-IT"/>
        </w:rPr>
        <w:t>imatinib</w:t>
      </w:r>
      <w:r w:rsidRPr="00496684">
        <w:rPr>
          <w:sz w:val="22"/>
          <w:szCs w:val="22"/>
          <w:lang w:val="it-IT"/>
        </w:rPr>
        <w:t>. Tuttavia in casi rari possono portare ad una sospensione permanente del trattamento. Nei pazienti pediatrici con LMC le tossicità osservate con maggiore frequenza sono state citopenie di grado 3 o 4 comprendenti neutropenia, trombocitopenia ed anemia. Di solito si manifestavano entro i primi mesi di terapia.</w:t>
      </w:r>
    </w:p>
    <w:p w14:paraId="59821F68" w14:textId="77777777" w:rsidR="00197BED" w:rsidRPr="00496684" w:rsidRDefault="00197BED" w:rsidP="00197BED">
      <w:pPr>
        <w:pStyle w:val="Text"/>
        <w:widowControl w:val="0"/>
        <w:spacing w:before="0"/>
        <w:jc w:val="left"/>
        <w:rPr>
          <w:sz w:val="22"/>
          <w:szCs w:val="22"/>
          <w:lang w:val="it-IT"/>
        </w:rPr>
      </w:pPr>
    </w:p>
    <w:p w14:paraId="6FFBCD24" w14:textId="2C05B09C" w:rsidR="00197BED" w:rsidRPr="00496684" w:rsidRDefault="00197BED" w:rsidP="00197BED">
      <w:pPr>
        <w:pStyle w:val="Text"/>
        <w:widowControl w:val="0"/>
        <w:spacing w:before="0"/>
        <w:jc w:val="left"/>
        <w:rPr>
          <w:sz w:val="22"/>
          <w:szCs w:val="22"/>
          <w:lang w:val="it-IT"/>
        </w:rPr>
      </w:pPr>
      <w:r w:rsidRPr="00496684">
        <w:rPr>
          <w:sz w:val="22"/>
          <w:szCs w:val="22"/>
          <w:lang w:val="it-IT"/>
        </w:rPr>
        <w:t xml:space="preserve">Nello studio nei pazienti con GIST non operabile e/o metastatico, è stata riportata anemia di grado 3 e 4 rispettivamente nel 5,4% e nello 0,7% dei pazienti, che </w:t>
      </w:r>
      <w:r w:rsidR="00B51C4E" w:rsidRPr="00496684">
        <w:rPr>
          <w:sz w:val="22"/>
          <w:szCs w:val="22"/>
          <w:lang w:val="it-IT"/>
        </w:rPr>
        <w:t>può</w:t>
      </w:r>
      <w:r w:rsidRPr="00496684">
        <w:rPr>
          <w:sz w:val="22"/>
          <w:szCs w:val="22"/>
          <w:lang w:val="it-IT"/>
        </w:rPr>
        <w:t xml:space="preserve"> essere correlata al sanguinamento gastrointestinale o intra-tumorale almeno in alcuni di questi pazienti. E' stata osservata neutropenia di grado 3 e 4 rispettivamente nel 7,5% e nel 2,7% dei pazienti, e trombocitopenia di grado 3 nello 0,7% dei pazienti. Nessun paziente ha sviluppato trombocitopenia di grado 4. La diminuzione dei leucociti (WBC) e della conta dei neutrofili si è verificata per lo più durante le prime sei settimane di terapia, con valori che si sono mantenuti relativamente stabili successivamente.</w:t>
      </w:r>
    </w:p>
    <w:p w14:paraId="29F9E1A7" w14:textId="77777777" w:rsidR="00197BED" w:rsidRPr="00496684" w:rsidRDefault="00197BED" w:rsidP="00197BED">
      <w:pPr>
        <w:pStyle w:val="Text"/>
        <w:widowControl w:val="0"/>
        <w:spacing w:before="0"/>
        <w:jc w:val="left"/>
        <w:rPr>
          <w:sz w:val="22"/>
          <w:szCs w:val="22"/>
          <w:lang w:val="it-IT"/>
        </w:rPr>
      </w:pPr>
    </w:p>
    <w:p w14:paraId="72529C01" w14:textId="77777777" w:rsidR="00197BED" w:rsidRPr="00496684" w:rsidRDefault="00197BED" w:rsidP="00197BED">
      <w:pPr>
        <w:pStyle w:val="Text"/>
        <w:widowControl w:val="0"/>
        <w:spacing w:before="0"/>
        <w:jc w:val="left"/>
        <w:rPr>
          <w:i/>
          <w:sz w:val="22"/>
          <w:szCs w:val="22"/>
          <w:lang w:val="it-IT"/>
        </w:rPr>
      </w:pPr>
      <w:r w:rsidRPr="00496684">
        <w:rPr>
          <w:i/>
          <w:sz w:val="22"/>
          <w:szCs w:val="22"/>
          <w:lang w:val="it-IT"/>
        </w:rPr>
        <w:t>Biochimica</w:t>
      </w:r>
    </w:p>
    <w:p w14:paraId="6637D87C" w14:textId="77777777" w:rsidR="00197BED" w:rsidRPr="00496684" w:rsidRDefault="00197BED" w:rsidP="00197BED">
      <w:pPr>
        <w:pStyle w:val="Text"/>
        <w:widowControl w:val="0"/>
        <w:spacing w:before="0"/>
        <w:jc w:val="left"/>
        <w:rPr>
          <w:sz w:val="22"/>
          <w:szCs w:val="22"/>
          <w:lang w:val="it-IT"/>
        </w:rPr>
      </w:pPr>
      <w:r w:rsidRPr="00496684">
        <w:rPr>
          <w:sz w:val="22"/>
          <w:szCs w:val="22"/>
          <w:lang w:val="it-IT"/>
        </w:rPr>
        <w:t xml:space="preserve">Nei pazienti con LMC è stato osservato un grave innalzamento delle transaminasi (&lt;5%) o della bilirubina (&lt;1%) e generalmente è stato gestito con una riduzione della dose o con una interruzione del trattamento (la durata media di questi episodi è stata approssimativamente di una settimana). Il trattamento è stato sospeso permanentemente in meno dell’1% dei pazienti con LMC a causa di anomalie nelle analisi epatiche di laboratorio. Nei pazienti con GIST (studio B2222) è stato osservato nel 6,8% un aumento della </w:t>
      </w:r>
      <w:smartTag w:uri="urn:schemas-microsoft-com:office:smarttags" w:element="stockticker">
        <w:r w:rsidRPr="00496684">
          <w:rPr>
            <w:sz w:val="22"/>
            <w:szCs w:val="22"/>
            <w:lang w:val="it-IT"/>
          </w:rPr>
          <w:t>ALT</w:t>
        </w:r>
      </w:smartTag>
      <w:r w:rsidRPr="00496684">
        <w:rPr>
          <w:sz w:val="22"/>
          <w:szCs w:val="22"/>
          <w:lang w:val="it-IT"/>
        </w:rPr>
        <w:t xml:space="preserve"> (alanina aminotrasferasi) di grado 3 o 4 e nel 4,8% un aumento della AST (aspartato aminotrasferasi) di grado 3 o 4. L’aumento della bilirubina è stato inferiore al 3%.</w:t>
      </w:r>
    </w:p>
    <w:p w14:paraId="0778EC49" w14:textId="77777777" w:rsidR="00197BED" w:rsidRPr="00496684" w:rsidRDefault="00197BED" w:rsidP="00197BED">
      <w:pPr>
        <w:pStyle w:val="Text"/>
        <w:widowControl w:val="0"/>
        <w:spacing w:before="0"/>
        <w:jc w:val="left"/>
        <w:rPr>
          <w:sz w:val="22"/>
          <w:szCs w:val="22"/>
          <w:lang w:val="it-IT"/>
        </w:rPr>
      </w:pPr>
    </w:p>
    <w:p w14:paraId="450D5AD3" w14:textId="77777777" w:rsidR="00197BED" w:rsidRPr="00496684" w:rsidRDefault="00197BED" w:rsidP="00A65D96">
      <w:pPr>
        <w:pStyle w:val="Text"/>
        <w:widowControl w:val="0"/>
        <w:spacing w:before="0"/>
        <w:jc w:val="left"/>
        <w:rPr>
          <w:sz w:val="22"/>
          <w:szCs w:val="22"/>
          <w:lang w:val="it-IT"/>
        </w:rPr>
      </w:pPr>
      <w:r w:rsidRPr="00496684">
        <w:rPr>
          <w:sz w:val="22"/>
          <w:szCs w:val="22"/>
          <w:lang w:val="it-IT"/>
        </w:rPr>
        <w:t>Ci sono stati casi di epatite citolitica e colestatica e di insufficienza epatica; in alcuni dei quali l’esito è stato fatale, incluso un paziente in trattamento con dosi elevate di paracetamolo.</w:t>
      </w:r>
    </w:p>
    <w:p w14:paraId="2C62343C" w14:textId="77777777" w:rsidR="00B36D4C" w:rsidRPr="00496684" w:rsidRDefault="00B36D4C" w:rsidP="00A65D96">
      <w:pPr>
        <w:pStyle w:val="Text"/>
        <w:widowControl w:val="0"/>
        <w:spacing w:before="0"/>
        <w:jc w:val="left"/>
        <w:rPr>
          <w:sz w:val="22"/>
          <w:szCs w:val="22"/>
          <w:lang w:val="it-IT"/>
        </w:rPr>
      </w:pPr>
    </w:p>
    <w:p w14:paraId="4E7AA4A2" w14:textId="77777777" w:rsidR="00B36D4C" w:rsidRPr="00496684" w:rsidRDefault="00B36D4C" w:rsidP="00B36D4C">
      <w:pPr>
        <w:keepNext/>
        <w:spacing w:after="0" w:line="240" w:lineRule="auto"/>
        <w:rPr>
          <w:rFonts w:ascii="Times New Roman" w:eastAsia="Times New Roman" w:hAnsi="Times New Roman"/>
          <w:noProof/>
          <w:color w:val="000000"/>
          <w:u w:val="single"/>
          <w:lang w:val="it-IT" w:eastAsia="it-IT"/>
        </w:rPr>
      </w:pPr>
      <w:r w:rsidRPr="00496684">
        <w:rPr>
          <w:rFonts w:ascii="Times New Roman" w:eastAsia="Times New Roman" w:hAnsi="Times New Roman"/>
          <w:noProof/>
          <w:color w:val="000000"/>
          <w:u w:val="single"/>
          <w:lang w:val="it-IT" w:eastAsia="it-IT"/>
        </w:rPr>
        <w:t>Descrizione di reazioni avverse selezionate</w:t>
      </w:r>
    </w:p>
    <w:p w14:paraId="520AB597" w14:textId="77777777" w:rsidR="00B36D4C" w:rsidRPr="00496684" w:rsidRDefault="00B36D4C" w:rsidP="00B36D4C">
      <w:pPr>
        <w:keepNext/>
        <w:spacing w:after="0" w:line="240" w:lineRule="auto"/>
        <w:rPr>
          <w:rFonts w:ascii="Times New Roman" w:eastAsia="Times New Roman" w:hAnsi="Times New Roman"/>
          <w:i/>
          <w:noProof/>
          <w:color w:val="000000"/>
          <w:lang w:val="it-IT" w:eastAsia="it-IT"/>
        </w:rPr>
      </w:pPr>
      <w:r w:rsidRPr="00496684">
        <w:rPr>
          <w:rFonts w:ascii="Times New Roman" w:eastAsia="Times New Roman" w:hAnsi="Times New Roman"/>
          <w:i/>
          <w:noProof/>
          <w:color w:val="000000"/>
          <w:u w:val="single"/>
          <w:lang w:val="it-IT" w:eastAsia="it-IT"/>
        </w:rPr>
        <w:t>Riattivazione della epatite B</w:t>
      </w:r>
    </w:p>
    <w:p w14:paraId="7FE53A6B" w14:textId="77777777" w:rsidR="00B36D4C" w:rsidRPr="00496684" w:rsidRDefault="00B36D4C" w:rsidP="00B36D4C">
      <w:pPr>
        <w:pStyle w:val="Text"/>
        <w:widowControl w:val="0"/>
        <w:spacing w:before="0"/>
        <w:jc w:val="left"/>
        <w:rPr>
          <w:sz w:val="22"/>
          <w:szCs w:val="22"/>
          <w:lang w:val="it-IT"/>
        </w:rPr>
      </w:pPr>
      <w:r w:rsidRPr="00496684">
        <w:rPr>
          <w:noProof/>
          <w:color w:val="000000"/>
          <w:sz w:val="22"/>
          <w:szCs w:val="22"/>
          <w:lang w:val="it-IT"/>
        </w:rPr>
        <w:t>La riattivazione dell’epatite B è stata riportata in associazione con Bcr-Abl TKIs. Alcuni casi hanno avuto come conseguenza insufficienza epatica acuta o epatite fulminante portando al trapianto del fegato o a un esito fatale (vedere paragrafo 4.4).</w:t>
      </w:r>
    </w:p>
    <w:p w14:paraId="17FF0F8A" w14:textId="77777777" w:rsidR="005E14D4" w:rsidRPr="00496684" w:rsidRDefault="005E14D4" w:rsidP="00A65D96">
      <w:pPr>
        <w:pStyle w:val="Text"/>
        <w:widowControl w:val="0"/>
        <w:spacing w:before="0"/>
        <w:jc w:val="left"/>
        <w:rPr>
          <w:sz w:val="22"/>
          <w:szCs w:val="22"/>
          <w:lang w:val="it-IT"/>
        </w:rPr>
      </w:pPr>
    </w:p>
    <w:p w14:paraId="2F03CD91" w14:textId="77777777" w:rsidR="005B3BE5" w:rsidRPr="00496684" w:rsidRDefault="005B3BE5" w:rsidP="005B3BE5">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Segnalazione delle reazioni avverse sospette</w:t>
      </w:r>
    </w:p>
    <w:p w14:paraId="3FF20280" w14:textId="77777777" w:rsidR="005B3BE5" w:rsidRPr="00496684" w:rsidRDefault="005B3BE5" w:rsidP="005B3BE5">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496684">
        <w:rPr>
          <w:rFonts w:ascii="Times New Roman" w:eastAsia="Times New Roman" w:hAnsi="Times New Roman"/>
          <w:highlight w:val="lightGray"/>
          <w:lang w:val="it-IT" w:eastAsia="it-IT"/>
        </w:rPr>
        <w:t>il sistema nazionale di segnalazione riportato nell’</w:t>
      </w:r>
      <w:hyperlink r:id="rId13" w:history="1">
        <w:r w:rsidR="00A23E54" w:rsidRPr="00496684">
          <w:rPr>
            <w:rStyle w:val="Hyperlink"/>
            <w:rFonts w:ascii="Times New Roman" w:hAnsi="Times New Roman"/>
            <w:noProof/>
            <w:highlight w:val="lightGray"/>
            <w:lang w:val="it-IT"/>
          </w:rPr>
          <w:t>Allegato V</w:t>
        </w:r>
      </w:hyperlink>
      <w:r w:rsidRPr="00496684">
        <w:rPr>
          <w:rFonts w:ascii="Times New Roman" w:eastAsia="Times New Roman" w:hAnsi="Times New Roman"/>
          <w:highlight w:val="lightGray"/>
          <w:lang w:val="it-IT" w:eastAsia="it-IT"/>
        </w:rPr>
        <w:t>.</w:t>
      </w:r>
    </w:p>
    <w:p w14:paraId="4256C5A3" w14:textId="77777777" w:rsidR="005E14D4" w:rsidRPr="00496684" w:rsidRDefault="005E14D4" w:rsidP="00197BED">
      <w:pPr>
        <w:pStyle w:val="Text"/>
        <w:widowControl w:val="0"/>
        <w:spacing w:before="0"/>
        <w:jc w:val="left"/>
        <w:rPr>
          <w:sz w:val="22"/>
          <w:szCs w:val="22"/>
          <w:lang w:val="it-IT"/>
        </w:rPr>
      </w:pPr>
    </w:p>
    <w:p w14:paraId="15E8CF97" w14:textId="77777777" w:rsidR="00D85F1D" w:rsidRPr="00496684" w:rsidRDefault="00D85F1D" w:rsidP="00D85F1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4.9</w:t>
      </w:r>
      <w:r w:rsidRPr="00496684">
        <w:rPr>
          <w:rFonts w:ascii="Times New Roman" w:hAnsi="Times New Roman"/>
          <w:b/>
          <w:bCs/>
          <w:lang w:val="it-IT"/>
        </w:rPr>
        <w:tab/>
      </w:r>
      <w:r w:rsidR="00197BED" w:rsidRPr="00496684">
        <w:rPr>
          <w:rFonts w:ascii="Times New Roman" w:hAnsi="Times New Roman"/>
          <w:b/>
          <w:lang w:val="it-IT"/>
        </w:rPr>
        <w:t>Sovradosaggio</w:t>
      </w:r>
    </w:p>
    <w:p w14:paraId="1F709160" w14:textId="77777777" w:rsidR="00D85F1D" w:rsidRPr="00496684" w:rsidRDefault="00D43D72" w:rsidP="00B2027E">
      <w:pPr>
        <w:tabs>
          <w:tab w:val="left" w:pos="3195"/>
        </w:tabs>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ab/>
      </w:r>
    </w:p>
    <w:p w14:paraId="3C85C839" w14:textId="77777777" w:rsidR="00197BED" w:rsidRPr="00496684" w:rsidRDefault="00197BED" w:rsidP="00197BED">
      <w:pPr>
        <w:widowControl w:val="0"/>
        <w:spacing w:after="0" w:line="240" w:lineRule="auto"/>
        <w:rPr>
          <w:rFonts w:ascii="Times New Roman" w:hAnsi="Times New Roman"/>
          <w:lang w:val="it-IT"/>
        </w:rPr>
      </w:pPr>
      <w:r w:rsidRPr="00496684">
        <w:rPr>
          <w:rFonts w:ascii="Times New Roman" w:hAnsi="Times New Roman"/>
          <w:lang w:val="it-IT"/>
        </w:rPr>
        <w:t xml:space="preserve">L’esperienza con dosi più alte della dose terapeutica raccomandata è limitata. Casi isolati di sovradosaggio con </w:t>
      </w:r>
      <w:r w:rsidR="009339F7" w:rsidRPr="00496684">
        <w:rPr>
          <w:rFonts w:ascii="Times New Roman" w:hAnsi="Times New Roman"/>
          <w:lang w:val="it-IT"/>
        </w:rPr>
        <w:t>i</w:t>
      </w:r>
      <w:r w:rsidR="00521ABE" w:rsidRPr="00496684">
        <w:rPr>
          <w:rFonts w:ascii="Times New Roman" w:hAnsi="Times New Roman"/>
          <w:lang w:val="it-IT"/>
        </w:rPr>
        <w:t xml:space="preserve">matinib </w:t>
      </w:r>
      <w:r w:rsidRPr="00496684">
        <w:rPr>
          <w:rFonts w:ascii="Times New Roman" w:hAnsi="Times New Roman"/>
          <w:lang w:val="it-IT"/>
        </w:rPr>
        <w:t>sono stati riportati a seguito di segnalazione spontanea e in letteratura. Nel caso di sovradosaggio il paziente deve essere tenuto in osservazione e sottoposto ad un adeguato trattamento sintomatico. In genere l’esito riportato in questi casi è stato “migliorato” o “risolto”. A diversi intervalli di dose sono stati riportati i seguenti eventi:</w:t>
      </w:r>
    </w:p>
    <w:p w14:paraId="735EFCF5" w14:textId="77777777" w:rsidR="00197BED" w:rsidRPr="00496684" w:rsidRDefault="00197BED" w:rsidP="00197BED">
      <w:pPr>
        <w:widowControl w:val="0"/>
        <w:spacing w:after="0" w:line="240" w:lineRule="auto"/>
        <w:rPr>
          <w:rFonts w:ascii="Times New Roman" w:hAnsi="Times New Roman"/>
          <w:lang w:val="it-IT"/>
        </w:rPr>
      </w:pPr>
    </w:p>
    <w:p w14:paraId="1E1B436F" w14:textId="77777777" w:rsidR="00197BED" w:rsidRPr="00496684" w:rsidRDefault="00197BED" w:rsidP="00197BED">
      <w:pPr>
        <w:widowControl w:val="0"/>
        <w:spacing w:after="0" w:line="240" w:lineRule="auto"/>
        <w:rPr>
          <w:rFonts w:ascii="Times New Roman" w:hAnsi="Times New Roman"/>
          <w:u w:val="single"/>
          <w:lang w:val="it-IT"/>
        </w:rPr>
      </w:pPr>
      <w:r w:rsidRPr="00496684">
        <w:rPr>
          <w:rFonts w:ascii="Times New Roman" w:hAnsi="Times New Roman"/>
          <w:u w:val="single"/>
          <w:lang w:val="it-IT"/>
        </w:rPr>
        <w:t>Popolazione adulta</w:t>
      </w:r>
    </w:p>
    <w:p w14:paraId="16F6B9B1" w14:textId="77777777" w:rsidR="00197BED" w:rsidRPr="00496684" w:rsidRDefault="00197BED" w:rsidP="00197BED">
      <w:pPr>
        <w:widowControl w:val="0"/>
        <w:spacing w:after="0" w:line="240" w:lineRule="auto"/>
        <w:rPr>
          <w:rFonts w:ascii="Times New Roman" w:hAnsi="Times New Roman"/>
          <w:lang w:val="it-IT"/>
        </w:rPr>
      </w:pPr>
      <w:r w:rsidRPr="00496684">
        <w:rPr>
          <w:rFonts w:ascii="Times New Roman" w:hAnsi="Times New Roman"/>
          <w:lang w:val="it-IT"/>
        </w:rPr>
        <w:t>1200</w:t>
      </w:r>
      <w:r w:rsidRPr="00496684">
        <w:rPr>
          <w:rFonts w:ascii="Times New Roman" w:hAnsi="Times New Roman"/>
          <w:lang w:val="it-IT"/>
        </w:rPr>
        <w:noBreakHyphen/>
        <w:t xml:space="preserve">1600 mg (durata del trattamento variabile da </w:t>
      </w:r>
      <w:smartTag w:uri="urn:schemas-microsoft-com:office:smarttags" w:element="metricconverter">
        <w:smartTagPr>
          <w:attr w:name="ProductID" w:val="1 a"/>
        </w:smartTagPr>
        <w:r w:rsidRPr="00496684">
          <w:rPr>
            <w:rFonts w:ascii="Times New Roman" w:hAnsi="Times New Roman"/>
            <w:lang w:val="it-IT"/>
          </w:rPr>
          <w:t>1 a</w:t>
        </w:r>
      </w:smartTag>
      <w:r w:rsidRPr="00496684">
        <w:rPr>
          <w:rFonts w:ascii="Times New Roman" w:hAnsi="Times New Roman"/>
          <w:lang w:val="it-IT"/>
        </w:rPr>
        <w:t xml:space="preserve"> 10 giorni): Nausea, vomito, diarrea, eruzione cutanea, eritema, edema, gonfiore, affaticamento, spasmi muscolari, trombocitopenia, pancitopenia, dolore addominale, cefalea, diminuzione dell’appetito.</w:t>
      </w:r>
    </w:p>
    <w:p w14:paraId="123E6FE7" w14:textId="77777777" w:rsidR="00197BED" w:rsidRPr="00496684" w:rsidRDefault="00197BED" w:rsidP="00197BED">
      <w:pPr>
        <w:widowControl w:val="0"/>
        <w:spacing w:after="0" w:line="240" w:lineRule="auto"/>
        <w:rPr>
          <w:rFonts w:ascii="Times New Roman" w:hAnsi="Times New Roman"/>
          <w:lang w:val="it-IT"/>
        </w:rPr>
      </w:pPr>
      <w:r w:rsidRPr="00496684">
        <w:rPr>
          <w:rFonts w:ascii="Times New Roman" w:hAnsi="Times New Roman"/>
          <w:lang w:val="it-IT"/>
        </w:rPr>
        <w:t>1800</w:t>
      </w:r>
      <w:r w:rsidRPr="00496684">
        <w:rPr>
          <w:rFonts w:ascii="Times New Roman" w:hAnsi="Times New Roman"/>
          <w:lang w:val="it-IT"/>
        </w:rPr>
        <w:noBreakHyphen/>
        <w:t>3200 mg (fino a 3200 mg al giorno per 6 giorni): Debolezza, mialgia, aumento della creatinfosfochinasi, aumento della bilirubina, dolore gastrointestinale.</w:t>
      </w:r>
    </w:p>
    <w:p w14:paraId="0057B807" w14:textId="77777777" w:rsidR="00197BED" w:rsidRPr="00496684" w:rsidRDefault="00197BED" w:rsidP="00197BED">
      <w:pPr>
        <w:widowControl w:val="0"/>
        <w:spacing w:after="0" w:line="240" w:lineRule="auto"/>
        <w:rPr>
          <w:rFonts w:ascii="Times New Roman" w:hAnsi="Times New Roman"/>
          <w:lang w:val="it-IT"/>
        </w:rPr>
      </w:pPr>
      <w:r w:rsidRPr="00496684">
        <w:rPr>
          <w:rFonts w:ascii="Times New Roman" w:hAnsi="Times New Roman"/>
          <w:lang w:val="it-IT"/>
        </w:rPr>
        <w:t>6400 mg (dose singola): In letteratura è stato riportato un caso di un paziente che ha presentato nausea, vomito, dolore addominale, febbre, gonfiore del viso, diminuzione della conta dei neutrofili, aumento delle transaminasi.</w:t>
      </w:r>
    </w:p>
    <w:p w14:paraId="403BA67B" w14:textId="77777777" w:rsidR="00197BED" w:rsidRPr="00496684" w:rsidRDefault="00197BED" w:rsidP="00197BED">
      <w:pPr>
        <w:widowControl w:val="0"/>
        <w:spacing w:after="0" w:line="240" w:lineRule="auto"/>
        <w:rPr>
          <w:rFonts w:ascii="Times New Roman" w:hAnsi="Times New Roman"/>
          <w:lang w:val="it-IT"/>
        </w:rPr>
      </w:pPr>
      <w:r w:rsidRPr="00496684">
        <w:rPr>
          <w:rFonts w:ascii="Times New Roman" w:hAnsi="Times New Roman"/>
          <w:lang w:val="it-IT"/>
        </w:rPr>
        <w:t>8</w:t>
      </w:r>
      <w:r w:rsidRPr="00496684">
        <w:rPr>
          <w:rFonts w:ascii="Times New Roman" w:hAnsi="Times New Roman"/>
          <w:lang w:val="it-IT"/>
        </w:rPr>
        <w:noBreakHyphen/>
        <w:t>10 g (dose singola): Sono stati riportati vomito e dolore gastrointestinale.</w:t>
      </w:r>
    </w:p>
    <w:p w14:paraId="4B6E9088" w14:textId="77777777" w:rsidR="00197BED" w:rsidRPr="00496684" w:rsidRDefault="00197BED" w:rsidP="00197BED">
      <w:pPr>
        <w:widowControl w:val="0"/>
        <w:spacing w:after="0" w:line="240" w:lineRule="auto"/>
        <w:rPr>
          <w:rFonts w:ascii="Times New Roman" w:hAnsi="Times New Roman"/>
          <w:lang w:val="it-IT"/>
        </w:rPr>
      </w:pPr>
    </w:p>
    <w:p w14:paraId="6BAB7D15" w14:textId="77777777" w:rsidR="00197BED" w:rsidRPr="00496684" w:rsidRDefault="00197BED" w:rsidP="00197BED">
      <w:pPr>
        <w:widowControl w:val="0"/>
        <w:spacing w:after="0" w:line="240" w:lineRule="auto"/>
        <w:rPr>
          <w:rFonts w:ascii="Times New Roman" w:hAnsi="Times New Roman"/>
          <w:u w:val="single"/>
          <w:lang w:val="it-IT"/>
        </w:rPr>
      </w:pPr>
      <w:r w:rsidRPr="00496684">
        <w:rPr>
          <w:rFonts w:ascii="Times New Roman" w:hAnsi="Times New Roman"/>
          <w:u w:val="single"/>
          <w:lang w:val="it-IT"/>
        </w:rPr>
        <w:t>Popolazione pediatrica</w:t>
      </w:r>
    </w:p>
    <w:p w14:paraId="2CEA7A01" w14:textId="77777777" w:rsidR="00197BED" w:rsidRPr="00496684" w:rsidRDefault="00197BED" w:rsidP="00197BED">
      <w:pPr>
        <w:widowControl w:val="0"/>
        <w:spacing w:after="0" w:line="240" w:lineRule="auto"/>
        <w:rPr>
          <w:rFonts w:ascii="Times New Roman" w:hAnsi="Times New Roman"/>
          <w:lang w:val="it-IT"/>
        </w:rPr>
      </w:pPr>
      <w:r w:rsidRPr="00496684">
        <w:rPr>
          <w:rFonts w:ascii="Times New Roman" w:hAnsi="Times New Roman"/>
          <w:lang w:val="it-IT"/>
        </w:rPr>
        <w:t>Un bambino di 3 anni esposto ad una dose singola di 400 mg ha presentato vomito, diarrea e anoressia e un altro bambino di 3 anni esposto ad una dose singola di 980 mg ha presentato diminuzione della conta dei leucociti e diarrea.</w:t>
      </w:r>
    </w:p>
    <w:p w14:paraId="3A573714" w14:textId="77777777" w:rsidR="00197BED" w:rsidRPr="00496684" w:rsidRDefault="00197BED" w:rsidP="00197BED">
      <w:pPr>
        <w:widowControl w:val="0"/>
        <w:spacing w:after="0" w:line="240" w:lineRule="auto"/>
        <w:rPr>
          <w:rFonts w:ascii="Times New Roman" w:hAnsi="Times New Roman"/>
          <w:lang w:val="it-IT"/>
        </w:rPr>
      </w:pPr>
    </w:p>
    <w:p w14:paraId="3EE8D561" w14:textId="77777777" w:rsidR="00197BED" w:rsidRPr="00496684" w:rsidRDefault="00197BED" w:rsidP="00197BED">
      <w:pPr>
        <w:widowControl w:val="0"/>
        <w:spacing w:after="0" w:line="240" w:lineRule="auto"/>
        <w:rPr>
          <w:rFonts w:ascii="Times New Roman" w:hAnsi="Times New Roman"/>
          <w:lang w:val="it-IT"/>
        </w:rPr>
      </w:pPr>
      <w:r w:rsidRPr="00496684">
        <w:rPr>
          <w:rFonts w:ascii="Times New Roman" w:hAnsi="Times New Roman"/>
          <w:lang w:val="it-IT"/>
        </w:rPr>
        <w:t>Nel caso di sovradosaggio, il paziente deve essere tenuto in osservazione e sottoposto ad un adeguato trattamento di supporto.</w:t>
      </w:r>
    </w:p>
    <w:p w14:paraId="054EBF49" w14:textId="77777777" w:rsidR="00D85F1D" w:rsidRPr="00496684" w:rsidRDefault="00D85F1D">
      <w:pPr>
        <w:autoSpaceDE w:val="0"/>
        <w:autoSpaceDN w:val="0"/>
        <w:adjustRightInd w:val="0"/>
        <w:spacing w:after="0" w:line="240" w:lineRule="auto"/>
        <w:rPr>
          <w:rFonts w:ascii="Times New Roman" w:hAnsi="Times New Roman"/>
          <w:lang w:val="it-IT"/>
        </w:rPr>
      </w:pPr>
    </w:p>
    <w:p w14:paraId="390D0D37" w14:textId="77777777" w:rsidR="00D85F1D" w:rsidRPr="00496684" w:rsidRDefault="00D85F1D">
      <w:pPr>
        <w:autoSpaceDE w:val="0"/>
        <w:autoSpaceDN w:val="0"/>
        <w:adjustRightInd w:val="0"/>
        <w:spacing w:after="0" w:line="240" w:lineRule="auto"/>
        <w:rPr>
          <w:rFonts w:ascii="Times New Roman" w:hAnsi="Times New Roman"/>
          <w:lang w:val="it-IT"/>
        </w:rPr>
      </w:pPr>
    </w:p>
    <w:p w14:paraId="44C0CB93" w14:textId="77777777" w:rsidR="00D85F1D" w:rsidRPr="00496684" w:rsidRDefault="00D85F1D" w:rsidP="00D85F1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00197BED" w:rsidRPr="00496684">
        <w:rPr>
          <w:rFonts w:ascii="Times New Roman" w:hAnsi="Times New Roman"/>
          <w:b/>
          <w:lang w:val="it-IT"/>
        </w:rPr>
        <w:t>PROPRIETÀ FARMACOLOGICHE</w:t>
      </w:r>
    </w:p>
    <w:p w14:paraId="334EA304" w14:textId="77777777" w:rsidR="00D85F1D" w:rsidRPr="00496684" w:rsidRDefault="00D85F1D" w:rsidP="00D85F1D">
      <w:pPr>
        <w:autoSpaceDE w:val="0"/>
        <w:autoSpaceDN w:val="0"/>
        <w:adjustRightInd w:val="0"/>
        <w:spacing w:after="0" w:line="240" w:lineRule="auto"/>
        <w:rPr>
          <w:rFonts w:ascii="Times New Roman" w:hAnsi="Times New Roman"/>
          <w:bCs/>
          <w:lang w:val="it-IT"/>
        </w:rPr>
      </w:pPr>
    </w:p>
    <w:p w14:paraId="6AD09768" w14:textId="77777777" w:rsidR="00D85F1D" w:rsidRPr="00496684" w:rsidRDefault="00D85F1D" w:rsidP="00D85F1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5.1</w:t>
      </w:r>
      <w:r w:rsidRPr="00496684">
        <w:rPr>
          <w:rFonts w:ascii="Times New Roman" w:hAnsi="Times New Roman"/>
          <w:b/>
          <w:bCs/>
          <w:lang w:val="it-IT"/>
        </w:rPr>
        <w:tab/>
      </w:r>
      <w:r w:rsidR="00197BED" w:rsidRPr="00496684">
        <w:rPr>
          <w:rFonts w:ascii="Times New Roman" w:hAnsi="Times New Roman"/>
          <w:b/>
          <w:lang w:val="it-IT"/>
        </w:rPr>
        <w:t>Proprietà farmacodinamiche</w:t>
      </w:r>
    </w:p>
    <w:p w14:paraId="5F4D7182" w14:textId="77777777" w:rsidR="00D85F1D" w:rsidRPr="00496684" w:rsidRDefault="00D85F1D" w:rsidP="00D85F1D">
      <w:pPr>
        <w:autoSpaceDE w:val="0"/>
        <w:autoSpaceDN w:val="0"/>
        <w:adjustRightInd w:val="0"/>
        <w:spacing w:after="0" w:line="240" w:lineRule="auto"/>
        <w:rPr>
          <w:rFonts w:ascii="Times New Roman" w:hAnsi="Times New Roman"/>
          <w:bCs/>
          <w:lang w:val="it-IT"/>
        </w:rPr>
      </w:pPr>
    </w:p>
    <w:p w14:paraId="39086477" w14:textId="77777777" w:rsidR="00197BED" w:rsidRPr="00496684" w:rsidRDefault="00197BED" w:rsidP="00197BED">
      <w:pPr>
        <w:widowControl w:val="0"/>
        <w:rPr>
          <w:rFonts w:ascii="Times New Roman" w:hAnsi="Times New Roman"/>
          <w:lang w:val="it-IT"/>
        </w:rPr>
      </w:pPr>
      <w:r w:rsidRPr="00496684">
        <w:rPr>
          <w:rFonts w:ascii="Times New Roman" w:hAnsi="Times New Roman"/>
          <w:lang w:val="it-IT"/>
        </w:rPr>
        <w:t>Categoria farmacoterapeutica: inibitore della protein-tirosin chinasi, codice ATC: L01XE01</w:t>
      </w:r>
    </w:p>
    <w:p w14:paraId="1202F3B6" w14:textId="77777777" w:rsidR="00197BED" w:rsidRPr="00496684" w:rsidRDefault="00197BED" w:rsidP="00197BED">
      <w:pPr>
        <w:pStyle w:val="Endnotentext"/>
        <w:widowControl w:val="0"/>
        <w:tabs>
          <w:tab w:val="clear" w:pos="567"/>
        </w:tabs>
        <w:rPr>
          <w:szCs w:val="22"/>
          <w:u w:val="single"/>
          <w:lang w:val="it-IT"/>
        </w:rPr>
      </w:pPr>
      <w:r w:rsidRPr="00496684">
        <w:rPr>
          <w:szCs w:val="22"/>
          <w:u w:val="single"/>
          <w:lang w:val="it-IT"/>
        </w:rPr>
        <w:t>Meccanismo d’azione</w:t>
      </w:r>
    </w:p>
    <w:p w14:paraId="164C55BA" w14:textId="1284B8BB" w:rsidR="00197BED" w:rsidRPr="00496684" w:rsidRDefault="00197BED" w:rsidP="00197BED">
      <w:pPr>
        <w:pStyle w:val="Endnotentext"/>
        <w:widowControl w:val="0"/>
        <w:tabs>
          <w:tab w:val="clear" w:pos="567"/>
        </w:tabs>
        <w:rPr>
          <w:szCs w:val="22"/>
          <w:lang w:val="it-IT"/>
        </w:rPr>
      </w:pPr>
      <w:r w:rsidRPr="00496684">
        <w:rPr>
          <w:szCs w:val="22"/>
          <w:lang w:val="it-IT"/>
        </w:rPr>
        <w:t>Imatinib è una piccola molecola inibitrice della protein-tirosin chinasi che inibisce potentemente l’attività della tirosin-chinasi Bcr</w:t>
      </w:r>
      <w:r w:rsidR="004573C6" w:rsidRPr="00496684">
        <w:rPr>
          <w:lang w:val="it-IT"/>
        </w:rPr>
        <w:noBreakHyphen/>
      </w:r>
      <w:r w:rsidRPr="00496684">
        <w:rPr>
          <w:szCs w:val="22"/>
          <w:lang w:val="it-IT"/>
        </w:rPr>
        <w:t>Abl, così come diversi recettori delle tirosin-chinasi: Kit, il recettore per il fattore della cellula staminale (SCF) codificato dal proto-oncogene c-Kit, i recettori per il dominio discoidina (DDR1 e DDR2), il recettore per il fattore stimolante le colonie (CSF-1R) e i recettori alfa e beta per il fattore di crescita derivato dalle piastrine (PDGFR-alfa e PDGFR-beta). Imatinib può anche inibire gli eventi cellulari mediati dall’attivazione di questi recettori chinasici.</w:t>
      </w:r>
    </w:p>
    <w:p w14:paraId="0981746D" w14:textId="77777777" w:rsidR="00E030B0" w:rsidRPr="00496684" w:rsidRDefault="00E030B0" w:rsidP="00E030B0">
      <w:pPr>
        <w:autoSpaceDE w:val="0"/>
        <w:autoSpaceDN w:val="0"/>
        <w:adjustRightInd w:val="0"/>
        <w:spacing w:after="0" w:line="240" w:lineRule="auto"/>
        <w:rPr>
          <w:rFonts w:ascii="Times New Roman" w:hAnsi="Times New Roman"/>
          <w:lang w:val="it-IT"/>
        </w:rPr>
      </w:pPr>
    </w:p>
    <w:p w14:paraId="465C2162" w14:textId="77777777" w:rsidR="00197BED" w:rsidRPr="00496684" w:rsidRDefault="00197BED" w:rsidP="00197BED">
      <w:pPr>
        <w:pStyle w:val="Endnotentext"/>
        <w:widowControl w:val="0"/>
        <w:tabs>
          <w:tab w:val="clear" w:pos="567"/>
        </w:tabs>
        <w:rPr>
          <w:szCs w:val="22"/>
          <w:lang w:val="it-IT"/>
        </w:rPr>
      </w:pPr>
      <w:r w:rsidRPr="00496684">
        <w:rPr>
          <w:szCs w:val="22"/>
          <w:u w:val="single"/>
          <w:lang w:val="it-IT"/>
        </w:rPr>
        <w:t>Effetti farmacodinamici</w:t>
      </w:r>
    </w:p>
    <w:p w14:paraId="577997BF" w14:textId="77777777" w:rsidR="00197BED" w:rsidRPr="00496684" w:rsidRDefault="00197BED" w:rsidP="00197BED">
      <w:pPr>
        <w:pStyle w:val="Endnotentext"/>
        <w:widowControl w:val="0"/>
        <w:tabs>
          <w:tab w:val="clear" w:pos="567"/>
        </w:tabs>
        <w:rPr>
          <w:szCs w:val="22"/>
          <w:lang w:val="it-IT"/>
        </w:rPr>
      </w:pPr>
      <w:r w:rsidRPr="00496684">
        <w:rPr>
          <w:szCs w:val="22"/>
          <w:lang w:val="it-IT"/>
        </w:rPr>
        <w:t xml:space="preserve">Imatinib è un inibitore della protein-tirosin chinasi che inibisce potentemente la tirosin-chinasi Bcr-Abl ai livelli </w:t>
      </w:r>
      <w:r w:rsidRPr="00496684">
        <w:rPr>
          <w:i/>
          <w:szCs w:val="22"/>
          <w:lang w:val="it-IT"/>
        </w:rPr>
        <w:t>in vitro</w:t>
      </w:r>
      <w:r w:rsidRPr="00496684">
        <w:rPr>
          <w:szCs w:val="22"/>
          <w:lang w:val="it-IT"/>
        </w:rPr>
        <w:t xml:space="preserve">, a livello cellulare e </w:t>
      </w:r>
      <w:r w:rsidRPr="00496684">
        <w:rPr>
          <w:i/>
          <w:szCs w:val="22"/>
          <w:lang w:val="it-IT"/>
        </w:rPr>
        <w:t>in vivo</w:t>
      </w:r>
      <w:r w:rsidRPr="00496684">
        <w:rPr>
          <w:szCs w:val="22"/>
          <w:lang w:val="it-IT"/>
        </w:rPr>
        <w:t>. Il composto inibisce selettivamente la proliferazione e induce l'apoptosi nelle linee cellulari positive Bcr-Abl e nelle cellule leucemiche fresche prelevate da pazienti affetti da LMC positiva al cromosoma Philadelphia e da leucemia linfoblastica acuta (</w:t>
      </w:r>
      <w:smartTag w:uri="urn:schemas-microsoft-com:office:smarttags" w:element="stockticker">
        <w:r w:rsidRPr="00496684">
          <w:rPr>
            <w:szCs w:val="22"/>
            <w:lang w:val="it-IT"/>
          </w:rPr>
          <w:t>ALL</w:t>
        </w:r>
      </w:smartTag>
      <w:r w:rsidRPr="00496684">
        <w:rPr>
          <w:szCs w:val="22"/>
          <w:lang w:val="it-IT"/>
        </w:rPr>
        <w:t>).</w:t>
      </w:r>
    </w:p>
    <w:p w14:paraId="6EBF70D9" w14:textId="77777777" w:rsidR="00197BED" w:rsidRPr="00496684" w:rsidRDefault="00197BED" w:rsidP="00197BED">
      <w:pPr>
        <w:pStyle w:val="Endnotentext"/>
        <w:widowControl w:val="0"/>
        <w:tabs>
          <w:tab w:val="clear" w:pos="567"/>
        </w:tabs>
        <w:rPr>
          <w:szCs w:val="22"/>
          <w:lang w:val="it-IT"/>
        </w:rPr>
      </w:pPr>
    </w:p>
    <w:p w14:paraId="41591557" w14:textId="77777777" w:rsidR="00197BED" w:rsidRPr="00496684" w:rsidRDefault="00197BED" w:rsidP="00197BED">
      <w:pPr>
        <w:pStyle w:val="Endnotentext"/>
        <w:widowControl w:val="0"/>
        <w:tabs>
          <w:tab w:val="clear" w:pos="567"/>
        </w:tabs>
        <w:rPr>
          <w:szCs w:val="22"/>
          <w:lang w:val="it-IT"/>
        </w:rPr>
      </w:pPr>
      <w:r w:rsidRPr="00496684">
        <w:rPr>
          <w:i/>
          <w:szCs w:val="22"/>
          <w:lang w:val="it-IT"/>
        </w:rPr>
        <w:t>In vivo</w:t>
      </w:r>
      <w:r w:rsidRPr="00496684">
        <w:rPr>
          <w:szCs w:val="22"/>
          <w:lang w:val="it-IT"/>
        </w:rPr>
        <w:t xml:space="preserve"> il composto evidenzia una attività antitumorale come agente singolo nei modelli animali con cellule tumorali positive a Bcr-Abl.</w:t>
      </w:r>
    </w:p>
    <w:p w14:paraId="119482A6" w14:textId="77777777" w:rsidR="00037865" w:rsidRPr="00496684" w:rsidRDefault="00037865" w:rsidP="00197BED">
      <w:pPr>
        <w:pStyle w:val="Endnotentext"/>
        <w:widowControl w:val="0"/>
        <w:tabs>
          <w:tab w:val="clear" w:pos="567"/>
        </w:tabs>
        <w:rPr>
          <w:szCs w:val="22"/>
          <w:lang w:val="it-IT"/>
        </w:rPr>
      </w:pPr>
    </w:p>
    <w:p w14:paraId="0964DE32" w14:textId="77777777" w:rsidR="007A0AD3" w:rsidRPr="00496684" w:rsidRDefault="0031051B" w:rsidP="007A0AD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è anche un inibitore del recettore delle tirosin chinasi per il fattore di crescita derivato dalle piastrine (PDGF), PDGF-R, e inibisce gli eventi cellulari mediati da PDGF. Nella patogenesi delle MDS/MPD, della HES/LEC e del DFSP sono state coinvolte l’attivazione costitutiva del recettore del PDGF o delle proteine tirosin chinasi Abl come conseguenza della fusione di diverse proteine partners o della produzione costitutiva di PDGF. Imatinib inibisce il segnale e la proliferazione di cellule guidate dalla deregolazione del PDGFR e dall’attività chinasica di Abl.</w:t>
      </w:r>
    </w:p>
    <w:p w14:paraId="7DACC701" w14:textId="77777777" w:rsidR="0031051B" w:rsidRPr="00496684" w:rsidRDefault="0031051B" w:rsidP="007A0AD3">
      <w:pPr>
        <w:autoSpaceDE w:val="0"/>
        <w:autoSpaceDN w:val="0"/>
        <w:adjustRightInd w:val="0"/>
        <w:spacing w:after="0" w:line="240" w:lineRule="auto"/>
        <w:rPr>
          <w:rFonts w:ascii="Times New Roman" w:hAnsi="Times New Roman"/>
          <w:lang w:val="it-IT"/>
        </w:rPr>
      </w:pPr>
    </w:p>
    <w:p w14:paraId="685B5CF5" w14:textId="77777777" w:rsidR="00197BED" w:rsidRPr="00496684" w:rsidRDefault="00197BED" w:rsidP="00197BED">
      <w:pPr>
        <w:pStyle w:val="Endnotentext"/>
        <w:widowControl w:val="0"/>
        <w:tabs>
          <w:tab w:val="clear" w:pos="567"/>
        </w:tabs>
        <w:rPr>
          <w:szCs w:val="22"/>
          <w:lang w:val="it-IT"/>
        </w:rPr>
      </w:pPr>
      <w:r w:rsidRPr="00496684">
        <w:rPr>
          <w:szCs w:val="22"/>
          <w:u w:val="single"/>
          <w:lang w:val="it-IT"/>
        </w:rPr>
        <w:t>Studi clinici nella leucemia mieloide cronica</w:t>
      </w:r>
    </w:p>
    <w:p w14:paraId="140A1CEA" w14:textId="11860526" w:rsidR="00197BED" w:rsidRPr="00496684" w:rsidRDefault="00197BED" w:rsidP="00197BED">
      <w:pPr>
        <w:pStyle w:val="Endnotentext"/>
        <w:widowControl w:val="0"/>
        <w:tabs>
          <w:tab w:val="clear" w:pos="567"/>
        </w:tabs>
        <w:rPr>
          <w:szCs w:val="22"/>
          <w:lang w:val="it-IT"/>
        </w:rPr>
      </w:pPr>
      <w:r w:rsidRPr="00496684">
        <w:rPr>
          <w:szCs w:val="22"/>
          <w:lang w:val="it-IT"/>
        </w:rPr>
        <w:t xml:space="preserve">L'efficacia di </w:t>
      </w:r>
      <w:r w:rsidR="009339F7" w:rsidRPr="00496684">
        <w:rPr>
          <w:szCs w:val="22"/>
          <w:lang w:val="it-IT"/>
        </w:rPr>
        <w:t>i</w:t>
      </w:r>
      <w:r w:rsidR="00521ABE" w:rsidRPr="00496684">
        <w:rPr>
          <w:szCs w:val="22"/>
          <w:lang w:val="it-IT"/>
        </w:rPr>
        <w:t xml:space="preserve">matinib </w:t>
      </w:r>
      <w:r w:rsidRPr="00496684">
        <w:rPr>
          <w:szCs w:val="22"/>
          <w:lang w:val="it-IT"/>
        </w:rPr>
        <w:t>si basa sui valori globali di risposta ematologica e citogenetica e sopravvivenza libera da progressione della malattia. Non ci sono sperimentazioni cliniche controllate che dimostrino un beneficio clinico, inteso come miglioramento dei sintomi correlati alla malattia o un aumento della sopravvivenza.</w:t>
      </w:r>
    </w:p>
    <w:p w14:paraId="630404CA" w14:textId="77777777" w:rsidR="00E030B0" w:rsidRPr="00496684" w:rsidRDefault="00E030B0" w:rsidP="00E030B0">
      <w:pPr>
        <w:autoSpaceDE w:val="0"/>
        <w:autoSpaceDN w:val="0"/>
        <w:adjustRightInd w:val="0"/>
        <w:spacing w:after="0" w:line="240" w:lineRule="auto"/>
        <w:rPr>
          <w:rFonts w:ascii="Times New Roman" w:hAnsi="Times New Roman"/>
          <w:lang w:val="it-IT"/>
        </w:rPr>
      </w:pPr>
    </w:p>
    <w:p w14:paraId="2C3893AC" w14:textId="08AF87E6" w:rsidR="00197BED" w:rsidRPr="00496684" w:rsidRDefault="00197BED" w:rsidP="00197BED">
      <w:pPr>
        <w:pStyle w:val="Endnotentext"/>
        <w:widowControl w:val="0"/>
        <w:tabs>
          <w:tab w:val="clear" w:pos="567"/>
        </w:tabs>
        <w:rPr>
          <w:szCs w:val="22"/>
          <w:lang w:val="it-IT"/>
        </w:rPr>
      </w:pPr>
      <w:r w:rsidRPr="00496684">
        <w:rPr>
          <w:szCs w:val="22"/>
          <w:lang w:val="it-IT"/>
        </w:rPr>
        <w:t>E’ stato condotto un grande studio internazionale di fase II, apert</w:t>
      </w:r>
      <w:r w:rsidRPr="00496684">
        <w:rPr>
          <w:lang w:val="it-IT"/>
        </w:rPr>
        <w:t>o, non controllato</w:t>
      </w:r>
      <w:r w:rsidRPr="00496684">
        <w:rPr>
          <w:szCs w:val="22"/>
          <w:lang w:val="it-IT"/>
        </w:rPr>
        <w:t>, in pazienti con LMC positiva al cromosoma Philadelphia (Ph+) con la malattia in crisi blastica</w:t>
      </w:r>
      <w:r w:rsidRPr="00496684">
        <w:rPr>
          <w:lang w:val="it-IT"/>
        </w:rPr>
        <w:t xml:space="preserve">. </w:t>
      </w:r>
      <w:r w:rsidRPr="00496684">
        <w:rPr>
          <w:szCs w:val="22"/>
          <w:lang w:val="it-IT"/>
        </w:rPr>
        <w:t xml:space="preserve">Inoltre, </w:t>
      </w:r>
      <w:r w:rsidR="001D5237" w:rsidRPr="00496684">
        <w:rPr>
          <w:szCs w:val="22"/>
          <w:lang w:val="it-IT"/>
        </w:rPr>
        <w:t xml:space="preserve">bambini sono stati trattati </w:t>
      </w:r>
      <w:r w:rsidRPr="00496684">
        <w:rPr>
          <w:szCs w:val="22"/>
          <w:lang w:val="it-IT"/>
        </w:rPr>
        <w:t xml:space="preserve">in due studi di fase I </w:t>
      </w:r>
      <w:r w:rsidR="001D5237" w:rsidRPr="00496684">
        <w:rPr>
          <w:szCs w:val="22"/>
          <w:lang w:val="it-IT"/>
        </w:rPr>
        <w:t xml:space="preserve">(con LMC o leucemia acuta Ph+) </w:t>
      </w:r>
      <w:r w:rsidRPr="00496684">
        <w:rPr>
          <w:szCs w:val="22"/>
          <w:lang w:val="it-IT"/>
        </w:rPr>
        <w:t>ed uno di fase II</w:t>
      </w:r>
      <w:r w:rsidR="001D5237" w:rsidRPr="00496684">
        <w:rPr>
          <w:szCs w:val="22"/>
          <w:lang w:val="it-IT"/>
        </w:rPr>
        <w:t>.</w:t>
      </w:r>
      <w:r w:rsidRPr="00496684">
        <w:rPr>
          <w:szCs w:val="22"/>
          <w:lang w:val="it-IT"/>
        </w:rPr>
        <w:t xml:space="preserve"> </w:t>
      </w:r>
    </w:p>
    <w:p w14:paraId="1186029B" w14:textId="77777777" w:rsidR="00197BED" w:rsidRPr="00496684" w:rsidRDefault="00197BED" w:rsidP="00E030B0">
      <w:pPr>
        <w:autoSpaceDE w:val="0"/>
        <w:autoSpaceDN w:val="0"/>
        <w:adjustRightInd w:val="0"/>
        <w:spacing w:after="0" w:line="240" w:lineRule="auto"/>
        <w:rPr>
          <w:rFonts w:ascii="Times New Roman" w:hAnsi="Times New Roman"/>
          <w:u w:val="single"/>
          <w:lang w:val="it-IT"/>
        </w:rPr>
      </w:pPr>
    </w:p>
    <w:p w14:paraId="5D1EB4F8" w14:textId="6A89C863" w:rsidR="00D203E4" w:rsidRPr="00496684" w:rsidRDefault="00D203E4" w:rsidP="00D203E4">
      <w:pPr>
        <w:pStyle w:val="Endnotentext"/>
        <w:widowControl w:val="0"/>
        <w:tabs>
          <w:tab w:val="clear" w:pos="567"/>
        </w:tabs>
        <w:rPr>
          <w:szCs w:val="22"/>
          <w:lang w:val="it-IT"/>
        </w:rPr>
      </w:pPr>
      <w:r w:rsidRPr="00496684">
        <w:rPr>
          <w:szCs w:val="22"/>
          <w:lang w:val="it-IT"/>
        </w:rPr>
        <w:t>Nello studio clinic</w:t>
      </w:r>
      <w:r w:rsidR="001D5237" w:rsidRPr="00496684">
        <w:rPr>
          <w:szCs w:val="22"/>
          <w:lang w:val="it-IT"/>
        </w:rPr>
        <w:t>o</w:t>
      </w:r>
      <w:r w:rsidRPr="00496684">
        <w:rPr>
          <w:szCs w:val="22"/>
          <w:lang w:val="it-IT"/>
        </w:rPr>
        <w:t xml:space="preserve"> il 38% dei pazienti era di età </w:t>
      </w:r>
      <w:r w:rsidRPr="00496684">
        <w:rPr>
          <w:szCs w:val="22"/>
          <w:lang w:val="it-IT"/>
        </w:rPr>
        <w:sym w:font="Symbol" w:char="F0B3"/>
      </w:r>
      <w:r w:rsidR="001D5237" w:rsidRPr="00496684">
        <w:rPr>
          <w:szCs w:val="22"/>
          <w:lang w:val="it-IT"/>
        </w:rPr>
        <w:t xml:space="preserve"> </w:t>
      </w:r>
      <w:r w:rsidRPr="00496684">
        <w:rPr>
          <w:szCs w:val="22"/>
          <w:lang w:val="it-IT"/>
        </w:rPr>
        <w:t xml:space="preserve">60 anni e il 12% dei pazienti era di età </w:t>
      </w:r>
      <w:r w:rsidRPr="00496684">
        <w:rPr>
          <w:szCs w:val="22"/>
          <w:lang w:val="it-IT"/>
        </w:rPr>
        <w:sym w:font="Symbol" w:char="F0B3"/>
      </w:r>
      <w:r w:rsidR="001D5237" w:rsidRPr="00496684">
        <w:rPr>
          <w:szCs w:val="22"/>
          <w:lang w:val="it-IT"/>
        </w:rPr>
        <w:t xml:space="preserve"> </w:t>
      </w:r>
      <w:r w:rsidRPr="00496684">
        <w:rPr>
          <w:szCs w:val="22"/>
          <w:lang w:val="it-IT"/>
        </w:rPr>
        <w:t>70 anni.</w:t>
      </w:r>
    </w:p>
    <w:p w14:paraId="7E1184ED" w14:textId="77777777" w:rsidR="00197BED" w:rsidRPr="00496684" w:rsidRDefault="00197BED" w:rsidP="00E030B0">
      <w:pPr>
        <w:autoSpaceDE w:val="0"/>
        <w:autoSpaceDN w:val="0"/>
        <w:adjustRightInd w:val="0"/>
        <w:spacing w:after="0" w:line="240" w:lineRule="auto"/>
        <w:rPr>
          <w:rFonts w:ascii="Times New Roman" w:hAnsi="Times New Roman"/>
          <w:u w:val="single"/>
          <w:lang w:val="it-IT"/>
        </w:rPr>
      </w:pPr>
    </w:p>
    <w:p w14:paraId="1B6834BB" w14:textId="77777777" w:rsidR="00D203E4" w:rsidRPr="00496684" w:rsidRDefault="00D203E4" w:rsidP="00D203E4">
      <w:pPr>
        <w:pStyle w:val="Endnotentext"/>
        <w:widowControl w:val="0"/>
        <w:tabs>
          <w:tab w:val="clear" w:pos="567"/>
        </w:tabs>
        <w:rPr>
          <w:szCs w:val="22"/>
          <w:lang w:val="it-IT"/>
        </w:rPr>
      </w:pPr>
      <w:r w:rsidRPr="00496684">
        <w:rPr>
          <w:i/>
          <w:szCs w:val="22"/>
          <w:lang w:val="it-IT"/>
        </w:rPr>
        <w:t>Crisi blastica mieloide:</w:t>
      </w:r>
      <w:r w:rsidRPr="00496684">
        <w:rPr>
          <w:szCs w:val="22"/>
          <w:lang w:val="it-IT"/>
        </w:rPr>
        <w:t xml:space="preserve"> Sono stati arruolati 260 pazienti con crisi blastica mieloide. 95 (37%) erano stati precedentemente sottoposti a chemioterapia per il trattamento della malattia in fase accelerata o crisi blastica (“pazienti pretrattati”), mentre 165 (63%) non era stato trattato (“pazienti non trattati”). I primi 37 pazienti hanno iniziato il trattamento con 400 mg, in seguito il protocollo è stato corretto per permettere dosi superiori ed i restanti 223 pazienti hanno iniziato il trattamento con 600 mg.</w:t>
      </w:r>
    </w:p>
    <w:p w14:paraId="07BBA342" w14:textId="77777777" w:rsidR="00E030B0" w:rsidRPr="00496684" w:rsidRDefault="00E030B0" w:rsidP="00E030B0">
      <w:pPr>
        <w:autoSpaceDE w:val="0"/>
        <w:autoSpaceDN w:val="0"/>
        <w:adjustRightInd w:val="0"/>
        <w:spacing w:after="0" w:line="240" w:lineRule="auto"/>
        <w:rPr>
          <w:rFonts w:ascii="Times New Roman" w:hAnsi="Times New Roman"/>
          <w:lang w:val="it-IT"/>
        </w:rPr>
      </w:pPr>
    </w:p>
    <w:p w14:paraId="4472CCBB" w14:textId="77777777" w:rsidR="003A3302" w:rsidRPr="00496684" w:rsidRDefault="00D203E4">
      <w:pPr>
        <w:autoSpaceDE w:val="0"/>
        <w:autoSpaceDN w:val="0"/>
        <w:adjustRightInd w:val="0"/>
        <w:spacing w:after="0" w:line="240" w:lineRule="auto"/>
        <w:rPr>
          <w:rFonts w:ascii="Times New Roman" w:hAnsi="Times New Roman"/>
          <w:lang w:val="it-IT" w:eastAsia="it-IT"/>
        </w:rPr>
      </w:pPr>
      <w:r w:rsidRPr="00496684">
        <w:rPr>
          <w:rFonts w:ascii="Times New Roman" w:eastAsia="Times New Roman" w:hAnsi="Times New Roman"/>
          <w:lang w:val="it-IT" w:eastAsia="it-IT"/>
        </w:rPr>
        <w:t xml:space="preserve">La variabile primaria di efficacia era il tasso di risposta ematologica, riportato come risposta ematologica completa, nessuna evidenza di leucemia </w:t>
      </w:r>
      <w:r w:rsidR="00FB659E" w:rsidRPr="00496684">
        <w:rPr>
          <w:rFonts w:ascii="Times New Roman" w:hAnsi="Times New Roman"/>
          <w:lang w:val="it-IT" w:eastAsia="it-IT"/>
        </w:rPr>
        <w:t>(vale a dire clearance dei blasti dal midollo e dal</w:t>
      </w:r>
    </w:p>
    <w:p w14:paraId="0324ECCA" w14:textId="602B847E" w:rsidR="003A3302" w:rsidRPr="00496684" w:rsidRDefault="00FB659E">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hAnsi="Times New Roman"/>
          <w:lang w:val="it-IT" w:eastAsia="it-IT"/>
        </w:rPr>
        <w:t>sangue ma senza un pieno recupero ematico periferico come si ha invece per le risposte complete)</w:t>
      </w:r>
      <w:r w:rsidRPr="00496684">
        <w:rPr>
          <w:rFonts w:ascii="Times New Roman" w:eastAsia="Times New Roman" w:hAnsi="Times New Roman"/>
          <w:lang w:val="it-IT" w:eastAsia="it-IT"/>
        </w:rPr>
        <w:t xml:space="preserve"> </w:t>
      </w:r>
      <w:r w:rsidR="00D203E4" w:rsidRPr="00496684">
        <w:rPr>
          <w:rFonts w:ascii="Times New Roman" w:eastAsia="Times New Roman" w:hAnsi="Times New Roman"/>
          <w:lang w:val="it-IT" w:eastAsia="it-IT"/>
        </w:rPr>
        <w:t>o ritorno alla LMC in fase cronica. In questo studio il 31% dei pazienti ha raggiunto una risposta ematologica (36% nei pazienti precedentemente non trattati e 22% nei pazienti precedentemente trattati)</w:t>
      </w:r>
      <w:r w:rsidRPr="00496684">
        <w:rPr>
          <w:rFonts w:ascii="Times New Roman" w:eastAsia="Times New Roman" w:hAnsi="Times New Roman"/>
          <w:lang w:val="it-IT" w:eastAsia="it-IT"/>
        </w:rPr>
        <w:t xml:space="preserve"> (Tabella </w:t>
      </w:r>
      <w:r w:rsidR="00A643A0" w:rsidRPr="00496684">
        <w:rPr>
          <w:rFonts w:ascii="Times New Roman" w:eastAsia="Times New Roman" w:hAnsi="Times New Roman"/>
          <w:lang w:val="it-IT" w:eastAsia="it-IT"/>
        </w:rPr>
        <w:t>2</w:t>
      </w:r>
      <w:r w:rsidRPr="00496684">
        <w:rPr>
          <w:rFonts w:ascii="Times New Roman" w:eastAsia="Times New Roman" w:hAnsi="Times New Roman"/>
          <w:lang w:val="it-IT" w:eastAsia="it-IT"/>
        </w:rPr>
        <w:t>)</w:t>
      </w:r>
      <w:r w:rsidR="00D203E4" w:rsidRPr="00496684">
        <w:rPr>
          <w:rFonts w:ascii="Times New Roman" w:eastAsia="Times New Roman" w:hAnsi="Times New Roman"/>
          <w:lang w:val="it-IT" w:eastAsia="it-IT"/>
        </w:rPr>
        <w:t>. Il tasso di risposta è risultato quindi più elevato nei pazienti trattati con 600 mg (33%) rispetto ai pazienti trattati con 400 mg (16%, p=0,0220). La stima della sopravvivenza media dei pazienti precedentemente non trattati e di quelli trattati era rispettivamente di 7,7 e 4,7 mesi.</w:t>
      </w:r>
    </w:p>
    <w:p w14:paraId="3A9CC678" w14:textId="77777777" w:rsidR="0039653A" w:rsidRPr="00496684" w:rsidRDefault="0039653A" w:rsidP="0039653A">
      <w:pPr>
        <w:autoSpaceDE w:val="0"/>
        <w:autoSpaceDN w:val="0"/>
        <w:adjustRightInd w:val="0"/>
        <w:spacing w:after="0" w:line="240" w:lineRule="auto"/>
        <w:rPr>
          <w:rFonts w:ascii="Times New Roman" w:hAnsi="Times New Roman"/>
          <w:lang w:val="it-IT"/>
        </w:rPr>
      </w:pPr>
    </w:p>
    <w:p w14:paraId="2B76AF35" w14:textId="77777777" w:rsidR="00E030B0" w:rsidRPr="00496684" w:rsidRDefault="00D203E4" w:rsidP="00E030B0">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i/>
          <w:lang w:val="it-IT" w:eastAsia="it-IT"/>
        </w:rPr>
        <w:t>Crisi blastica linfoide:</w:t>
      </w:r>
      <w:r w:rsidRPr="00496684">
        <w:rPr>
          <w:rFonts w:ascii="Times New Roman" w:eastAsia="Times New Roman" w:hAnsi="Times New Roman"/>
          <w:lang w:val="it-IT" w:eastAsia="it-IT"/>
        </w:rPr>
        <w:t xml:space="preserve"> un numero limitato di pazienti sono stati arruolati negli studi di fasi I (n=10). Il valore della risposta ematologica era del 70%, con una durata di 2–3 mesi.</w:t>
      </w:r>
    </w:p>
    <w:p w14:paraId="032C44EC" w14:textId="77777777" w:rsidR="00BA4D8B" w:rsidRPr="00496684" w:rsidRDefault="00BA4D8B" w:rsidP="00E030B0">
      <w:pPr>
        <w:autoSpaceDE w:val="0"/>
        <w:autoSpaceDN w:val="0"/>
        <w:adjustRightInd w:val="0"/>
        <w:spacing w:after="0" w:line="240" w:lineRule="auto"/>
        <w:rPr>
          <w:rFonts w:ascii="Times New Roman" w:hAnsi="Times New Roman"/>
          <w:lang w:val="it-IT"/>
        </w:rPr>
      </w:pPr>
    </w:p>
    <w:p w14:paraId="545CBBD8" w14:textId="0086B9A8" w:rsidR="00BA4D8B" w:rsidRPr="00496684" w:rsidRDefault="00BA4D8B" w:rsidP="009165A1">
      <w:pPr>
        <w:keepNext/>
        <w:keepLines/>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Tab</w:t>
      </w:r>
      <w:r w:rsidR="00D203E4" w:rsidRPr="00496684">
        <w:rPr>
          <w:rFonts w:ascii="Times New Roman" w:hAnsi="Times New Roman"/>
          <w:b/>
          <w:bCs/>
          <w:lang w:val="it-IT"/>
        </w:rPr>
        <w:t>ella</w:t>
      </w:r>
      <w:r w:rsidRPr="00496684">
        <w:rPr>
          <w:rFonts w:ascii="Times New Roman" w:hAnsi="Times New Roman"/>
          <w:b/>
          <w:bCs/>
          <w:lang w:val="it-IT"/>
        </w:rPr>
        <w:t> </w:t>
      </w:r>
      <w:r w:rsidR="00A643A0" w:rsidRPr="00496684">
        <w:rPr>
          <w:rFonts w:ascii="Times New Roman" w:hAnsi="Times New Roman"/>
          <w:b/>
          <w:bCs/>
          <w:lang w:val="it-IT"/>
        </w:rPr>
        <w:t>2</w:t>
      </w:r>
      <w:r w:rsidRPr="00496684">
        <w:rPr>
          <w:rFonts w:ascii="Times New Roman" w:hAnsi="Times New Roman"/>
          <w:b/>
          <w:bCs/>
          <w:lang w:val="it-IT"/>
        </w:rPr>
        <w:t xml:space="preserve"> </w:t>
      </w:r>
      <w:r w:rsidR="00D203E4" w:rsidRPr="00496684">
        <w:rPr>
          <w:rFonts w:ascii="Times New Roman" w:hAnsi="Times New Roman"/>
          <w:b/>
          <w:bCs/>
          <w:lang w:val="it-IT"/>
        </w:rPr>
        <w:t>Risposta in studi su LMC nell’adulto</w:t>
      </w:r>
    </w:p>
    <w:p w14:paraId="049F2A76" w14:textId="77777777" w:rsidR="00D203E4" w:rsidRPr="00496684" w:rsidRDefault="00D203E4" w:rsidP="009165A1">
      <w:pPr>
        <w:keepNext/>
        <w:keepLines/>
        <w:autoSpaceDE w:val="0"/>
        <w:autoSpaceDN w:val="0"/>
        <w:adjustRightInd w:val="0"/>
        <w:spacing w:after="0" w:line="240" w:lineRule="auto"/>
        <w:rPr>
          <w:rFonts w:ascii="Times New Roman" w:hAnsi="Times New Roman"/>
          <w:b/>
          <w:bCs/>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536"/>
      </w:tblGrid>
      <w:tr w:rsidR="00FB659E" w:rsidRPr="00496684" w14:paraId="1E06C312" w14:textId="77777777" w:rsidTr="00D008F2">
        <w:tc>
          <w:tcPr>
            <w:tcW w:w="4503" w:type="dxa"/>
            <w:tcBorders>
              <w:bottom w:val="nil"/>
            </w:tcBorders>
          </w:tcPr>
          <w:p w14:paraId="3EAF6DB7" w14:textId="77777777" w:rsidR="00FB659E" w:rsidRPr="00496684" w:rsidRDefault="00FB659E" w:rsidP="00AF494A">
            <w:pPr>
              <w:pStyle w:val="Endnotentext"/>
              <w:widowControl w:val="0"/>
              <w:tabs>
                <w:tab w:val="clear" w:pos="567"/>
              </w:tabs>
              <w:rPr>
                <w:szCs w:val="22"/>
                <w:lang w:val="it-IT" w:eastAsia="it-IT"/>
              </w:rPr>
            </w:pPr>
          </w:p>
        </w:tc>
        <w:tc>
          <w:tcPr>
            <w:tcW w:w="4536" w:type="dxa"/>
            <w:tcBorders>
              <w:bottom w:val="nil"/>
            </w:tcBorders>
          </w:tcPr>
          <w:p w14:paraId="6B10D547"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Studio 0102</w:t>
            </w:r>
          </w:p>
          <w:p w14:paraId="7FD2EFC9"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dati a 38 mesi</w:t>
            </w:r>
          </w:p>
          <w:p w14:paraId="5A4600E8"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Crisi blastica mieloide</w:t>
            </w:r>
          </w:p>
          <w:p w14:paraId="4A9DAD1B"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(n=260)</w:t>
            </w:r>
          </w:p>
        </w:tc>
      </w:tr>
      <w:tr w:rsidR="00D203E4" w:rsidRPr="00496684" w14:paraId="5EA920CE" w14:textId="77777777" w:rsidTr="00D008F2">
        <w:tc>
          <w:tcPr>
            <w:tcW w:w="4503" w:type="dxa"/>
            <w:tcBorders>
              <w:bottom w:val="nil"/>
            </w:tcBorders>
          </w:tcPr>
          <w:p w14:paraId="0476505A" w14:textId="77777777" w:rsidR="00D203E4" w:rsidRPr="00496684" w:rsidRDefault="00D203E4" w:rsidP="00AF494A">
            <w:pPr>
              <w:pStyle w:val="Endnotentext"/>
              <w:widowControl w:val="0"/>
              <w:tabs>
                <w:tab w:val="clear" w:pos="567"/>
              </w:tabs>
              <w:rPr>
                <w:szCs w:val="22"/>
                <w:lang w:val="it-IT" w:eastAsia="it-IT"/>
              </w:rPr>
            </w:pPr>
          </w:p>
        </w:tc>
        <w:tc>
          <w:tcPr>
            <w:tcW w:w="4536" w:type="dxa"/>
            <w:tcBorders>
              <w:bottom w:val="nil"/>
            </w:tcBorders>
          </w:tcPr>
          <w:p w14:paraId="49F532C2" w14:textId="77777777" w:rsidR="00D203E4" w:rsidRPr="00496684" w:rsidRDefault="00FB659E" w:rsidP="00FB659E">
            <w:pPr>
              <w:pStyle w:val="Default"/>
              <w:jc w:val="center"/>
              <w:rPr>
                <w:sz w:val="22"/>
                <w:szCs w:val="22"/>
                <w:lang w:val="it-IT"/>
              </w:rPr>
            </w:pPr>
            <w:r w:rsidRPr="00496684">
              <w:rPr>
                <w:sz w:val="22"/>
                <w:szCs w:val="22"/>
                <w:lang w:val="it-IT"/>
              </w:rPr>
              <w:t>% di pazienti (IC</w:t>
            </w:r>
            <w:r w:rsidRPr="00496684">
              <w:rPr>
                <w:sz w:val="14"/>
                <w:szCs w:val="14"/>
                <w:lang w:val="it-IT"/>
              </w:rPr>
              <w:t>95%</w:t>
            </w:r>
            <w:r w:rsidRPr="00496684">
              <w:rPr>
                <w:sz w:val="22"/>
                <w:szCs w:val="22"/>
                <w:lang w:val="it-IT"/>
              </w:rPr>
              <w:t xml:space="preserve">) </w:t>
            </w:r>
          </w:p>
        </w:tc>
      </w:tr>
      <w:tr w:rsidR="00FB659E" w:rsidRPr="00496684" w14:paraId="052CDF74" w14:textId="77777777" w:rsidTr="001D5237">
        <w:tc>
          <w:tcPr>
            <w:tcW w:w="4503" w:type="dxa"/>
            <w:tcBorders>
              <w:bottom w:val="nil"/>
            </w:tcBorders>
          </w:tcPr>
          <w:p w14:paraId="195C60FF" w14:textId="77777777" w:rsidR="00FB659E" w:rsidRPr="00496684" w:rsidRDefault="00FB659E" w:rsidP="00AF494A">
            <w:pPr>
              <w:pStyle w:val="Endnotentext"/>
              <w:widowControl w:val="0"/>
              <w:tabs>
                <w:tab w:val="clear" w:pos="567"/>
              </w:tabs>
              <w:rPr>
                <w:szCs w:val="22"/>
                <w:lang w:val="it-IT" w:eastAsia="it-IT"/>
              </w:rPr>
            </w:pPr>
            <w:r w:rsidRPr="00496684">
              <w:rPr>
                <w:szCs w:val="22"/>
                <w:lang w:val="it-IT" w:eastAsia="it-IT"/>
              </w:rPr>
              <w:t>Risposta ematologica</w:t>
            </w:r>
            <w:r w:rsidRPr="00496684">
              <w:rPr>
                <w:szCs w:val="22"/>
                <w:vertAlign w:val="superscript"/>
                <w:lang w:val="it-IT" w:eastAsia="it-IT"/>
              </w:rPr>
              <w:t>1</w:t>
            </w:r>
          </w:p>
        </w:tc>
        <w:tc>
          <w:tcPr>
            <w:tcW w:w="4536" w:type="dxa"/>
            <w:vMerge w:val="restart"/>
          </w:tcPr>
          <w:p w14:paraId="0801C82B"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31% (25,2–36,8)</w:t>
            </w:r>
          </w:p>
          <w:p w14:paraId="4768CF92"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8%</w:t>
            </w:r>
          </w:p>
          <w:p w14:paraId="1AEFE57D" w14:textId="77777777" w:rsidR="00FB659E" w:rsidRPr="00496684" w:rsidRDefault="00FB659E" w:rsidP="00AF494A">
            <w:pPr>
              <w:pStyle w:val="Endnotentext"/>
              <w:widowControl w:val="0"/>
              <w:tabs>
                <w:tab w:val="clear" w:pos="567"/>
              </w:tabs>
              <w:jc w:val="center"/>
              <w:rPr>
                <w:szCs w:val="22"/>
                <w:lang w:val="it-IT" w:eastAsia="it-IT"/>
              </w:rPr>
            </w:pPr>
          </w:p>
          <w:p w14:paraId="0043B0E6"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5%</w:t>
            </w:r>
          </w:p>
          <w:p w14:paraId="3FE61BC8" w14:textId="77777777" w:rsidR="00FB659E" w:rsidRPr="00496684" w:rsidRDefault="00FB659E" w:rsidP="00AF494A">
            <w:pPr>
              <w:pStyle w:val="Endnotentext"/>
              <w:widowControl w:val="0"/>
              <w:jc w:val="center"/>
              <w:rPr>
                <w:szCs w:val="22"/>
                <w:lang w:val="it-IT" w:eastAsia="it-IT"/>
              </w:rPr>
            </w:pPr>
          </w:p>
          <w:p w14:paraId="79C49248" w14:textId="77777777" w:rsidR="00FB659E" w:rsidRPr="00496684" w:rsidRDefault="00FB659E" w:rsidP="00AF494A">
            <w:pPr>
              <w:pStyle w:val="Endnotentext"/>
              <w:widowControl w:val="0"/>
              <w:jc w:val="center"/>
              <w:rPr>
                <w:szCs w:val="22"/>
                <w:lang w:val="it-IT" w:eastAsia="it-IT"/>
              </w:rPr>
            </w:pPr>
            <w:r w:rsidRPr="00496684">
              <w:rPr>
                <w:szCs w:val="22"/>
                <w:lang w:val="it-IT" w:eastAsia="it-IT"/>
              </w:rPr>
              <w:t>18%</w:t>
            </w:r>
          </w:p>
        </w:tc>
      </w:tr>
      <w:tr w:rsidR="00FB659E" w:rsidRPr="00496684" w14:paraId="152784B3" w14:textId="77777777" w:rsidTr="00D008F2">
        <w:tc>
          <w:tcPr>
            <w:tcW w:w="4503" w:type="dxa"/>
            <w:tcBorders>
              <w:top w:val="nil"/>
              <w:bottom w:val="nil"/>
            </w:tcBorders>
          </w:tcPr>
          <w:p w14:paraId="25850C08" w14:textId="77777777" w:rsidR="00FB659E" w:rsidRPr="00496684" w:rsidRDefault="00FB659E" w:rsidP="00AF494A">
            <w:pPr>
              <w:pStyle w:val="Endnotentext"/>
              <w:widowControl w:val="0"/>
              <w:tabs>
                <w:tab w:val="clear" w:pos="567"/>
              </w:tabs>
              <w:ind w:left="284"/>
              <w:rPr>
                <w:szCs w:val="22"/>
                <w:lang w:val="it-IT" w:eastAsia="it-IT"/>
              </w:rPr>
            </w:pPr>
            <w:r w:rsidRPr="00496684">
              <w:rPr>
                <w:szCs w:val="22"/>
                <w:lang w:val="it-IT" w:eastAsia="it-IT"/>
              </w:rPr>
              <w:t>Risposta ematologica completa (REC)</w:t>
            </w:r>
          </w:p>
          <w:p w14:paraId="7C2B4CCB" w14:textId="77777777" w:rsidR="001D5237" w:rsidRPr="00496684" w:rsidRDefault="001D5237" w:rsidP="00AF494A">
            <w:pPr>
              <w:pStyle w:val="Endnotentext"/>
              <w:widowControl w:val="0"/>
              <w:tabs>
                <w:tab w:val="clear" w:pos="567"/>
              </w:tabs>
              <w:ind w:left="284"/>
              <w:rPr>
                <w:szCs w:val="22"/>
                <w:lang w:val="it-IT" w:eastAsia="it-IT"/>
              </w:rPr>
            </w:pPr>
          </w:p>
        </w:tc>
        <w:tc>
          <w:tcPr>
            <w:tcW w:w="4536" w:type="dxa"/>
            <w:vMerge/>
          </w:tcPr>
          <w:p w14:paraId="242E094D" w14:textId="77777777" w:rsidR="00FB659E" w:rsidRPr="00496684" w:rsidRDefault="00FB659E" w:rsidP="00AF494A">
            <w:pPr>
              <w:pStyle w:val="Endnotentext"/>
              <w:widowControl w:val="0"/>
              <w:jc w:val="center"/>
              <w:rPr>
                <w:szCs w:val="22"/>
                <w:lang w:val="it-IT" w:eastAsia="it-IT"/>
              </w:rPr>
            </w:pPr>
          </w:p>
        </w:tc>
      </w:tr>
      <w:tr w:rsidR="00FB659E" w:rsidRPr="00496684" w14:paraId="61CB50A7" w14:textId="77777777" w:rsidTr="00D008F2">
        <w:tc>
          <w:tcPr>
            <w:tcW w:w="4503" w:type="dxa"/>
            <w:tcBorders>
              <w:top w:val="nil"/>
              <w:bottom w:val="nil"/>
            </w:tcBorders>
          </w:tcPr>
          <w:p w14:paraId="281A8392" w14:textId="77777777" w:rsidR="00FB659E" w:rsidRPr="00496684" w:rsidRDefault="00FB659E" w:rsidP="00AF494A">
            <w:pPr>
              <w:pStyle w:val="Endnotentext"/>
              <w:widowControl w:val="0"/>
              <w:tabs>
                <w:tab w:val="clear" w:pos="567"/>
              </w:tabs>
              <w:ind w:left="284"/>
              <w:rPr>
                <w:szCs w:val="22"/>
                <w:lang w:val="it-IT" w:eastAsia="it-IT"/>
              </w:rPr>
            </w:pPr>
            <w:r w:rsidRPr="00496684">
              <w:rPr>
                <w:szCs w:val="22"/>
                <w:lang w:val="it-IT" w:eastAsia="it-IT"/>
              </w:rPr>
              <w:t>Nessuna evidenza di leucemia (NEL)</w:t>
            </w:r>
          </w:p>
          <w:p w14:paraId="1C3648E4" w14:textId="77777777" w:rsidR="001D5237" w:rsidRPr="00496684" w:rsidRDefault="001D5237" w:rsidP="00AF494A">
            <w:pPr>
              <w:pStyle w:val="Endnotentext"/>
              <w:widowControl w:val="0"/>
              <w:tabs>
                <w:tab w:val="clear" w:pos="567"/>
              </w:tabs>
              <w:ind w:left="284"/>
              <w:rPr>
                <w:szCs w:val="22"/>
                <w:lang w:val="it-IT" w:eastAsia="it-IT"/>
              </w:rPr>
            </w:pPr>
          </w:p>
        </w:tc>
        <w:tc>
          <w:tcPr>
            <w:tcW w:w="4536" w:type="dxa"/>
            <w:vMerge/>
          </w:tcPr>
          <w:p w14:paraId="699705ED" w14:textId="77777777" w:rsidR="00FB659E" w:rsidRPr="00496684" w:rsidRDefault="00FB659E" w:rsidP="00AF494A">
            <w:pPr>
              <w:pStyle w:val="Endnotentext"/>
              <w:widowControl w:val="0"/>
              <w:jc w:val="center"/>
              <w:rPr>
                <w:szCs w:val="22"/>
                <w:lang w:val="it-IT" w:eastAsia="it-IT"/>
              </w:rPr>
            </w:pPr>
          </w:p>
        </w:tc>
      </w:tr>
      <w:tr w:rsidR="00FB659E" w:rsidRPr="00496684" w14:paraId="37C5A189" w14:textId="77777777" w:rsidTr="00D008F2">
        <w:tc>
          <w:tcPr>
            <w:tcW w:w="4503" w:type="dxa"/>
            <w:tcBorders>
              <w:top w:val="nil"/>
              <w:bottom w:val="nil"/>
            </w:tcBorders>
          </w:tcPr>
          <w:p w14:paraId="4FE204A9" w14:textId="77777777" w:rsidR="00FB659E" w:rsidRPr="00496684" w:rsidRDefault="00FB659E" w:rsidP="00AF494A">
            <w:pPr>
              <w:pStyle w:val="Endnotentext"/>
              <w:widowControl w:val="0"/>
              <w:tabs>
                <w:tab w:val="clear" w:pos="567"/>
              </w:tabs>
              <w:ind w:left="284"/>
              <w:rPr>
                <w:szCs w:val="22"/>
                <w:lang w:val="it-IT" w:eastAsia="it-IT"/>
              </w:rPr>
            </w:pPr>
            <w:r w:rsidRPr="00496684">
              <w:rPr>
                <w:szCs w:val="22"/>
                <w:lang w:val="it-IT" w:eastAsia="it-IT"/>
              </w:rPr>
              <w:t>Ritorno alla fase cronica (RFC)</w:t>
            </w:r>
          </w:p>
        </w:tc>
        <w:tc>
          <w:tcPr>
            <w:tcW w:w="4536" w:type="dxa"/>
            <w:vMerge/>
            <w:tcBorders>
              <w:bottom w:val="nil"/>
            </w:tcBorders>
          </w:tcPr>
          <w:p w14:paraId="2CD9BA1C" w14:textId="77777777" w:rsidR="00FB659E" w:rsidRPr="00496684" w:rsidRDefault="00FB659E" w:rsidP="00AF494A">
            <w:pPr>
              <w:pStyle w:val="Endnotentext"/>
              <w:widowControl w:val="0"/>
              <w:tabs>
                <w:tab w:val="clear" w:pos="567"/>
              </w:tabs>
              <w:jc w:val="center"/>
              <w:rPr>
                <w:szCs w:val="22"/>
                <w:lang w:val="it-IT" w:eastAsia="it-IT"/>
              </w:rPr>
            </w:pPr>
          </w:p>
        </w:tc>
      </w:tr>
      <w:tr w:rsidR="00FB659E" w:rsidRPr="00496684" w14:paraId="720546B2" w14:textId="77777777" w:rsidTr="00D008F2">
        <w:tc>
          <w:tcPr>
            <w:tcW w:w="4503" w:type="dxa"/>
            <w:tcBorders>
              <w:bottom w:val="nil"/>
            </w:tcBorders>
          </w:tcPr>
          <w:p w14:paraId="33D2C4AF" w14:textId="77777777" w:rsidR="00FB659E" w:rsidRPr="00496684" w:rsidRDefault="00FB659E" w:rsidP="00AF494A">
            <w:pPr>
              <w:pStyle w:val="Endnotentext"/>
              <w:widowControl w:val="0"/>
              <w:tabs>
                <w:tab w:val="clear" w:pos="567"/>
              </w:tabs>
              <w:rPr>
                <w:szCs w:val="22"/>
                <w:vertAlign w:val="superscript"/>
                <w:lang w:val="it-IT" w:eastAsia="it-IT"/>
              </w:rPr>
            </w:pPr>
            <w:r w:rsidRPr="00496684">
              <w:rPr>
                <w:szCs w:val="22"/>
                <w:lang w:val="it-IT" w:eastAsia="it-IT"/>
              </w:rPr>
              <w:t>Risposta citogenetica maggiore</w:t>
            </w:r>
            <w:r w:rsidRPr="00496684">
              <w:rPr>
                <w:szCs w:val="22"/>
                <w:vertAlign w:val="superscript"/>
                <w:lang w:val="it-IT" w:eastAsia="it-IT"/>
              </w:rPr>
              <w:t>2</w:t>
            </w:r>
          </w:p>
          <w:p w14:paraId="37D04517" w14:textId="77777777" w:rsidR="00FB659E" w:rsidRPr="00496684" w:rsidRDefault="00FB659E" w:rsidP="00AF494A">
            <w:pPr>
              <w:pStyle w:val="Endnotentext"/>
              <w:widowControl w:val="0"/>
              <w:tabs>
                <w:tab w:val="clear" w:pos="567"/>
              </w:tabs>
              <w:rPr>
                <w:szCs w:val="22"/>
                <w:lang w:val="it-IT" w:eastAsia="it-IT"/>
              </w:rPr>
            </w:pPr>
          </w:p>
        </w:tc>
        <w:tc>
          <w:tcPr>
            <w:tcW w:w="4536" w:type="dxa"/>
            <w:vMerge w:val="restart"/>
          </w:tcPr>
          <w:p w14:paraId="4BF76330"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15% (11,2–20,4)</w:t>
            </w:r>
          </w:p>
          <w:p w14:paraId="6CA50E7D" w14:textId="77777777" w:rsidR="00FB659E" w:rsidRPr="00496684" w:rsidRDefault="00FB659E" w:rsidP="00AF494A">
            <w:pPr>
              <w:pStyle w:val="Endnotentext"/>
              <w:widowControl w:val="0"/>
              <w:tabs>
                <w:tab w:val="clear" w:pos="567"/>
              </w:tabs>
              <w:jc w:val="center"/>
              <w:rPr>
                <w:szCs w:val="22"/>
                <w:lang w:val="it-IT" w:eastAsia="it-IT"/>
              </w:rPr>
            </w:pPr>
          </w:p>
          <w:p w14:paraId="1329BA63"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7%</w:t>
            </w:r>
          </w:p>
          <w:p w14:paraId="42E02DE0" w14:textId="77777777" w:rsidR="00FB659E" w:rsidRPr="00496684" w:rsidRDefault="00FB659E" w:rsidP="00AF494A">
            <w:pPr>
              <w:pStyle w:val="Endnotentext"/>
              <w:widowControl w:val="0"/>
              <w:tabs>
                <w:tab w:val="clear" w:pos="567"/>
              </w:tabs>
              <w:jc w:val="center"/>
              <w:rPr>
                <w:szCs w:val="22"/>
                <w:lang w:val="it-IT" w:eastAsia="it-IT"/>
              </w:rPr>
            </w:pPr>
            <w:r w:rsidRPr="00496684">
              <w:rPr>
                <w:szCs w:val="22"/>
                <w:lang w:val="it-IT" w:eastAsia="it-IT"/>
              </w:rPr>
              <w:t>(2%) [0,6–4,4]</w:t>
            </w:r>
          </w:p>
          <w:p w14:paraId="2D4CAFE9" w14:textId="77777777" w:rsidR="00FB659E" w:rsidRPr="00496684" w:rsidRDefault="00FB659E" w:rsidP="00AF494A">
            <w:pPr>
              <w:pStyle w:val="Endnotentext"/>
              <w:widowControl w:val="0"/>
              <w:jc w:val="center"/>
              <w:rPr>
                <w:szCs w:val="22"/>
                <w:lang w:val="it-IT" w:eastAsia="it-IT"/>
              </w:rPr>
            </w:pPr>
            <w:r w:rsidRPr="00496684">
              <w:rPr>
                <w:szCs w:val="22"/>
                <w:lang w:val="it-IT" w:eastAsia="it-IT"/>
              </w:rPr>
              <w:t>8%</w:t>
            </w:r>
          </w:p>
        </w:tc>
      </w:tr>
      <w:tr w:rsidR="00FB659E" w:rsidRPr="00496684" w14:paraId="3A34000F" w14:textId="77777777" w:rsidTr="00D008F2">
        <w:tc>
          <w:tcPr>
            <w:tcW w:w="4503" w:type="dxa"/>
            <w:tcBorders>
              <w:top w:val="nil"/>
              <w:bottom w:val="nil"/>
            </w:tcBorders>
          </w:tcPr>
          <w:p w14:paraId="4F761EB0" w14:textId="77777777" w:rsidR="00FB659E" w:rsidRPr="00496684" w:rsidRDefault="00FB659E" w:rsidP="00AF494A">
            <w:pPr>
              <w:pStyle w:val="Endnotentext"/>
              <w:widowControl w:val="0"/>
              <w:tabs>
                <w:tab w:val="clear" w:pos="567"/>
              </w:tabs>
              <w:ind w:left="284"/>
              <w:rPr>
                <w:szCs w:val="22"/>
                <w:lang w:val="it-IT" w:eastAsia="it-IT"/>
              </w:rPr>
            </w:pPr>
            <w:r w:rsidRPr="00496684">
              <w:rPr>
                <w:szCs w:val="22"/>
                <w:lang w:val="it-IT" w:eastAsia="it-IT"/>
              </w:rPr>
              <w:t>Completa</w:t>
            </w:r>
          </w:p>
          <w:p w14:paraId="018421E1" w14:textId="77777777" w:rsidR="00FB659E" w:rsidRPr="00496684" w:rsidRDefault="00FB659E" w:rsidP="00AF494A">
            <w:pPr>
              <w:pStyle w:val="Endnotentext"/>
              <w:widowControl w:val="0"/>
              <w:tabs>
                <w:tab w:val="clear" w:pos="567"/>
              </w:tabs>
              <w:ind w:left="284"/>
              <w:rPr>
                <w:szCs w:val="22"/>
                <w:lang w:val="it-IT" w:eastAsia="it-IT"/>
              </w:rPr>
            </w:pPr>
            <w:r w:rsidRPr="00496684">
              <w:rPr>
                <w:szCs w:val="22"/>
                <w:lang w:val="it-IT" w:eastAsia="it-IT"/>
              </w:rPr>
              <w:t>(Confermato</w:t>
            </w:r>
            <w:r w:rsidRPr="00496684">
              <w:rPr>
                <w:szCs w:val="22"/>
                <w:vertAlign w:val="superscript"/>
                <w:lang w:val="it-IT" w:eastAsia="it-IT"/>
              </w:rPr>
              <w:t>3</w:t>
            </w:r>
            <w:r w:rsidRPr="00496684">
              <w:rPr>
                <w:szCs w:val="22"/>
                <w:lang w:val="it-IT" w:eastAsia="it-IT"/>
              </w:rPr>
              <w:t>)</w:t>
            </w:r>
            <w:r w:rsidRPr="00496684">
              <w:rPr>
                <w:b/>
                <w:szCs w:val="22"/>
                <w:lang w:val="it-IT" w:eastAsia="it-IT"/>
              </w:rPr>
              <w:t xml:space="preserve"> </w:t>
            </w:r>
            <w:r w:rsidRPr="00496684">
              <w:rPr>
                <w:szCs w:val="22"/>
                <w:lang w:val="it-IT" w:eastAsia="it-IT"/>
              </w:rPr>
              <w:t>[95% IC]</w:t>
            </w:r>
          </w:p>
        </w:tc>
        <w:tc>
          <w:tcPr>
            <w:tcW w:w="4536" w:type="dxa"/>
            <w:vMerge/>
          </w:tcPr>
          <w:p w14:paraId="45146358" w14:textId="77777777" w:rsidR="00FB659E" w:rsidRPr="00496684" w:rsidRDefault="00FB659E" w:rsidP="00AF494A">
            <w:pPr>
              <w:pStyle w:val="Endnotentext"/>
              <w:widowControl w:val="0"/>
              <w:jc w:val="center"/>
              <w:rPr>
                <w:szCs w:val="22"/>
                <w:lang w:val="it-IT" w:eastAsia="it-IT"/>
              </w:rPr>
            </w:pPr>
          </w:p>
        </w:tc>
      </w:tr>
      <w:tr w:rsidR="00FB659E" w:rsidRPr="00496684" w14:paraId="3F8A1EE3" w14:textId="77777777" w:rsidTr="00D008F2">
        <w:tc>
          <w:tcPr>
            <w:tcW w:w="4503" w:type="dxa"/>
            <w:tcBorders>
              <w:top w:val="nil"/>
              <w:bottom w:val="nil"/>
            </w:tcBorders>
          </w:tcPr>
          <w:p w14:paraId="77F323A0" w14:textId="77777777" w:rsidR="00FB659E" w:rsidRPr="00496684" w:rsidRDefault="00FB659E" w:rsidP="00AF494A">
            <w:pPr>
              <w:pStyle w:val="Endnotentext"/>
              <w:widowControl w:val="0"/>
              <w:tabs>
                <w:tab w:val="clear" w:pos="567"/>
              </w:tabs>
              <w:ind w:left="284"/>
              <w:rPr>
                <w:szCs w:val="22"/>
                <w:lang w:val="it-IT" w:eastAsia="it-IT"/>
              </w:rPr>
            </w:pPr>
            <w:r w:rsidRPr="00496684">
              <w:rPr>
                <w:szCs w:val="22"/>
                <w:lang w:val="it-IT" w:eastAsia="it-IT"/>
              </w:rPr>
              <w:t>Parziale</w:t>
            </w:r>
          </w:p>
        </w:tc>
        <w:tc>
          <w:tcPr>
            <w:tcW w:w="4536" w:type="dxa"/>
            <w:vMerge/>
            <w:tcBorders>
              <w:bottom w:val="nil"/>
            </w:tcBorders>
          </w:tcPr>
          <w:p w14:paraId="45AAABB5" w14:textId="77777777" w:rsidR="00FB659E" w:rsidRPr="00496684" w:rsidRDefault="00FB659E" w:rsidP="00AF494A">
            <w:pPr>
              <w:pStyle w:val="Endnotentext"/>
              <w:widowControl w:val="0"/>
              <w:tabs>
                <w:tab w:val="clear" w:pos="567"/>
              </w:tabs>
              <w:jc w:val="center"/>
              <w:rPr>
                <w:szCs w:val="22"/>
                <w:lang w:val="it-IT" w:eastAsia="it-IT"/>
              </w:rPr>
            </w:pPr>
          </w:p>
        </w:tc>
      </w:tr>
      <w:tr w:rsidR="00D203E4" w:rsidRPr="00496684" w14:paraId="566E8632" w14:textId="77777777" w:rsidTr="00AF494A">
        <w:tc>
          <w:tcPr>
            <w:tcW w:w="9039" w:type="dxa"/>
            <w:gridSpan w:val="2"/>
            <w:tcBorders>
              <w:top w:val="single" w:sz="4" w:space="0" w:color="auto"/>
            </w:tcBorders>
          </w:tcPr>
          <w:p w14:paraId="30CFC607" w14:textId="77777777" w:rsidR="00D203E4" w:rsidRPr="00496684" w:rsidRDefault="00D203E4" w:rsidP="00AF494A">
            <w:pPr>
              <w:pStyle w:val="Table"/>
              <w:keepNext w:val="0"/>
              <w:keepLines w:val="0"/>
              <w:widowControl w:val="0"/>
              <w:tabs>
                <w:tab w:val="clear" w:pos="284"/>
              </w:tabs>
              <w:spacing w:before="0"/>
              <w:rPr>
                <w:rFonts w:ascii="Times New Roman" w:hAnsi="Times New Roman"/>
                <w:b/>
                <w:sz w:val="22"/>
                <w:szCs w:val="22"/>
                <w:lang w:val="it-IT" w:eastAsia="it-IT"/>
              </w:rPr>
            </w:pPr>
            <w:r w:rsidRPr="00496684">
              <w:rPr>
                <w:rFonts w:ascii="Times New Roman" w:hAnsi="Times New Roman"/>
                <w:b/>
                <w:sz w:val="22"/>
                <w:szCs w:val="22"/>
                <w:vertAlign w:val="superscript"/>
                <w:lang w:val="it-IT" w:eastAsia="it-IT"/>
              </w:rPr>
              <w:t>1</w:t>
            </w:r>
            <w:r w:rsidRPr="00496684">
              <w:rPr>
                <w:rFonts w:ascii="Times New Roman" w:hAnsi="Times New Roman"/>
                <w:b/>
                <w:sz w:val="22"/>
                <w:szCs w:val="22"/>
                <w:lang w:val="it-IT" w:eastAsia="it-IT"/>
              </w:rPr>
              <w:t xml:space="preserve">Criteri della risposta ematologica (tutte le risposte devono essere confermate dopo </w:t>
            </w:r>
            <w:r w:rsidRPr="00496684">
              <w:rPr>
                <w:rFonts w:ascii="Times New Roman" w:hAnsi="Times New Roman"/>
                <w:b/>
                <w:sz w:val="22"/>
                <w:szCs w:val="22"/>
                <w:lang w:val="it-IT" w:eastAsia="it-IT"/>
              </w:rPr>
              <w:sym w:font="Symbol" w:char="F0B3"/>
            </w:r>
            <w:r w:rsidRPr="00496684">
              <w:rPr>
                <w:rFonts w:ascii="Times New Roman" w:hAnsi="Times New Roman"/>
                <w:b/>
                <w:sz w:val="22"/>
                <w:szCs w:val="22"/>
                <w:lang w:val="it-IT" w:eastAsia="it-IT"/>
              </w:rPr>
              <w:t>4 settimane):</w:t>
            </w:r>
          </w:p>
          <w:p w14:paraId="2DECD309" w14:textId="77777777" w:rsidR="00D203E4" w:rsidRPr="00496684" w:rsidRDefault="00D203E4" w:rsidP="00AF494A">
            <w:pPr>
              <w:pStyle w:val="Table"/>
              <w:keepNext w:val="0"/>
              <w:keepLines w:val="0"/>
              <w:widowControl w:val="0"/>
              <w:tabs>
                <w:tab w:val="clear" w:pos="284"/>
              </w:tabs>
              <w:spacing w:before="0"/>
              <w:ind w:left="567" w:hanging="567"/>
              <w:rPr>
                <w:rFonts w:ascii="Times New Roman" w:hAnsi="Times New Roman"/>
                <w:sz w:val="22"/>
                <w:szCs w:val="22"/>
                <w:lang w:val="it-IT" w:eastAsia="it-IT"/>
              </w:rPr>
            </w:pPr>
            <w:r w:rsidRPr="00496684">
              <w:rPr>
                <w:rFonts w:ascii="Times New Roman" w:hAnsi="Times New Roman"/>
                <w:sz w:val="22"/>
                <w:szCs w:val="22"/>
                <w:lang w:val="it-IT" w:eastAsia="it-IT"/>
              </w:rPr>
              <w:t>REC</w:t>
            </w:r>
            <w:r w:rsidRPr="00496684">
              <w:rPr>
                <w:rFonts w:ascii="Times New Roman" w:hAnsi="Times New Roman"/>
                <w:sz w:val="22"/>
                <w:szCs w:val="22"/>
                <w:lang w:val="it-IT" w:eastAsia="it-IT"/>
              </w:rPr>
              <w:tab/>
            </w:r>
            <w:r w:rsidR="00FB659E" w:rsidRPr="00496684">
              <w:rPr>
                <w:rFonts w:ascii="Times New Roman" w:hAnsi="Times New Roman"/>
                <w:sz w:val="22"/>
                <w:szCs w:val="22"/>
                <w:lang w:val="it-IT" w:eastAsia="it-IT"/>
              </w:rPr>
              <w:t xml:space="preserve">Nello studio </w:t>
            </w:r>
            <w:r w:rsidRPr="00496684">
              <w:rPr>
                <w:rFonts w:ascii="Times New Roman" w:hAnsi="Times New Roman"/>
                <w:sz w:val="22"/>
                <w:szCs w:val="22"/>
                <w:lang w:val="it-IT" w:eastAsia="it-IT"/>
              </w:rPr>
              <w:t xml:space="preserve">0102 [ANC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1,5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2C3058" w:rsidRPr="00496684">
              <w:rPr>
                <w:rFonts w:ascii="Times New Roman" w:hAnsi="Times New Roman"/>
                <w:sz w:val="22"/>
                <w:szCs w:val="22"/>
                <w:lang w:val="it-IT" w:eastAsia="it-IT"/>
              </w:rPr>
              <w:t>L</w:t>
            </w:r>
            <w:r w:rsidRPr="00496684">
              <w:rPr>
                <w:rFonts w:ascii="Times New Roman" w:hAnsi="Times New Roman"/>
                <w:sz w:val="22"/>
                <w:szCs w:val="22"/>
                <w:lang w:val="it-IT" w:eastAsia="it-IT"/>
              </w:rPr>
              <w:t xml:space="preserve">, piastrine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100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2C3058" w:rsidRPr="00496684">
              <w:rPr>
                <w:rFonts w:ascii="Times New Roman" w:hAnsi="Times New Roman"/>
                <w:sz w:val="22"/>
                <w:szCs w:val="22"/>
                <w:lang w:val="it-IT" w:eastAsia="it-IT"/>
              </w:rPr>
              <w:t>L</w:t>
            </w:r>
            <w:r w:rsidRPr="00496684">
              <w:rPr>
                <w:rFonts w:ascii="Times New Roman" w:hAnsi="Times New Roman"/>
                <w:sz w:val="22"/>
                <w:szCs w:val="22"/>
                <w:lang w:val="it-IT" w:eastAsia="it-IT"/>
              </w:rPr>
              <w:t>, assenza di blasti nel sangue, blasti midollari &lt;5% e nessuna malattia extramidollare]</w:t>
            </w:r>
          </w:p>
          <w:p w14:paraId="7168C799" w14:textId="77777777" w:rsidR="00D203E4" w:rsidRPr="00496684" w:rsidRDefault="00D203E4" w:rsidP="00AF494A">
            <w:pPr>
              <w:pStyle w:val="Table"/>
              <w:keepNext w:val="0"/>
              <w:keepLines w:val="0"/>
              <w:widowControl w:val="0"/>
              <w:tabs>
                <w:tab w:val="clear" w:pos="284"/>
              </w:tabs>
              <w:spacing w:before="0"/>
              <w:ind w:left="284" w:hanging="284"/>
              <w:rPr>
                <w:rFonts w:ascii="Times New Roman" w:hAnsi="Times New Roman"/>
                <w:sz w:val="22"/>
                <w:szCs w:val="22"/>
                <w:lang w:val="it-IT" w:eastAsia="it-IT"/>
              </w:rPr>
            </w:pPr>
            <w:r w:rsidRPr="00496684">
              <w:rPr>
                <w:rFonts w:ascii="Times New Roman" w:hAnsi="Times New Roman"/>
                <w:sz w:val="22"/>
                <w:szCs w:val="22"/>
                <w:lang w:val="it-IT" w:eastAsia="it-IT"/>
              </w:rPr>
              <w:t>NEL</w:t>
            </w:r>
            <w:r w:rsidRPr="00496684">
              <w:rPr>
                <w:rFonts w:ascii="Times New Roman" w:hAnsi="Times New Roman"/>
                <w:sz w:val="22"/>
                <w:szCs w:val="22"/>
                <w:lang w:val="it-IT" w:eastAsia="it-IT"/>
              </w:rPr>
              <w:tab/>
              <w:t xml:space="preserve">Stessi criteri di REC ma ANC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1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2C3058" w:rsidRPr="00496684">
              <w:rPr>
                <w:rFonts w:ascii="Times New Roman" w:hAnsi="Times New Roman"/>
                <w:sz w:val="22"/>
                <w:szCs w:val="22"/>
                <w:lang w:val="it-IT" w:eastAsia="it-IT"/>
              </w:rPr>
              <w:t>L</w:t>
            </w:r>
            <w:r w:rsidRPr="00496684">
              <w:rPr>
                <w:rFonts w:ascii="Times New Roman" w:hAnsi="Times New Roman"/>
                <w:sz w:val="22"/>
                <w:szCs w:val="22"/>
                <w:lang w:val="it-IT" w:eastAsia="it-IT"/>
              </w:rPr>
              <w:t xml:space="preserve"> e piastrine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20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2C3058" w:rsidRPr="00496684">
              <w:rPr>
                <w:rFonts w:ascii="Times New Roman" w:hAnsi="Times New Roman"/>
                <w:sz w:val="22"/>
                <w:szCs w:val="22"/>
                <w:lang w:val="it-IT" w:eastAsia="it-IT"/>
              </w:rPr>
              <w:t>L</w:t>
            </w:r>
            <w:r w:rsidRPr="00496684">
              <w:rPr>
                <w:rFonts w:ascii="Times New Roman" w:hAnsi="Times New Roman"/>
                <w:sz w:val="22"/>
                <w:szCs w:val="22"/>
                <w:lang w:val="it-IT" w:eastAsia="it-IT"/>
              </w:rPr>
              <w:t xml:space="preserve"> </w:t>
            </w:r>
          </w:p>
          <w:p w14:paraId="5BBE35C9" w14:textId="77777777" w:rsidR="00D203E4" w:rsidRPr="00496684" w:rsidRDefault="00D203E4" w:rsidP="00AF494A">
            <w:pPr>
              <w:pStyle w:val="Table"/>
              <w:keepNext w:val="0"/>
              <w:keepLines w:val="0"/>
              <w:widowControl w:val="0"/>
              <w:tabs>
                <w:tab w:val="clear" w:pos="284"/>
              </w:tabs>
              <w:spacing w:before="0"/>
              <w:ind w:left="567" w:hanging="567"/>
              <w:rPr>
                <w:rFonts w:ascii="Times New Roman" w:hAnsi="Times New Roman"/>
                <w:sz w:val="22"/>
                <w:szCs w:val="22"/>
                <w:lang w:val="it-IT" w:eastAsia="it-IT"/>
              </w:rPr>
            </w:pPr>
            <w:r w:rsidRPr="00496684">
              <w:rPr>
                <w:rFonts w:ascii="Times New Roman" w:hAnsi="Times New Roman"/>
                <w:sz w:val="22"/>
                <w:szCs w:val="22"/>
                <w:lang w:val="it-IT" w:eastAsia="it-IT"/>
              </w:rPr>
              <w:t>RFC</w:t>
            </w:r>
            <w:r w:rsidRPr="00496684">
              <w:rPr>
                <w:rFonts w:ascii="Times New Roman" w:hAnsi="Times New Roman"/>
                <w:sz w:val="22"/>
                <w:szCs w:val="22"/>
                <w:lang w:val="it-IT" w:eastAsia="it-IT"/>
              </w:rPr>
              <w:tab/>
              <w:t>&lt;15% blasti nel MO e nel SP, &lt;30% blasti+promielociti nel MO e nel SP, &lt;20% basofili nel SP, nessuna malattia extram</w:t>
            </w:r>
            <w:r w:rsidR="00FB659E" w:rsidRPr="00496684">
              <w:rPr>
                <w:rFonts w:ascii="Times New Roman" w:hAnsi="Times New Roman"/>
                <w:sz w:val="22"/>
                <w:szCs w:val="22"/>
                <w:lang w:val="it-IT" w:eastAsia="it-IT"/>
              </w:rPr>
              <w:t>idollare se non milza e fegato</w:t>
            </w:r>
          </w:p>
          <w:p w14:paraId="2B224DF1" w14:textId="77777777" w:rsidR="00D203E4" w:rsidRPr="00496684" w:rsidRDefault="00D203E4" w:rsidP="00AF494A">
            <w:pPr>
              <w:pStyle w:val="Table"/>
              <w:keepNext w:val="0"/>
              <w:keepLines w:val="0"/>
              <w:widowControl w:val="0"/>
              <w:tabs>
                <w:tab w:val="clear" w:pos="284"/>
              </w:tabs>
              <w:spacing w:before="0"/>
              <w:ind w:left="567" w:hanging="567"/>
              <w:rPr>
                <w:rFonts w:ascii="Times New Roman" w:hAnsi="Times New Roman"/>
                <w:sz w:val="22"/>
                <w:szCs w:val="22"/>
                <w:lang w:val="it-IT" w:eastAsia="it-IT"/>
              </w:rPr>
            </w:pPr>
            <w:r w:rsidRPr="00496684">
              <w:rPr>
                <w:rFonts w:ascii="Times New Roman" w:hAnsi="Times New Roman"/>
                <w:sz w:val="22"/>
                <w:szCs w:val="22"/>
                <w:lang w:val="it-IT" w:eastAsia="it-IT"/>
              </w:rPr>
              <w:t>MO = midollo osseo, SP = sangue periferico</w:t>
            </w:r>
          </w:p>
          <w:p w14:paraId="5E14DBEF" w14:textId="77777777" w:rsidR="00D203E4" w:rsidRPr="00496684" w:rsidRDefault="00D203E4" w:rsidP="00AF494A">
            <w:pPr>
              <w:pStyle w:val="Table"/>
              <w:keepNext w:val="0"/>
              <w:keepLines w:val="0"/>
              <w:widowControl w:val="0"/>
              <w:tabs>
                <w:tab w:val="clear" w:pos="284"/>
              </w:tabs>
              <w:spacing w:before="0"/>
              <w:rPr>
                <w:rFonts w:ascii="Times New Roman" w:hAnsi="Times New Roman"/>
                <w:sz w:val="22"/>
                <w:szCs w:val="22"/>
                <w:lang w:val="it-IT" w:eastAsia="it-IT"/>
              </w:rPr>
            </w:pPr>
            <w:r w:rsidRPr="00496684">
              <w:rPr>
                <w:rFonts w:ascii="Times New Roman" w:hAnsi="Times New Roman"/>
                <w:b/>
                <w:sz w:val="22"/>
                <w:szCs w:val="22"/>
                <w:vertAlign w:val="superscript"/>
                <w:lang w:val="it-IT" w:eastAsia="it-IT"/>
              </w:rPr>
              <w:t>2</w:t>
            </w:r>
            <w:r w:rsidRPr="00496684">
              <w:rPr>
                <w:rFonts w:ascii="Times New Roman" w:hAnsi="Times New Roman"/>
                <w:b/>
                <w:sz w:val="22"/>
                <w:szCs w:val="22"/>
                <w:lang w:val="it-IT" w:eastAsia="it-IT"/>
              </w:rPr>
              <w:t>Criteri della risposta citogenetica:</w:t>
            </w:r>
          </w:p>
          <w:p w14:paraId="6146414E" w14:textId="77777777" w:rsidR="00D203E4" w:rsidRPr="00496684" w:rsidRDefault="00D203E4" w:rsidP="00AF494A">
            <w:pPr>
              <w:pStyle w:val="Endnotentext"/>
              <w:widowControl w:val="0"/>
              <w:tabs>
                <w:tab w:val="clear" w:pos="567"/>
              </w:tabs>
              <w:rPr>
                <w:szCs w:val="22"/>
                <w:lang w:val="it-IT" w:eastAsia="it-IT"/>
              </w:rPr>
            </w:pPr>
            <w:r w:rsidRPr="00496684">
              <w:rPr>
                <w:szCs w:val="22"/>
                <w:lang w:val="it-IT" w:eastAsia="it-IT"/>
              </w:rPr>
              <w:t>Una risposta rilevante combina sia le risposte complete che parziali: completa (0% P metafasi Ph+), parziale (1–35%).</w:t>
            </w:r>
          </w:p>
          <w:p w14:paraId="5F44333D" w14:textId="77777777" w:rsidR="00D203E4" w:rsidRPr="00496684" w:rsidRDefault="00D203E4" w:rsidP="00AF494A">
            <w:pPr>
              <w:pStyle w:val="Endnotentext"/>
              <w:widowControl w:val="0"/>
              <w:tabs>
                <w:tab w:val="clear" w:pos="567"/>
              </w:tabs>
              <w:rPr>
                <w:szCs w:val="22"/>
                <w:lang w:val="it-IT" w:eastAsia="it-IT"/>
              </w:rPr>
            </w:pPr>
            <w:r w:rsidRPr="00496684">
              <w:rPr>
                <w:szCs w:val="22"/>
                <w:vertAlign w:val="superscript"/>
                <w:lang w:val="it-IT" w:eastAsia="it-IT"/>
              </w:rPr>
              <w:t>3</w:t>
            </w:r>
            <w:r w:rsidRPr="00496684">
              <w:rPr>
                <w:szCs w:val="22"/>
                <w:lang w:val="it-IT" w:eastAsia="it-IT"/>
              </w:rPr>
              <w:t xml:space="preserve"> Risposta citogenetica completa confermata da un secondo esame citogenetico del midollo osseo eseguito almeno una volta al mese dopo l'indagine iniziale del midollo osseo.</w:t>
            </w:r>
          </w:p>
        </w:tc>
      </w:tr>
    </w:tbl>
    <w:p w14:paraId="691F209A" w14:textId="77777777" w:rsidR="00D203E4" w:rsidRPr="00496684" w:rsidRDefault="00D203E4" w:rsidP="00BA4D8B">
      <w:pPr>
        <w:autoSpaceDE w:val="0"/>
        <w:autoSpaceDN w:val="0"/>
        <w:adjustRightInd w:val="0"/>
        <w:spacing w:after="0" w:line="240" w:lineRule="auto"/>
        <w:rPr>
          <w:rFonts w:ascii="Times New Roman" w:hAnsi="Times New Roman"/>
          <w:b/>
          <w:bCs/>
          <w:lang w:val="it-IT"/>
        </w:rPr>
      </w:pPr>
    </w:p>
    <w:p w14:paraId="6A32981F" w14:textId="77777777" w:rsidR="00D203E4" w:rsidRPr="00496684" w:rsidRDefault="00D203E4" w:rsidP="00D203E4">
      <w:pPr>
        <w:pStyle w:val="Endnotentext"/>
        <w:widowControl w:val="0"/>
        <w:tabs>
          <w:tab w:val="clear" w:pos="567"/>
        </w:tabs>
        <w:rPr>
          <w:szCs w:val="22"/>
          <w:lang w:val="it-IT"/>
        </w:rPr>
      </w:pPr>
      <w:r w:rsidRPr="00496684">
        <w:rPr>
          <w:i/>
          <w:szCs w:val="22"/>
          <w:lang w:val="it-IT"/>
        </w:rPr>
        <w:t xml:space="preserve">Pazienti pediatrici: </w:t>
      </w:r>
      <w:r w:rsidRPr="00496684">
        <w:rPr>
          <w:szCs w:val="22"/>
          <w:lang w:val="it-IT"/>
        </w:rPr>
        <w:t xml:space="preserve">Un totale di 26 pazienti pediatrici di età &lt;18 anni sia con LMC in fase cronica (n=11) o con LMC in fase blastica o con leucemia acuta Ph+ (n=15) sono stati arruolati in uno studio di fase I ad incremento di dose. Questi pazienti erano stati pesantemente pretrattati, poichè il 46% avevano subito in precedenza il trapianto di midollo osseo e il 73% una precedente polichemioterapia. I pazienti erano trattati alle dosi di </w:t>
      </w:r>
      <w:r w:rsidR="00FB659E" w:rsidRPr="00496684">
        <w:rPr>
          <w:szCs w:val="22"/>
          <w:lang w:val="it-IT"/>
        </w:rPr>
        <w:t>i</w:t>
      </w:r>
      <w:r w:rsidR="00521ABE" w:rsidRPr="00496684">
        <w:rPr>
          <w:szCs w:val="22"/>
          <w:lang w:val="it-IT"/>
        </w:rPr>
        <w:t xml:space="preserve">matinib </w:t>
      </w:r>
      <w:r w:rsidRPr="00496684">
        <w:rPr>
          <w:szCs w:val="22"/>
          <w:lang w:val="it-IT"/>
        </w:rPr>
        <w:t>di 260 mg/m</w:t>
      </w:r>
      <w:r w:rsidRPr="00496684">
        <w:rPr>
          <w:szCs w:val="22"/>
          <w:vertAlign w:val="superscript"/>
          <w:lang w:val="it-IT"/>
        </w:rPr>
        <w:t>2</w:t>
      </w:r>
      <w:r w:rsidRPr="00496684">
        <w:rPr>
          <w:szCs w:val="22"/>
          <w:lang w:val="it-IT"/>
        </w:rPr>
        <w:t>/die (n=5), 340 mg/ m</w:t>
      </w:r>
      <w:r w:rsidRPr="00496684">
        <w:rPr>
          <w:szCs w:val="22"/>
          <w:vertAlign w:val="superscript"/>
          <w:lang w:val="it-IT"/>
        </w:rPr>
        <w:t>2</w:t>
      </w:r>
      <w:r w:rsidRPr="00496684">
        <w:rPr>
          <w:szCs w:val="22"/>
          <w:lang w:val="it-IT"/>
        </w:rPr>
        <w:t>/die (n=9), 440 mg/m</w:t>
      </w:r>
      <w:r w:rsidRPr="00496684">
        <w:rPr>
          <w:szCs w:val="22"/>
          <w:vertAlign w:val="superscript"/>
          <w:lang w:val="it-IT"/>
        </w:rPr>
        <w:t>2</w:t>
      </w:r>
      <w:r w:rsidRPr="00496684">
        <w:rPr>
          <w:szCs w:val="22"/>
          <w:lang w:val="it-IT"/>
        </w:rPr>
        <w:t>/die (n=7) e 570 mg/m</w:t>
      </w:r>
      <w:r w:rsidRPr="00496684">
        <w:rPr>
          <w:szCs w:val="22"/>
          <w:vertAlign w:val="superscript"/>
          <w:lang w:val="it-IT"/>
        </w:rPr>
        <w:t>2</w:t>
      </w:r>
      <w:r w:rsidRPr="00496684">
        <w:rPr>
          <w:szCs w:val="22"/>
          <w:lang w:val="it-IT"/>
        </w:rPr>
        <w:t>/die (n=5). Tra i 9 pazienti con LMC in fase cronica per i quali erano disponibili i dati citogenetici, 4 (44%) e 3 (33%) avevano raggiunto rispettivamente una risposta citogenetica completa e parziale, per una frequenza di risposta citogenetica maggiore (MCR) del 77%.</w:t>
      </w:r>
    </w:p>
    <w:p w14:paraId="3202D7D8" w14:textId="77777777" w:rsidR="00D203E4" w:rsidRPr="00496684" w:rsidRDefault="00D203E4" w:rsidP="00D203E4">
      <w:pPr>
        <w:pStyle w:val="Endnotentext"/>
        <w:widowControl w:val="0"/>
        <w:tabs>
          <w:tab w:val="clear" w:pos="567"/>
        </w:tabs>
        <w:rPr>
          <w:szCs w:val="22"/>
          <w:lang w:val="it-IT"/>
        </w:rPr>
      </w:pPr>
    </w:p>
    <w:p w14:paraId="321F599A" w14:textId="77777777" w:rsidR="00D203E4" w:rsidRPr="00496684" w:rsidRDefault="00D203E4" w:rsidP="00D203E4">
      <w:pPr>
        <w:pStyle w:val="Endnotentext"/>
        <w:widowControl w:val="0"/>
        <w:tabs>
          <w:tab w:val="clear" w:pos="567"/>
        </w:tabs>
        <w:rPr>
          <w:szCs w:val="22"/>
          <w:lang w:val="it-IT"/>
        </w:rPr>
      </w:pPr>
      <w:r w:rsidRPr="00496684">
        <w:rPr>
          <w:szCs w:val="22"/>
          <w:lang w:val="it-IT"/>
        </w:rPr>
        <w:t xml:space="preserve">Un totale di 51 pazienti pediatrici con LMC in fase cronica di nuova diagnosi e non trattati sono stati arruolati in uno studio di fase II, a braccio singolo, multicentrico, in aperto. I pazienti erano stati trattati con </w:t>
      </w:r>
      <w:r w:rsidR="009339F7" w:rsidRPr="00496684">
        <w:rPr>
          <w:szCs w:val="22"/>
          <w:lang w:val="it-IT"/>
        </w:rPr>
        <w:t>i</w:t>
      </w:r>
      <w:r w:rsidR="00521ABE" w:rsidRPr="00496684">
        <w:rPr>
          <w:szCs w:val="22"/>
          <w:lang w:val="it-IT"/>
        </w:rPr>
        <w:t xml:space="preserve">matinib </w:t>
      </w:r>
      <w:r w:rsidRPr="00496684">
        <w:rPr>
          <w:szCs w:val="22"/>
          <w:lang w:val="it-IT"/>
        </w:rPr>
        <w:t>340 mg/m</w:t>
      </w:r>
      <w:r w:rsidRPr="00496684">
        <w:rPr>
          <w:szCs w:val="22"/>
          <w:vertAlign w:val="superscript"/>
          <w:lang w:val="it-IT"/>
        </w:rPr>
        <w:t>2</w:t>
      </w:r>
      <w:r w:rsidRPr="00496684">
        <w:rPr>
          <w:szCs w:val="22"/>
          <w:lang w:val="it-IT"/>
        </w:rPr>
        <w:t xml:space="preserve">/die, senza alcuna interruzione in assenza di tossicità dose-limitante. Nei pazienti pediatrici con LMC di nuova diagnosi, il trattamento con </w:t>
      </w:r>
      <w:r w:rsidR="00FB659E" w:rsidRPr="00496684">
        <w:rPr>
          <w:szCs w:val="22"/>
          <w:lang w:val="it-IT"/>
        </w:rPr>
        <w:t>i</w:t>
      </w:r>
      <w:r w:rsidR="00521ABE" w:rsidRPr="00496684">
        <w:rPr>
          <w:szCs w:val="22"/>
          <w:lang w:val="it-IT"/>
        </w:rPr>
        <w:t xml:space="preserve">matinib </w:t>
      </w:r>
      <w:r w:rsidRPr="00496684">
        <w:rPr>
          <w:szCs w:val="22"/>
          <w:lang w:val="it-IT"/>
        </w:rPr>
        <w:t>ha indotto una rapida risposta con una risposta ematologica completa (REC) del 78% dopo 8 settimane di terapia. L’alto tasso di REC è risultato associato allo sviluppo di una risposta citogenetica completa (CCyR) del 65%, valore paragonabile ai risultati osservati negli adulti. Inoltre è stata osservata una risposta citogenetica parziale (PCyR) nel 16% dei casi per una risposta maggiore (MCyR) dell’81%. Nella maggioranza dei pazienti che aveva raggiunto una risposta citogenetica completa (CCyR), la CCyR si era manifestata tra il mese 3 ed il mese 10</w:t>
      </w:r>
      <w:r w:rsidR="00DC32BE" w:rsidRPr="00496684">
        <w:rPr>
          <w:szCs w:val="22"/>
          <w:lang w:val="it-IT"/>
        </w:rPr>
        <w:t xml:space="preserve"> </w:t>
      </w:r>
      <w:r w:rsidRPr="00496684">
        <w:rPr>
          <w:szCs w:val="22"/>
          <w:lang w:val="it-IT"/>
        </w:rPr>
        <w:t>con un tempo mediano di risposta, basato sulla stima Kaplan-Meier, di 5,6 mesi.</w:t>
      </w:r>
    </w:p>
    <w:p w14:paraId="77BD4481" w14:textId="77777777" w:rsidR="00D203E4" w:rsidRPr="00496684" w:rsidRDefault="00D203E4" w:rsidP="00BA4D8B">
      <w:pPr>
        <w:autoSpaceDE w:val="0"/>
        <w:autoSpaceDN w:val="0"/>
        <w:adjustRightInd w:val="0"/>
        <w:spacing w:after="0" w:line="240" w:lineRule="auto"/>
        <w:rPr>
          <w:rFonts w:ascii="Times New Roman" w:hAnsi="Times New Roman"/>
          <w:b/>
          <w:bCs/>
          <w:lang w:val="it-IT"/>
        </w:rPr>
      </w:pPr>
    </w:p>
    <w:p w14:paraId="32FA07B8" w14:textId="77777777" w:rsidR="00D203E4" w:rsidRPr="00496684" w:rsidRDefault="00D203E4" w:rsidP="00D203E4">
      <w:pPr>
        <w:pStyle w:val="Endnotentext"/>
        <w:widowControl w:val="0"/>
        <w:tabs>
          <w:tab w:val="clear" w:pos="567"/>
        </w:tabs>
        <w:rPr>
          <w:szCs w:val="22"/>
          <w:lang w:val="it-IT"/>
        </w:rPr>
      </w:pPr>
      <w:r w:rsidRPr="00496684">
        <w:rPr>
          <w:szCs w:val="22"/>
          <w:lang w:val="it-IT"/>
        </w:rPr>
        <w:t xml:space="preserve">L’Agenzia europea dei medicinali ha previsto l’esonero dall’obbligo di presentare i risultati degli studi con </w:t>
      </w:r>
      <w:r w:rsidR="009339F7" w:rsidRPr="00496684">
        <w:rPr>
          <w:szCs w:val="22"/>
          <w:lang w:val="it-IT"/>
        </w:rPr>
        <w:t>i</w:t>
      </w:r>
      <w:r w:rsidR="00521ABE" w:rsidRPr="00496684">
        <w:rPr>
          <w:szCs w:val="22"/>
          <w:lang w:val="it-IT"/>
        </w:rPr>
        <w:t xml:space="preserve">matinib </w:t>
      </w:r>
      <w:r w:rsidRPr="00496684">
        <w:rPr>
          <w:szCs w:val="22"/>
          <w:lang w:val="it-IT"/>
        </w:rPr>
        <w:t>in tutti i sottogruppi della popolazione pediatrica per la leucemia mieloide cronica con cromosoma Philadelphia positivo (traslocazione bcr-abl) (vedere paragrafo 4.2 per informazioni sull’uso pediatrico).</w:t>
      </w:r>
    </w:p>
    <w:p w14:paraId="3D06E540" w14:textId="77777777" w:rsidR="00F42BD5" w:rsidRPr="00496684" w:rsidRDefault="00F42BD5" w:rsidP="00D203E4">
      <w:pPr>
        <w:pStyle w:val="Endnotentext"/>
        <w:widowControl w:val="0"/>
        <w:tabs>
          <w:tab w:val="clear" w:pos="567"/>
        </w:tabs>
        <w:rPr>
          <w:szCs w:val="22"/>
          <w:lang w:val="it-IT"/>
        </w:rPr>
      </w:pPr>
    </w:p>
    <w:p w14:paraId="4C95A60F" w14:textId="77777777" w:rsidR="00F42BD5" w:rsidRPr="00496684" w:rsidRDefault="00F42BD5" w:rsidP="00F42BD5">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Studi clinici nella LLA Ph+ </w:t>
      </w:r>
    </w:p>
    <w:p w14:paraId="2410772D" w14:textId="77777777" w:rsidR="00F42BD5" w:rsidRPr="00496684" w:rsidRDefault="00F42BD5" w:rsidP="00F42BD5">
      <w:pPr>
        <w:pStyle w:val="Endnotentext"/>
        <w:widowControl w:val="0"/>
        <w:tabs>
          <w:tab w:val="clear" w:pos="567"/>
        </w:tabs>
        <w:rPr>
          <w:color w:val="000000"/>
          <w:szCs w:val="22"/>
          <w:lang w:val="it-IT" w:eastAsia="it-IT"/>
        </w:rPr>
      </w:pPr>
      <w:r w:rsidRPr="00496684">
        <w:rPr>
          <w:i/>
          <w:iCs/>
          <w:color w:val="000000"/>
          <w:szCs w:val="22"/>
          <w:lang w:val="it-IT" w:eastAsia="it-IT"/>
        </w:rPr>
        <w:t xml:space="preserve">LLA Ph+ di nuova diagnosi: </w:t>
      </w:r>
      <w:r w:rsidRPr="00496684">
        <w:rPr>
          <w:color w:val="000000"/>
          <w:szCs w:val="22"/>
          <w:lang w:val="it-IT" w:eastAsia="it-IT"/>
        </w:rPr>
        <w:t xml:space="preserve">In uno studio controllato (ADE10) con imatinib verso chemioterapia d’induzione, condotto in 55 pazienti di nuova diagnosi di età uguale o superiore a 55 anni, imatinib utilizzato come agente singolo ha indotto una percentuale di risposte ematologiche complete significativamente superiore rispetto alla chemioterapia (96,3% verso 50%; p=0,0001). Quando la terapia di salvataggio con imatinib è stata somministrata ai pazienti non responsivi o che rispondevano in modo insufficiente alla chemioterapia, si è osservato che 9 pazienti (81,8%) su 11 avevano raggiunto una risposta ematologica completa. Questo effetto clinico era associato ad una riduzione del trascritto bcr-abl nei pazienti trattati con imatinib maggiore rispetto ai pazienti trattati con chemioterapia dopo 2 settimane di terapia (p=0,02). Tutti i pazienti avevano ricevuto imatinib e chemioterapia di consolidamento (vedere Tabella </w:t>
      </w:r>
      <w:r w:rsidR="0029616A" w:rsidRPr="00496684">
        <w:rPr>
          <w:color w:val="000000"/>
          <w:szCs w:val="22"/>
          <w:lang w:val="it-IT" w:eastAsia="it-IT"/>
        </w:rPr>
        <w:t>3</w:t>
      </w:r>
      <w:r w:rsidRPr="00496684">
        <w:rPr>
          <w:color w:val="000000"/>
          <w:szCs w:val="22"/>
          <w:lang w:val="it-IT" w:eastAsia="it-IT"/>
        </w:rPr>
        <w:t>) dopo la fase d’induzione ed i livelli del trascritto bcr-abl alla settimana 8 risultavano identici in entrambi i bracci. Come previsto dal disegno dello studio, non è stata osservata differenza nella durata della remissione, della sopravvivenza libera da malattia o della sopravvivenza globale, anche se i pazienti con risposta molecolare completa e rimanenti con malattia minima residua avevano un esito migliore sia in termini di durata della remissione (p=0,01) che di sopravvivenza libera da malattia (p=0,02).</w:t>
      </w:r>
    </w:p>
    <w:p w14:paraId="26B8B824" w14:textId="77777777" w:rsidR="00543369" w:rsidRPr="00496684" w:rsidRDefault="00543369" w:rsidP="00F42BD5">
      <w:pPr>
        <w:pStyle w:val="Endnotentext"/>
        <w:widowControl w:val="0"/>
        <w:tabs>
          <w:tab w:val="clear" w:pos="567"/>
        </w:tabs>
        <w:rPr>
          <w:szCs w:val="22"/>
          <w:lang w:val="it-IT"/>
        </w:rPr>
      </w:pPr>
    </w:p>
    <w:p w14:paraId="177CF8CC" w14:textId="77777777" w:rsidR="00D203E4" w:rsidRPr="00496684" w:rsidRDefault="00543369" w:rsidP="00BA4D8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 risultati osservati in una popolazione di 211 pazienti con LLA Ph+ di nuova diagnosi in quattro studi clinici non controllati (AAU02, ADE04, AJP01 e AUS01) sono in linea con i risultati sopra descritti. Imatinib in associazione alla chemioterapia d’induzione (vedere Tabella</w:t>
      </w:r>
      <w:r w:rsidR="00CA28CF" w:rsidRPr="00496684">
        <w:rPr>
          <w:rFonts w:ascii="Times New Roman" w:hAnsi="Times New Roman"/>
          <w:lang w:val="it-IT"/>
        </w:rPr>
        <w:t xml:space="preserve"> 3</w:t>
      </w:r>
      <w:r w:rsidRPr="00496684">
        <w:rPr>
          <w:rFonts w:ascii="Times New Roman" w:hAnsi="Times New Roman"/>
          <w:lang w:val="it-IT"/>
        </w:rPr>
        <w:t>) ha ottenuto una percentuale di risposta ematologica completa del 93% (147 su 158 pazienti valutabili) ed una percentuale di risposta citogenetica maggiore del 90% (19 su 21 pazienti valutabili). La percentuale di risposta molecolare completa è stata del 48% (49 su 102 pazienti valutabili). Nei due studi (AJP01 e AUS01) la durata della sopravvivenza libera da malattia (DFS) e della sopravvivenza globale (OS) superava costantemente 1 anno ed è stata superiore ai controlli storici (p DFS&lt;0,001; p OS&lt;0,0001).</w:t>
      </w:r>
    </w:p>
    <w:p w14:paraId="30617B09" w14:textId="77777777" w:rsidR="00EB0C1D" w:rsidRPr="00496684" w:rsidRDefault="00EB0C1D" w:rsidP="00BA4D8B">
      <w:pPr>
        <w:autoSpaceDE w:val="0"/>
        <w:autoSpaceDN w:val="0"/>
        <w:adjustRightInd w:val="0"/>
        <w:spacing w:after="0" w:line="240" w:lineRule="auto"/>
        <w:rPr>
          <w:rFonts w:ascii="Times New Roman" w:hAnsi="Times New Roman"/>
          <w:lang w:val="it-IT"/>
        </w:rPr>
      </w:pPr>
    </w:p>
    <w:p w14:paraId="26B9C257" w14:textId="4C8BE116" w:rsidR="00EB0C1D" w:rsidRPr="00496684" w:rsidRDefault="00AD49F4" w:rsidP="00BA4D8B">
      <w:pPr>
        <w:autoSpaceDE w:val="0"/>
        <w:autoSpaceDN w:val="0"/>
        <w:adjustRightInd w:val="0"/>
        <w:spacing w:after="0" w:line="240" w:lineRule="auto"/>
        <w:rPr>
          <w:rFonts w:ascii="Times New Roman" w:hAnsi="Times New Roman"/>
          <w:b/>
          <w:lang w:val="it-IT"/>
        </w:rPr>
      </w:pPr>
      <w:r w:rsidRPr="00496684">
        <w:rPr>
          <w:rFonts w:ascii="Times New Roman" w:hAnsi="Times New Roman"/>
          <w:b/>
          <w:lang w:val="it-IT"/>
        </w:rPr>
        <w:t>Tabella </w:t>
      </w:r>
      <w:r w:rsidR="00CA28CF" w:rsidRPr="00496684">
        <w:rPr>
          <w:rFonts w:ascii="Times New Roman" w:hAnsi="Times New Roman"/>
          <w:b/>
          <w:lang w:val="it-IT"/>
        </w:rPr>
        <w:t>3</w:t>
      </w:r>
      <w:r w:rsidR="00EB0C1D" w:rsidRPr="00496684">
        <w:rPr>
          <w:rFonts w:ascii="Times New Roman" w:hAnsi="Times New Roman"/>
          <w:b/>
          <w:lang w:val="it-IT"/>
        </w:rPr>
        <w:t xml:space="preserve"> </w:t>
      </w:r>
      <w:r w:rsidR="002C3058" w:rsidRPr="00496684">
        <w:rPr>
          <w:rFonts w:ascii="Times New Roman" w:hAnsi="Times New Roman"/>
          <w:b/>
          <w:lang w:val="it-IT"/>
        </w:rPr>
        <w:tab/>
      </w:r>
      <w:r w:rsidR="00EB0C1D" w:rsidRPr="00496684">
        <w:rPr>
          <w:rFonts w:ascii="Times New Roman" w:hAnsi="Times New Roman"/>
          <w:b/>
          <w:lang w:val="it-IT"/>
        </w:rPr>
        <w:t>Regimi chemioterapici usati in combinazione con imatinib</w:t>
      </w:r>
    </w:p>
    <w:p w14:paraId="3F6154AE" w14:textId="77777777" w:rsidR="00EB0C1D" w:rsidRPr="00496684" w:rsidRDefault="00EB0C1D" w:rsidP="00BA4D8B">
      <w:pPr>
        <w:autoSpaceDE w:val="0"/>
        <w:autoSpaceDN w:val="0"/>
        <w:adjustRightInd w:val="0"/>
        <w:spacing w:after="0" w:line="240" w:lineRule="auto"/>
        <w:rPr>
          <w:rFonts w:ascii="Times New Roman" w:hAnsi="Times New Roman"/>
          <w:lang w:val="it-IT"/>
        </w:rPr>
      </w:pPr>
    </w:p>
    <w:tbl>
      <w:tblPr>
        <w:tblW w:w="0" w:type="auto"/>
        <w:tblLook w:val="04A0" w:firstRow="1" w:lastRow="0" w:firstColumn="1" w:lastColumn="0" w:noHBand="0" w:noVBand="1"/>
      </w:tblPr>
      <w:tblGrid>
        <w:gridCol w:w="2235"/>
        <w:gridCol w:w="7309"/>
      </w:tblGrid>
      <w:tr w:rsidR="00EB0C1D" w:rsidRPr="00496684" w14:paraId="7F2A7719" w14:textId="77777777" w:rsidTr="00696151">
        <w:tc>
          <w:tcPr>
            <w:tcW w:w="2235" w:type="dxa"/>
            <w:tcBorders>
              <w:top w:val="single" w:sz="4" w:space="0" w:color="auto"/>
              <w:bottom w:val="single" w:sz="4" w:space="0" w:color="auto"/>
            </w:tcBorders>
          </w:tcPr>
          <w:p w14:paraId="13FA5F38" w14:textId="77777777" w:rsidR="00EB0C1D" w:rsidRPr="00496684" w:rsidRDefault="00EB0C1D" w:rsidP="00EB0C1D">
            <w:pPr>
              <w:pStyle w:val="Default"/>
              <w:rPr>
                <w:lang w:val="it-IT"/>
              </w:rPr>
            </w:pPr>
            <w:r w:rsidRPr="00496684">
              <w:rPr>
                <w:b/>
                <w:bCs/>
                <w:sz w:val="22"/>
                <w:szCs w:val="22"/>
                <w:lang w:val="it-IT"/>
              </w:rPr>
              <w:t xml:space="preserve">Studio ADE10 </w:t>
            </w:r>
          </w:p>
        </w:tc>
        <w:tc>
          <w:tcPr>
            <w:tcW w:w="7309" w:type="dxa"/>
            <w:tcBorders>
              <w:top w:val="single" w:sz="4" w:space="0" w:color="auto"/>
              <w:bottom w:val="single" w:sz="4" w:space="0" w:color="auto"/>
            </w:tcBorders>
          </w:tcPr>
          <w:p w14:paraId="0723B02E" w14:textId="77777777" w:rsidR="00EB0C1D" w:rsidRPr="00496684" w:rsidRDefault="00EB0C1D" w:rsidP="00696151">
            <w:pPr>
              <w:autoSpaceDE w:val="0"/>
              <w:autoSpaceDN w:val="0"/>
              <w:adjustRightInd w:val="0"/>
              <w:spacing w:after="0" w:line="240" w:lineRule="auto"/>
              <w:rPr>
                <w:rFonts w:ascii="Times New Roman" w:hAnsi="Times New Roman"/>
                <w:lang w:val="it-IT"/>
              </w:rPr>
            </w:pPr>
          </w:p>
        </w:tc>
      </w:tr>
      <w:tr w:rsidR="00EB0C1D" w:rsidRPr="00496684" w14:paraId="1FE4532E" w14:textId="77777777" w:rsidTr="00696151">
        <w:tc>
          <w:tcPr>
            <w:tcW w:w="2235" w:type="dxa"/>
            <w:tcBorders>
              <w:top w:val="single" w:sz="4" w:space="0" w:color="auto"/>
              <w:bottom w:val="single" w:sz="4" w:space="0" w:color="auto"/>
            </w:tcBorders>
          </w:tcPr>
          <w:p w14:paraId="1B280899" w14:textId="77777777" w:rsidR="00EB0C1D" w:rsidRPr="00496684" w:rsidRDefault="00EB0C1D" w:rsidP="00EB0C1D">
            <w:pPr>
              <w:pStyle w:val="Default"/>
              <w:rPr>
                <w:sz w:val="22"/>
                <w:szCs w:val="22"/>
                <w:lang w:val="it-IT"/>
              </w:rPr>
            </w:pPr>
            <w:r w:rsidRPr="00496684">
              <w:rPr>
                <w:sz w:val="22"/>
                <w:szCs w:val="22"/>
                <w:lang w:val="it-IT"/>
              </w:rPr>
              <w:t xml:space="preserve">Pretrattamento </w:t>
            </w:r>
          </w:p>
          <w:p w14:paraId="69DE9BA3" w14:textId="77777777" w:rsidR="00EB0C1D" w:rsidRPr="00496684" w:rsidRDefault="00EB0C1D" w:rsidP="00696151">
            <w:pPr>
              <w:autoSpaceDE w:val="0"/>
              <w:autoSpaceDN w:val="0"/>
              <w:adjustRightInd w:val="0"/>
              <w:spacing w:after="0" w:line="240" w:lineRule="auto"/>
              <w:rPr>
                <w:rFonts w:ascii="Times New Roman" w:hAnsi="Times New Roman"/>
                <w:lang w:val="it-IT"/>
              </w:rPr>
            </w:pPr>
          </w:p>
        </w:tc>
        <w:tc>
          <w:tcPr>
            <w:tcW w:w="7309" w:type="dxa"/>
            <w:tcBorders>
              <w:top w:val="single" w:sz="4" w:space="0" w:color="auto"/>
              <w:bottom w:val="single" w:sz="4" w:space="0" w:color="auto"/>
            </w:tcBorders>
          </w:tcPr>
          <w:p w14:paraId="1C05B60D" w14:textId="77777777" w:rsidR="00EB0C1D" w:rsidRPr="00496684" w:rsidRDefault="00EB0C1D" w:rsidP="00EB0C1D">
            <w:pPr>
              <w:pStyle w:val="Default"/>
              <w:rPr>
                <w:sz w:val="22"/>
                <w:szCs w:val="22"/>
                <w:lang w:val="it-IT"/>
              </w:rPr>
            </w:pPr>
            <w:r w:rsidRPr="00496684">
              <w:rPr>
                <w:sz w:val="22"/>
                <w:szCs w:val="22"/>
                <w:lang w:val="it-IT"/>
              </w:rPr>
              <w:t>DEX 10 mg/m</w:t>
            </w:r>
            <w:r w:rsidRPr="00496684">
              <w:rPr>
                <w:sz w:val="22"/>
                <w:szCs w:val="22"/>
                <w:vertAlign w:val="superscript"/>
                <w:lang w:val="it-IT"/>
              </w:rPr>
              <w:t>2</w:t>
            </w:r>
            <w:r w:rsidRPr="00496684">
              <w:rPr>
                <w:sz w:val="14"/>
                <w:szCs w:val="14"/>
                <w:lang w:val="it-IT"/>
              </w:rPr>
              <w:t xml:space="preserve"> </w:t>
            </w:r>
            <w:r w:rsidRPr="00496684">
              <w:rPr>
                <w:sz w:val="22"/>
                <w:szCs w:val="22"/>
                <w:lang w:val="it-IT"/>
              </w:rPr>
              <w:t>per via orale, giorni 1-5; CP 200 mg/m</w:t>
            </w:r>
            <w:r w:rsidRPr="00496684">
              <w:rPr>
                <w:sz w:val="22"/>
                <w:szCs w:val="22"/>
                <w:vertAlign w:val="superscript"/>
                <w:lang w:val="it-IT"/>
              </w:rPr>
              <w:t>2</w:t>
            </w:r>
            <w:r w:rsidRPr="00496684">
              <w:rPr>
                <w:sz w:val="14"/>
                <w:szCs w:val="14"/>
                <w:lang w:val="it-IT"/>
              </w:rPr>
              <w:t xml:space="preserve"> </w:t>
            </w:r>
            <w:r w:rsidRPr="00496684">
              <w:rPr>
                <w:sz w:val="22"/>
                <w:szCs w:val="22"/>
                <w:lang w:val="it-IT"/>
              </w:rPr>
              <w:t xml:space="preserve">i.v., giorni 3, 4, 5; </w:t>
            </w:r>
          </w:p>
          <w:p w14:paraId="2225D18A" w14:textId="77777777" w:rsidR="00EB0C1D" w:rsidRPr="00496684" w:rsidRDefault="00EB0C1D" w:rsidP="00696151">
            <w:pPr>
              <w:autoSpaceDE w:val="0"/>
              <w:autoSpaceDN w:val="0"/>
              <w:adjustRightInd w:val="0"/>
              <w:spacing w:after="0" w:line="240" w:lineRule="auto"/>
              <w:rPr>
                <w:rFonts w:ascii="Times New Roman" w:hAnsi="Times New Roman"/>
                <w:lang w:val="it-IT"/>
              </w:rPr>
            </w:pPr>
            <w:r w:rsidRPr="00496684">
              <w:rPr>
                <w:lang w:val="it-IT"/>
              </w:rPr>
              <w:t xml:space="preserve">MTX 12 mg per via intratecale, giorno 1 </w:t>
            </w:r>
          </w:p>
        </w:tc>
      </w:tr>
      <w:tr w:rsidR="00EB0C1D" w:rsidRPr="00496684" w14:paraId="43FB3EE7" w14:textId="77777777" w:rsidTr="00696151">
        <w:tc>
          <w:tcPr>
            <w:tcW w:w="2235" w:type="dxa"/>
            <w:tcBorders>
              <w:top w:val="single" w:sz="4" w:space="0" w:color="auto"/>
              <w:bottom w:val="single" w:sz="4" w:space="0" w:color="auto"/>
            </w:tcBorders>
          </w:tcPr>
          <w:p w14:paraId="1557E075" w14:textId="77777777" w:rsidR="00EB0C1D" w:rsidRPr="00496684" w:rsidRDefault="00EB0C1D" w:rsidP="00EB0C1D">
            <w:pPr>
              <w:pStyle w:val="Default"/>
              <w:rPr>
                <w:sz w:val="22"/>
                <w:szCs w:val="22"/>
                <w:lang w:val="it-IT"/>
              </w:rPr>
            </w:pPr>
            <w:r w:rsidRPr="00496684">
              <w:rPr>
                <w:sz w:val="22"/>
                <w:szCs w:val="22"/>
                <w:lang w:val="it-IT"/>
              </w:rPr>
              <w:t xml:space="preserve">Induzione </w:t>
            </w:r>
          </w:p>
          <w:p w14:paraId="674AACB0" w14:textId="77777777" w:rsidR="00EB0C1D" w:rsidRPr="00496684" w:rsidRDefault="00EB0C1D" w:rsidP="00EB0C1D">
            <w:pPr>
              <w:pStyle w:val="Default"/>
              <w:rPr>
                <w:sz w:val="22"/>
                <w:szCs w:val="22"/>
                <w:lang w:val="it-IT"/>
              </w:rPr>
            </w:pPr>
          </w:p>
        </w:tc>
        <w:tc>
          <w:tcPr>
            <w:tcW w:w="7309" w:type="dxa"/>
            <w:tcBorders>
              <w:top w:val="single" w:sz="4" w:space="0" w:color="auto"/>
              <w:bottom w:val="single" w:sz="4" w:space="0" w:color="auto"/>
            </w:tcBorders>
          </w:tcPr>
          <w:p w14:paraId="36CFC104" w14:textId="77777777" w:rsidR="00EB0C1D" w:rsidRPr="00496684" w:rsidRDefault="00EB0C1D" w:rsidP="00EB0C1D">
            <w:pPr>
              <w:pStyle w:val="Default"/>
              <w:rPr>
                <w:sz w:val="22"/>
                <w:szCs w:val="22"/>
                <w:lang w:val="it-IT"/>
              </w:rPr>
            </w:pPr>
            <w:r w:rsidRPr="00496684">
              <w:rPr>
                <w:sz w:val="22"/>
                <w:szCs w:val="22"/>
                <w:lang w:val="it-IT"/>
              </w:rPr>
              <w:t>DEX 10 mg/m</w:t>
            </w:r>
            <w:r w:rsidRPr="00496684">
              <w:rPr>
                <w:sz w:val="22"/>
                <w:szCs w:val="22"/>
                <w:vertAlign w:val="superscript"/>
                <w:lang w:val="it-IT"/>
              </w:rPr>
              <w:t>2</w:t>
            </w:r>
            <w:r w:rsidRPr="00496684">
              <w:rPr>
                <w:sz w:val="14"/>
                <w:szCs w:val="14"/>
                <w:lang w:val="it-IT"/>
              </w:rPr>
              <w:t xml:space="preserve"> </w:t>
            </w:r>
            <w:r w:rsidRPr="00496684">
              <w:rPr>
                <w:sz w:val="22"/>
                <w:szCs w:val="22"/>
                <w:lang w:val="it-IT"/>
              </w:rPr>
              <w:t xml:space="preserve">per via orale, giorni 6-7, 13-16; VCR 1 mg i.v., giorni 7, 14; </w:t>
            </w:r>
          </w:p>
          <w:p w14:paraId="5B2C9191" w14:textId="77777777" w:rsidR="00EB0C1D" w:rsidRPr="00496684" w:rsidRDefault="00EB0C1D" w:rsidP="00EB0C1D">
            <w:pPr>
              <w:pStyle w:val="Default"/>
              <w:rPr>
                <w:sz w:val="22"/>
                <w:szCs w:val="22"/>
                <w:lang w:val="it-IT"/>
              </w:rPr>
            </w:pPr>
            <w:r w:rsidRPr="00496684">
              <w:rPr>
                <w:sz w:val="22"/>
                <w:szCs w:val="22"/>
                <w:lang w:val="it-IT"/>
              </w:rPr>
              <w:t>IDA 8 mg/m</w:t>
            </w:r>
            <w:r w:rsidRPr="00496684">
              <w:rPr>
                <w:sz w:val="22"/>
                <w:szCs w:val="14"/>
                <w:vertAlign w:val="superscript"/>
                <w:lang w:val="it-IT"/>
              </w:rPr>
              <w:t xml:space="preserve">2 </w:t>
            </w:r>
            <w:r w:rsidRPr="00496684">
              <w:rPr>
                <w:sz w:val="22"/>
                <w:szCs w:val="22"/>
                <w:lang w:val="it-IT"/>
              </w:rPr>
              <w:t>i.v. (0,5 h), giorni 7, 8, 14, 15; CP 500 mg/m</w:t>
            </w:r>
            <w:r w:rsidRPr="00496684">
              <w:rPr>
                <w:sz w:val="22"/>
                <w:szCs w:val="14"/>
                <w:vertAlign w:val="superscript"/>
                <w:lang w:val="it-IT"/>
              </w:rPr>
              <w:t>2</w:t>
            </w:r>
            <w:r w:rsidRPr="00496684">
              <w:rPr>
                <w:sz w:val="14"/>
                <w:szCs w:val="14"/>
                <w:lang w:val="it-IT"/>
              </w:rPr>
              <w:t xml:space="preserve"> </w:t>
            </w:r>
            <w:r w:rsidRPr="00496684">
              <w:rPr>
                <w:sz w:val="22"/>
                <w:szCs w:val="22"/>
                <w:lang w:val="it-IT"/>
              </w:rPr>
              <w:t xml:space="preserve">i.v.(1 h) giorno 1; </w:t>
            </w:r>
          </w:p>
          <w:p w14:paraId="57D93CB8" w14:textId="77777777" w:rsidR="00EB0C1D" w:rsidRPr="00496684" w:rsidRDefault="00EB0C1D" w:rsidP="00EB0C1D">
            <w:pPr>
              <w:pStyle w:val="Default"/>
              <w:rPr>
                <w:sz w:val="22"/>
                <w:szCs w:val="22"/>
                <w:lang w:val="it-IT"/>
              </w:rPr>
            </w:pPr>
            <w:r w:rsidRPr="00496684">
              <w:rPr>
                <w:sz w:val="22"/>
                <w:szCs w:val="22"/>
                <w:lang w:val="it-IT"/>
              </w:rPr>
              <w:t>Ara-C 60 mg/m</w:t>
            </w:r>
            <w:r w:rsidRPr="00496684">
              <w:rPr>
                <w:sz w:val="22"/>
                <w:szCs w:val="22"/>
                <w:vertAlign w:val="superscript"/>
                <w:lang w:val="it-IT"/>
              </w:rPr>
              <w:t>2</w:t>
            </w:r>
            <w:r w:rsidRPr="00496684">
              <w:rPr>
                <w:sz w:val="14"/>
                <w:szCs w:val="14"/>
                <w:lang w:val="it-IT"/>
              </w:rPr>
              <w:t xml:space="preserve"> </w:t>
            </w:r>
            <w:r w:rsidRPr="00496684">
              <w:rPr>
                <w:sz w:val="22"/>
                <w:szCs w:val="22"/>
                <w:lang w:val="it-IT"/>
              </w:rPr>
              <w:t xml:space="preserve">i.v., giorni 22-25, 29-32 </w:t>
            </w:r>
          </w:p>
        </w:tc>
      </w:tr>
      <w:tr w:rsidR="00196052" w:rsidRPr="00496684" w14:paraId="39A9A467" w14:textId="77777777" w:rsidTr="00696151">
        <w:tc>
          <w:tcPr>
            <w:tcW w:w="2235" w:type="dxa"/>
            <w:tcBorders>
              <w:top w:val="single" w:sz="4" w:space="0" w:color="auto"/>
              <w:bottom w:val="single" w:sz="4" w:space="0" w:color="auto"/>
            </w:tcBorders>
          </w:tcPr>
          <w:p w14:paraId="18A8F884" w14:textId="77777777" w:rsidR="00196052" w:rsidRPr="00496684" w:rsidRDefault="00196052" w:rsidP="00196052">
            <w:pPr>
              <w:pStyle w:val="Default"/>
              <w:rPr>
                <w:sz w:val="22"/>
                <w:szCs w:val="22"/>
                <w:lang w:val="it-IT"/>
              </w:rPr>
            </w:pPr>
            <w:r w:rsidRPr="00496684">
              <w:rPr>
                <w:sz w:val="22"/>
                <w:szCs w:val="22"/>
                <w:lang w:val="it-IT"/>
              </w:rPr>
              <w:t xml:space="preserve">Consolidamento </w:t>
            </w:r>
          </w:p>
          <w:p w14:paraId="25529634" w14:textId="77777777" w:rsidR="00196052" w:rsidRPr="00496684" w:rsidRDefault="00196052" w:rsidP="00196052">
            <w:pPr>
              <w:pStyle w:val="Default"/>
              <w:rPr>
                <w:sz w:val="22"/>
                <w:szCs w:val="22"/>
                <w:lang w:val="it-IT"/>
              </w:rPr>
            </w:pPr>
            <w:r w:rsidRPr="00496684">
              <w:rPr>
                <w:sz w:val="22"/>
                <w:szCs w:val="22"/>
                <w:lang w:val="it-IT"/>
              </w:rPr>
              <w:t xml:space="preserve">I, III, V </w:t>
            </w:r>
          </w:p>
          <w:p w14:paraId="6C590FD8" w14:textId="77777777" w:rsidR="00196052" w:rsidRPr="00496684" w:rsidRDefault="00196052" w:rsidP="00EB0C1D">
            <w:pPr>
              <w:pStyle w:val="Default"/>
              <w:rPr>
                <w:sz w:val="22"/>
                <w:szCs w:val="22"/>
                <w:lang w:val="it-IT"/>
              </w:rPr>
            </w:pPr>
          </w:p>
        </w:tc>
        <w:tc>
          <w:tcPr>
            <w:tcW w:w="7309" w:type="dxa"/>
            <w:tcBorders>
              <w:top w:val="single" w:sz="4" w:space="0" w:color="auto"/>
              <w:bottom w:val="single" w:sz="4" w:space="0" w:color="auto"/>
            </w:tcBorders>
          </w:tcPr>
          <w:p w14:paraId="2FC1D232" w14:textId="77777777" w:rsidR="00196052" w:rsidRPr="00496684" w:rsidRDefault="00196052" w:rsidP="002C3058">
            <w:pPr>
              <w:pStyle w:val="Default"/>
              <w:rPr>
                <w:sz w:val="22"/>
                <w:szCs w:val="22"/>
                <w:lang w:val="it-IT"/>
              </w:rPr>
            </w:pPr>
            <w:r w:rsidRPr="00496684">
              <w:rPr>
                <w:sz w:val="22"/>
                <w:szCs w:val="22"/>
                <w:lang w:val="it-IT"/>
              </w:rPr>
              <w:t>MTX 500 mg/m</w:t>
            </w:r>
            <w:r w:rsidRPr="00496684">
              <w:rPr>
                <w:sz w:val="22"/>
                <w:szCs w:val="14"/>
                <w:vertAlign w:val="superscript"/>
                <w:lang w:val="it-IT"/>
              </w:rPr>
              <w:t>2</w:t>
            </w:r>
            <w:r w:rsidRPr="00496684">
              <w:rPr>
                <w:sz w:val="14"/>
                <w:szCs w:val="14"/>
                <w:lang w:val="it-IT"/>
              </w:rPr>
              <w:t xml:space="preserve"> </w:t>
            </w:r>
            <w:r w:rsidRPr="00496684">
              <w:rPr>
                <w:sz w:val="22"/>
                <w:szCs w:val="22"/>
                <w:lang w:val="it-IT"/>
              </w:rPr>
              <w:t>i.v. (24 h), giorni 1, 15; 6-MP 25 mg/m</w:t>
            </w:r>
            <w:r w:rsidRPr="00496684">
              <w:rPr>
                <w:sz w:val="22"/>
                <w:szCs w:val="14"/>
                <w:vertAlign w:val="superscript"/>
                <w:lang w:val="it-IT"/>
              </w:rPr>
              <w:t>2</w:t>
            </w:r>
            <w:r w:rsidRPr="00496684">
              <w:rPr>
                <w:sz w:val="14"/>
                <w:szCs w:val="14"/>
                <w:lang w:val="it-IT"/>
              </w:rPr>
              <w:t xml:space="preserve"> </w:t>
            </w:r>
            <w:r w:rsidRPr="00496684">
              <w:rPr>
                <w:sz w:val="22"/>
                <w:szCs w:val="22"/>
                <w:lang w:val="it-IT"/>
              </w:rPr>
              <w:t xml:space="preserve">per via orale, giorni 1-20 </w:t>
            </w:r>
          </w:p>
        </w:tc>
      </w:tr>
      <w:tr w:rsidR="00196052" w:rsidRPr="00496684" w14:paraId="20BAE453" w14:textId="77777777" w:rsidTr="00696151">
        <w:tc>
          <w:tcPr>
            <w:tcW w:w="2235" w:type="dxa"/>
            <w:tcBorders>
              <w:top w:val="single" w:sz="4" w:space="0" w:color="auto"/>
              <w:bottom w:val="single" w:sz="4" w:space="0" w:color="auto"/>
            </w:tcBorders>
          </w:tcPr>
          <w:p w14:paraId="3C14CDE6" w14:textId="77777777" w:rsidR="00196052" w:rsidRPr="00496684" w:rsidRDefault="00196052" w:rsidP="00196052">
            <w:pPr>
              <w:pStyle w:val="Default"/>
              <w:rPr>
                <w:sz w:val="22"/>
                <w:szCs w:val="22"/>
                <w:lang w:val="it-IT"/>
              </w:rPr>
            </w:pPr>
            <w:r w:rsidRPr="00496684">
              <w:rPr>
                <w:sz w:val="22"/>
                <w:szCs w:val="22"/>
                <w:lang w:val="it-IT"/>
              </w:rPr>
              <w:t xml:space="preserve">Consolidamento II, IV </w:t>
            </w:r>
          </w:p>
          <w:p w14:paraId="052BB92A" w14:textId="77777777" w:rsidR="00196052" w:rsidRPr="00496684" w:rsidRDefault="00196052" w:rsidP="00196052">
            <w:pPr>
              <w:pStyle w:val="Default"/>
              <w:rPr>
                <w:sz w:val="22"/>
                <w:szCs w:val="22"/>
                <w:lang w:val="it-IT"/>
              </w:rPr>
            </w:pPr>
          </w:p>
        </w:tc>
        <w:tc>
          <w:tcPr>
            <w:tcW w:w="7309" w:type="dxa"/>
            <w:tcBorders>
              <w:top w:val="single" w:sz="4" w:space="0" w:color="auto"/>
              <w:bottom w:val="single" w:sz="4" w:space="0" w:color="auto"/>
            </w:tcBorders>
          </w:tcPr>
          <w:p w14:paraId="796B341B" w14:textId="77777777" w:rsidR="00196052" w:rsidRPr="00496684" w:rsidRDefault="00196052" w:rsidP="002C3058">
            <w:pPr>
              <w:pStyle w:val="Default"/>
              <w:rPr>
                <w:sz w:val="22"/>
                <w:szCs w:val="22"/>
                <w:lang w:val="it-IT"/>
              </w:rPr>
            </w:pPr>
            <w:r w:rsidRPr="00496684">
              <w:rPr>
                <w:sz w:val="22"/>
                <w:szCs w:val="22"/>
                <w:lang w:val="it-IT"/>
              </w:rPr>
              <w:t>Ara-C 75 mg/m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1-5; VM26 60 mg/m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(1 h), giorni 1-5 </w:t>
            </w:r>
          </w:p>
        </w:tc>
      </w:tr>
      <w:tr w:rsidR="00196052" w:rsidRPr="00496684" w14:paraId="6794CDEA" w14:textId="77777777" w:rsidTr="00696151">
        <w:tc>
          <w:tcPr>
            <w:tcW w:w="2235" w:type="dxa"/>
            <w:tcBorders>
              <w:top w:val="single" w:sz="4" w:space="0" w:color="auto"/>
              <w:bottom w:val="single" w:sz="4" w:space="0" w:color="auto"/>
            </w:tcBorders>
          </w:tcPr>
          <w:p w14:paraId="3CD60903" w14:textId="77777777" w:rsidR="00196052" w:rsidRPr="00496684" w:rsidRDefault="00196052" w:rsidP="00196052">
            <w:pPr>
              <w:pStyle w:val="Default"/>
              <w:rPr>
                <w:sz w:val="22"/>
                <w:szCs w:val="22"/>
                <w:lang w:val="it-IT"/>
              </w:rPr>
            </w:pPr>
            <w:r w:rsidRPr="00496684">
              <w:rPr>
                <w:b/>
                <w:bCs/>
                <w:sz w:val="22"/>
                <w:szCs w:val="22"/>
                <w:lang w:val="it-IT"/>
              </w:rPr>
              <w:t xml:space="preserve">Studio AAU02 </w:t>
            </w:r>
          </w:p>
        </w:tc>
        <w:tc>
          <w:tcPr>
            <w:tcW w:w="7309" w:type="dxa"/>
            <w:tcBorders>
              <w:top w:val="single" w:sz="4" w:space="0" w:color="auto"/>
              <w:bottom w:val="single" w:sz="4" w:space="0" w:color="auto"/>
            </w:tcBorders>
          </w:tcPr>
          <w:p w14:paraId="7A248F27" w14:textId="77777777" w:rsidR="00196052" w:rsidRPr="00496684" w:rsidRDefault="00196052" w:rsidP="00196052">
            <w:pPr>
              <w:pStyle w:val="Default"/>
              <w:rPr>
                <w:sz w:val="22"/>
                <w:szCs w:val="22"/>
                <w:lang w:val="it-IT"/>
              </w:rPr>
            </w:pPr>
          </w:p>
        </w:tc>
      </w:tr>
      <w:tr w:rsidR="00196052" w:rsidRPr="00496684" w14:paraId="76AA7B01" w14:textId="77777777" w:rsidTr="00696151">
        <w:tc>
          <w:tcPr>
            <w:tcW w:w="2235" w:type="dxa"/>
            <w:tcBorders>
              <w:top w:val="single" w:sz="4" w:space="0" w:color="auto"/>
              <w:bottom w:val="single" w:sz="4" w:space="0" w:color="auto"/>
            </w:tcBorders>
          </w:tcPr>
          <w:p w14:paraId="52AC88DC" w14:textId="77777777" w:rsidR="00196052" w:rsidRPr="00496684" w:rsidRDefault="00196052" w:rsidP="00196052">
            <w:pPr>
              <w:pStyle w:val="Default"/>
              <w:rPr>
                <w:sz w:val="22"/>
                <w:szCs w:val="22"/>
                <w:lang w:val="it-IT"/>
              </w:rPr>
            </w:pPr>
            <w:r w:rsidRPr="00496684">
              <w:rPr>
                <w:sz w:val="22"/>
                <w:szCs w:val="22"/>
                <w:lang w:val="it-IT"/>
              </w:rPr>
              <w:t xml:space="preserve">Induzione (LLA Ph+ </w:t>
            </w:r>
            <w:r w:rsidRPr="00496684">
              <w:rPr>
                <w:i/>
                <w:iCs/>
                <w:sz w:val="22"/>
                <w:szCs w:val="22"/>
                <w:lang w:val="it-IT"/>
              </w:rPr>
              <w:t>de novo</w:t>
            </w:r>
            <w:r w:rsidRPr="00496684">
              <w:rPr>
                <w:sz w:val="22"/>
                <w:szCs w:val="22"/>
                <w:lang w:val="it-IT"/>
              </w:rPr>
              <w:t xml:space="preserve">) </w:t>
            </w:r>
          </w:p>
          <w:p w14:paraId="400B4D9E" w14:textId="77777777" w:rsidR="00196052" w:rsidRPr="00496684" w:rsidRDefault="00196052" w:rsidP="00196052">
            <w:pPr>
              <w:pStyle w:val="Default"/>
              <w:rPr>
                <w:b/>
                <w:bCs/>
                <w:sz w:val="22"/>
                <w:szCs w:val="22"/>
                <w:lang w:val="it-IT"/>
              </w:rPr>
            </w:pPr>
          </w:p>
        </w:tc>
        <w:tc>
          <w:tcPr>
            <w:tcW w:w="7309" w:type="dxa"/>
            <w:tcBorders>
              <w:top w:val="single" w:sz="4" w:space="0" w:color="auto"/>
              <w:bottom w:val="single" w:sz="4" w:space="0" w:color="auto"/>
            </w:tcBorders>
          </w:tcPr>
          <w:p w14:paraId="0CAD7D3E" w14:textId="77777777" w:rsidR="00196052" w:rsidRPr="00496684" w:rsidRDefault="00196052" w:rsidP="002C3058">
            <w:pPr>
              <w:pStyle w:val="Default"/>
              <w:rPr>
                <w:sz w:val="22"/>
                <w:szCs w:val="22"/>
                <w:lang w:val="it-IT"/>
              </w:rPr>
            </w:pPr>
            <w:r w:rsidRPr="00496684">
              <w:rPr>
                <w:sz w:val="22"/>
                <w:szCs w:val="22"/>
                <w:lang w:val="it-IT"/>
              </w:rPr>
              <w:t>Daunorubicina 30 mg/</w:t>
            </w:r>
            <w:r w:rsidR="00991CD0" w:rsidRPr="00496684">
              <w:rPr>
                <w:sz w:val="22"/>
                <w:szCs w:val="22"/>
                <w:lang w:val="it-IT"/>
              </w:rPr>
              <w:t xml:space="preserve"> m</w:t>
            </w:r>
            <w:r w:rsidR="00991CD0" w:rsidRPr="00496684">
              <w:rPr>
                <w:sz w:val="20"/>
                <w:szCs w:val="14"/>
                <w:vertAlign w:val="superscript"/>
                <w:lang w:val="it-IT"/>
              </w:rPr>
              <w:t>2</w:t>
            </w:r>
            <w:r w:rsidRPr="00496684">
              <w:rPr>
                <w:sz w:val="14"/>
                <w:szCs w:val="14"/>
                <w:lang w:val="it-IT"/>
              </w:rPr>
              <w:t xml:space="preserve"> </w:t>
            </w:r>
            <w:r w:rsidRPr="00496684">
              <w:rPr>
                <w:sz w:val="22"/>
                <w:szCs w:val="22"/>
                <w:lang w:val="it-IT"/>
              </w:rPr>
              <w:t>i.v., giorni 1-3, 15-16; VCR dose totale 2 mg i.v., giorni 1, 8, 15, 22; CP 750 mg/</w:t>
            </w:r>
            <w:r w:rsidR="00991CD0" w:rsidRPr="00496684">
              <w:rPr>
                <w:sz w:val="22"/>
                <w:szCs w:val="22"/>
                <w:lang w:val="it-IT"/>
              </w:rPr>
              <w:t xml:space="preserve"> m</w:t>
            </w:r>
            <w:r w:rsidR="00991CD0" w:rsidRPr="00496684">
              <w:rPr>
                <w:sz w:val="20"/>
                <w:szCs w:val="14"/>
                <w:vertAlign w:val="superscript"/>
                <w:lang w:val="it-IT"/>
              </w:rPr>
              <w:t>2</w:t>
            </w:r>
            <w:r w:rsidRPr="00496684">
              <w:rPr>
                <w:sz w:val="14"/>
                <w:szCs w:val="14"/>
                <w:lang w:val="it-IT"/>
              </w:rPr>
              <w:t xml:space="preserve"> </w:t>
            </w:r>
            <w:r w:rsidRPr="00496684">
              <w:rPr>
                <w:sz w:val="22"/>
                <w:szCs w:val="22"/>
                <w:lang w:val="it-IT"/>
              </w:rPr>
              <w:t>i.v., giorni 1, 8; Prednisone 60 mg/</w:t>
            </w:r>
            <w:r w:rsidR="00991CD0" w:rsidRPr="00496684">
              <w:rPr>
                <w:sz w:val="22"/>
                <w:szCs w:val="22"/>
                <w:lang w:val="it-IT"/>
              </w:rPr>
              <w:t xml:space="preserve"> m</w:t>
            </w:r>
            <w:r w:rsidR="00991CD0"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1-7, 15-21; IDA 9 mg/</w:t>
            </w:r>
            <w:r w:rsidR="00991CD0" w:rsidRPr="00496684">
              <w:rPr>
                <w:sz w:val="22"/>
                <w:szCs w:val="22"/>
                <w:lang w:val="it-IT"/>
              </w:rPr>
              <w:t xml:space="preserve"> m</w:t>
            </w:r>
            <w:r w:rsidR="00991CD0"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per via orale, giorni 1-28; MTX 15 mg per via intratecale, giorni 1, 8, 15, 22; Ara-C 40 mg per via intratecale, giorni 1, 8, 15, 22; Metilprednisolone 40 mg per via intratecale, giorni 1, 8, 15, 22 </w:t>
            </w:r>
          </w:p>
        </w:tc>
      </w:tr>
      <w:tr w:rsidR="00991CD0" w:rsidRPr="00496684" w14:paraId="64B5683A" w14:textId="77777777" w:rsidTr="00696151">
        <w:tc>
          <w:tcPr>
            <w:tcW w:w="2235" w:type="dxa"/>
            <w:tcBorders>
              <w:top w:val="single" w:sz="4" w:space="0" w:color="auto"/>
              <w:bottom w:val="single" w:sz="4" w:space="0" w:color="auto"/>
            </w:tcBorders>
          </w:tcPr>
          <w:p w14:paraId="053DBA25" w14:textId="77777777" w:rsidR="00991CD0" w:rsidRPr="00496684" w:rsidRDefault="00991CD0" w:rsidP="00991CD0">
            <w:pPr>
              <w:pStyle w:val="Default"/>
              <w:rPr>
                <w:sz w:val="22"/>
                <w:szCs w:val="22"/>
                <w:lang w:val="it-IT"/>
              </w:rPr>
            </w:pPr>
            <w:r w:rsidRPr="00496684">
              <w:rPr>
                <w:sz w:val="22"/>
                <w:szCs w:val="22"/>
                <w:lang w:val="it-IT"/>
              </w:rPr>
              <w:t xml:space="preserve">Consolidamento </w:t>
            </w:r>
          </w:p>
          <w:p w14:paraId="2C1ADCC2" w14:textId="77777777" w:rsidR="00991CD0" w:rsidRPr="00496684" w:rsidRDefault="00991CD0" w:rsidP="00991CD0">
            <w:pPr>
              <w:pStyle w:val="Default"/>
              <w:rPr>
                <w:sz w:val="22"/>
                <w:szCs w:val="22"/>
                <w:lang w:val="it-IT"/>
              </w:rPr>
            </w:pPr>
            <w:r w:rsidRPr="00496684">
              <w:rPr>
                <w:sz w:val="22"/>
                <w:szCs w:val="22"/>
                <w:lang w:val="it-IT"/>
              </w:rPr>
              <w:t xml:space="preserve">(LLA Ph+ </w:t>
            </w:r>
            <w:r w:rsidRPr="00496684">
              <w:rPr>
                <w:i/>
                <w:iCs/>
                <w:sz w:val="22"/>
                <w:szCs w:val="22"/>
                <w:lang w:val="it-IT"/>
              </w:rPr>
              <w:t>de novo</w:t>
            </w:r>
            <w:r w:rsidRPr="00496684">
              <w:rPr>
                <w:sz w:val="22"/>
                <w:szCs w:val="22"/>
                <w:lang w:val="it-IT"/>
              </w:rPr>
              <w:t xml:space="preserve">) </w:t>
            </w:r>
          </w:p>
          <w:p w14:paraId="1D93C49D" w14:textId="77777777" w:rsidR="00991CD0" w:rsidRPr="00496684" w:rsidRDefault="00991CD0" w:rsidP="00196052">
            <w:pPr>
              <w:pStyle w:val="Default"/>
              <w:rPr>
                <w:sz w:val="22"/>
                <w:szCs w:val="22"/>
                <w:lang w:val="it-IT"/>
              </w:rPr>
            </w:pPr>
          </w:p>
        </w:tc>
        <w:tc>
          <w:tcPr>
            <w:tcW w:w="7309" w:type="dxa"/>
            <w:tcBorders>
              <w:top w:val="single" w:sz="4" w:space="0" w:color="auto"/>
              <w:bottom w:val="single" w:sz="4" w:space="0" w:color="auto"/>
            </w:tcBorders>
          </w:tcPr>
          <w:p w14:paraId="48EA6F1C" w14:textId="77777777" w:rsidR="00991CD0" w:rsidRPr="00496684" w:rsidRDefault="00991CD0" w:rsidP="002C3058">
            <w:pPr>
              <w:pStyle w:val="Default"/>
              <w:rPr>
                <w:sz w:val="22"/>
                <w:szCs w:val="22"/>
                <w:lang w:val="it-IT"/>
              </w:rPr>
            </w:pPr>
            <w:r w:rsidRPr="00496684">
              <w:rPr>
                <w:sz w:val="22"/>
                <w:szCs w:val="22"/>
                <w:lang w:val="it-IT"/>
              </w:rPr>
              <w:t>Ara-C 1.000 mg/ m</w:t>
            </w:r>
            <w:r w:rsidRPr="00496684">
              <w:rPr>
                <w:sz w:val="20"/>
                <w:szCs w:val="14"/>
                <w:vertAlign w:val="superscript"/>
                <w:lang w:val="it-IT"/>
              </w:rPr>
              <w:t>2</w:t>
            </w:r>
            <w:r w:rsidRPr="00496684">
              <w:rPr>
                <w:sz w:val="22"/>
                <w:szCs w:val="22"/>
                <w:lang w:val="it-IT"/>
              </w:rPr>
              <w:t>/12 h i.v.(3 h), giorni 1-4; Mitoxantrone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giorni 3-5; MTX 15 mg per via intratecale, giorno 1; Metilprednisolone 40 mg per via intratecale, giorno 1 </w:t>
            </w:r>
          </w:p>
        </w:tc>
      </w:tr>
      <w:tr w:rsidR="00991CD0" w:rsidRPr="00496684" w14:paraId="0915F79A" w14:textId="77777777" w:rsidTr="00696151">
        <w:tc>
          <w:tcPr>
            <w:tcW w:w="2235" w:type="dxa"/>
            <w:tcBorders>
              <w:top w:val="single" w:sz="4" w:space="0" w:color="auto"/>
              <w:bottom w:val="single" w:sz="4" w:space="0" w:color="auto"/>
            </w:tcBorders>
          </w:tcPr>
          <w:p w14:paraId="1E6C57DB" w14:textId="77777777" w:rsidR="00991CD0" w:rsidRPr="00496684" w:rsidRDefault="00991CD0" w:rsidP="00991CD0">
            <w:pPr>
              <w:pStyle w:val="Default"/>
              <w:rPr>
                <w:sz w:val="22"/>
                <w:szCs w:val="22"/>
                <w:lang w:val="it-IT"/>
              </w:rPr>
            </w:pPr>
            <w:r w:rsidRPr="00496684">
              <w:rPr>
                <w:b/>
                <w:bCs/>
                <w:sz w:val="22"/>
                <w:szCs w:val="22"/>
                <w:lang w:val="it-IT"/>
              </w:rPr>
              <w:t xml:space="preserve">Studio ADE04 </w:t>
            </w:r>
          </w:p>
        </w:tc>
        <w:tc>
          <w:tcPr>
            <w:tcW w:w="7309" w:type="dxa"/>
            <w:tcBorders>
              <w:top w:val="single" w:sz="4" w:space="0" w:color="auto"/>
              <w:bottom w:val="single" w:sz="4" w:space="0" w:color="auto"/>
            </w:tcBorders>
          </w:tcPr>
          <w:p w14:paraId="3D733DC8" w14:textId="77777777" w:rsidR="00991CD0" w:rsidRPr="00496684" w:rsidRDefault="00991CD0" w:rsidP="00991CD0">
            <w:pPr>
              <w:pStyle w:val="Default"/>
              <w:rPr>
                <w:sz w:val="22"/>
                <w:szCs w:val="22"/>
                <w:lang w:val="it-IT"/>
              </w:rPr>
            </w:pPr>
          </w:p>
        </w:tc>
      </w:tr>
      <w:tr w:rsidR="00991CD0" w:rsidRPr="00496684" w14:paraId="42431289" w14:textId="77777777" w:rsidTr="00696151">
        <w:tc>
          <w:tcPr>
            <w:tcW w:w="2235" w:type="dxa"/>
            <w:tcBorders>
              <w:top w:val="single" w:sz="4" w:space="0" w:color="auto"/>
              <w:bottom w:val="single" w:sz="4" w:space="0" w:color="auto"/>
            </w:tcBorders>
          </w:tcPr>
          <w:p w14:paraId="2AC88F89" w14:textId="77777777" w:rsidR="00991CD0" w:rsidRPr="00496684" w:rsidRDefault="00991CD0" w:rsidP="00991CD0">
            <w:pPr>
              <w:pStyle w:val="Default"/>
              <w:rPr>
                <w:sz w:val="22"/>
                <w:szCs w:val="22"/>
                <w:lang w:val="it-IT"/>
              </w:rPr>
            </w:pPr>
            <w:r w:rsidRPr="00496684">
              <w:rPr>
                <w:sz w:val="22"/>
                <w:szCs w:val="22"/>
                <w:lang w:val="it-IT"/>
              </w:rPr>
              <w:t xml:space="preserve">Pretrattamento </w:t>
            </w:r>
          </w:p>
        </w:tc>
        <w:tc>
          <w:tcPr>
            <w:tcW w:w="7309" w:type="dxa"/>
            <w:tcBorders>
              <w:top w:val="single" w:sz="4" w:space="0" w:color="auto"/>
              <w:bottom w:val="single" w:sz="4" w:space="0" w:color="auto"/>
            </w:tcBorders>
          </w:tcPr>
          <w:p w14:paraId="6B374446" w14:textId="77777777" w:rsidR="00991CD0" w:rsidRPr="00496684" w:rsidRDefault="00991CD0" w:rsidP="002C3058">
            <w:pPr>
              <w:pStyle w:val="Default"/>
              <w:rPr>
                <w:sz w:val="22"/>
                <w:szCs w:val="22"/>
                <w:lang w:val="it-IT"/>
              </w:rPr>
            </w:pPr>
            <w:r w:rsidRPr="00496684">
              <w:rPr>
                <w:sz w:val="22"/>
                <w:szCs w:val="22"/>
                <w:lang w:val="it-IT"/>
              </w:rPr>
              <w:t>DEX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1-5; CP 200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giorni 3-5; MTX 15 mg per via intratecale, giorno 1 </w:t>
            </w:r>
          </w:p>
        </w:tc>
      </w:tr>
      <w:tr w:rsidR="008C406F" w:rsidRPr="00496684" w14:paraId="4813BF9E" w14:textId="77777777" w:rsidTr="00696151">
        <w:tc>
          <w:tcPr>
            <w:tcW w:w="2235" w:type="dxa"/>
            <w:tcBorders>
              <w:top w:val="single" w:sz="4" w:space="0" w:color="auto"/>
              <w:bottom w:val="single" w:sz="4" w:space="0" w:color="auto"/>
            </w:tcBorders>
          </w:tcPr>
          <w:p w14:paraId="222AFB32" w14:textId="77777777" w:rsidR="008C406F" w:rsidRPr="00496684" w:rsidRDefault="008C406F" w:rsidP="00991CD0">
            <w:pPr>
              <w:pStyle w:val="Default"/>
              <w:rPr>
                <w:sz w:val="22"/>
                <w:szCs w:val="22"/>
                <w:lang w:val="it-IT"/>
              </w:rPr>
            </w:pPr>
            <w:r w:rsidRPr="00496684">
              <w:rPr>
                <w:sz w:val="22"/>
                <w:szCs w:val="22"/>
                <w:lang w:val="it-IT"/>
              </w:rPr>
              <w:t xml:space="preserve">Induzione I </w:t>
            </w:r>
          </w:p>
        </w:tc>
        <w:tc>
          <w:tcPr>
            <w:tcW w:w="7309" w:type="dxa"/>
            <w:tcBorders>
              <w:top w:val="single" w:sz="4" w:space="0" w:color="auto"/>
              <w:bottom w:val="single" w:sz="4" w:space="0" w:color="auto"/>
            </w:tcBorders>
          </w:tcPr>
          <w:p w14:paraId="65F37671" w14:textId="77777777" w:rsidR="008C406F" w:rsidRPr="00496684" w:rsidRDefault="008C406F" w:rsidP="002C3058">
            <w:pPr>
              <w:pStyle w:val="Default"/>
              <w:rPr>
                <w:sz w:val="22"/>
                <w:szCs w:val="22"/>
                <w:lang w:val="it-IT"/>
              </w:rPr>
            </w:pPr>
            <w:r w:rsidRPr="00496684">
              <w:rPr>
                <w:sz w:val="22"/>
                <w:szCs w:val="22"/>
                <w:lang w:val="it-IT"/>
              </w:rPr>
              <w:t>DEX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1-5; VCR 2 mg i.v., giorni 6, 13, 20; Daunorubicina 45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giorni 6-7, 13-14 </w:t>
            </w:r>
          </w:p>
        </w:tc>
      </w:tr>
      <w:tr w:rsidR="008C406F" w:rsidRPr="00496684" w14:paraId="173D00F8" w14:textId="77777777" w:rsidTr="00696151">
        <w:tc>
          <w:tcPr>
            <w:tcW w:w="2235" w:type="dxa"/>
            <w:tcBorders>
              <w:top w:val="single" w:sz="4" w:space="0" w:color="auto"/>
              <w:bottom w:val="single" w:sz="4" w:space="0" w:color="auto"/>
            </w:tcBorders>
          </w:tcPr>
          <w:p w14:paraId="38AADFD3" w14:textId="77777777" w:rsidR="008C406F" w:rsidRPr="00496684" w:rsidRDefault="008C406F" w:rsidP="00991CD0">
            <w:pPr>
              <w:pStyle w:val="Default"/>
              <w:rPr>
                <w:sz w:val="22"/>
                <w:szCs w:val="22"/>
                <w:lang w:val="it-IT"/>
              </w:rPr>
            </w:pPr>
            <w:r w:rsidRPr="00496684">
              <w:rPr>
                <w:sz w:val="22"/>
                <w:szCs w:val="22"/>
                <w:lang w:val="it-IT"/>
              </w:rPr>
              <w:t xml:space="preserve">Induzione II </w:t>
            </w:r>
          </w:p>
        </w:tc>
        <w:tc>
          <w:tcPr>
            <w:tcW w:w="7309" w:type="dxa"/>
            <w:tcBorders>
              <w:top w:val="single" w:sz="4" w:space="0" w:color="auto"/>
              <w:bottom w:val="single" w:sz="4" w:space="0" w:color="auto"/>
            </w:tcBorders>
          </w:tcPr>
          <w:p w14:paraId="0E5969D0" w14:textId="77777777" w:rsidR="008C406F" w:rsidRPr="00496684" w:rsidRDefault="008C406F" w:rsidP="002C3058">
            <w:pPr>
              <w:pStyle w:val="Default"/>
              <w:rPr>
                <w:sz w:val="22"/>
                <w:szCs w:val="22"/>
                <w:lang w:val="it-IT"/>
              </w:rPr>
            </w:pPr>
            <w:r w:rsidRPr="00496684">
              <w:rPr>
                <w:sz w:val="22"/>
                <w:szCs w:val="22"/>
                <w:lang w:val="it-IT"/>
              </w:rPr>
              <w:t>CP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26, 46; Ara-C 75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28-31, 35-38, 42-45; 6-MP 60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per via orale, giorni 26-46 </w:t>
            </w:r>
          </w:p>
        </w:tc>
      </w:tr>
      <w:tr w:rsidR="008C406F" w:rsidRPr="00496684" w14:paraId="3A8B477C" w14:textId="77777777" w:rsidTr="00696151">
        <w:tc>
          <w:tcPr>
            <w:tcW w:w="2235" w:type="dxa"/>
            <w:tcBorders>
              <w:top w:val="single" w:sz="4" w:space="0" w:color="auto"/>
              <w:bottom w:val="single" w:sz="4" w:space="0" w:color="auto"/>
            </w:tcBorders>
          </w:tcPr>
          <w:p w14:paraId="1A5AEA9C" w14:textId="77777777" w:rsidR="008C406F" w:rsidRPr="00496684" w:rsidRDefault="008C406F" w:rsidP="00991CD0">
            <w:pPr>
              <w:pStyle w:val="Default"/>
              <w:rPr>
                <w:sz w:val="22"/>
                <w:szCs w:val="22"/>
                <w:lang w:val="it-IT"/>
              </w:rPr>
            </w:pPr>
            <w:r w:rsidRPr="00496684">
              <w:rPr>
                <w:sz w:val="22"/>
                <w:szCs w:val="22"/>
                <w:lang w:val="it-IT"/>
              </w:rPr>
              <w:t xml:space="preserve">Consolidamento </w:t>
            </w:r>
          </w:p>
        </w:tc>
        <w:tc>
          <w:tcPr>
            <w:tcW w:w="7309" w:type="dxa"/>
            <w:tcBorders>
              <w:top w:val="single" w:sz="4" w:space="0" w:color="auto"/>
              <w:bottom w:val="single" w:sz="4" w:space="0" w:color="auto"/>
            </w:tcBorders>
          </w:tcPr>
          <w:p w14:paraId="2CE72536" w14:textId="77777777" w:rsidR="008C406F" w:rsidRPr="00496684" w:rsidRDefault="008C406F" w:rsidP="002C3058">
            <w:pPr>
              <w:pStyle w:val="Default"/>
              <w:rPr>
                <w:sz w:val="22"/>
                <w:szCs w:val="22"/>
                <w:lang w:val="it-IT"/>
              </w:rPr>
            </w:pPr>
            <w:r w:rsidRPr="00496684">
              <w:rPr>
                <w:sz w:val="22"/>
                <w:szCs w:val="22"/>
                <w:lang w:val="it-IT"/>
              </w:rPr>
              <w:t>DEX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1-5; Vindesina 3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giorno 1; MTX 1,5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(24 h), giorno 1; Etoposide 250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4-5; Ara-C 2x 2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(3 h, q 12 h), giorno 5 </w:t>
            </w:r>
          </w:p>
        </w:tc>
      </w:tr>
      <w:tr w:rsidR="008C406F" w:rsidRPr="00496684" w14:paraId="5EEFC6E3" w14:textId="77777777" w:rsidTr="00696151">
        <w:tc>
          <w:tcPr>
            <w:tcW w:w="2235" w:type="dxa"/>
            <w:tcBorders>
              <w:top w:val="single" w:sz="4" w:space="0" w:color="auto"/>
              <w:bottom w:val="single" w:sz="4" w:space="0" w:color="auto"/>
            </w:tcBorders>
          </w:tcPr>
          <w:p w14:paraId="0C4222BD" w14:textId="77777777" w:rsidR="008C406F" w:rsidRPr="00496684" w:rsidRDefault="008C406F" w:rsidP="00991CD0">
            <w:pPr>
              <w:pStyle w:val="Default"/>
              <w:rPr>
                <w:sz w:val="22"/>
                <w:szCs w:val="22"/>
                <w:lang w:val="it-IT"/>
              </w:rPr>
            </w:pPr>
            <w:r w:rsidRPr="00496684">
              <w:rPr>
                <w:b/>
                <w:bCs/>
                <w:sz w:val="22"/>
                <w:szCs w:val="22"/>
                <w:lang w:val="it-IT"/>
              </w:rPr>
              <w:t xml:space="preserve">Studio AJP01 </w:t>
            </w:r>
          </w:p>
        </w:tc>
        <w:tc>
          <w:tcPr>
            <w:tcW w:w="7309" w:type="dxa"/>
            <w:tcBorders>
              <w:top w:val="single" w:sz="4" w:space="0" w:color="auto"/>
              <w:bottom w:val="single" w:sz="4" w:space="0" w:color="auto"/>
            </w:tcBorders>
          </w:tcPr>
          <w:p w14:paraId="603B5319" w14:textId="77777777" w:rsidR="008C406F" w:rsidRPr="00496684" w:rsidRDefault="008C406F" w:rsidP="008C406F">
            <w:pPr>
              <w:pStyle w:val="Default"/>
              <w:rPr>
                <w:sz w:val="22"/>
                <w:szCs w:val="22"/>
                <w:lang w:val="it-IT"/>
              </w:rPr>
            </w:pPr>
          </w:p>
        </w:tc>
      </w:tr>
      <w:tr w:rsidR="008C406F" w:rsidRPr="00496684" w14:paraId="14362FB0" w14:textId="77777777" w:rsidTr="00696151">
        <w:tc>
          <w:tcPr>
            <w:tcW w:w="2235" w:type="dxa"/>
            <w:tcBorders>
              <w:top w:val="single" w:sz="4" w:space="0" w:color="auto"/>
              <w:bottom w:val="single" w:sz="4" w:space="0" w:color="auto"/>
            </w:tcBorders>
          </w:tcPr>
          <w:p w14:paraId="2FADE661" w14:textId="77777777" w:rsidR="008C406F" w:rsidRPr="00496684" w:rsidRDefault="008C406F" w:rsidP="00991CD0">
            <w:pPr>
              <w:pStyle w:val="Default"/>
              <w:rPr>
                <w:sz w:val="22"/>
                <w:szCs w:val="22"/>
                <w:lang w:val="it-IT"/>
              </w:rPr>
            </w:pPr>
            <w:r w:rsidRPr="00496684">
              <w:rPr>
                <w:sz w:val="22"/>
                <w:szCs w:val="22"/>
                <w:lang w:val="it-IT"/>
              </w:rPr>
              <w:t xml:space="preserve">Induzione </w:t>
            </w:r>
          </w:p>
        </w:tc>
        <w:tc>
          <w:tcPr>
            <w:tcW w:w="7309" w:type="dxa"/>
            <w:tcBorders>
              <w:top w:val="single" w:sz="4" w:space="0" w:color="auto"/>
              <w:bottom w:val="single" w:sz="4" w:space="0" w:color="auto"/>
            </w:tcBorders>
          </w:tcPr>
          <w:p w14:paraId="3D6BF101" w14:textId="77777777" w:rsidR="008C406F" w:rsidRPr="00496684" w:rsidRDefault="008C406F" w:rsidP="008C406F">
            <w:pPr>
              <w:pStyle w:val="Default"/>
              <w:rPr>
                <w:sz w:val="22"/>
                <w:szCs w:val="22"/>
                <w:lang w:val="it-IT"/>
              </w:rPr>
            </w:pPr>
            <w:r w:rsidRPr="00496684">
              <w:rPr>
                <w:sz w:val="22"/>
                <w:szCs w:val="22"/>
                <w:lang w:val="it-IT"/>
              </w:rPr>
              <w:t>CP 1,2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(3 h), giorno 1; Daunorubicina 60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(1 h), giorni 1-3; </w:t>
            </w:r>
          </w:p>
          <w:p w14:paraId="71097E10" w14:textId="77777777" w:rsidR="008C406F" w:rsidRPr="00496684" w:rsidRDefault="008C406F" w:rsidP="002C3058">
            <w:pPr>
              <w:pStyle w:val="Default"/>
              <w:rPr>
                <w:sz w:val="22"/>
                <w:szCs w:val="22"/>
                <w:lang w:val="it-IT"/>
              </w:rPr>
            </w:pPr>
            <w:r w:rsidRPr="00496684">
              <w:rPr>
                <w:sz w:val="22"/>
                <w:szCs w:val="22"/>
                <w:lang w:val="it-IT"/>
              </w:rPr>
              <w:t>Vincristina 1,3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giorni 1, 8, 15, 21; Prednisolone 60 mg/ m</w:t>
            </w:r>
            <w:r w:rsidRPr="00496684">
              <w:rPr>
                <w:sz w:val="20"/>
                <w:szCs w:val="14"/>
                <w:vertAlign w:val="superscript"/>
                <w:lang w:val="it-IT"/>
              </w:rPr>
              <w:t>2</w:t>
            </w:r>
            <w:r w:rsidRPr="00496684">
              <w:rPr>
                <w:sz w:val="22"/>
                <w:szCs w:val="22"/>
                <w:lang w:val="it-IT"/>
              </w:rPr>
              <w:t xml:space="preserve">/die per via orale </w:t>
            </w:r>
          </w:p>
        </w:tc>
      </w:tr>
      <w:tr w:rsidR="005C0725" w:rsidRPr="00496684" w14:paraId="268691C4" w14:textId="77777777" w:rsidTr="00696151">
        <w:tc>
          <w:tcPr>
            <w:tcW w:w="2235" w:type="dxa"/>
            <w:tcBorders>
              <w:top w:val="single" w:sz="4" w:space="0" w:color="auto"/>
              <w:bottom w:val="single" w:sz="4" w:space="0" w:color="auto"/>
            </w:tcBorders>
          </w:tcPr>
          <w:p w14:paraId="7DD040C9" w14:textId="77777777" w:rsidR="005C0725" w:rsidRPr="00496684" w:rsidRDefault="005C0725" w:rsidP="00991CD0">
            <w:pPr>
              <w:pStyle w:val="Default"/>
              <w:rPr>
                <w:sz w:val="22"/>
                <w:szCs w:val="22"/>
                <w:lang w:val="it-IT"/>
              </w:rPr>
            </w:pPr>
            <w:r w:rsidRPr="00496684">
              <w:rPr>
                <w:sz w:val="22"/>
                <w:szCs w:val="22"/>
                <w:lang w:val="it-IT"/>
              </w:rPr>
              <w:t xml:space="preserve">Consolidamento </w:t>
            </w:r>
          </w:p>
        </w:tc>
        <w:tc>
          <w:tcPr>
            <w:tcW w:w="7309" w:type="dxa"/>
            <w:tcBorders>
              <w:top w:val="single" w:sz="4" w:space="0" w:color="auto"/>
              <w:bottom w:val="single" w:sz="4" w:space="0" w:color="auto"/>
            </w:tcBorders>
          </w:tcPr>
          <w:p w14:paraId="395254A8" w14:textId="77777777" w:rsidR="005C0725" w:rsidRPr="00496684" w:rsidRDefault="005C0725" w:rsidP="008C406F">
            <w:pPr>
              <w:pStyle w:val="Default"/>
              <w:rPr>
                <w:sz w:val="22"/>
                <w:szCs w:val="22"/>
                <w:lang w:val="it-IT"/>
              </w:rPr>
            </w:pPr>
            <w:r w:rsidRPr="00496684">
              <w:rPr>
                <w:sz w:val="22"/>
                <w:szCs w:val="22"/>
                <w:lang w:val="it-IT"/>
              </w:rPr>
              <w:t>Ciclo chemioterapico alternativo: chemioterapia con MTX ad alte dosi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(24 h), giorno 1, e Ara-C 2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(q 12 h), giorni 2-3, per 4 cicli </w:t>
            </w:r>
          </w:p>
        </w:tc>
      </w:tr>
      <w:tr w:rsidR="005C0725" w:rsidRPr="00496684" w14:paraId="4B38CDB5" w14:textId="77777777" w:rsidTr="00696151">
        <w:tc>
          <w:tcPr>
            <w:tcW w:w="2235" w:type="dxa"/>
            <w:tcBorders>
              <w:top w:val="single" w:sz="4" w:space="0" w:color="auto"/>
              <w:bottom w:val="single" w:sz="4" w:space="0" w:color="auto"/>
            </w:tcBorders>
          </w:tcPr>
          <w:p w14:paraId="1392D2CA" w14:textId="77777777" w:rsidR="005C0725" w:rsidRPr="00496684" w:rsidRDefault="005C0725" w:rsidP="005C0725">
            <w:pPr>
              <w:pStyle w:val="Default"/>
              <w:rPr>
                <w:sz w:val="22"/>
                <w:szCs w:val="22"/>
                <w:lang w:val="it-IT"/>
              </w:rPr>
            </w:pPr>
            <w:r w:rsidRPr="00496684">
              <w:rPr>
                <w:sz w:val="22"/>
                <w:szCs w:val="22"/>
                <w:lang w:val="it-IT"/>
              </w:rPr>
              <w:t xml:space="preserve">Mantenimento </w:t>
            </w:r>
          </w:p>
          <w:p w14:paraId="02AD46E9" w14:textId="77777777" w:rsidR="005C0725" w:rsidRPr="00496684" w:rsidRDefault="005C0725" w:rsidP="00991CD0">
            <w:pPr>
              <w:pStyle w:val="Default"/>
              <w:rPr>
                <w:sz w:val="22"/>
                <w:szCs w:val="22"/>
                <w:lang w:val="it-IT"/>
              </w:rPr>
            </w:pPr>
          </w:p>
        </w:tc>
        <w:tc>
          <w:tcPr>
            <w:tcW w:w="7309" w:type="dxa"/>
            <w:tcBorders>
              <w:top w:val="single" w:sz="4" w:space="0" w:color="auto"/>
              <w:bottom w:val="single" w:sz="4" w:space="0" w:color="auto"/>
            </w:tcBorders>
          </w:tcPr>
          <w:p w14:paraId="4C85FC9C" w14:textId="77777777" w:rsidR="005C0725" w:rsidRPr="00496684" w:rsidRDefault="005C0725" w:rsidP="002C3058">
            <w:pPr>
              <w:pStyle w:val="Default"/>
              <w:rPr>
                <w:sz w:val="22"/>
                <w:szCs w:val="22"/>
                <w:lang w:val="it-IT"/>
              </w:rPr>
            </w:pPr>
            <w:r w:rsidRPr="00496684">
              <w:rPr>
                <w:sz w:val="22"/>
                <w:szCs w:val="22"/>
                <w:lang w:val="it-IT"/>
              </w:rPr>
              <w:t>VCR 1,3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giorno 1; Prednisolone 60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per via orale, giorni 1-5 </w:t>
            </w:r>
          </w:p>
        </w:tc>
      </w:tr>
      <w:tr w:rsidR="00666412" w:rsidRPr="00496684" w14:paraId="6667840E" w14:textId="77777777" w:rsidTr="00696151">
        <w:tc>
          <w:tcPr>
            <w:tcW w:w="2235" w:type="dxa"/>
            <w:tcBorders>
              <w:top w:val="single" w:sz="4" w:space="0" w:color="auto"/>
              <w:bottom w:val="single" w:sz="4" w:space="0" w:color="auto"/>
            </w:tcBorders>
          </w:tcPr>
          <w:p w14:paraId="5D386BD9" w14:textId="77777777" w:rsidR="00666412" w:rsidRPr="00496684" w:rsidRDefault="00666412" w:rsidP="005C0725">
            <w:pPr>
              <w:pStyle w:val="Default"/>
              <w:rPr>
                <w:sz w:val="22"/>
                <w:szCs w:val="22"/>
                <w:lang w:val="it-IT"/>
              </w:rPr>
            </w:pPr>
            <w:r w:rsidRPr="00496684">
              <w:rPr>
                <w:b/>
                <w:bCs/>
                <w:sz w:val="22"/>
                <w:szCs w:val="22"/>
                <w:lang w:val="it-IT"/>
              </w:rPr>
              <w:t xml:space="preserve">Studio AUS01 </w:t>
            </w:r>
          </w:p>
        </w:tc>
        <w:tc>
          <w:tcPr>
            <w:tcW w:w="7309" w:type="dxa"/>
            <w:tcBorders>
              <w:top w:val="single" w:sz="4" w:space="0" w:color="auto"/>
              <w:bottom w:val="single" w:sz="4" w:space="0" w:color="auto"/>
            </w:tcBorders>
          </w:tcPr>
          <w:p w14:paraId="588E4E87" w14:textId="77777777" w:rsidR="00666412" w:rsidRPr="00496684" w:rsidRDefault="00666412" w:rsidP="005C0725">
            <w:pPr>
              <w:pStyle w:val="Default"/>
              <w:rPr>
                <w:sz w:val="22"/>
                <w:szCs w:val="22"/>
                <w:lang w:val="it-IT"/>
              </w:rPr>
            </w:pPr>
          </w:p>
        </w:tc>
      </w:tr>
      <w:tr w:rsidR="00666412" w:rsidRPr="00496684" w14:paraId="5D6A4C36" w14:textId="77777777" w:rsidTr="00696151">
        <w:tc>
          <w:tcPr>
            <w:tcW w:w="2235" w:type="dxa"/>
            <w:tcBorders>
              <w:top w:val="single" w:sz="4" w:space="0" w:color="auto"/>
              <w:bottom w:val="single" w:sz="4" w:space="0" w:color="auto"/>
            </w:tcBorders>
          </w:tcPr>
          <w:p w14:paraId="2C420652" w14:textId="77777777" w:rsidR="00666412" w:rsidRPr="00496684" w:rsidRDefault="00666412" w:rsidP="00666412">
            <w:pPr>
              <w:pStyle w:val="Default"/>
              <w:rPr>
                <w:sz w:val="22"/>
                <w:szCs w:val="22"/>
                <w:lang w:val="it-IT"/>
              </w:rPr>
            </w:pPr>
            <w:r w:rsidRPr="00496684">
              <w:rPr>
                <w:sz w:val="22"/>
                <w:szCs w:val="22"/>
                <w:lang w:val="it-IT"/>
              </w:rPr>
              <w:t xml:space="preserve">Induzione-consolidamento </w:t>
            </w:r>
          </w:p>
          <w:p w14:paraId="7BF94D94" w14:textId="77777777" w:rsidR="00666412" w:rsidRPr="00496684" w:rsidRDefault="00666412" w:rsidP="005C0725">
            <w:pPr>
              <w:pStyle w:val="Default"/>
              <w:rPr>
                <w:b/>
                <w:bCs/>
                <w:sz w:val="22"/>
                <w:szCs w:val="22"/>
                <w:lang w:val="it-IT"/>
              </w:rPr>
            </w:pPr>
          </w:p>
        </w:tc>
        <w:tc>
          <w:tcPr>
            <w:tcW w:w="7309" w:type="dxa"/>
            <w:tcBorders>
              <w:top w:val="single" w:sz="4" w:space="0" w:color="auto"/>
              <w:bottom w:val="single" w:sz="4" w:space="0" w:color="auto"/>
            </w:tcBorders>
          </w:tcPr>
          <w:p w14:paraId="26222625" w14:textId="77777777" w:rsidR="00666412" w:rsidRPr="00496684" w:rsidRDefault="00666412" w:rsidP="00666412">
            <w:pPr>
              <w:pStyle w:val="Default"/>
              <w:rPr>
                <w:sz w:val="22"/>
                <w:szCs w:val="22"/>
                <w:lang w:val="it-IT"/>
              </w:rPr>
            </w:pPr>
            <w:r w:rsidRPr="00496684">
              <w:rPr>
                <w:sz w:val="22"/>
                <w:szCs w:val="22"/>
                <w:lang w:val="it-IT"/>
              </w:rPr>
              <w:t>Schema posologico Hyper-CVAD: CP 300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(3 h, q 12 h), giorni 1-3; </w:t>
            </w:r>
          </w:p>
          <w:p w14:paraId="071E2B31" w14:textId="77777777" w:rsidR="00666412" w:rsidRPr="00496684" w:rsidRDefault="00666412" w:rsidP="00666412">
            <w:pPr>
              <w:pStyle w:val="Default"/>
              <w:rPr>
                <w:sz w:val="22"/>
                <w:szCs w:val="22"/>
                <w:lang w:val="it-IT"/>
              </w:rPr>
            </w:pPr>
            <w:r w:rsidRPr="00496684">
              <w:rPr>
                <w:sz w:val="22"/>
                <w:szCs w:val="22"/>
                <w:lang w:val="it-IT"/>
              </w:rPr>
              <w:t>Vincristina 2 mg i.v., giorni 4, 11; Doxorubicina 50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(24 h), giorno 4; </w:t>
            </w:r>
          </w:p>
          <w:p w14:paraId="2B6BB0CC" w14:textId="77777777" w:rsidR="00666412" w:rsidRPr="00496684" w:rsidRDefault="00666412" w:rsidP="00666412">
            <w:pPr>
              <w:pStyle w:val="Default"/>
              <w:rPr>
                <w:sz w:val="22"/>
                <w:szCs w:val="22"/>
                <w:lang w:val="it-IT"/>
              </w:rPr>
            </w:pPr>
            <w:r w:rsidRPr="00496684">
              <w:rPr>
                <w:sz w:val="22"/>
                <w:szCs w:val="22"/>
                <w:lang w:val="it-IT"/>
              </w:rPr>
              <w:t>DEX 40 mg/die ai giorni 1-4 e 11-14, in alternanza con MTX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(24 h), giorno 1, Ara-C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(2 h, q 12 h), giorni 2-3 (per un totale di 8 cicli) </w:t>
            </w:r>
          </w:p>
        </w:tc>
      </w:tr>
      <w:tr w:rsidR="00666412" w:rsidRPr="00496684" w14:paraId="7F177998" w14:textId="77777777" w:rsidTr="00696151">
        <w:tc>
          <w:tcPr>
            <w:tcW w:w="2235" w:type="dxa"/>
            <w:tcBorders>
              <w:top w:val="single" w:sz="4" w:space="0" w:color="auto"/>
              <w:bottom w:val="single" w:sz="4" w:space="0" w:color="auto"/>
            </w:tcBorders>
          </w:tcPr>
          <w:p w14:paraId="51FAA61B" w14:textId="77777777" w:rsidR="00666412" w:rsidRPr="00496684" w:rsidRDefault="00666412" w:rsidP="00666412">
            <w:pPr>
              <w:pStyle w:val="Default"/>
              <w:rPr>
                <w:sz w:val="22"/>
                <w:szCs w:val="22"/>
                <w:lang w:val="it-IT"/>
              </w:rPr>
            </w:pPr>
            <w:r w:rsidRPr="00496684">
              <w:rPr>
                <w:sz w:val="22"/>
                <w:szCs w:val="22"/>
                <w:lang w:val="it-IT"/>
              </w:rPr>
              <w:t xml:space="preserve">Mantenimento </w:t>
            </w:r>
          </w:p>
          <w:p w14:paraId="17C348A1" w14:textId="77777777" w:rsidR="00666412" w:rsidRPr="00496684" w:rsidRDefault="00666412" w:rsidP="00666412">
            <w:pPr>
              <w:pStyle w:val="Default"/>
              <w:rPr>
                <w:sz w:val="22"/>
                <w:szCs w:val="22"/>
                <w:lang w:val="it-IT"/>
              </w:rPr>
            </w:pPr>
          </w:p>
        </w:tc>
        <w:tc>
          <w:tcPr>
            <w:tcW w:w="7309" w:type="dxa"/>
            <w:tcBorders>
              <w:top w:val="single" w:sz="4" w:space="0" w:color="auto"/>
              <w:bottom w:val="single" w:sz="4" w:space="0" w:color="auto"/>
            </w:tcBorders>
          </w:tcPr>
          <w:p w14:paraId="39C614C4" w14:textId="77777777" w:rsidR="00666412" w:rsidRPr="00496684" w:rsidRDefault="00666412" w:rsidP="002C3058">
            <w:pPr>
              <w:pStyle w:val="Default"/>
              <w:rPr>
                <w:sz w:val="22"/>
                <w:szCs w:val="22"/>
                <w:lang w:val="it-IT"/>
              </w:rPr>
            </w:pPr>
            <w:r w:rsidRPr="00496684">
              <w:rPr>
                <w:sz w:val="22"/>
                <w:szCs w:val="22"/>
                <w:lang w:val="it-IT"/>
              </w:rPr>
              <w:t xml:space="preserve">VCR 2 mg i.v. una volta al mese per 13 mesi; Prednisolone 200 mg per via orale, 5 giorni al mese per 13 mesi </w:t>
            </w:r>
          </w:p>
        </w:tc>
      </w:tr>
      <w:tr w:rsidR="00666412" w:rsidRPr="00496684" w14:paraId="2824D28B" w14:textId="77777777" w:rsidTr="00696151">
        <w:tc>
          <w:tcPr>
            <w:tcW w:w="9544" w:type="dxa"/>
            <w:gridSpan w:val="2"/>
            <w:tcBorders>
              <w:top w:val="single" w:sz="4" w:space="0" w:color="auto"/>
              <w:bottom w:val="single" w:sz="4" w:space="0" w:color="auto"/>
            </w:tcBorders>
          </w:tcPr>
          <w:p w14:paraId="42A0A69E" w14:textId="77777777" w:rsidR="00666412" w:rsidRPr="00496684" w:rsidRDefault="00666412" w:rsidP="00666412">
            <w:pPr>
              <w:pStyle w:val="Default"/>
              <w:rPr>
                <w:sz w:val="22"/>
                <w:szCs w:val="22"/>
                <w:lang w:val="it-IT"/>
              </w:rPr>
            </w:pPr>
            <w:r w:rsidRPr="00496684">
              <w:rPr>
                <w:sz w:val="22"/>
                <w:szCs w:val="22"/>
                <w:lang w:val="it-IT"/>
              </w:rPr>
              <w:t xml:space="preserve">Tutti i regimi di trattamento comprendono la somministrazione di steroidi per la profilassi del SNC. </w:t>
            </w:r>
          </w:p>
        </w:tc>
      </w:tr>
      <w:tr w:rsidR="00020800" w:rsidRPr="00496684" w14:paraId="53CA1EB4" w14:textId="77777777" w:rsidTr="00696151">
        <w:tc>
          <w:tcPr>
            <w:tcW w:w="9544" w:type="dxa"/>
            <w:gridSpan w:val="2"/>
            <w:tcBorders>
              <w:top w:val="single" w:sz="4" w:space="0" w:color="auto"/>
              <w:bottom w:val="single" w:sz="4" w:space="0" w:color="auto"/>
            </w:tcBorders>
          </w:tcPr>
          <w:p w14:paraId="27ADDB7D" w14:textId="77777777" w:rsidR="00020800" w:rsidRPr="00A81163" w:rsidRDefault="00020800" w:rsidP="00666412">
            <w:pPr>
              <w:pStyle w:val="Default"/>
              <w:rPr>
                <w:sz w:val="22"/>
                <w:szCs w:val="22"/>
                <w:lang w:val="it-IT"/>
              </w:rPr>
            </w:pPr>
            <w:r w:rsidRPr="00A81163">
              <w:rPr>
                <w:sz w:val="22"/>
                <w:szCs w:val="22"/>
                <w:lang w:val="it-IT"/>
              </w:rPr>
              <w:t xml:space="preserve">Ara-C: citarabina; CP: ciclofosfamide; DEX: desametasone; MTX: metotrexate; 6-MP: 6-mercaptopurina; VM26: teniposide; VCR: vincristina; IDA: idarubicina; i.v.: endovenoso </w:t>
            </w:r>
          </w:p>
        </w:tc>
      </w:tr>
    </w:tbl>
    <w:p w14:paraId="0C08C67F" w14:textId="77777777" w:rsidR="00EB0C1D" w:rsidRPr="00A81163" w:rsidRDefault="00EB0C1D" w:rsidP="00BA4D8B">
      <w:pPr>
        <w:autoSpaceDE w:val="0"/>
        <w:autoSpaceDN w:val="0"/>
        <w:adjustRightInd w:val="0"/>
        <w:spacing w:after="0" w:line="240" w:lineRule="auto"/>
        <w:rPr>
          <w:rFonts w:ascii="Times New Roman" w:hAnsi="Times New Roman"/>
          <w:lang w:val="it-IT"/>
        </w:rPr>
      </w:pPr>
    </w:p>
    <w:p w14:paraId="47B3A737" w14:textId="77777777" w:rsidR="00815863" w:rsidRPr="00496684" w:rsidRDefault="00815863" w:rsidP="00815863">
      <w:pPr>
        <w:pStyle w:val="Endnotentext"/>
        <w:widowControl w:val="0"/>
        <w:rPr>
          <w:color w:val="000000"/>
          <w:lang w:val="it-IT"/>
        </w:rPr>
      </w:pPr>
      <w:r w:rsidRPr="00496684">
        <w:rPr>
          <w:i/>
          <w:szCs w:val="22"/>
          <w:lang w:val="it-IT"/>
        </w:rPr>
        <w:t>Pazienti pediatrici</w:t>
      </w:r>
      <w:r w:rsidRPr="00496684">
        <w:rPr>
          <w:szCs w:val="22"/>
          <w:lang w:val="it-IT"/>
        </w:rPr>
        <w:t>: Nello studio di fase III I2301, multicentrico, in aperto, non randomizzato, di coorte sequenziale, sono stati arruolati un totale di 93 pazienti pediatrici, adolescenti e giovani adulti con LLA Ph+ (da 1 a 22 anni) e sono stati trattati con imatinib (340 mg/</w:t>
      </w:r>
      <w:r w:rsidRPr="00496684">
        <w:rPr>
          <w:color w:val="000000"/>
          <w:lang w:val="it-IT"/>
        </w:rPr>
        <w:t>m</w:t>
      </w:r>
      <w:r w:rsidRPr="00496684">
        <w:rPr>
          <w:color w:val="000000"/>
          <w:vertAlign w:val="superscript"/>
          <w:lang w:val="it-IT"/>
        </w:rPr>
        <w:t>2</w:t>
      </w:r>
      <w:r w:rsidRPr="00496684">
        <w:rPr>
          <w:color w:val="000000"/>
          <w:lang w:val="it-IT"/>
        </w:rPr>
        <w:t>/die) in combinazione con chemioterapia intensiva dopo terapia di induzione. Imatinib è stato somministrato in modo intermittente nelle coorti 1</w:t>
      </w:r>
      <w:r w:rsidRPr="00496684">
        <w:rPr>
          <w:color w:val="000000"/>
          <w:lang w:val="it-IT"/>
        </w:rPr>
        <w:noBreakHyphen/>
        <w:t>5, con una crescente durata e un inizio più precoce di imatinib da coorte a coorte; la coorte 1 ha ricevuto la più bassa intensità di dose di imatinib e la coorte 5 ha ricevuto la più alta intensità di dose (la più lunga durata in giorni di trattamento con imatinib somministrato giornalmente in modo continuo durante i primi cicli di trattamento chemioterapico). Nei pazienti della coorte 5 (n=50) l’esposizione giornaliera continua di imatinib all’inizio del ciclo di trattamento in combinazione con la chemioterapia ha migliorato la sopravvivenza libera (EFS) da eventi a 4 anni (event-free survival, EFS) in confronto ai controlli storici (n=120), che avevano ricevuto chemioterapia standard senza imatinib (rispettivamente 69,6% verso 31,6%). L’OS stimata a 4 anni nella coorte 5 era dell’83,6% rispetto al 44,8% nei controlli storici. 20 dei 50 pazienti (40%) nella coorte 5 hanno ricevuto il trapianto di cellule staminali ematopoietiche.</w:t>
      </w:r>
    </w:p>
    <w:p w14:paraId="5222C1D8" w14:textId="77777777" w:rsidR="00815863" w:rsidRPr="00496684" w:rsidRDefault="00815863" w:rsidP="00815863">
      <w:pPr>
        <w:pStyle w:val="Endnotentext"/>
        <w:widowControl w:val="0"/>
        <w:rPr>
          <w:color w:val="000000"/>
          <w:lang w:val="it-IT"/>
        </w:rPr>
      </w:pPr>
    </w:p>
    <w:p w14:paraId="1A7365A5" w14:textId="551B1B0C" w:rsidR="00815863" w:rsidRPr="00496684" w:rsidRDefault="00815863" w:rsidP="00815863">
      <w:pPr>
        <w:pStyle w:val="Endnotentext"/>
        <w:widowControl w:val="0"/>
        <w:tabs>
          <w:tab w:val="clear" w:pos="567"/>
        </w:tabs>
        <w:ind w:left="1134" w:hanging="1134"/>
        <w:rPr>
          <w:b/>
          <w:color w:val="000000"/>
          <w:lang w:val="it-IT"/>
        </w:rPr>
      </w:pPr>
      <w:r w:rsidRPr="00496684">
        <w:rPr>
          <w:b/>
          <w:color w:val="000000"/>
          <w:lang w:val="it-IT"/>
        </w:rPr>
        <w:t>Tabella </w:t>
      </w:r>
      <w:r w:rsidR="00965B46" w:rsidRPr="00496684">
        <w:rPr>
          <w:b/>
          <w:color w:val="000000"/>
          <w:lang w:val="it-IT"/>
        </w:rPr>
        <w:t>4</w:t>
      </w:r>
      <w:r w:rsidRPr="00496684">
        <w:rPr>
          <w:b/>
          <w:color w:val="000000"/>
          <w:lang w:val="it-IT"/>
        </w:rPr>
        <w:tab/>
      </w:r>
      <w:r w:rsidRPr="00496684">
        <w:rPr>
          <w:b/>
          <w:szCs w:val="22"/>
          <w:lang w:val="it-IT"/>
        </w:rPr>
        <w:t>Regimi chemioterapici usati in combinazione con imatinib</w:t>
      </w:r>
      <w:r w:rsidRPr="00496684">
        <w:rPr>
          <w:b/>
          <w:color w:val="000000"/>
          <w:lang w:val="it-IT"/>
        </w:rPr>
        <w:t xml:space="preserve"> nello studio I2301</w:t>
      </w:r>
    </w:p>
    <w:p w14:paraId="580F2D2D" w14:textId="77777777" w:rsidR="00815863" w:rsidRPr="00496684" w:rsidRDefault="00815863" w:rsidP="00815863">
      <w:pPr>
        <w:pStyle w:val="Endnotentext"/>
        <w:widowControl w:val="0"/>
        <w:rPr>
          <w:color w:val="00000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626"/>
      </w:tblGrid>
      <w:tr w:rsidR="00815863" w:rsidRPr="00496684" w14:paraId="318D1094" w14:textId="77777777" w:rsidTr="003A3302">
        <w:tc>
          <w:tcPr>
            <w:tcW w:w="2660" w:type="dxa"/>
            <w:shd w:val="clear" w:color="auto" w:fill="auto"/>
          </w:tcPr>
          <w:p w14:paraId="59450711" w14:textId="77777777" w:rsidR="00815863" w:rsidRPr="00496684" w:rsidRDefault="00815863" w:rsidP="003A3302">
            <w:pPr>
              <w:pStyle w:val="Endnotentext"/>
              <w:widowControl w:val="0"/>
              <w:rPr>
                <w:color w:val="000000"/>
                <w:lang w:val="it-IT"/>
              </w:rPr>
            </w:pPr>
            <w:r w:rsidRPr="00496684">
              <w:rPr>
                <w:color w:val="000000"/>
                <w:lang w:val="it-IT"/>
              </w:rPr>
              <w:t>Blocco 1 di consolidamento</w:t>
            </w:r>
          </w:p>
          <w:p w14:paraId="482CEA59" w14:textId="77777777" w:rsidR="00815863" w:rsidRPr="00496684" w:rsidRDefault="00815863" w:rsidP="003A3302">
            <w:pPr>
              <w:pStyle w:val="Endnotentext"/>
              <w:widowControl w:val="0"/>
              <w:rPr>
                <w:color w:val="000000"/>
                <w:lang w:val="it-IT"/>
              </w:rPr>
            </w:pPr>
            <w:r w:rsidRPr="00496684">
              <w:rPr>
                <w:color w:val="000000"/>
                <w:lang w:val="it-IT"/>
              </w:rPr>
              <w:t>(3 settimane)</w:t>
            </w:r>
          </w:p>
        </w:tc>
        <w:tc>
          <w:tcPr>
            <w:tcW w:w="6626" w:type="dxa"/>
            <w:shd w:val="clear" w:color="auto" w:fill="auto"/>
          </w:tcPr>
          <w:p w14:paraId="7E2723A2" w14:textId="77777777" w:rsidR="00815863" w:rsidRPr="00496684" w:rsidRDefault="00815863" w:rsidP="003A3302">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/die, IV): giorni 1</w:t>
            </w:r>
            <w:r w:rsidRPr="00496684">
              <w:rPr>
                <w:color w:val="000000"/>
                <w:lang w:val="it-IT"/>
              </w:rPr>
              <w:noBreakHyphen/>
              <w:t>5</w:t>
            </w:r>
          </w:p>
          <w:p w14:paraId="3E8EECBF" w14:textId="77777777" w:rsidR="00815863" w:rsidRPr="00496684" w:rsidRDefault="00815863" w:rsidP="003A3302">
            <w:pPr>
              <w:pStyle w:val="Endnotentext"/>
              <w:widowControl w:val="0"/>
              <w:rPr>
                <w:color w:val="000000"/>
                <w:lang w:val="it-IT"/>
              </w:rPr>
            </w:pPr>
            <w:r w:rsidRPr="00496684">
              <w:rPr>
                <w:color w:val="000000"/>
                <w:lang w:val="it-IT"/>
              </w:rPr>
              <w:t>Ifosfamide (1,8 g/m</w:t>
            </w:r>
            <w:r w:rsidRPr="00496684">
              <w:rPr>
                <w:color w:val="000000"/>
                <w:vertAlign w:val="superscript"/>
                <w:lang w:val="it-IT"/>
              </w:rPr>
              <w:t>2</w:t>
            </w:r>
            <w:r w:rsidRPr="00496684">
              <w:rPr>
                <w:color w:val="000000"/>
                <w:lang w:val="it-IT"/>
              </w:rPr>
              <w:t>/die, IV): giorni 1</w:t>
            </w:r>
            <w:r w:rsidRPr="00496684">
              <w:rPr>
                <w:color w:val="000000"/>
                <w:lang w:val="it-IT"/>
              </w:rPr>
              <w:noBreakHyphen/>
              <w:t>5</w:t>
            </w:r>
          </w:p>
          <w:p w14:paraId="0C1D2EA3" w14:textId="77777777" w:rsidR="00815863" w:rsidRPr="00496684" w:rsidRDefault="00815863" w:rsidP="003A3302">
            <w:pPr>
              <w:pStyle w:val="Endnotentext"/>
              <w:widowControl w:val="0"/>
              <w:rPr>
                <w:color w:val="000000"/>
                <w:lang w:val="it-IT"/>
              </w:rPr>
            </w:pPr>
            <w:r w:rsidRPr="00496684">
              <w:rPr>
                <w:color w:val="000000"/>
                <w:lang w:val="it-IT"/>
              </w:rPr>
              <w:t>MESNA (360 mg/m</w:t>
            </w:r>
            <w:r w:rsidRPr="00496684">
              <w:rPr>
                <w:color w:val="000000"/>
                <w:vertAlign w:val="superscript"/>
                <w:lang w:val="it-IT"/>
              </w:rPr>
              <w:t>2</w:t>
            </w:r>
            <w:r w:rsidRPr="00496684">
              <w:rPr>
                <w:color w:val="000000"/>
                <w:lang w:val="it-IT"/>
              </w:rPr>
              <w:t>/dose q3h, x 8 dosi/die, IV): giorni 1</w:t>
            </w:r>
            <w:r w:rsidRPr="00496684">
              <w:rPr>
                <w:color w:val="000000"/>
                <w:lang w:val="it-IT"/>
              </w:rPr>
              <w:noBreakHyphen/>
              <w:t>5</w:t>
            </w:r>
          </w:p>
          <w:p w14:paraId="5692CF1F" w14:textId="77777777" w:rsidR="00815863" w:rsidRPr="00496684" w:rsidRDefault="00815863" w:rsidP="003A3302">
            <w:pPr>
              <w:pStyle w:val="Endnotentext"/>
              <w:widowControl w:val="0"/>
              <w:rPr>
                <w:color w:val="000000"/>
                <w:lang w:val="it-IT"/>
              </w:rPr>
            </w:pPr>
            <w:r w:rsidRPr="00496684">
              <w:rPr>
                <w:color w:val="000000"/>
                <w:lang w:val="it-IT"/>
              </w:rPr>
              <w:t>G-CSF (5 μg/kg, SC): giorni 6</w:t>
            </w:r>
            <w:r w:rsidRPr="00496684">
              <w:rPr>
                <w:color w:val="000000"/>
                <w:lang w:val="it-IT"/>
              </w:rPr>
              <w:noBreakHyphen/>
              <w:t>15 o fino a ANC &gt;1500 post nadir</w:t>
            </w:r>
          </w:p>
          <w:p w14:paraId="5920C309" w14:textId="77777777" w:rsidR="00815863" w:rsidRPr="00496684" w:rsidRDefault="00815863" w:rsidP="003A3302">
            <w:pPr>
              <w:pStyle w:val="Endnotentext"/>
              <w:widowControl w:val="0"/>
              <w:rPr>
                <w:color w:val="000000"/>
                <w:lang w:val="it-IT"/>
              </w:rPr>
            </w:pPr>
            <w:r w:rsidRPr="00496684">
              <w:rPr>
                <w:color w:val="000000"/>
                <w:lang w:val="it-IT"/>
              </w:rPr>
              <w:t>Metotrexate IT (aggiustato per l’età): SOLO il giorno 1</w:t>
            </w:r>
          </w:p>
          <w:p w14:paraId="58E703E3" w14:textId="77777777" w:rsidR="00815863" w:rsidRPr="00496684" w:rsidRDefault="00815863" w:rsidP="003A3302">
            <w:pPr>
              <w:pStyle w:val="Endnotentext"/>
              <w:widowControl w:val="0"/>
              <w:rPr>
                <w:color w:val="000000"/>
                <w:lang w:val="it-IT"/>
              </w:rPr>
            </w:pPr>
            <w:r w:rsidRPr="00496684">
              <w:rPr>
                <w:color w:val="000000"/>
                <w:lang w:val="it-IT"/>
              </w:rPr>
              <w:t>Tripla terapia IT (aggiustata per l’età): giorno 8, 15</w:t>
            </w:r>
          </w:p>
        </w:tc>
      </w:tr>
      <w:tr w:rsidR="00815863" w:rsidRPr="00496684" w14:paraId="682BE917" w14:textId="77777777" w:rsidTr="003A3302">
        <w:tc>
          <w:tcPr>
            <w:tcW w:w="2660" w:type="dxa"/>
            <w:shd w:val="clear" w:color="auto" w:fill="auto"/>
          </w:tcPr>
          <w:p w14:paraId="0BC1D3F0" w14:textId="77777777" w:rsidR="00815863" w:rsidRPr="00496684" w:rsidRDefault="00815863" w:rsidP="003A3302">
            <w:pPr>
              <w:pStyle w:val="Endnotentext"/>
              <w:widowControl w:val="0"/>
              <w:rPr>
                <w:color w:val="000000"/>
                <w:lang w:val="it-IT"/>
              </w:rPr>
            </w:pPr>
            <w:r w:rsidRPr="00496684">
              <w:rPr>
                <w:color w:val="000000"/>
                <w:lang w:val="it-IT"/>
              </w:rPr>
              <w:t>Blocco 2 di consolidamento</w:t>
            </w:r>
          </w:p>
          <w:p w14:paraId="25EC4D52" w14:textId="77777777" w:rsidR="00815863" w:rsidRPr="00496684" w:rsidRDefault="00815863" w:rsidP="003A3302">
            <w:pPr>
              <w:pStyle w:val="Endnotentext"/>
              <w:widowControl w:val="0"/>
              <w:rPr>
                <w:color w:val="000000"/>
                <w:lang w:val="it-IT"/>
              </w:rPr>
            </w:pPr>
            <w:r w:rsidRPr="00496684">
              <w:rPr>
                <w:color w:val="000000"/>
                <w:lang w:val="it-IT"/>
              </w:rPr>
              <w:t>(3 settimane)</w:t>
            </w:r>
          </w:p>
        </w:tc>
        <w:tc>
          <w:tcPr>
            <w:tcW w:w="6626" w:type="dxa"/>
            <w:shd w:val="clear" w:color="auto" w:fill="auto"/>
          </w:tcPr>
          <w:p w14:paraId="755EFFED" w14:textId="77777777" w:rsidR="00815863" w:rsidRPr="00496684" w:rsidRDefault="00815863" w:rsidP="003A3302">
            <w:pPr>
              <w:pStyle w:val="Endnotentext"/>
              <w:widowControl w:val="0"/>
              <w:rPr>
                <w:color w:val="000000"/>
                <w:lang w:val="it-IT"/>
              </w:rPr>
            </w:pPr>
            <w:r w:rsidRPr="00496684">
              <w:rPr>
                <w:color w:val="000000"/>
                <w:lang w:val="it-IT"/>
              </w:rPr>
              <w:t>Metotrexate (5 g/m</w:t>
            </w:r>
            <w:r w:rsidRPr="00496684">
              <w:rPr>
                <w:color w:val="000000"/>
                <w:vertAlign w:val="superscript"/>
                <w:lang w:val="it-IT"/>
              </w:rPr>
              <w:t>2</w:t>
            </w:r>
            <w:r w:rsidRPr="00496684">
              <w:rPr>
                <w:color w:val="000000"/>
                <w:lang w:val="it-IT"/>
              </w:rPr>
              <w:t xml:space="preserve"> per 24 ore, IV): giorno 1</w:t>
            </w:r>
          </w:p>
          <w:p w14:paraId="588D2FB1" w14:textId="77777777" w:rsidR="00815863" w:rsidRPr="00496684" w:rsidRDefault="00815863" w:rsidP="003A3302">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e 3</w:t>
            </w:r>
          </w:p>
          <w:p w14:paraId="3B6B783C" w14:textId="77777777" w:rsidR="00815863" w:rsidRPr="00496684" w:rsidRDefault="00815863" w:rsidP="003A3302">
            <w:pPr>
              <w:pStyle w:val="Endnotentext"/>
              <w:widowControl w:val="0"/>
              <w:rPr>
                <w:color w:val="000000"/>
                <w:lang w:val="it-IT"/>
              </w:rPr>
            </w:pPr>
            <w:r w:rsidRPr="00496684">
              <w:rPr>
                <w:color w:val="000000"/>
                <w:lang w:val="it-IT"/>
              </w:rPr>
              <w:t>Tripla terapia IT (aggiustata per l’età): giorno 1</w:t>
            </w:r>
          </w:p>
          <w:p w14:paraId="24F074F5" w14:textId="77777777" w:rsidR="00815863" w:rsidRPr="00496684" w:rsidRDefault="00815863" w:rsidP="003A3302">
            <w:pPr>
              <w:pStyle w:val="Endnotentext"/>
              <w:widowControl w:val="0"/>
              <w:rPr>
                <w:color w:val="000000"/>
                <w:lang w:val="it-IT"/>
              </w:rPr>
            </w:pPr>
            <w:r w:rsidRPr="00496684">
              <w:rPr>
                <w:color w:val="000000"/>
                <w:lang w:val="it-IT"/>
              </w:rPr>
              <w:t>ARA-C (3 g/m</w:t>
            </w:r>
            <w:r w:rsidRPr="00496684">
              <w:rPr>
                <w:color w:val="000000"/>
                <w:vertAlign w:val="superscript"/>
                <w:lang w:val="it-IT"/>
              </w:rPr>
              <w:t>2</w:t>
            </w:r>
            <w:r w:rsidRPr="00496684">
              <w:rPr>
                <w:color w:val="000000"/>
                <w:lang w:val="it-IT"/>
              </w:rPr>
              <w:t>/dose q 12 h x 4, IV): giorni 2 e 3</w:t>
            </w:r>
          </w:p>
          <w:p w14:paraId="37C3A8B5" w14:textId="77777777" w:rsidR="00815863" w:rsidRPr="00496684" w:rsidRDefault="00815863" w:rsidP="003A3302">
            <w:pPr>
              <w:pStyle w:val="Endnotentext"/>
              <w:widowControl w:val="0"/>
              <w:rPr>
                <w:color w:val="000000"/>
                <w:lang w:val="it-IT"/>
              </w:rPr>
            </w:pPr>
            <w:r w:rsidRPr="00496684">
              <w:rPr>
                <w:color w:val="000000"/>
                <w:lang w:val="it-IT"/>
              </w:rPr>
              <w:t>G-CSF (5 μg/kg, SC): giorni 4-13 o fino a ANC &gt;1500 post nadir</w:t>
            </w:r>
          </w:p>
        </w:tc>
      </w:tr>
      <w:tr w:rsidR="00815863" w:rsidRPr="00496684" w14:paraId="0AC868D6" w14:textId="77777777" w:rsidTr="003A3302">
        <w:tc>
          <w:tcPr>
            <w:tcW w:w="2660" w:type="dxa"/>
            <w:shd w:val="clear" w:color="auto" w:fill="auto"/>
          </w:tcPr>
          <w:p w14:paraId="779A002D" w14:textId="77777777" w:rsidR="00815863" w:rsidRPr="00496684" w:rsidRDefault="00815863" w:rsidP="003A3302">
            <w:pPr>
              <w:pStyle w:val="Endnotentext"/>
              <w:widowControl w:val="0"/>
              <w:rPr>
                <w:color w:val="000000"/>
                <w:lang w:val="it-IT"/>
              </w:rPr>
            </w:pPr>
            <w:r w:rsidRPr="00496684">
              <w:rPr>
                <w:color w:val="000000"/>
                <w:lang w:val="it-IT"/>
              </w:rPr>
              <w:t>Blocco 1 di reinduzione</w:t>
            </w:r>
          </w:p>
          <w:p w14:paraId="6A05C2F8" w14:textId="77777777" w:rsidR="00815863" w:rsidRPr="00496684" w:rsidRDefault="00815863" w:rsidP="003A3302">
            <w:pPr>
              <w:pStyle w:val="Endnotentext"/>
              <w:widowControl w:val="0"/>
              <w:rPr>
                <w:color w:val="000000"/>
                <w:lang w:val="it-IT"/>
              </w:rPr>
            </w:pPr>
            <w:r w:rsidRPr="00496684">
              <w:rPr>
                <w:color w:val="000000"/>
                <w:lang w:val="it-IT"/>
              </w:rPr>
              <w:t>(3 settimane)</w:t>
            </w:r>
          </w:p>
        </w:tc>
        <w:tc>
          <w:tcPr>
            <w:tcW w:w="6626" w:type="dxa"/>
            <w:shd w:val="clear" w:color="auto" w:fill="auto"/>
          </w:tcPr>
          <w:p w14:paraId="7A159169" w14:textId="77777777" w:rsidR="00815863" w:rsidRPr="00496684" w:rsidRDefault="00815863" w:rsidP="003A3302">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8, e 15</w:t>
            </w:r>
          </w:p>
          <w:p w14:paraId="287869E0" w14:textId="77777777" w:rsidR="00815863" w:rsidRPr="00496684" w:rsidRDefault="00815863" w:rsidP="003A3302">
            <w:pPr>
              <w:pStyle w:val="Endnotentext"/>
              <w:widowControl w:val="0"/>
              <w:rPr>
                <w:color w:val="000000"/>
                <w:lang w:val="it-IT"/>
              </w:rPr>
            </w:pPr>
            <w:r w:rsidRPr="00496684">
              <w:rPr>
                <w:color w:val="000000"/>
                <w:lang w:val="it-IT"/>
              </w:rPr>
              <w:t>DAUN (45 mg/m</w:t>
            </w:r>
            <w:r w:rsidRPr="00496684">
              <w:rPr>
                <w:color w:val="000000"/>
                <w:vertAlign w:val="superscript"/>
                <w:lang w:val="it-IT"/>
              </w:rPr>
              <w:t>2</w:t>
            </w:r>
            <w:r w:rsidRPr="00496684">
              <w:rPr>
                <w:color w:val="000000"/>
                <w:lang w:val="it-IT"/>
              </w:rPr>
              <w:t>/die bolo, IV): giorni 1 e 2</w:t>
            </w:r>
          </w:p>
          <w:p w14:paraId="2E826C40" w14:textId="77777777" w:rsidR="00815863" w:rsidRPr="00496684" w:rsidRDefault="00815863" w:rsidP="003A3302">
            <w:pPr>
              <w:pStyle w:val="Endnotentext"/>
              <w:widowControl w:val="0"/>
              <w:rPr>
                <w:color w:val="000000"/>
                <w:lang w:val="it-IT"/>
              </w:rPr>
            </w:pPr>
            <w:r w:rsidRPr="00496684">
              <w:rPr>
                <w:color w:val="000000"/>
                <w:lang w:val="it-IT"/>
              </w:rPr>
              <w:t>CPM (250 mg/m</w:t>
            </w:r>
            <w:r w:rsidRPr="00496684">
              <w:rPr>
                <w:color w:val="000000"/>
                <w:vertAlign w:val="superscript"/>
                <w:lang w:val="it-IT"/>
              </w:rPr>
              <w:t>2</w:t>
            </w:r>
            <w:r w:rsidRPr="00496684">
              <w:rPr>
                <w:color w:val="000000"/>
                <w:lang w:val="it-IT"/>
              </w:rPr>
              <w:t>/dose q12h x 4 dosi, IV): giorni 3 e 4</w:t>
            </w:r>
          </w:p>
          <w:p w14:paraId="5C7F9DBA" w14:textId="77777777" w:rsidR="00815863" w:rsidRPr="00496684" w:rsidRDefault="00815863" w:rsidP="003A3302">
            <w:pPr>
              <w:pStyle w:val="Endnotentext"/>
              <w:widowControl w:val="0"/>
              <w:rPr>
                <w:color w:val="000000"/>
                <w:lang w:val="it-IT"/>
              </w:rPr>
            </w:pPr>
            <w:r w:rsidRPr="00496684">
              <w:rPr>
                <w:color w:val="000000"/>
                <w:lang w:val="it-IT"/>
              </w:rPr>
              <w:t>PEG-ASP (2500 IUnità/m</w:t>
            </w:r>
            <w:r w:rsidRPr="00496684">
              <w:rPr>
                <w:color w:val="000000"/>
                <w:vertAlign w:val="superscript"/>
                <w:lang w:val="it-IT"/>
              </w:rPr>
              <w:t>2</w:t>
            </w:r>
            <w:r w:rsidRPr="00496684">
              <w:rPr>
                <w:color w:val="000000"/>
                <w:lang w:val="it-IT"/>
              </w:rPr>
              <w:t>, IM): giorno 4</w:t>
            </w:r>
          </w:p>
          <w:p w14:paraId="26D2D78A" w14:textId="77777777" w:rsidR="00815863" w:rsidRPr="00496684" w:rsidRDefault="00815863" w:rsidP="003A3302">
            <w:pPr>
              <w:pStyle w:val="Endnotentext"/>
              <w:widowControl w:val="0"/>
              <w:rPr>
                <w:color w:val="000000"/>
                <w:lang w:val="it-IT"/>
              </w:rPr>
            </w:pPr>
            <w:r w:rsidRPr="00496684">
              <w:rPr>
                <w:color w:val="000000"/>
                <w:lang w:val="it-IT"/>
              </w:rPr>
              <w:t>G-CSF (5 μg/kg, SC): giorni 5</w:t>
            </w:r>
            <w:r w:rsidRPr="00496684">
              <w:rPr>
                <w:color w:val="000000"/>
                <w:lang w:val="it-IT"/>
              </w:rPr>
              <w:noBreakHyphen/>
              <w:t>14 o fino a ANC &gt;1500 post nadir</w:t>
            </w:r>
          </w:p>
          <w:p w14:paraId="01A3A35A" w14:textId="77777777" w:rsidR="00815863" w:rsidRPr="00496684" w:rsidRDefault="00815863" w:rsidP="003A3302">
            <w:pPr>
              <w:pStyle w:val="Endnotentext"/>
              <w:widowControl w:val="0"/>
              <w:rPr>
                <w:color w:val="000000"/>
                <w:lang w:val="it-IT"/>
              </w:rPr>
            </w:pPr>
            <w:r w:rsidRPr="00496684">
              <w:rPr>
                <w:color w:val="000000"/>
                <w:lang w:val="it-IT"/>
              </w:rPr>
              <w:t>Tripla terapia IT (aggiustata per l’età): giorni 1 e 15</w:t>
            </w:r>
          </w:p>
          <w:p w14:paraId="7DBE5B7B" w14:textId="77777777" w:rsidR="00815863" w:rsidRPr="00496684" w:rsidRDefault="00815863" w:rsidP="003A3302">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7 e 15</w:t>
            </w:r>
            <w:r w:rsidRPr="00496684">
              <w:rPr>
                <w:color w:val="000000"/>
                <w:lang w:val="it-IT"/>
              </w:rPr>
              <w:noBreakHyphen/>
              <w:t>21</w:t>
            </w:r>
          </w:p>
        </w:tc>
      </w:tr>
      <w:tr w:rsidR="00815863" w:rsidRPr="00496684" w14:paraId="7D3E840E" w14:textId="77777777" w:rsidTr="003A3302">
        <w:tc>
          <w:tcPr>
            <w:tcW w:w="2660" w:type="dxa"/>
            <w:shd w:val="clear" w:color="auto" w:fill="auto"/>
          </w:tcPr>
          <w:p w14:paraId="456A8F04" w14:textId="77777777" w:rsidR="00815863" w:rsidRPr="00496684" w:rsidRDefault="00815863" w:rsidP="003A3302">
            <w:pPr>
              <w:pStyle w:val="Endnotentext"/>
              <w:widowControl w:val="0"/>
              <w:rPr>
                <w:color w:val="000000"/>
                <w:lang w:val="it-IT"/>
              </w:rPr>
            </w:pPr>
            <w:r w:rsidRPr="00496684">
              <w:rPr>
                <w:color w:val="000000"/>
                <w:lang w:val="it-IT"/>
              </w:rPr>
              <w:t>Blocco 1 di intensificazione</w:t>
            </w:r>
          </w:p>
          <w:p w14:paraId="23FD6BEA" w14:textId="77777777" w:rsidR="00815863" w:rsidRPr="00496684" w:rsidRDefault="00815863" w:rsidP="003A3302">
            <w:pPr>
              <w:pStyle w:val="Endnotentext"/>
              <w:widowControl w:val="0"/>
              <w:rPr>
                <w:color w:val="000000"/>
                <w:lang w:val="it-IT"/>
              </w:rPr>
            </w:pPr>
            <w:r w:rsidRPr="00496684">
              <w:rPr>
                <w:color w:val="000000"/>
                <w:lang w:val="it-IT"/>
              </w:rPr>
              <w:t>(9 settimane)</w:t>
            </w:r>
          </w:p>
        </w:tc>
        <w:tc>
          <w:tcPr>
            <w:tcW w:w="6626" w:type="dxa"/>
            <w:shd w:val="clear" w:color="auto" w:fill="auto"/>
          </w:tcPr>
          <w:p w14:paraId="4C21B338" w14:textId="77777777" w:rsidR="00815863" w:rsidRPr="00496684" w:rsidRDefault="00815863" w:rsidP="003A3302">
            <w:pPr>
              <w:pStyle w:val="Endnotentext"/>
              <w:widowControl w:val="0"/>
              <w:rPr>
                <w:color w:val="000000"/>
                <w:lang w:val="it-IT"/>
              </w:rPr>
            </w:pPr>
            <w:r w:rsidRPr="00496684">
              <w:rPr>
                <w:color w:val="000000"/>
                <w:lang w:val="it-IT"/>
              </w:rPr>
              <w:t>Metotrexate (5 g/m</w:t>
            </w:r>
            <w:r w:rsidRPr="00496684">
              <w:rPr>
                <w:color w:val="000000"/>
                <w:vertAlign w:val="superscript"/>
                <w:lang w:val="it-IT"/>
              </w:rPr>
              <w:t>2</w:t>
            </w:r>
            <w:r w:rsidRPr="00496684">
              <w:rPr>
                <w:color w:val="000000"/>
                <w:lang w:val="it-IT"/>
              </w:rPr>
              <w:t xml:space="preserve"> per 24 ore, IV): giorni 1 e 15</w:t>
            </w:r>
          </w:p>
          <w:p w14:paraId="43E5428F" w14:textId="77777777" w:rsidR="00815863" w:rsidRPr="00496684" w:rsidRDefault="00815863" w:rsidP="003A3302">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3, 16, e 17</w:t>
            </w:r>
          </w:p>
          <w:p w14:paraId="4D375246" w14:textId="77777777" w:rsidR="00815863" w:rsidRPr="00496684" w:rsidRDefault="00815863" w:rsidP="003A3302">
            <w:pPr>
              <w:pStyle w:val="Endnotentext"/>
              <w:widowControl w:val="0"/>
              <w:rPr>
                <w:color w:val="000000"/>
                <w:lang w:val="it-IT"/>
              </w:rPr>
            </w:pPr>
            <w:r w:rsidRPr="00496684">
              <w:rPr>
                <w:color w:val="000000"/>
                <w:lang w:val="it-IT"/>
              </w:rPr>
              <w:t>Tripla terapia IT (aggiustata per l’età): giorni 1 e 22</w:t>
            </w:r>
          </w:p>
          <w:p w14:paraId="5E5C179A" w14:textId="77777777" w:rsidR="00815863" w:rsidRPr="00496684" w:rsidRDefault="00815863" w:rsidP="003A3302">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0E02566D" w14:textId="77777777" w:rsidR="00815863" w:rsidRPr="00496684" w:rsidRDefault="00815863" w:rsidP="003A3302">
            <w:pPr>
              <w:pStyle w:val="Endnotentext"/>
              <w:widowControl w:val="0"/>
              <w:rPr>
                <w:color w:val="000000"/>
                <w:lang w:val="it-IT"/>
              </w:rPr>
            </w:pPr>
            <w:r w:rsidRPr="00496684">
              <w:rPr>
                <w:color w:val="000000"/>
                <w:lang w:val="it-IT"/>
              </w:rPr>
              <w:t>CPM (300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0ABA4128" w14:textId="77777777" w:rsidR="00815863" w:rsidRPr="00496684" w:rsidRDefault="00815863" w:rsidP="003A3302">
            <w:pPr>
              <w:pStyle w:val="Endnotentext"/>
              <w:widowControl w:val="0"/>
              <w:rPr>
                <w:color w:val="000000"/>
                <w:lang w:val="it-IT"/>
              </w:rPr>
            </w:pPr>
            <w:r w:rsidRPr="00496684">
              <w:rPr>
                <w:color w:val="000000"/>
                <w:lang w:val="it-IT"/>
              </w:rPr>
              <w:t>MESNA (150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26625FCB" w14:textId="77777777" w:rsidR="00815863" w:rsidRPr="00496684" w:rsidRDefault="00815863" w:rsidP="003A3302">
            <w:pPr>
              <w:pStyle w:val="Endnotentext"/>
              <w:widowControl w:val="0"/>
              <w:rPr>
                <w:color w:val="000000"/>
                <w:lang w:val="it-IT"/>
              </w:rPr>
            </w:pPr>
            <w:r w:rsidRPr="00496684">
              <w:rPr>
                <w:color w:val="000000"/>
                <w:lang w:val="it-IT"/>
              </w:rPr>
              <w:t>G-CSF (5 μg/kg, SC): giorni 27-36 o fino a ANC &gt;1500 post nadir</w:t>
            </w:r>
          </w:p>
          <w:p w14:paraId="2701B46E" w14:textId="77777777" w:rsidR="00815863" w:rsidRPr="00496684" w:rsidRDefault="00815863" w:rsidP="003A3302">
            <w:pPr>
              <w:pStyle w:val="Endnotentext"/>
              <w:widowControl w:val="0"/>
              <w:rPr>
                <w:color w:val="000000"/>
                <w:lang w:val="it-IT"/>
              </w:rPr>
            </w:pPr>
            <w:r w:rsidRPr="00496684">
              <w:rPr>
                <w:color w:val="000000"/>
                <w:lang w:val="it-IT"/>
              </w:rPr>
              <w:t>ARA-C (3 g/m</w:t>
            </w:r>
            <w:r w:rsidRPr="00496684">
              <w:rPr>
                <w:color w:val="000000"/>
                <w:vertAlign w:val="superscript"/>
                <w:lang w:val="it-IT"/>
              </w:rPr>
              <w:t>2</w:t>
            </w:r>
            <w:r w:rsidRPr="00496684">
              <w:rPr>
                <w:color w:val="000000"/>
                <w:lang w:val="it-IT"/>
              </w:rPr>
              <w:t>, q12h, IV): giorni 43, 44</w:t>
            </w:r>
          </w:p>
          <w:p w14:paraId="0773B6F5" w14:textId="77777777" w:rsidR="00815863" w:rsidRPr="00496684" w:rsidRDefault="00815863" w:rsidP="003A3302">
            <w:pPr>
              <w:pStyle w:val="Endnotentext"/>
              <w:widowControl w:val="0"/>
              <w:rPr>
                <w:color w:val="000000"/>
                <w:lang w:val="it-IT"/>
              </w:rPr>
            </w:pPr>
            <w:r w:rsidRPr="00496684">
              <w:rPr>
                <w:color w:val="000000"/>
                <w:lang w:val="it-IT"/>
              </w:rPr>
              <w:t>L-ASP (6000 IUnità/m</w:t>
            </w:r>
            <w:r w:rsidRPr="00496684">
              <w:rPr>
                <w:color w:val="000000"/>
                <w:vertAlign w:val="superscript"/>
                <w:lang w:val="it-IT"/>
              </w:rPr>
              <w:t>2</w:t>
            </w:r>
            <w:r w:rsidRPr="00496684">
              <w:rPr>
                <w:color w:val="000000"/>
                <w:lang w:val="it-IT"/>
              </w:rPr>
              <w:t>, IM): giorno 44</w:t>
            </w:r>
          </w:p>
        </w:tc>
      </w:tr>
      <w:tr w:rsidR="00815863" w:rsidRPr="00496684" w14:paraId="1C6568B9" w14:textId="77777777" w:rsidTr="003A3302">
        <w:tc>
          <w:tcPr>
            <w:tcW w:w="2660" w:type="dxa"/>
            <w:shd w:val="clear" w:color="auto" w:fill="auto"/>
          </w:tcPr>
          <w:p w14:paraId="625D0FFC" w14:textId="77777777" w:rsidR="00815863" w:rsidRPr="00496684" w:rsidRDefault="00815863" w:rsidP="003A3302">
            <w:pPr>
              <w:pStyle w:val="Endnotentext"/>
              <w:widowControl w:val="0"/>
              <w:rPr>
                <w:color w:val="000000"/>
                <w:lang w:val="it-IT"/>
              </w:rPr>
            </w:pPr>
            <w:r w:rsidRPr="00496684">
              <w:rPr>
                <w:color w:val="000000"/>
                <w:lang w:val="it-IT"/>
              </w:rPr>
              <w:t>Blocco 2 di reinduzione</w:t>
            </w:r>
          </w:p>
          <w:p w14:paraId="273B1CFA" w14:textId="77777777" w:rsidR="00815863" w:rsidRPr="00496684" w:rsidRDefault="00815863" w:rsidP="003A3302">
            <w:pPr>
              <w:pStyle w:val="Endnotentext"/>
              <w:widowControl w:val="0"/>
              <w:rPr>
                <w:color w:val="000000"/>
                <w:lang w:val="it-IT"/>
              </w:rPr>
            </w:pPr>
            <w:r w:rsidRPr="00496684">
              <w:rPr>
                <w:color w:val="000000"/>
                <w:lang w:val="it-IT"/>
              </w:rPr>
              <w:t>(3 settimane)</w:t>
            </w:r>
          </w:p>
        </w:tc>
        <w:tc>
          <w:tcPr>
            <w:tcW w:w="6626" w:type="dxa"/>
            <w:shd w:val="clear" w:color="auto" w:fill="auto"/>
          </w:tcPr>
          <w:p w14:paraId="21D361E9" w14:textId="77777777" w:rsidR="00815863" w:rsidRPr="00496684" w:rsidRDefault="00815863" w:rsidP="003A3302">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8 e 15</w:t>
            </w:r>
          </w:p>
          <w:p w14:paraId="455FFF3C" w14:textId="77777777" w:rsidR="00815863" w:rsidRPr="00496684" w:rsidRDefault="00815863" w:rsidP="003A3302">
            <w:pPr>
              <w:pStyle w:val="Endnotentext"/>
              <w:widowControl w:val="0"/>
              <w:rPr>
                <w:color w:val="000000"/>
                <w:lang w:val="it-IT"/>
              </w:rPr>
            </w:pPr>
            <w:r w:rsidRPr="00496684">
              <w:rPr>
                <w:color w:val="000000"/>
                <w:lang w:val="it-IT"/>
              </w:rPr>
              <w:t>DAUN (45 mg/m</w:t>
            </w:r>
            <w:r w:rsidRPr="00496684">
              <w:rPr>
                <w:color w:val="000000"/>
                <w:vertAlign w:val="superscript"/>
                <w:lang w:val="it-IT"/>
              </w:rPr>
              <w:t>2</w:t>
            </w:r>
            <w:r w:rsidRPr="00496684">
              <w:rPr>
                <w:color w:val="000000"/>
                <w:lang w:val="it-IT"/>
              </w:rPr>
              <w:t>/die bolo, IV): giorni 1 e 2</w:t>
            </w:r>
          </w:p>
          <w:p w14:paraId="0ECF879A" w14:textId="77777777" w:rsidR="00815863" w:rsidRPr="00496684" w:rsidRDefault="00815863" w:rsidP="003A3302">
            <w:pPr>
              <w:pStyle w:val="Endnotentext"/>
              <w:widowControl w:val="0"/>
              <w:rPr>
                <w:color w:val="000000"/>
                <w:lang w:val="it-IT"/>
              </w:rPr>
            </w:pPr>
            <w:r w:rsidRPr="00496684">
              <w:rPr>
                <w:color w:val="000000"/>
                <w:lang w:val="it-IT"/>
              </w:rPr>
              <w:t>CPM (250 mg/m</w:t>
            </w:r>
            <w:r w:rsidRPr="00496684">
              <w:rPr>
                <w:color w:val="000000"/>
                <w:vertAlign w:val="superscript"/>
                <w:lang w:val="it-IT"/>
              </w:rPr>
              <w:t>2</w:t>
            </w:r>
            <w:r w:rsidRPr="00496684">
              <w:rPr>
                <w:color w:val="000000"/>
                <w:lang w:val="it-IT"/>
              </w:rPr>
              <w:t>/dose q12h x 4 dosi, iv): giorni 3 e 4</w:t>
            </w:r>
          </w:p>
          <w:p w14:paraId="4A91DA83" w14:textId="77777777" w:rsidR="00815863" w:rsidRPr="00496684" w:rsidRDefault="00815863" w:rsidP="003A3302">
            <w:pPr>
              <w:pStyle w:val="Endnotentext"/>
              <w:widowControl w:val="0"/>
              <w:rPr>
                <w:color w:val="000000"/>
                <w:lang w:val="it-IT"/>
              </w:rPr>
            </w:pPr>
            <w:r w:rsidRPr="00496684">
              <w:rPr>
                <w:color w:val="000000"/>
                <w:lang w:val="it-IT"/>
              </w:rPr>
              <w:t>PEG-ASP (2500 IUnità/m</w:t>
            </w:r>
            <w:r w:rsidRPr="00496684">
              <w:rPr>
                <w:color w:val="000000"/>
                <w:vertAlign w:val="superscript"/>
                <w:lang w:val="it-IT"/>
              </w:rPr>
              <w:t>2</w:t>
            </w:r>
            <w:r w:rsidRPr="00496684">
              <w:rPr>
                <w:color w:val="000000"/>
                <w:lang w:val="it-IT"/>
              </w:rPr>
              <w:t>, IM): giorno 4</w:t>
            </w:r>
          </w:p>
          <w:p w14:paraId="5878BCF0" w14:textId="77777777" w:rsidR="00815863" w:rsidRPr="00496684" w:rsidRDefault="00815863" w:rsidP="003A3302">
            <w:pPr>
              <w:pStyle w:val="Endnotentext"/>
              <w:widowControl w:val="0"/>
              <w:rPr>
                <w:color w:val="000000"/>
                <w:lang w:val="it-IT"/>
              </w:rPr>
            </w:pPr>
            <w:r w:rsidRPr="00496684">
              <w:rPr>
                <w:color w:val="000000"/>
                <w:lang w:val="it-IT"/>
              </w:rPr>
              <w:t>G-CSF (5 μg/kg, SC): giorni 5-14 o fino a ANC &gt;1500 post nadir</w:t>
            </w:r>
          </w:p>
          <w:p w14:paraId="2AF52BDD" w14:textId="77777777" w:rsidR="00815863" w:rsidRPr="00496684" w:rsidRDefault="00815863" w:rsidP="003A3302">
            <w:pPr>
              <w:pStyle w:val="Endnotentext"/>
              <w:widowControl w:val="0"/>
              <w:rPr>
                <w:color w:val="000000"/>
                <w:lang w:val="it-IT"/>
              </w:rPr>
            </w:pPr>
            <w:r w:rsidRPr="00496684">
              <w:rPr>
                <w:color w:val="000000"/>
                <w:lang w:val="it-IT"/>
              </w:rPr>
              <w:t>Tripla terapia IT (aggiustata per l’età): giorni 1 e 15</w:t>
            </w:r>
          </w:p>
          <w:p w14:paraId="1AA08D9C" w14:textId="77777777" w:rsidR="00815863" w:rsidRPr="00496684" w:rsidRDefault="00815863" w:rsidP="003A3302">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7 e 15</w:t>
            </w:r>
            <w:r w:rsidRPr="00496684">
              <w:rPr>
                <w:color w:val="000000"/>
                <w:lang w:val="it-IT"/>
              </w:rPr>
              <w:noBreakHyphen/>
              <w:t>21</w:t>
            </w:r>
          </w:p>
        </w:tc>
      </w:tr>
      <w:tr w:rsidR="00815863" w:rsidRPr="00496684" w14:paraId="738A0D7C" w14:textId="77777777" w:rsidTr="003A3302">
        <w:tc>
          <w:tcPr>
            <w:tcW w:w="2660" w:type="dxa"/>
            <w:shd w:val="clear" w:color="auto" w:fill="auto"/>
          </w:tcPr>
          <w:p w14:paraId="796F4CE2" w14:textId="77777777" w:rsidR="00815863" w:rsidRPr="00496684" w:rsidRDefault="00815863" w:rsidP="003A3302">
            <w:pPr>
              <w:pStyle w:val="Endnotentext"/>
              <w:widowControl w:val="0"/>
              <w:rPr>
                <w:color w:val="000000"/>
                <w:lang w:val="it-IT"/>
              </w:rPr>
            </w:pPr>
            <w:r w:rsidRPr="00496684">
              <w:rPr>
                <w:color w:val="000000"/>
                <w:lang w:val="it-IT"/>
              </w:rPr>
              <w:t>Blocco 2 di intensificazione</w:t>
            </w:r>
          </w:p>
          <w:p w14:paraId="3DE56579" w14:textId="77777777" w:rsidR="00815863" w:rsidRPr="00496684" w:rsidRDefault="00815863" w:rsidP="003A3302">
            <w:pPr>
              <w:pStyle w:val="Endnotentext"/>
              <w:widowControl w:val="0"/>
              <w:rPr>
                <w:color w:val="000000"/>
                <w:lang w:val="it-IT"/>
              </w:rPr>
            </w:pPr>
            <w:r w:rsidRPr="00496684">
              <w:rPr>
                <w:color w:val="000000"/>
                <w:lang w:val="it-IT"/>
              </w:rPr>
              <w:t>(9 settimane)</w:t>
            </w:r>
          </w:p>
        </w:tc>
        <w:tc>
          <w:tcPr>
            <w:tcW w:w="6626" w:type="dxa"/>
            <w:shd w:val="clear" w:color="auto" w:fill="auto"/>
          </w:tcPr>
          <w:p w14:paraId="2472B80A" w14:textId="77777777" w:rsidR="00815863" w:rsidRPr="00496684" w:rsidRDefault="00815863" w:rsidP="003A3302">
            <w:pPr>
              <w:pStyle w:val="Endnotentext"/>
              <w:widowControl w:val="0"/>
              <w:rPr>
                <w:color w:val="000000"/>
                <w:lang w:val="it-IT"/>
              </w:rPr>
            </w:pPr>
            <w:r w:rsidRPr="00496684">
              <w:rPr>
                <w:color w:val="000000"/>
                <w:lang w:val="it-IT"/>
              </w:rPr>
              <w:t>Metotrexate (5 g/m</w:t>
            </w:r>
            <w:r w:rsidRPr="00496684">
              <w:rPr>
                <w:color w:val="000000"/>
                <w:vertAlign w:val="superscript"/>
                <w:lang w:val="it-IT"/>
              </w:rPr>
              <w:t>2</w:t>
            </w:r>
            <w:r w:rsidRPr="00496684">
              <w:rPr>
                <w:color w:val="000000"/>
                <w:lang w:val="it-IT"/>
              </w:rPr>
              <w:t xml:space="preserve"> per 24 ore, IV): giorni 1 e 15</w:t>
            </w:r>
          </w:p>
          <w:p w14:paraId="600B0C61" w14:textId="77777777" w:rsidR="00815863" w:rsidRPr="00496684" w:rsidRDefault="00815863" w:rsidP="003A3302">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3, 16, e 17</w:t>
            </w:r>
          </w:p>
          <w:p w14:paraId="22E6E0A6" w14:textId="77777777" w:rsidR="00815863" w:rsidRPr="00496684" w:rsidRDefault="00815863" w:rsidP="003A3302">
            <w:pPr>
              <w:pStyle w:val="Endnotentext"/>
              <w:widowControl w:val="0"/>
              <w:rPr>
                <w:color w:val="000000"/>
                <w:lang w:val="it-IT"/>
              </w:rPr>
            </w:pPr>
            <w:r w:rsidRPr="00496684">
              <w:rPr>
                <w:color w:val="000000"/>
                <w:lang w:val="it-IT"/>
              </w:rPr>
              <w:t>Tripla terapia IT (aggiustata per l’età): giorni 1 e 22</w:t>
            </w:r>
          </w:p>
          <w:p w14:paraId="0E44FA01" w14:textId="77777777" w:rsidR="00815863" w:rsidRPr="00496684" w:rsidRDefault="00815863" w:rsidP="003A3302">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0737A699" w14:textId="77777777" w:rsidR="00815863" w:rsidRPr="00496684" w:rsidRDefault="00815863" w:rsidP="003A3302">
            <w:pPr>
              <w:pStyle w:val="Endnotentext"/>
              <w:widowControl w:val="0"/>
              <w:rPr>
                <w:color w:val="000000"/>
                <w:lang w:val="it-IT"/>
              </w:rPr>
            </w:pPr>
            <w:r w:rsidRPr="00496684">
              <w:rPr>
                <w:color w:val="000000"/>
                <w:lang w:val="it-IT"/>
              </w:rPr>
              <w:t>CPM (300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7CFEF1D4" w14:textId="77777777" w:rsidR="00815863" w:rsidRPr="00496684" w:rsidRDefault="00815863" w:rsidP="003A3302">
            <w:pPr>
              <w:pStyle w:val="Endnotentext"/>
              <w:widowControl w:val="0"/>
              <w:rPr>
                <w:color w:val="000000"/>
                <w:lang w:val="it-IT"/>
              </w:rPr>
            </w:pPr>
            <w:r w:rsidRPr="00496684">
              <w:rPr>
                <w:color w:val="000000"/>
                <w:lang w:val="it-IT"/>
              </w:rPr>
              <w:t>MESNA (150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5B903F56" w14:textId="77777777" w:rsidR="00815863" w:rsidRPr="00496684" w:rsidRDefault="00815863" w:rsidP="003A3302">
            <w:pPr>
              <w:pStyle w:val="Endnotentext"/>
              <w:widowControl w:val="0"/>
              <w:rPr>
                <w:color w:val="000000"/>
                <w:lang w:val="it-IT"/>
              </w:rPr>
            </w:pPr>
            <w:r w:rsidRPr="00496684">
              <w:rPr>
                <w:color w:val="000000"/>
                <w:lang w:val="it-IT"/>
              </w:rPr>
              <w:t>G-CSF (5 μg/kg, SC): giorni 27</w:t>
            </w:r>
            <w:r w:rsidRPr="00496684">
              <w:rPr>
                <w:color w:val="000000"/>
                <w:lang w:val="it-IT"/>
              </w:rPr>
              <w:noBreakHyphen/>
              <w:t>36 o fino a ANC &gt;1500 post nadir</w:t>
            </w:r>
          </w:p>
          <w:p w14:paraId="47DAA0AE" w14:textId="77777777" w:rsidR="00815863" w:rsidRPr="00496684" w:rsidRDefault="00815863" w:rsidP="003A3302">
            <w:pPr>
              <w:pStyle w:val="Endnotentext"/>
              <w:widowControl w:val="0"/>
              <w:rPr>
                <w:color w:val="000000"/>
                <w:lang w:val="it-IT"/>
              </w:rPr>
            </w:pPr>
            <w:r w:rsidRPr="00496684">
              <w:rPr>
                <w:color w:val="000000"/>
                <w:lang w:val="it-IT"/>
              </w:rPr>
              <w:t>ARA-C (3 g/m</w:t>
            </w:r>
            <w:r w:rsidRPr="00496684">
              <w:rPr>
                <w:color w:val="000000"/>
                <w:vertAlign w:val="superscript"/>
                <w:lang w:val="it-IT"/>
              </w:rPr>
              <w:t>2</w:t>
            </w:r>
            <w:r w:rsidRPr="00496684">
              <w:rPr>
                <w:color w:val="000000"/>
                <w:lang w:val="it-IT"/>
              </w:rPr>
              <w:t>, q12h, IV): giorni 43, 44</w:t>
            </w:r>
          </w:p>
          <w:p w14:paraId="29531645" w14:textId="77777777" w:rsidR="00815863" w:rsidRPr="00496684" w:rsidRDefault="00815863" w:rsidP="003A3302">
            <w:pPr>
              <w:pStyle w:val="Endnotentext"/>
              <w:widowControl w:val="0"/>
              <w:rPr>
                <w:color w:val="000000"/>
                <w:lang w:val="it-IT"/>
              </w:rPr>
            </w:pPr>
            <w:r w:rsidRPr="00496684">
              <w:rPr>
                <w:color w:val="000000"/>
                <w:lang w:val="it-IT"/>
              </w:rPr>
              <w:t>L-ASP (6000 IUnità/m</w:t>
            </w:r>
            <w:r w:rsidRPr="00496684">
              <w:rPr>
                <w:color w:val="000000"/>
                <w:vertAlign w:val="superscript"/>
                <w:lang w:val="it-IT"/>
              </w:rPr>
              <w:t>2</w:t>
            </w:r>
            <w:r w:rsidRPr="00496684">
              <w:rPr>
                <w:color w:val="000000"/>
                <w:lang w:val="it-IT"/>
              </w:rPr>
              <w:t>, IM): giorno 44</w:t>
            </w:r>
          </w:p>
        </w:tc>
      </w:tr>
      <w:tr w:rsidR="00815863" w:rsidRPr="00496684" w14:paraId="6A3E2DB4" w14:textId="77777777" w:rsidTr="003A3302">
        <w:tc>
          <w:tcPr>
            <w:tcW w:w="2660" w:type="dxa"/>
            <w:shd w:val="clear" w:color="auto" w:fill="auto"/>
          </w:tcPr>
          <w:p w14:paraId="123445A3" w14:textId="77777777" w:rsidR="00815863" w:rsidRPr="00496684" w:rsidRDefault="00815863" w:rsidP="003A3302">
            <w:pPr>
              <w:pStyle w:val="Endnotentext"/>
              <w:widowControl w:val="0"/>
              <w:rPr>
                <w:color w:val="000000"/>
                <w:lang w:val="it-IT"/>
              </w:rPr>
            </w:pPr>
            <w:r w:rsidRPr="00496684">
              <w:rPr>
                <w:color w:val="000000"/>
                <w:lang w:val="it-IT"/>
              </w:rPr>
              <w:t>Mantenimento</w:t>
            </w:r>
          </w:p>
          <w:p w14:paraId="7A602DCB" w14:textId="77777777" w:rsidR="00815863" w:rsidRPr="00496684" w:rsidRDefault="00815863" w:rsidP="003A3302">
            <w:pPr>
              <w:pStyle w:val="Endnotentext"/>
              <w:widowControl w:val="0"/>
              <w:rPr>
                <w:color w:val="000000"/>
                <w:lang w:val="it-IT"/>
              </w:rPr>
            </w:pPr>
            <w:r w:rsidRPr="00496684">
              <w:rPr>
                <w:color w:val="000000"/>
                <w:lang w:val="it-IT"/>
              </w:rPr>
              <w:t>(cicli di 8 settimane)</w:t>
            </w:r>
          </w:p>
          <w:p w14:paraId="56C9ABB2" w14:textId="77777777" w:rsidR="00815863" w:rsidRPr="00496684" w:rsidRDefault="00815863" w:rsidP="003A3302">
            <w:pPr>
              <w:pStyle w:val="Endnotentext"/>
              <w:widowControl w:val="0"/>
              <w:rPr>
                <w:color w:val="000000"/>
                <w:lang w:val="it-IT"/>
              </w:rPr>
            </w:pPr>
            <w:r w:rsidRPr="00496684">
              <w:rPr>
                <w:color w:val="000000"/>
                <w:lang w:val="it-IT"/>
              </w:rPr>
              <w:t>Cicli 1–4</w:t>
            </w:r>
          </w:p>
        </w:tc>
        <w:tc>
          <w:tcPr>
            <w:tcW w:w="6626" w:type="dxa"/>
            <w:shd w:val="clear" w:color="auto" w:fill="auto"/>
          </w:tcPr>
          <w:p w14:paraId="11CCBBAF" w14:textId="77777777" w:rsidR="00815863" w:rsidRPr="00496684" w:rsidRDefault="00815863" w:rsidP="003A3302">
            <w:pPr>
              <w:pStyle w:val="Endnotentext"/>
              <w:widowControl w:val="0"/>
              <w:rPr>
                <w:color w:val="000000"/>
                <w:lang w:val="it-IT"/>
              </w:rPr>
            </w:pPr>
            <w:r w:rsidRPr="00496684">
              <w:rPr>
                <w:color w:val="000000"/>
                <w:lang w:val="it-IT"/>
              </w:rPr>
              <w:t>MTX (5 g/m</w:t>
            </w:r>
            <w:r w:rsidRPr="00496684">
              <w:rPr>
                <w:color w:val="000000"/>
                <w:vertAlign w:val="superscript"/>
                <w:lang w:val="it-IT"/>
              </w:rPr>
              <w:t>2</w:t>
            </w:r>
            <w:r w:rsidRPr="00496684">
              <w:rPr>
                <w:color w:val="000000"/>
                <w:lang w:val="it-IT"/>
              </w:rPr>
              <w:t xml:space="preserve"> per 24 ore, IV): giorno 1</w:t>
            </w:r>
          </w:p>
          <w:p w14:paraId="7648F140" w14:textId="77777777" w:rsidR="00815863" w:rsidRPr="00496684" w:rsidRDefault="00815863" w:rsidP="003A3302">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e 3</w:t>
            </w:r>
          </w:p>
          <w:p w14:paraId="675C2BCB" w14:textId="77777777" w:rsidR="00815863" w:rsidRPr="00496684" w:rsidRDefault="00815863" w:rsidP="003A3302">
            <w:pPr>
              <w:pStyle w:val="Endnotentext"/>
              <w:widowControl w:val="0"/>
              <w:rPr>
                <w:color w:val="000000"/>
                <w:lang w:val="it-IT"/>
              </w:rPr>
            </w:pPr>
            <w:r w:rsidRPr="00496684">
              <w:rPr>
                <w:color w:val="000000"/>
                <w:lang w:val="it-IT"/>
              </w:rPr>
              <w:t>Tripla terapia IT (aggiustata per l’età): giorni 1, 29</w:t>
            </w:r>
          </w:p>
          <w:p w14:paraId="5608FB36" w14:textId="77777777" w:rsidR="00815863" w:rsidRPr="00496684" w:rsidRDefault="00815863" w:rsidP="003A3302">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 IV): giorni 1, 29</w:t>
            </w:r>
          </w:p>
          <w:p w14:paraId="319A391C" w14:textId="77777777" w:rsidR="00815863" w:rsidRPr="00496684" w:rsidRDefault="00815863" w:rsidP="003A3302">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5; 29</w:t>
            </w:r>
            <w:r w:rsidRPr="00496684">
              <w:rPr>
                <w:color w:val="000000"/>
                <w:lang w:val="it-IT"/>
              </w:rPr>
              <w:noBreakHyphen/>
              <w:t>33</w:t>
            </w:r>
          </w:p>
          <w:p w14:paraId="048DAFA2" w14:textId="77777777" w:rsidR="00815863" w:rsidRPr="00496684" w:rsidRDefault="00815863" w:rsidP="003A3302">
            <w:pPr>
              <w:pStyle w:val="Endnotentext"/>
              <w:widowControl w:val="0"/>
              <w:rPr>
                <w:color w:val="000000"/>
                <w:lang w:val="it-IT"/>
              </w:rPr>
            </w:pPr>
            <w:r w:rsidRPr="00496684">
              <w:rPr>
                <w:color w:val="000000"/>
                <w:lang w:val="it-IT"/>
              </w:rPr>
              <w:t>6-MP (75 mg/m</w:t>
            </w:r>
            <w:r w:rsidRPr="00496684">
              <w:rPr>
                <w:color w:val="000000"/>
                <w:vertAlign w:val="superscript"/>
                <w:lang w:val="it-IT"/>
              </w:rPr>
              <w:t>2</w:t>
            </w:r>
            <w:r w:rsidRPr="00496684">
              <w:rPr>
                <w:color w:val="000000"/>
                <w:lang w:val="it-IT"/>
              </w:rPr>
              <w:t>/die, PO): giorni 8-28</w:t>
            </w:r>
          </w:p>
          <w:p w14:paraId="4A977FC4" w14:textId="77777777" w:rsidR="00815863" w:rsidRPr="00496684" w:rsidRDefault="00815863" w:rsidP="003A3302">
            <w:pPr>
              <w:pStyle w:val="Endnotentext"/>
              <w:widowControl w:val="0"/>
              <w:rPr>
                <w:color w:val="000000"/>
                <w:lang w:val="it-IT"/>
              </w:rPr>
            </w:pPr>
            <w:r w:rsidRPr="00496684">
              <w:rPr>
                <w:color w:val="000000"/>
                <w:lang w:val="it-IT"/>
              </w:rPr>
              <w:t>Metotrexate (20 mg/m</w:t>
            </w:r>
            <w:r w:rsidRPr="00496684">
              <w:rPr>
                <w:color w:val="000000"/>
                <w:vertAlign w:val="superscript"/>
                <w:lang w:val="it-IT"/>
              </w:rPr>
              <w:t>2</w:t>
            </w:r>
            <w:r w:rsidRPr="00496684">
              <w:rPr>
                <w:color w:val="000000"/>
                <w:lang w:val="it-IT"/>
              </w:rPr>
              <w:t>/settimana, PO): giorni 8, 15, 22</w:t>
            </w:r>
          </w:p>
          <w:p w14:paraId="310D5899" w14:textId="77777777" w:rsidR="00815863" w:rsidRPr="00496684" w:rsidRDefault="00815863" w:rsidP="003A3302">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 IV): giorni 29</w:t>
            </w:r>
            <w:r w:rsidRPr="00496684">
              <w:rPr>
                <w:color w:val="000000"/>
                <w:lang w:val="it-IT"/>
              </w:rPr>
              <w:noBreakHyphen/>
              <w:t>33</w:t>
            </w:r>
          </w:p>
          <w:p w14:paraId="680CA99D" w14:textId="77777777" w:rsidR="00815863" w:rsidRPr="00496684" w:rsidRDefault="00815863" w:rsidP="003A3302">
            <w:pPr>
              <w:pStyle w:val="Endnotentext"/>
              <w:widowControl w:val="0"/>
              <w:rPr>
                <w:color w:val="000000"/>
                <w:lang w:val="it-IT"/>
              </w:rPr>
            </w:pPr>
            <w:r w:rsidRPr="00496684">
              <w:rPr>
                <w:color w:val="000000"/>
                <w:lang w:val="it-IT"/>
              </w:rPr>
              <w:t>CPM (300 mg/m</w:t>
            </w:r>
            <w:r w:rsidRPr="00496684">
              <w:rPr>
                <w:color w:val="000000"/>
                <w:vertAlign w:val="superscript"/>
                <w:lang w:val="it-IT"/>
              </w:rPr>
              <w:t>2</w:t>
            </w:r>
            <w:r w:rsidRPr="00496684">
              <w:rPr>
                <w:color w:val="000000"/>
                <w:lang w:val="it-IT"/>
              </w:rPr>
              <w:t>, IV): giorni 29</w:t>
            </w:r>
            <w:r w:rsidRPr="00496684">
              <w:rPr>
                <w:color w:val="000000"/>
                <w:lang w:val="it-IT"/>
              </w:rPr>
              <w:noBreakHyphen/>
              <w:t>33</w:t>
            </w:r>
          </w:p>
          <w:p w14:paraId="48D3E98A" w14:textId="77777777" w:rsidR="00815863" w:rsidRPr="00496684" w:rsidRDefault="00815863" w:rsidP="003A3302">
            <w:pPr>
              <w:pStyle w:val="Endnotentext"/>
              <w:widowControl w:val="0"/>
              <w:rPr>
                <w:color w:val="000000"/>
                <w:lang w:val="it-IT"/>
              </w:rPr>
            </w:pPr>
            <w:r w:rsidRPr="00496684">
              <w:rPr>
                <w:color w:val="000000"/>
                <w:lang w:val="it-IT"/>
              </w:rPr>
              <w:t>MESNA IV giorni 29</w:t>
            </w:r>
            <w:r w:rsidRPr="00496684">
              <w:rPr>
                <w:color w:val="000000"/>
                <w:lang w:val="it-IT"/>
              </w:rPr>
              <w:noBreakHyphen/>
              <w:t>33</w:t>
            </w:r>
          </w:p>
          <w:p w14:paraId="04B3367E" w14:textId="77777777" w:rsidR="00815863" w:rsidRPr="00496684" w:rsidRDefault="00815863" w:rsidP="003A3302">
            <w:pPr>
              <w:pStyle w:val="Endnotentext"/>
              <w:widowControl w:val="0"/>
              <w:rPr>
                <w:color w:val="000000"/>
                <w:lang w:val="it-IT"/>
              </w:rPr>
            </w:pPr>
            <w:r w:rsidRPr="00496684">
              <w:rPr>
                <w:color w:val="000000"/>
                <w:lang w:val="it-IT"/>
              </w:rPr>
              <w:t>G-CSF (5 μg/kg, SC): giorni 34</w:t>
            </w:r>
            <w:r w:rsidRPr="00496684">
              <w:rPr>
                <w:color w:val="000000"/>
                <w:lang w:val="it-IT"/>
              </w:rPr>
              <w:noBreakHyphen/>
              <w:t>43</w:t>
            </w:r>
          </w:p>
        </w:tc>
      </w:tr>
      <w:tr w:rsidR="00815863" w:rsidRPr="00496684" w14:paraId="74A46EBE" w14:textId="77777777" w:rsidTr="003A3302">
        <w:tc>
          <w:tcPr>
            <w:tcW w:w="2660" w:type="dxa"/>
            <w:shd w:val="clear" w:color="auto" w:fill="auto"/>
          </w:tcPr>
          <w:p w14:paraId="6E6C397D" w14:textId="77777777" w:rsidR="00815863" w:rsidRPr="00496684" w:rsidRDefault="00815863" w:rsidP="003A3302">
            <w:pPr>
              <w:pStyle w:val="Endnotentext"/>
              <w:widowControl w:val="0"/>
              <w:rPr>
                <w:color w:val="000000"/>
                <w:lang w:val="it-IT"/>
              </w:rPr>
            </w:pPr>
            <w:r w:rsidRPr="00496684">
              <w:rPr>
                <w:color w:val="000000"/>
                <w:lang w:val="it-IT"/>
              </w:rPr>
              <w:t>Mantenimento</w:t>
            </w:r>
          </w:p>
          <w:p w14:paraId="48E66E37" w14:textId="77777777" w:rsidR="00815863" w:rsidRPr="00496684" w:rsidRDefault="00815863" w:rsidP="003A3302">
            <w:pPr>
              <w:pStyle w:val="Endnotentext"/>
              <w:widowControl w:val="0"/>
              <w:rPr>
                <w:color w:val="000000"/>
                <w:lang w:val="it-IT"/>
              </w:rPr>
            </w:pPr>
            <w:r w:rsidRPr="00496684">
              <w:rPr>
                <w:color w:val="000000"/>
                <w:lang w:val="it-IT"/>
              </w:rPr>
              <w:t>(cicli di 8 settimane)</w:t>
            </w:r>
          </w:p>
          <w:p w14:paraId="4B1F0CEC" w14:textId="77777777" w:rsidR="00815863" w:rsidRPr="00496684" w:rsidRDefault="00815863" w:rsidP="003A3302">
            <w:pPr>
              <w:pStyle w:val="Endnotentext"/>
              <w:widowControl w:val="0"/>
              <w:rPr>
                <w:color w:val="000000"/>
                <w:lang w:val="it-IT"/>
              </w:rPr>
            </w:pPr>
            <w:r w:rsidRPr="00496684">
              <w:rPr>
                <w:color w:val="000000"/>
                <w:lang w:val="it-IT"/>
              </w:rPr>
              <w:t>Ciclo 5</w:t>
            </w:r>
          </w:p>
        </w:tc>
        <w:tc>
          <w:tcPr>
            <w:tcW w:w="6626" w:type="dxa"/>
            <w:shd w:val="clear" w:color="auto" w:fill="auto"/>
          </w:tcPr>
          <w:p w14:paraId="013F8484" w14:textId="77777777" w:rsidR="00815863" w:rsidRPr="00496684" w:rsidRDefault="00815863" w:rsidP="003A3302">
            <w:pPr>
              <w:pStyle w:val="Endnotentext"/>
              <w:widowControl w:val="0"/>
              <w:rPr>
                <w:color w:val="000000"/>
                <w:lang w:val="it-IT"/>
              </w:rPr>
            </w:pPr>
            <w:r w:rsidRPr="00496684">
              <w:rPr>
                <w:color w:val="000000"/>
                <w:lang w:val="it-IT"/>
              </w:rPr>
              <w:t>Irradiazione cranica (solo il blocco 5)</w:t>
            </w:r>
          </w:p>
          <w:p w14:paraId="7CCB7A11" w14:textId="77777777" w:rsidR="00815863" w:rsidRPr="00496684" w:rsidRDefault="00815863" w:rsidP="003A3302">
            <w:pPr>
              <w:pStyle w:val="Endnotentext"/>
              <w:widowControl w:val="0"/>
              <w:rPr>
                <w:color w:val="000000"/>
                <w:lang w:val="it-IT"/>
              </w:rPr>
            </w:pPr>
            <w:r w:rsidRPr="00496684">
              <w:rPr>
                <w:color w:val="000000"/>
                <w:lang w:val="it-IT"/>
              </w:rPr>
              <w:t>12 Gy in 8 frazioni per tutti i pazienti che sono CNS1 e CNS2 alla diagnosi</w:t>
            </w:r>
          </w:p>
          <w:p w14:paraId="2516CE46" w14:textId="77777777" w:rsidR="00815863" w:rsidRPr="00496684" w:rsidRDefault="00815863" w:rsidP="003A3302">
            <w:pPr>
              <w:pStyle w:val="Endnotentext"/>
              <w:widowControl w:val="0"/>
              <w:rPr>
                <w:color w:val="000000"/>
                <w:lang w:val="it-IT"/>
              </w:rPr>
            </w:pPr>
            <w:r w:rsidRPr="00496684">
              <w:rPr>
                <w:color w:val="000000"/>
                <w:lang w:val="it-IT"/>
              </w:rPr>
              <w:t>18 Gy in 10 frazioni per tutti i pazienti che sono CNS3 alla diagnosi</w:t>
            </w:r>
          </w:p>
          <w:p w14:paraId="76F40840" w14:textId="77777777" w:rsidR="00815863" w:rsidRPr="00496684" w:rsidRDefault="00815863" w:rsidP="003A3302">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29</w:t>
            </w:r>
          </w:p>
          <w:p w14:paraId="0AED81A1" w14:textId="77777777" w:rsidR="00815863" w:rsidRPr="00496684" w:rsidRDefault="00815863" w:rsidP="003A3302">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5; 29</w:t>
            </w:r>
            <w:r w:rsidRPr="00496684">
              <w:rPr>
                <w:color w:val="000000"/>
                <w:lang w:val="it-IT"/>
              </w:rPr>
              <w:noBreakHyphen/>
              <w:t>33</w:t>
            </w:r>
          </w:p>
          <w:p w14:paraId="5492B310" w14:textId="77777777" w:rsidR="00815863" w:rsidRPr="00496684" w:rsidRDefault="00815863" w:rsidP="003A3302">
            <w:pPr>
              <w:pStyle w:val="Endnotentext"/>
              <w:widowControl w:val="0"/>
              <w:rPr>
                <w:color w:val="000000"/>
                <w:lang w:val="it-IT"/>
              </w:rPr>
            </w:pPr>
            <w:r w:rsidRPr="00496684">
              <w:rPr>
                <w:color w:val="000000"/>
                <w:lang w:val="it-IT"/>
              </w:rPr>
              <w:t>6-MP (75 mg/m</w:t>
            </w:r>
            <w:r w:rsidRPr="00496684">
              <w:rPr>
                <w:color w:val="000000"/>
                <w:vertAlign w:val="superscript"/>
                <w:lang w:val="it-IT"/>
              </w:rPr>
              <w:t>2</w:t>
            </w:r>
            <w:r w:rsidRPr="00496684">
              <w:rPr>
                <w:color w:val="000000"/>
                <w:lang w:val="it-IT"/>
              </w:rPr>
              <w:t>/die, PO): giorni 11</w:t>
            </w:r>
            <w:r w:rsidRPr="00496684">
              <w:rPr>
                <w:color w:val="000000"/>
                <w:lang w:val="it-IT"/>
              </w:rPr>
              <w:noBreakHyphen/>
              <w:t>56 (Sospendere 6-MP durante i giorni 6</w:t>
            </w:r>
            <w:r w:rsidRPr="00496684">
              <w:rPr>
                <w:color w:val="000000"/>
                <w:lang w:val="it-IT"/>
              </w:rPr>
              <w:noBreakHyphen/>
              <w:t>10 di irradiazione cranica iniziata il giorno 1 del Ciclo 5. Iniziare 6-MP il primo giorno dopo il completamento dell’irradiazione cranica.)</w:t>
            </w:r>
          </w:p>
          <w:p w14:paraId="1AEC41C9" w14:textId="77777777" w:rsidR="00815863" w:rsidRPr="00496684" w:rsidRDefault="00815863" w:rsidP="003A3302">
            <w:pPr>
              <w:pStyle w:val="Endnotentext"/>
              <w:widowControl w:val="0"/>
              <w:rPr>
                <w:color w:val="000000"/>
                <w:lang w:val="it-IT"/>
              </w:rPr>
            </w:pPr>
            <w:r w:rsidRPr="00496684">
              <w:rPr>
                <w:color w:val="000000"/>
                <w:lang w:val="it-IT"/>
              </w:rPr>
              <w:t>Metotrexate (20 mg/m</w:t>
            </w:r>
            <w:r w:rsidRPr="00496684">
              <w:rPr>
                <w:color w:val="000000"/>
                <w:vertAlign w:val="superscript"/>
                <w:lang w:val="it-IT"/>
              </w:rPr>
              <w:t>2</w:t>
            </w:r>
            <w:r w:rsidRPr="00496684">
              <w:rPr>
                <w:color w:val="000000"/>
                <w:lang w:val="it-IT"/>
              </w:rPr>
              <w:t>/settimana, PO): giorni 8, 15, 22, 29, 36, 43, 50</w:t>
            </w:r>
          </w:p>
        </w:tc>
      </w:tr>
      <w:tr w:rsidR="00815863" w:rsidRPr="00496684" w14:paraId="380E1178" w14:textId="77777777" w:rsidTr="003A3302">
        <w:tc>
          <w:tcPr>
            <w:tcW w:w="2660" w:type="dxa"/>
            <w:shd w:val="clear" w:color="auto" w:fill="auto"/>
          </w:tcPr>
          <w:p w14:paraId="63396E1A" w14:textId="77777777" w:rsidR="00815863" w:rsidRPr="00496684" w:rsidRDefault="00815863" w:rsidP="003A3302">
            <w:pPr>
              <w:pStyle w:val="Endnotentext"/>
              <w:widowControl w:val="0"/>
              <w:rPr>
                <w:color w:val="000000"/>
                <w:lang w:val="it-IT"/>
              </w:rPr>
            </w:pPr>
            <w:r w:rsidRPr="00496684">
              <w:rPr>
                <w:color w:val="000000"/>
                <w:lang w:val="it-IT"/>
              </w:rPr>
              <w:t>Mantenimento</w:t>
            </w:r>
          </w:p>
          <w:p w14:paraId="2D41B7AF" w14:textId="77777777" w:rsidR="00815863" w:rsidRPr="00496684" w:rsidRDefault="00815863" w:rsidP="003A3302">
            <w:pPr>
              <w:pStyle w:val="Endnotentext"/>
              <w:widowControl w:val="0"/>
              <w:rPr>
                <w:color w:val="000000"/>
                <w:lang w:val="it-IT"/>
              </w:rPr>
            </w:pPr>
            <w:r w:rsidRPr="00496684">
              <w:rPr>
                <w:color w:val="000000"/>
                <w:lang w:val="it-IT"/>
              </w:rPr>
              <w:t>(cicli di 8 settimane)</w:t>
            </w:r>
          </w:p>
          <w:p w14:paraId="4D307F0D" w14:textId="77777777" w:rsidR="00815863" w:rsidRPr="00496684" w:rsidRDefault="00815863" w:rsidP="003A3302">
            <w:pPr>
              <w:pStyle w:val="Endnotentext"/>
              <w:widowControl w:val="0"/>
              <w:rPr>
                <w:color w:val="000000"/>
                <w:lang w:val="it-IT"/>
              </w:rPr>
            </w:pPr>
            <w:r w:rsidRPr="00496684">
              <w:rPr>
                <w:color w:val="000000"/>
                <w:lang w:val="it-IT"/>
              </w:rPr>
              <w:t>Cicli 6</w:t>
            </w:r>
            <w:r w:rsidRPr="00496684">
              <w:rPr>
                <w:color w:val="000000"/>
                <w:lang w:val="it-IT"/>
              </w:rPr>
              <w:noBreakHyphen/>
              <w:t>12</w:t>
            </w:r>
          </w:p>
        </w:tc>
        <w:tc>
          <w:tcPr>
            <w:tcW w:w="6626" w:type="dxa"/>
            <w:shd w:val="clear" w:color="auto" w:fill="auto"/>
          </w:tcPr>
          <w:p w14:paraId="588704B1" w14:textId="77777777" w:rsidR="00815863" w:rsidRPr="00496684" w:rsidRDefault="00815863" w:rsidP="003A3302">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29</w:t>
            </w:r>
          </w:p>
          <w:p w14:paraId="4ECBD484" w14:textId="77777777" w:rsidR="00815863" w:rsidRPr="00496684" w:rsidRDefault="00815863" w:rsidP="003A3302">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5; 29</w:t>
            </w:r>
            <w:r w:rsidRPr="00496684">
              <w:rPr>
                <w:color w:val="000000"/>
                <w:lang w:val="it-IT"/>
              </w:rPr>
              <w:noBreakHyphen/>
              <w:t>33</w:t>
            </w:r>
          </w:p>
          <w:p w14:paraId="7CA49A1A" w14:textId="77777777" w:rsidR="00815863" w:rsidRPr="00496684" w:rsidRDefault="00815863" w:rsidP="003A3302">
            <w:pPr>
              <w:pStyle w:val="Endnotentext"/>
              <w:widowControl w:val="0"/>
              <w:rPr>
                <w:color w:val="000000"/>
                <w:lang w:val="it-IT"/>
              </w:rPr>
            </w:pPr>
            <w:r w:rsidRPr="00496684">
              <w:rPr>
                <w:color w:val="000000"/>
                <w:lang w:val="it-IT"/>
              </w:rPr>
              <w:t>6-MP (75 mg/m</w:t>
            </w:r>
            <w:r w:rsidRPr="00496684">
              <w:rPr>
                <w:color w:val="000000"/>
                <w:vertAlign w:val="superscript"/>
                <w:lang w:val="it-IT"/>
              </w:rPr>
              <w:t>2</w:t>
            </w:r>
            <w:r w:rsidRPr="00496684">
              <w:rPr>
                <w:color w:val="000000"/>
                <w:lang w:val="it-IT"/>
              </w:rPr>
              <w:t>/die, PO): giorni 1</w:t>
            </w:r>
            <w:r w:rsidRPr="00496684">
              <w:rPr>
                <w:color w:val="000000"/>
                <w:lang w:val="it-IT"/>
              </w:rPr>
              <w:noBreakHyphen/>
              <w:t>56</w:t>
            </w:r>
          </w:p>
          <w:p w14:paraId="51B8C298" w14:textId="77777777" w:rsidR="00815863" w:rsidRPr="00496684" w:rsidRDefault="00815863" w:rsidP="003A3302">
            <w:pPr>
              <w:pStyle w:val="Endnotentext"/>
              <w:widowControl w:val="0"/>
              <w:rPr>
                <w:color w:val="000000"/>
                <w:lang w:val="it-IT"/>
              </w:rPr>
            </w:pPr>
            <w:r w:rsidRPr="00496684">
              <w:rPr>
                <w:color w:val="000000"/>
                <w:lang w:val="it-IT"/>
              </w:rPr>
              <w:t>Metotrexate (20 mg/m</w:t>
            </w:r>
            <w:r w:rsidRPr="00496684">
              <w:rPr>
                <w:color w:val="000000"/>
                <w:vertAlign w:val="superscript"/>
                <w:lang w:val="it-IT"/>
              </w:rPr>
              <w:t>2</w:t>
            </w:r>
            <w:r w:rsidRPr="00496684">
              <w:rPr>
                <w:color w:val="000000"/>
                <w:lang w:val="it-IT"/>
              </w:rPr>
              <w:t>/settimana, PO): giorni 1, 8, 15, 22, 29, 36, 43, 50</w:t>
            </w:r>
          </w:p>
        </w:tc>
      </w:tr>
    </w:tbl>
    <w:p w14:paraId="0EC0F0AE" w14:textId="77777777" w:rsidR="00815863" w:rsidRPr="00A81163" w:rsidRDefault="00815863" w:rsidP="00815863">
      <w:pPr>
        <w:pStyle w:val="Endnotentext"/>
        <w:widowControl w:val="0"/>
        <w:rPr>
          <w:color w:val="000000"/>
          <w:szCs w:val="22"/>
          <w:lang w:val="it-IT"/>
        </w:rPr>
      </w:pPr>
      <w:r w:rsidRPr="00A81163">
        <w:rPr>
          <w:color w:val="000000"/>
          <w:szCs w:val="22"/>
          <w:lang w:val="it-IT"/>
        </w:rPr>
        <w:t>G-CSF = fattore di crescita granulocitario, VP-16 = etoposide, MTX = metotrexate, IV = endovena, SC = sottocute, IT = intratecale, PO = orale, IM = intramuscolo, ARA-C = citarabina, CPM = ciclofosfamide, VCR = vincristina, DEX = desametasone, DAUN = daunorubicina, 6-MP = 6-mercaptopurina, E.Coli L-ASP = L-asparaginasi, PEG-ASP = asparaginasi pegilata, MESNA= sodio-2-mercaptoetano sulfonato, iii= o fino a quando il livello di MTX è &lt;0,1 µM, q6h = ogni 6 ore, Gy= Gray</w:t>
      </w:r>
    </w:p>
    <w:p w14:paraId="1ADDECA6" w14:textId="77777777" w:rsidR="00815863" w:rsidRPr="00A81163" w:rsidRDefault="00815863" w:rsidP="00815863">
      <w:pPr>
        <w:pStyle w:val="Endnotentext"/>
        <w:widowControl w:val="0"/>
        <w:rPr>
          <w:szCs w:val="22"/>
          <w:lang w:val="it-IT"/>
        </w:rPr>
      </w:pPr>
    </w:p>
    <w:p w14:paraId="4ECC60F0" w14:textId="77777777" w:rsidR="00815863" w:rsidRPr="00496684" w:rsidRDefault="00815863" w:rsidP="00815863">
      <w:pPr>
        <w:pStyle w:val="Endnotentext"/>
        <w:widowControl w:val="0"/>
        <w:rPr>
          <w:szCs w:val="22"/>
          <w:lang w:val="it-IT"/>
        </w:rPr>
      </w:pPr>
      <w:r w:rsidRPr="00496684">
        <w:rPr>
          <w:szCs w:val="22"/>
          <w:lang w:val="it-IT"/>
        </w:rPr>
        <w:t>Lo studio AIT07 era uno studio di fase II/III, multicentrico, in aperto, randomizzato, che ha arruolato 128 pazienti (da 1 a &lt;18 anni) trattati con imatinib in combinazione con chemioterapia. I dati di sicurezza di questo studio sembrano essere in linea con il profilo di sicurezza di imatinib nei pazienti con LLA Ph+.</w:t>
      </w:r>
    </w:p>
    <w:p w14:paraId="11AFBFB7" w14:textId="77777777" w:rsidR="00815863" w:rsidRPr="00496684" w:rsidRDefault="00815863" w:rsidP="00BA4D8B">
      <w:pPr>
        <w:autoSpaceDE w:val="0"/>
        <w:autoSpaceDN w:val="0"/>
        <w:adjustRightInd w:val="0"/>
        <w:spacing w:after="0" w:line="240" w:lineRule="auto"/>
        <w:rPr>
          <w:rFonts w:ascii="Times New Roman" w:hAnsi="Times New Roman"/>
          <w:i/>
          <w:iCs/>
          <w:lang w:val="it-IT"/>
        </w:rPr>
      </w:pPr>
    </w:p>
    <w:p w14:paraId="1E5A91DF" w14:textId="77777777" w:rsidR="00EB0C1D" w:rsidRPr="00496684" w:rsidRDefault="00020800" w:rsidP="00BA4D8B">
      <w:pPr>
        <w:autoSpaceDE w:val="0"/>
        <w:autoSpaceDN w:val="0"/>
        <w:adjustRightInd w:val="0"/>
        <w:spacing w:after="0" w:line="240" w:lineRule="auto"/>
        <w:rPr>
          <w:rFonts w:ascii="Times New Roman" w:hAnsi="Times New Roman"/>
          <w:lang w:val="it-IT"/>
        </w:rPr>
      </w:pPr>
      <w:r w:rsidRPr="00496684">
        <w:rPr>
          <w:rFonts w:ascii="Times New Roman" w:hAnsi="Times New Roman"/>
          <w:i/>
          <w:iCs/>
          <w:lang w:val="it-IT"/>
        </w:rPr>
        <w:t xml:space="preserve">LLA Ph+ recidivante/refrattaria: </w:t>
      </w:r>
      <w:r w:rsidRPr="00496684">
        <w:rPr>
          <w:rFonts w:ascii="Times New Roman" w:hAnsi="Times New Roman"/>
          <w:lang w:val="it-IT"/>
        </w:rPr>
        <w:t>Quando imatinib è stato utilizzato come agente singolo in pazienti con LLA Ph+ recidivante/refrattaria si è osservata una percentuale di risposta ematologica del 30% (9% completa) ed una percentuale di risposta citogenetica maggiore del 23% in 53 pazienti su 411 valutabili per la risposta. (Più precisamente, su 411 pazienti 353 sono stati trattati nell’ambito di un programma di accesso allargato che non prevedeva la raccolta di dati sulla risposta primaria). In tutta la popolazione di 411 pazienti con LLA Ph+ recidivante/refrattaria il tempo mediano alla progressione variava da 2,6 a 3,1 mesi e nei 401 pazienti valutabili, la sopravvivenza globale mediana variava da 4,9 a 9 mesi. I dati sono risultati simili quando sono stati rianalizzati per includere solo pazienti di età pari o superiore a 55 anni.</w:t>
      </w:r>
    </w:p>
    <w:p w14:paraId="139AC8F1" w14:textId="77777777" w:rsidR="00020800" w:rsidRPr="00496684" w:rsidRDefault="00020800" w:rsidP="00BA4D8B">
      <w:pPr>
        <w:autoSpaceDE w:val="0"/>
        <w:autoSpaceDN w:val="0"/>
        <w:adjustRightInd w:val="0"/>
        <w:spacing w:after="0" w:line="240" w:lineRule="auto"/>
        <w:rPr>
          <w:rFonts w:ascii="Times New Roman" w:hAnsi="Times New Roman"/>
          <w:lang w:val="it-IT"/>
        </w:rPr>
      </w:pPr>
    </w:p>
    <w:p w14:paraId="341B907B" w14:textId="77777777" w:rsidR="00020800" w:rsidRPr="00496684" w:rsidRDefault="00020800" w:rsidP="00020800">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Studi clinici in MDS/MPD </w:t>
      </w:r>
    </w:p>
    <w:p w14:paraId="20828ABD" w14:textId="77777777" w:rsidR="00F02BB9" w:rsidRPr="00496684" w:rsidRDefault="00020800" w:rsidP="00020800">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In questa indicazione l’esperienza con </w:t>
      </w:r>
      <w:r w:rsidR="005E6F97"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è molto limitata e si basa sulle percentuali di risposta ematologica e citogenetica. Non ci sono studi clinici controllati che dimostrano un beneficio clinico o un’aumentata sopravvivenza. E’ stato condotto uno studio clinico di fase II, in aperto, multicentrico (studio B2225) per valutare </w:t>
      </w:r>
      <w:r w:rsidR="00777C73"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in diverse popolazioni di pazienti con patologie </w:t>
      </w:r>
      <w:r w:rsidR="00F02BB9" w:rsidRPr="00496684">
        <w:rPr>
          <w:rFonts w:ascii="Times New Roman" w:eastAsia="Times New Roman" w:hAnsi="Times New Roman"/>
          <w:color w:val="000000"/>
          <w:lang w:val="it-IT" w:eastAsia="it-IT"/>
        </w:rPr>
        <w:t xml:space="preserve">ad elevato rischio di morte </w:t>
      </w:r>
      <w:r w:rsidRPr="00496684">
        <w:rPr>
          <w:rFonts w:ascii="Times New Roman" w:eastAsia="Times New Roman" w:hAnsi="Times New Roman"/>
          <w:color w:val="000000"/>
          <w:lang w:val="it-IT" w:eastAsia="it-IT"/>
        </w:rPr>
        <w:t xml:space="preserve">associate a proteine tirosin chinasi Abl, Kit o PDGFR. In questo studio sono stati inclusi 7 pazienti con MDS/MPD che erano stati trattati con </w:t>
      </w:r>
      <w:r w:rsidR="00777C73"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400 mg al giorno. Tre pazienti avevano presentato una risposta ematologica completa (CHR) ed un paziente aveva avuto una risposta ematologica parziale (PHR). Al tempo dell’analisi originale, tre dei quattro pazienti con riscontro del riarrangiamento del gene PDGFR avevano sviluppato una risposta ematologica (2 CHR e 1 PHR). L’età di questi pazienti era compresa tra 20 e 72 anni. </w:t>
      </w:r>
    </w:p>
    <w:p w14:paraId="4B113626" w14:textId="77777777" w:rsidR="00F02BB9" w:rsidRPr="00496684" w:rsidRDefault="00F02BB9" w:rsidP="00F02BB9">
      <w:pPr>
        <w:pStyle w:val="Endnotentext"/>
        <w:widowControl w:val="0"/>
        <w:tabs>
          <w:tab w:val="clear" w:pos="567"/>
        </w:tabs>
        <w:rPr>
          <w:szCs w:val="22"/>
          <w:lang w:val="it-IT"/>
        </w:rPr>
      </w:pPr>
    </w:p>
    <w:p w14:paraId="6E572033" w14:textId="77777777" w:rsidR="00F02BB9" w:rsidRPr="00496684" w:rsidRDefault="00F02BB9" w:rsidP="00F02BB9">
      <w:pPr>
        <w:pStyle w:val="Endnotentext"/>
        <w:widowControl w:val="0"/>
        <w:tabs>
          <w:tab w:val="clear" w:pos="567"/>
        </w:tabs>
        <w:rPr>
          <w:szCs w:val="22"/>
          <w:lang w:val="it-IT"/>
        </w:rPr>
      </w:pPr>
      <w:r w:rsidRPr="00496684">
        <w:rPr>
          <w:szCs w:val="22"/>
          <w:lang w:val="it-IT"/>
        </w:rPr>
        <w:t>Un registro osservazionale (studio L2401) è stato condotto per raccogliere i dati di sicurezza ed efficacia a lungo termine in pazienti affetti da neoplasie mieloproliferative con riarrangiamento del PDGFR-β e che sono stati trattati con imatinib. I 23 pazienti arruolati in questo registro hanno assunto imatinib alla dose giornaliera mediana di 264 mg (intervallo 100</w:t>
      </w:r>
      <w:r w:rsidRPr="00496684">
        <w:rPr>
          <w:szCs w:val="22"/>
          <w:lang w:val="it-IT"/>
        </w:rPr>
        <w:noBreakHyphen/>
        <w:t>400 mg) per una durata mediana di 7,2 anni (intervallo 0,1</w:t>
      </w:r>
      <w:r w:rsidRPr="00496684">
        <w:rPr>
          <w:szCs w:val="22"/>
          <w:lang w:val="it-IT"/>
        </w:rPr>
        <w:noBreakHyphen/>
        <w:t>12,7 anni). Data la natura osservazionale di questo registro, i dati delle valutazioni ematologiche, citogenetiche e molecolari sono disponibili rispettivamente per 22, 9 e 17 dei 23 pazienti arruolati. Assumendo in modo conservativo che i pazienti con dati mancanti fossero non-rispondenti, la CHR è stata osservata rispettivamente in 20/23 (87%) pazienti, la CCyR (risposta citogenetica completa) in 9/23 (39,1%) pazienti, e la MR (risposta molecolare) in 11/23 (47,8%) pazienti. Quando il tasso di risposta è stato calcolato su pazienti con almeno una valutazione valida, il tasso di risposta per CHR, CCyR e MR è stato rispettivamente 20/22 (90,9%), 9/9 (100%) e 11/17 (64,7%).</w:t>
      </w:r>
    </w:p>
    <w:p w14:paraId="1F7B40E9" w14:textId="77777777" w:rsidR="00F02BB9" w:rsidRPr="00496684" w:rsidRDefault="00F02BB9" w:rsidP="00020800">
      <w:pPr>
        <w:autoSpaceDE w:val="0"/>
        <w:autoSpaceDN w:val="0"/>
        <w:adjustRightInd w:val="0"/>
        <w:spacing w:after="0" w:line="240" w:lineRule="auto"/>
        <w:rPr>
          <w:rFonts w:ascii="Times New Roman" w:eastAsia="Times New Roman" w:hAnsi="Times New Roman"/>
          <w:color w:val="000000"/>
          <w:lang w:val="it-IT" w:eastAsia="it-IT"/>
        </w:rPr>
      </w:pPr>
    </w:p>
    <w:p w14:paraId="5675F233" w14:textId="77777777" w:rsidR="00020800" w:rsidRPr="00496684" w:rsidRDefault="00020800" w:rsidP="00020800">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Inoltre sono stati riportati in 13 pubblicazioni ulteriori 24 pazienti con MDS/MPD. 21 pazienti erano stati trattati con </w:t>
      </w:r>
      <w:r w:rsidR="00777C73"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400 mg al giorno, mentre gli altri 3 pazienti avevano ricevuto dosi inferiori. In undici pazienti era stato riscontrato il riarrangiamento del gene PDGFR, 9 di questi avevano raggiunto una CHR ed 1 una PHR. L’età di questi pazienti era compresa tra 2 a 79 anni. In una recente pubblicazione, informazioni aggiornate su 6 di questi 11 pazienti avevano rivelato che tutti i pazienti erano rimasti in remissione citogenetica (intervallo 32-38 mesi). La stessa pubblicazione ha riportato i dati di follow-up a lungo termine di 12 pazienti (di cui 5 pazienti dello studio B2225) affetti da MDS/MPD con riarrangiamenti del gene PDGFR. Questi pazienti avevano ricevuto </w:t>
      </w:r>
      <w:r w:rsidR="00777C73"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per una mediana di 47 mesi (intervallo 24 giorni – 60 mesi). In 6 di questi pazienti il follow-up supera ora 4 anni. Undici pazienti avevano raggiunto rapidamente la CHR, dieci avevano avuto una completa risoluzione delle anomalie citogenetiche ed una diminuzione o scomparsa dei trascritti di fusione misurati mediante RT-PCR. Le risposte ematologiche e citogenetiche sono state mantenute rispettivamente per una mediana di 49 mesi (intervallo 19-60) e di 47 mesi (intervallo 16-59). La sopravvivenza globale è 65 mesi dalla diagnosi (intervallo 25-234). La somministrazione di </w:t>
      </w:r>
      <w:r w:rsidR="0076051A"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a pazienti senza traslocazione genetica non porta generalmente ad un miglioramento.</w:t>
      </w:r>
    </w:p>
    <w:p w14:paraId="05D97A47" w14:textId="77777777" w:rsidR="0076051A" w:rsidRPr="00496684" w:rsidRDefault="0076051A" w:rsidP="00020800">
      <w:pPr>
        <w:autoSpaceDE w:val="0"/>
        <w:autoSpaceDN w:val="0"/>
        <w:adjustRightInd w:val="0"/>
        <w:spacing w:after="0" w:line="240" w:lineRule="auto"/>
        <w:rPr>
          <w:rFonts w:ascii="Times New Roman" w:eastAsia="Times New Roman" w:hAnsi="Times New Roman"/>
          <w:color w:val="000000"/>
          <w:lang w:val="it-IT" w:eastAsia="it-IT"/>
        </w:rPr>
      </w:pPr>
    </w:p>
    <w:p w14:paraId="0334B0EA" w14:textId="77777777" w:rsidR="0076051A" w:rsidRPr="00496684" w:rsidRDefault="0076051A" w:rsidP="00020800">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hAnsi="Times New Roman"/>
          <w:lang w:val="it-IT"/>
        </w:rPr>
        <w:t>Non ci sono studi controllati in pazienti pediatrici con MDS/MPD. Cinque (5) pazienti con MDS/MPD associata al riarrangiamento del gene PDGFR sono stati riportati in 4 pubblicazioni. L’età di questi pazienti variava da 3 mesi a 4 anni e imatinib era stato somministrato alla dose di 50 mg al giorno o a dosi giornaliere comprese tra 92,5 e 340 mg/m</w:t>
      </w:r>
      <w:r w:rsidRPr="00496684">
        <w:rPr>
          <w:rFonts w:ascii="Times New Roman" w:hAnsi="Times New Roman"/>
          <w:sz w:val="20"/>
          <w:szCs w:val="14"/>
          <w:vertAlign w:val="superscript"/>
          <w:lang w:val="it-IT"/>
        </w:rPr>
        <w:t>2</w:t>
      </w:r>
      <w:r w:rsidRPr="00496684">
        <w:rPr>
          <w:rFonts w:ascii="Times New Roman" w:hAnsi="Times New Roman"/>
          <w:lang w:val="it-IT"/>
        </w:rPr>
        <w:t>. Tutti i pazienti avevano raggiunto una risposta ematologica completa, una risposta citogenetica e/o una risposta clinica.</w:t>
      </w:r>
    </w:p>
    <w:p w14:paraId="1773C08D" w14:textId="77777777" w:rsidR="0076051A" w:rsidRPr="00496684" w:rsidRDefault="0076051A" w:rsidP="00020800">
      <w:pPr>
        <w:autoSpaceDE w:val="0"/>
        <w:autoSpaceDN w:val="0"/>
        <w:adjustRightInd w:val="0"/>
        <w:spacing w:after="0" w:line="240" w:lineRule="auto"/>
        <w:rPr>
          <w:rFonts w:ascii="Times New Roman" w:hAnsi="Times New Roman"/>
          <w:lang w:val="it-IT"/>
        </w:rPr>
      </w:pPr>
    </w:p>
    <w:p w14:paraId="4EAE95E6" w14:textId="77777777" w:rsidR="0076051A" w:rsidRPr="00496684" w:rsidRDefault="0076051A" w:rsidP="0076051A">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Studi clinici nelle HES/LEC </w:t>
      </w:r>
    </w:p>
    <w:p w14:paraId="1AB97DA3" w14:textId="77777777" w:rsidR="00020800" w:rsidRPr="00496684" w:rsidRDefault="0076051A" w:rsidP="0076051A">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E’ stato condotto uno studio clinico di fase II, in aperto, multicentrico (studio B2225) per valutare </w:t>
      </w:r>
      <w:r w:rsidR="00A9135C"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in diverse popolazioni di pazienti </w:t>
      </w:r>
      <w:r w:rsidR="00F02BB9" w:rsidRPr="00496684">
        <w:rPr>
          <w:rFonts w:ascii="Times New Roman" w:eastAsia="Times New Roman" w:hAnsi="Times New Roman"/>
          <w:color w:val="000000"/>
          <w:lang w:val="it-IT" w:eastAsia="it-IT"/>
        </w:rPr>
        <w:t>con</w:t>
      </w:r>
      <w:r w:rsidRPr="00496684">
        <w:rPr>
          <w:rFonts w:ascii="Times New Roman" w:eastAsia="Times New Roman" w:hAnsi="Times New Roman"/>
          <w:color w:val="000000"/>
          <w:lang w:val="it-IT" w:eastAsia="it-IT"/>
        </w:rPr>
        <w:t xml:space="preserve"> patologie </w:t>
      </w:r>
      <w:r w:rsidR="00F02BB9" w:rsidRPr="00496684">
        <w:rPr>
          <w:rFonts w:ascii="Times New Roman" w:eastAsia="Times New Roman" w:hAnsi="Times New Roman"/>
          <w:color w:val="000000"/>
          <w:lang w:val="it-IT" w:eastAsia="it-IT"/>
        </w:rPr>
        <w:t>ad elevato rischio di morte</w:t>
      </w:r>
      <w:r w:rsidRPr="00496684">
        <w:rPr>
          <w:rFonts w:ascii="Times New Roman" w:eastAsia="Times New Roman" w:hAnsi="Times New Roman"/>
          <w:color w:val="000000"/>
          <w:lang w:val="it-IT" w:eastAsia="it-IT"/>
        </w:rPr>
        <w:t xml:space="preserve"> associate alle proteine tirosin chinasi Abl, Kit o PDGFR. In questo studio, 14 pazienti con HES/LEC sono stati trattati con dosi giornaliere di </w:t>
      </w:r>
      <w:r w:rsidR="00A9135C"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da 100 mg a 1.000 mg. Ulteriori 162 pazienti con HES/LEC, riportati in 35 casi clinici e serie di casi pubblicati avevano ricevuto </w:t>
      </w:r>
      <w:r w:rsidR="00A9135C" w:rsidRPr="00496684">
        <w:rPr>
          <w:rFonts w:ascii="Times New Roman" w:eastAsia="Times New Roman" w:hAnsi="Times New Roman"/>
          <w:color w:val="000000"/>
          <w:lang w:val="it-IT" w:eastAsia="it-IT"/>
        </w:rPr>
        <w:t>imatinib</w:t>
      </w:r>
      <w:r w:rsidRPr="00496684">
        <w:rPr>
          <w:rFonts w:ascii="Times New Roman" w:eastAsia="Times New Roman" w:hAnsi="Times New Roman"/>
          <w:color w:val="000000"/>
          <w:lang w:val="it-IT" w:eastAsia="it-IT"/>
        </w:rPr>
        <w:t xml:space="preserve"> alle dosi giornaliere da 75 mg a 800 mg. Sono state valutate anomalie citogenetiche in 117 pazienti della popolazione totale di 176 pazienti. In 61 di questi 117 pazienti è stata identificata la chinasi di fusione FIP1L1-PDGFRα. In altri 3 lavori pubblicati, ulteriori quattro pazienti con HES sono risultati positivi per la chinasi di fusione FIP1L1-PDGFRα. Tutti i 65 pazienti, positivi per la chinasi di fusione FIP1L1-PDGFRα, avevano raggiunto una CHR mantenuta per mesi (intervallo da 1+ a 44+ mesi troncati al momento del report). Come riportato in una recente pubblicazione, 21 di questi 65 pazienti avevano anche raggiunto una remissione molecolare completa con un follow-up mediano di 28 mesi (intervallo 13-67 mesi). L’età di questi pazienti variava da 25 a 72 anni. Inoltre, sono stati riportati dagli sperimentatori casi clinici di miglioramento della sintomatologia e di altre anomalie funzionali d’organo. Sono stati riportati miglioramenti a livello cardiaco, del sistema nervoso, del tessuto cutaneo/sottocutaneo, del tratto respiratorio/toracico/mediastinico, dell’apparato muscolo-scheletrico/tessuto connettivo/vascolare e gastrointestinale.</w:t>
      </w:r>
    </w:p>
    <w:p w14:paraId="59158AF7" w14:textId="77777777" w:rsidR="00C50A3E" w:rsidRPr="00496684" w:rsidRDefault="00C50A3E" w:rsidP="0076051A">
      <w:pPr>
        <w:autoSpaceDE w:val="0"/>
        <w:autoSpaceDN w:val="0"/>
        <w:adjustRightInd w:val="0"/>
        <w:spacing w:after="0" w:line="240" w:lineRule="auto"/>
        <w:rPr>
          <w:rFonts w:ascii="Times New Roman" w:hAnsi="Times New Roman"/>
          <w:lang w:val="it-IT"/>
        </w:rPr>
      </w:pPr>
    </w:p>
    <w:p w14:paraId="2A80FAC7" w14:textId="77777777" w:rsidR="0076051A" w:rsidRPr="00496684" w:rsidRDefault="00C50A3E" w:rsidP="00BA4D8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Non ci sono studi controllati in pazienti pediatrici con HES/LEC. Tre (3) pazienti con HES e LEC associate al riarrangiamento del gene PDGFR sono stati riportati in 3 pubblicazioni. L’età di questi pazienti variava da 2 a 16 anni e imatinib era stato somministrato alla dose di 300 mg/m</w:t>
      </w:r>
      <w:r w:rsidRPr="00496684">
        <w:rPr>
          <w:rFonts w:ascii="Times New Roman" w:hAnsi="Times New Roman"/>
          <w:sz w:val="14"/>
          <w:szCs w:val="14"/>
          <w:lang w:val="it-IT"/>
        </w:rPr>
        <w:t xml:space="preserve">2 </w:t>
      </w:r>
      <w:r w:rsidRPr="00496684">
        <w:rPr>
          <w:rFonts w:ascii="Times New Roman" w:hAnsi="Times New Roman"/>
          <w:lang w:val="it-IT"/>
        </w:rPr>
        <w:t>al giorno o a dosi giornaliere comprese tra 200 e 400 mg. Tutti i pazienti avevano raggiunto una risposta ematologica, una risposta citogenetica completa e/o una risposta molecolare completa.</w:t>
      </w:r>
    </w:p>
    <w:p w14:paraId="31215DFD" w14:textId="77777777" w:rsidR="00C50A3E" w:rsidRPr="00496684" w:rsidRDefault="00C50A3E" w:rsidP="00BA4D8B">
      <w:pPr>
        <w:autoSpaceDE w:val="0"/>
        <w:autoSpaceDN w:val="0"/>
        <w:adjustRightInd w:val="0"/>
        <w:spacing w:after="0" w:line="240" w:lineRule="auto"/>
        <w:rPr>
          <w:rFonts w:ascii="Times New Roman" w:hAnsi="Times New Roman"/>
          <w:lang w:val="it-IT"/>
        </w:rPr>
      </w:pPr>
    </w:p>
    <w:p w14:paraId="681F8781" w14:textId="77777777" w:rsidR="00C50A3E" w:rsidRPr="00496684" w:rsidRDefault="00C50A3E" w:rsidP="00BA4D8B">
      <w:pPr>
        <w:autoSpaceDE w:val="0"/>
        <w:autoSpaceDN w:val="0"/>
        <w:adjustRightInd w:val="0"/>
        <w:spacing w:after="0" w:line="240" w:lineRule="auto"/>
        <w:rPr>
          <w:rFonts w:ascii="Times New Roman" w:hAnsi="Times New Roman"/>
          <w:u w:val="single"/>
          <w:lang w:val="it-IT"/>
        </w:rPr>
      </w:pPr>
      <w:r w:rsidRPr="00496684">
        <w:rPr>
          <w:rFonts w:ascii="Times New Roman" w:hAnsi="Times New Roman"/>
          <w:u w:val="single"/>
          <w:lang w:val="it-IT"/>
        </w:rPr>
        <w:t>Studi clinici nel DFSP</w:t>
      </w:r>
    </w:p>
    <w:p w14:paraId="1C9E3C7A" w14:textId="77777777" w:rsidR="00C50A3E" w:rsidRPr="00496684" w:rsidRDefault="00C50A3E" w:rsidP="00BA4D8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E’ stato condotto uno studio clinico di fase II, in aperto, multicentrico (studio B2225) che includeva 12 pazienti con DFSP trattati con imatinib 800 mg al giorno. L’età dei pazienti con DFSP variava da 23 a 75 anni; il DFSP era metastatico, con recidive locali dopo resezione chirurgica iniziale e considerato non ulteriormente resecabile al momento dell’entrata nello studio. L’evidenza primaria di efficacia era basata sulle percentuali di risposte obiettive. Su 12 pazienti arruolati, 9 avevano avuto una risposta, uno dei quali completa e 8 parziale. Tre dei pazienti con risposta parziale erano stati resi successivamente liberi da malattia mediante chirurgia. La durata mediana della terapia nello studio B2225 è stata 6,2 mesi, con una durata massima di 24,3 mesi. Ulteriori 6 pazienti con DFSP trattati con imatinib sono stati riportati in 5 casi clinici pubblicati, la loro età era compresa tra 18 mesi e 49 anni. I pazienti adulti descritti nella letteratura pubblicata erano stati trattati con imatinib 400 mg (4 casi) o con 800 mg al giorno (1 caso). Cinque (5) pazienti hanno avuto una risposta, 3 dei quali completa e 2 parziale. La durata mediana della terapia nella letteratura pubblicata variava da 4 settimane a più di 20 mesi. In quasi tutti i pazienti che rispondevano al trattamento con </w:t>
      </w:r>
      <w:r w:rsidR="00BE3D51" w:rsidRPr="00496684">
        <w:rPr>
          <w:rFonts w:ascii="Times New Roman" w:hAnsi="Times New Roman"/>
          <w:lang w:val="it-IT"/>
        </w:rPr>
        <w:t>imatinib</w:t>
      </w:r>
      <w:r w:rsidRPr="00496684">
        <w:rPr>
          <w:rFonts w:ascii="Times New Roman" w:hAnsi="Times New Roman"/>
          <w:lang w:val="it-IT"/>
        </w:rPr>
        <w:t xml:space="preserve"> era presente la traslocazione t(17:22)[(q22:q13)] o il suo prodotto genico.</w:t>
      </w:r>
    </w:p>
    <w:p w14:paraId="7D82DB46" w14:textId="77777777" w:rsidR="00BE3D51" w:rsidRPr="00496684" w:rsidRDefault="00BE3D51" w:rsidP="00BA4D8B">
      <w:pPr>
        <w:autoSpaceDE w:val="0"/>
        <w:autoSpaceDN w:val="0"/>
        <w:adjustRightInd w:val="0"/>
        <w:spacing w:after="0" w:line="240" w:lineRule="auto"/>
        <w:rPr>
          <w:rFonts w:ascii="Times New Roman" w:hAnsi="Times New Roman"/>
          <w:lang w:val="it-IT"/>
        </w:rPr>
      </w:pPr>
    </w:p>
    <w:p w14:paraId="20230D29" w14:textId="77777777" w:rsidR="00C50A3E" w:rsidRPr="00496684" w:rsidRDefault="00BE3D51" w:rsidP="00BA4D8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Non ci sono studi controllati in pazienti pediatrici con DFSP. Cinque (5) pazienti con DFSP e riarrangiamento del gene PDGFR sono stati riportati in 3 pubblicazioni. L’età di questi pazienti variava da neonato a 14 anni e imatinib era stato somministrato alla dose di 50 mg al giorno o a dosi giornaliere comprese tra 400 e 520 mg/m</w:t>
      </w:r>
      <w:r w:rsidRPr="00496684">
        <w:rPr>
          <w:rFonts w:ascii="Times New Roman" w:hAnsi="Times New Roman"/>
          <w:sz w:val="20"/>
          <w:szCs w:val="14"/>
          <w:vertAlign w:val="superscript"/>
          <w:lang w:val="it-IT"/>
        </w:rPr>
        <w:t>2</w:t>
      </w:r>
      <w:r w:rsidRPr="00496684">
        <w:rPr>
          <w:rFonts w:ascii="Times New Roman" w:hAnsi="Times New Roman"/>
          <w:lang w:val="it-IT"/>
        </w:rPr>
        <w:t>. Tutti i pazienti avevano raggiunto una risposta parziale e/o completa</w:t>
      </w:r>
    </w:p>
    <w:p w14:paraId="7BBC93C4" w14:textId="77777777" w:rsidR="00BE3D51" w:rsidRPr="00496684" w:rsidRDefault="00BE3D51" w:rsidP="00BA4D8B">
      <w:pPr>
        <w:autoSpaceDE w:val="0"/>
        <w:autoSpaceDN w:val="0"/>
        <w:adjustRightInd w:val="0"/>
        <w:spacing w:after="0" w:line="240" w:lineRule="auto"/>
        <w:rPr>
          <w:rFonts w:ascii="Times New Roman" w:hAnsi="Times New Roman"/>
          <w:lang w:val="it-IT"/>
        </w:rPr>
      </w:pPr>
    </w:p>
    <w:p w14:paraId="0C7DB70C" w14:textId="77777777" w:rsidR="00DB73FA" w:rsidRPr="00496684" w:rsidRDefault="00DB73FA" w:rsidP="00DB73F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5.2</w:t>
      </w:r>
      <w:r w:rsidRPr="00496684">
        <w:rPr>
          <w:rFonts w:ascii="Times New Roman" w:hAnsi="Times New Roman"/>
          <w:b/>
          <w:bCs/>
          <w:lang w:val="it-IT"/>
        </w:rPr>
        <w:tab/>
      </w:r>
      <w:r w:rsidR="00D203E4" w:rsidRPr="00496684">
        <w:rPr>
          <w:rFonts w:ascii="Times New Roman" w:hAnsi="Times New Roman"/>
          <w:b/>
          <w:lang w:val="it-IT"/>
        </w:rPr>
        <w:t>Proprietà farmacocinetiche</w:t>
      </w:r>
    </w:p>
    <w:p w14:paraId="4DE4101D" w14:textId="77777777" w:rsidR="00DB73FA" w:rsidRPr="00496684" w:rsidRDefault="00DB73FA" w:rsidP="00DB73FA">
      <w:pPr>
        <w:autoSpaceDE w:val="0"/>
        <w:autoSpaceDN w:val="0"/>
        <w:adjustRightInd w:val="0"/>
        <w:spacing w:after="0" w:line="240" w:lineRule="auto"/>
        <w:rPr>
          <w:rFonts w:ascii="Times New Roman" w:hAnsi="Times New Roman"/>
          <w:bCs/>
          <w:lang w:val="it-IT"/>
        </w:rPr>
      </w:pPr>
    </w:p>
    <w:p w14:paraId="414B10B0" w14:textId="77777777" w:rsidR="00D203E4" w:rsidRPr="00496684" w:rsidRDefault="00D203E4" w:rsidP="00D203E4">
      <w:pPr>
        <w:pStyle w:val="Endnotentext"/>
        <w:widowControl w:val="0"/>
        <w:tabs>
          <w:tab w:val="clear" w:pos="567"/>
        </w:tabs>
        <w:rPr>
          <w:szCs w:val="22"/>
          <w:u w:val="single"/>
          <w:lang w:val="it-IT"/>
        </w:rPr>
      </w:pPr>
      <w:r w:rsidRPr="00496684">
        <w:rPr>
          <w:szCs w:val="22"/>
          <w:u w:val="single"/>
          <w:lang w:val="it-IT"/>
        </w:rPr>
        <w:t xml:space="preserve">Farmacocinetica di </w:t>
      </w:r>
      <w:r w:rsidR="00DC32BE" w:rsidRPr="00496684">
        <w:rPr>
          <w:szCs w:val="22"/>
          <w:u w:val="single"/>
          <w:lang w:val="it-IT"/>
        </w:rPr>
        <w:t>imatinib</w:t>
      </w:r>
    </w:p>
    <w:p w14:paraId="77CBF5D8" w14:textId="77777777" w:rsidR="00D203E4" w:rsidRPr="00496684" w:rsidRDefault="00D203E4" w:rsidP="00D203E4">
      <w:pPr>
        <w:pStyle w:val="Endnotentext"/>
        <w:widowControl w:val="0"/>
        <w:tabs>
          <w:tab w:val="clear" w:pos="567"/>
        </w:tabs>
        <w:rPr>
          <w:szCs w:val="22"/>
          <w:lang w:val="it-IT"/>
        </w:rPr>
      </w:pPr>
      <w:r w:rsidRPr="00496684">
        <w:rPr>
          <w:szCs w:val="22"/>
          <w:lang w:val="it-IT"/>
        </w:rPr>
        <w:t xml:space="preserve">La farmacocinetica di </w:t>
      </w:r>
      <w:r w:rsidR="009339F7" w:rsidRPr="00496684">
        <w:rPr>
          <w:szCs w:val="22"/>
          <w:lang w:val="it-IT"/>
        </w:rPr>
        <w:t>i</w:t>
      </w:r>
      <w:r w:rsidR="00521ABE" w:rsidRPr="00496684">
        <w:rPr>
          <w:szCs w:val="22"/>
          <w:lang w:val="it-IT"/>
        </w:rPr>
        <w:t xml:space="preserve">matinib </w:t>
      </w:r>
      <w:r w:rsidRPr="00496684">
        <w:rPr>
          <w:szCs w:val="22"/>
          <w:lang w:val="it-IT"/>
        </w:rPr>
        <w:t xml:space="preserve">è stata valutata in un intervallo di dosaggio da </w:t>
      </w:r>
      <w:smartTag w:uri="urn:schemas-microsoft-com:office:smarttags" w:element="metricconverter">
        <w:smartTagPr>
          <w:attr w:name="ProductID" w:val="25 a"/>
        </w:smartTagPr>
        <w:r w:rsidRPr="00496684">
          <w:rPr>
            <w:szCs w:val="22"/>
            <w:lang w:val="it-IT"/>
          </w:rPr>
          <w:t>25 a</w:t>
        </w:r>
      </w:smartTag>
      <w:r w:rsidRPr="00496684">
        <w:rPr>
          <w:szCs w:val="22"/>
          <w:lang w:val="it-IT"/>
        </w:rPr>
        <w:t xml:space="preserve"> 1.000 mg. I profili farmacocinetici plasmatici sono stati analizzati il giorno 1 e il giorno 7 o il giorno 28, entro i quali le concentrazioni plasmatiche avevano raggiunto lo steady state.</w:t>
      </w:r>
    </w:p>
    <w:p w14:paraId="66A34B5D" w14:textId="77777777" w:rsidR="00D203E4" w:rsidRPr="00496684" w:rsidRDefault="00D203E4" w:rsidP="00DB73FA">
      <w:pPr>
        <w:autoSpaceDE w:val="0"/>
        <w:autoSpaceDN w:val="0"/>
        <w:adjustRightInd w:val="0"/>
        <w:spacing w:after="0" w:line="240" w:lineRule="auto"/>
        <w:rPr>
          <w:rFonts w:ascii="Times New Roman" w:hAnsi="Times New Roman"/>
          <w:bCs/>
          <w:lang w:val="it-IT"/>
        </w:rPr>
      </w:pPr>
    </w:p>
    <w:p w14:paraId="218F1E35" w14:textId="77777777" w:rsidR="00D203E4" w:rsidRPr="00496684" w:rsidRDefault="00D203E4" w:rsidP="00D203E4">
      <w:pPr>
        <w:pStyle w:val="Endnotentext"/>
        <w:widowControl w:val="0"/>
        <w:tabs>
          <w:tab w:val="clear" w:pos="567"/>
        </w:tabs>
        <w:rPr>
          <w:szCs w:val="22"/>
          <w:lang w:val="it-IT"/>
        </w:rPr>
      </w:pPr>
      <w:r w:rsidRPr="00496684">
        <w:rPr>
          <w:szCs w:val="22"/>
          <w:u w:val="single"/>
          <w:lang w:val="it-IT"/>
        </w:rPr>
        <w:t>Assorbimento</w:t>
      </w:r>
    </w:p>
    <w:p w14:paraId="0A868E8E" w14:textId="77777777" w:rsidR="00D203E4" w:rsidRPr="00496684" w:rsidRDefault="00D203E4" w:rsidP="00D203E4">
      <w:pPr>
        <w:pStyle w:val="Endnotentext"/>
        <w:widowControl w:val="0"/>
        <w:tabs>
          <w:tab w:val="clear" w:pos="567"/>
        </w:tabs>
        <w:rPr>
          <w:szCs w:val="22"/>
          <w:lang w:val="it-IT"/>
        </w:rPr>
      </w:pPr>
      <w:r w:rsidRPr="00496684">
        <w:rPr>
          <w:szCs w:val="22"/>
          <w:lang w:val="it-IT"/>
        </w:rPr>
        <w:t>La biodisponibilità media assoluta per la formulazione in capsule è del 98%. Vi è un'elevata variabilità tra i pazienti nei livelli plasmatici di AUC di imatinib dopo una dose orale. Se somministrato con un pasto ad elevato contenuto di grassi, il tasso dell’assorbimento di imatinib era ridotto in modo minimo (riduzione del 11% di C</w:t>
      </w:r>
      <w:r w:rsidRPr="00496684">
        <w:rPr>
          <w:szCs w:val="22"/>
          <w:vertAlign w:val="subscript"/>
          <w:lang w:val="it-IT"/>
        </w:rPr>
        <w:t>max</w:t>
      </w:r>
      <w:r w:rsidRPr="00496684">
        <w:rPr>
          <w:szCs w:val="22"/>
          <w:lang w:val="it-IT"/>
        </w:rPr>
        <w:t xml:space="preserve"> e prolungamento di t</w:t>
      </w:r>
      <w:r w:rsidRPr="00496684">
        <w:rPr>
          <w:szCs w:val="22"/>
          <w:vertAlign w:val="subscript"/>
          <w:lang w:val="it-IT"/>
        </w:rPr>
        <w:t>max</w:t>
      </w:r>
      <w:r w:rsidRPr="00496684">
        <w:rPr>
          <w:szCs w:val="22"/>
          <w:lang w:val="it-IT"/>
        </w:rPr>
        <w:t xml:space="preserve"> di 1,5 h), con una lieve diminuzione dell’AUC (7,4%) in rapporto alle condizioni di digiuno. Non è stato studiato l'effetto di un precedente intervento chirurgico sull'assorbimento del farmaco.</w:t>
      </w:r>
    </w:p>
    <w:p w14:paraId="67179302" w14:textId="77777777" w:rsidR="00D203E4" w:rsidRPr="00496684" w:rsidRDefault="00D203E4" w:rsidP="00D203E4">
      <w:pPr>
        <w:pStyle w:val="Endnotentext"/>
        <w:widowControl w:val="0"/>
        <w:tabs>
          <w:tab w:val="clear" w:pos="567"/>
        </w:tabs>
        <w:rPr>
          <w:szCs w:val="22"/>
          <w:lang w:val="it-IT"/>
        </w:rPr>
      </w:pPr>
    </w:p>
    <w:p w14:paraId="0E6FA120" w14:textId="77777777" w:rsidR="00D203E4" w:rsidRPr="00496684" w:rsidRDefault="00D203E4" w:rsidP="00D203E4">
      <w:pPr>
        <w:pStyle w:val="Endnotentext"/>
        <w:widowControl w:val="0"/>
        <w:tabs>
          <w:tab w:val="clear" w:pos="567"/>
        </w:tabs>
        <w:rPr>
          <w:szCs w:val="22"/>
          <w:lang w:val="it-IT"/>
        </w:rPr>
      </w:pPr>
      <w:r w:rsidRPr="00496684">
        <w:rPr>
          <w:szCs w:val="22"/>
          <w:u w:val="single"/>
          <w:lang w:val="it-IT"/>
        </w:rPr>
        <w:t>Distribuzione</w:t>
      </w:r>
    </w:p>
    <w:p w14:paraId="6B850397" w14:textId="77777777" w:rsidR="00D203E4" w:rsidRPr="00496684" w:rsidRDefault="00D203E4" w:rsidP="00D203E4">
      <w:pPr>
        <w:pStyle w:val="Endnotentext"/>
        <w:widowControl w:val="0"/>
        <w:tabs>
          <w:tab w:val="clear" w:pos="567"/>
        </w:tabs>
        <w:rPr>
          <w:szCs w:val="22"/>
          <w:lang w:val="it-IT"/>
        </w:rPr>
      </w:pPr>
      <w:r w:rsidRPr="00496684">
        <w:rPr>
          <w:szCs w:val="22"/>
          <w:lang w:val="it-IT"/>
        </w:rPr>
        <w:t xml:space="preserve">Alle concentrazioni clinicamente rilevanti di imatinib, il legame alle proteine plasmatiche, sulla base degli esperimenti </w:t>
      </w:r>
      <w:r w:rsidRPr="00496684">
        <w:rPr>
          <w:i/>
          <w:szCs w:val="22"/>
          <w:lang w:val="it-IT"/>
        </w:rPr>
        <w:t>in vitro</w:t>
      </w:r>
      <w:r w:rsidRPr="00496684">
        <w:rPr>
          <w:szCs w:val="22"/>
          <w:lang w:val="it-IT"/>
        </w:rPr>
        <w:t>, era approssimativamente del 95%, principalmente all'albumina e alle glicoproteine alfa-acide, con un minimo legame alle lipoproteine.</w:t>
      </w:r>
    </w:p>
    <w:p w14:paraId="68E7B62F" w14:textId="77777777" w:rsidR="00D203E4" w:rsidRPr="00496684" w:rsidRDefault="00D203E4" w:rsidP="00DB73FA">
      <w:pPr>
        <w:autoSpaceDE w:val="0"/>
        <w:autoSpaceDN w:val="0"/>
        <w:adjustRightInd w:val="0"/>
        <w:spacing w:after="0" w:line="240" w:lineRule="auto"/>
        <w:rPr>
          <w:rFonts w:ascii="Times New Roman" w:hAnsi="Times New Roman"/>
          <w:lang w:val="it-IT"/>
        </w:rPr>
      </w:pPr>
    </w:p>
    <w:p w14:paraId="1C450C82" w14:textId="77777777" w:rsidR="00D203E4" w:rsidRPr="00496684" w:rsidRDefault="00D203E4" w:rsidP="00D203E4">
      <w:pPr>
        <w:pStyle w:val="Endnotentext"/>
        <w:widowControl w:val="0"/>
        <w:tabs>
          <w:tab w:val="clear" w:pos="567"/>
        </w:tabs>
        <w:rPr>
          <w:szCs w:val="22"/>
          <w:lang w:val="it-IT"/>
        </w:rPr>
      </w:pPr>
      <w:r w:rsidRPr="00496684">
        <w:rPr>
          <w:szCs w:val="22"/>
          <w:u w:val="single"/>
          <w:lang w:val="it-IT"/>
        </w:rPr>
        <w:t>Biotrasformazione</w:t>
      </w:r>
    </w:p>
    <w:p w14:paraId="1FFD8C21" w14:textId="77777777" w:rsidR="00D203E4" w:rsidRPr="00496684" w:rsidRDefault="00D203E4" w:rsidP="00D203E4">
      <w:pPr>
        <w:pStyle w:val="Endnotentext"/>
        <w:widowControl w:val="0"/>
        <w:tabs>
          <w:tab w:val="clear" w:pos="567"/>
        </w:tabs>
        <w:rPr>
          <w:szCs w:val="22"/>
          <w:lang w:val="it-IT"/>
        </w:rPr>
      </w:pPr>
      <w:r w:rsidRPr="00496684">
        <w:rPr>
          <w:szCs w:val="22"/>
          <w:lang w:val="it-IT"/>
        </w:rPr>
        <w:t>Il principale metabolita circolante nell'uomo è il derivato N-demetilato della piperazina che mostra in vitro un'attività simile alla molecola da cui deriva. E' emerso che l'AUC plasmatica di questo metabolita è soltanto il 16% dell’AUC di imatinib. Il legame con le proteine plasmatiche del metabolita N-demetilato è simile a quello del composto originale.</w:t>
      </w:r>
    </w:p>
    <w:p w14:paraId="5CF58A9B" w14:textId="77777777" w:rsidR="00D203E4" w:rsidRPr="00496684" w:rsidRDefault="00D203E4" w:rsidP="00D203E4">
      <w:pPr>
        <w:pStyle w:val="Endnotentext"/>
        <w:widowControl w:val="0"/>
        <w:tabs>
          <w:tab w:val="clear" w:pos="567"/>
        </w:tabs>
        <w:rPr>
          <w:szCs w:val="22"/>
          <w:lang w:val="it-IT"/>
        </w:rPr>
      </w:pPr>
    </w:p>
    <w:p w14:paraId="52D33420" w14:textId="77777777" w:rsidR="00D203E4" w:rsidRPr="00496684" w:rsidRDefault="00D203E4" w:rsidP="00D203E4">
      <w:pPr>
        <w:spacing w:after="0" w:line="240" w:lineRule="auto"/>
        <w:rPr>
          <w:rFonts w:ascii="Times New Roman" w:hAnsi="Times New Roman"/>
          <w:lang w:val="it-IT"/>
        </w:rPr>
      </w:pPr>
      <w:r w:rsidRPr="00496684">
        <w:rPr>
          <w:rFonts w:ascii="Times New Roman" w:hAnsi="Times New Roman"/>
          <w:lang w:val="it-IT"/>
        </w:rPr>
        <w:t>Imatinib e il metabolita N-demetilato erano insieme responsabili circa del 65% della radioattività in circolo (AUC</w:t>
      </w:r>
      <w:r w:rsidRPr="00496684">
        <w:rPr>
          <w:rFonts w:ascii="Times New Roman" w:hAnsi="Times New Roman"/>
          <w:vertAlign w:val="subscript"/>
          <w:lang w:val="it-IT"/>
        </w:rPr>
        <w:t>(0-48h)</w:t>
      </w:r>
      <w:r w:rsidRPr="00496684">
        <w:rPr>
          <w:rFonts w:ascii="Times New Roman" w:hAnsi="Times New Roman"/>
          <w:lang w:val="it-IT"/>
        </w:rPr>
        <w:t>). Il resto della radioattività in circolo era da ricondurre ad un numero di metaboliti minori.</w:t>
      </w:r>
    </w:p>
    <w:p w14:paraId="0B8384F9" w14:textId="77777777" w:rsidR="00D203E4" w:rsidRPr="00496684" w:rsidRDefault="00D203E4" w:rsidP="00D203E4">
      <w:pPr>
        <w:spacing w:after="0" w:line="240" w:lineRule="auto"/>
        <w:rPr>
          <w:rFonts w:ascii="Times New Roman" w:hAnsi="Times New Roman"/>
          <w:lang w:val="it-IT"/>
        </w:rPr>
      </w:pPr>
    </w:p>
    <w:p w14:paraId="4F90F3A9" w14:textId="77777777" w:rsidR="00D203E4" w:rsidRPr="00496684" w:rsidRDefault="00D203E4" w:rsidP="001F4490">
      <w:pPr>
        <w:spacing w:after="0" w:line="240" w:lineRule="auto"/>
        <w:rPr>
          <w:rFonts w:ascii="Times New Roman" w:hAnsi="Times New Roman"/>
          <w:lang w:val="it-IT"/>
        </w:rPr>
      </w:pPr>
      <w:r w:rsidRPr="00496684">
        <w:rPr>
          <w:rFonts w:ascii="Times New Roman" w:hAnsi="Times New Roman"/>
          <w:lang w:val="it-IT"/>
        </w:rPr>
        <w:t>I risultati</w:t>
      </w:r>
      <w:r w:rsidRPr="00496684">
        <w:rPr>
          <w:rFonts w:ascii="Times New Roman" w:hAnsi="Times New Roman"/>
          <w:i/>
          <w:lang w:val="it-IT"/>
        </w:rPr>
        <w:t xml:space="preserve"> in vitro </w:t>
      </w:r>
      <w:r w:rsidRPr="00496684">
        <w:rPr>
          <w:rFonts w:ascii="Times New Roman" w:hAnsi="Times New Roman"/>
          <w:lang w:val="it-IT"/>
        </w:rPr>
        <w:t>mostravano che il CYP3A4 era il maggiore enzima umano P450 che catalizza la biotrasformazione di imatinib. Di tutto un gruppo di potenziali comedicazioni (paracetamolo, aciclovir, allopurinolo, amfotericina, citarabina, eritromicina, fluconazolo, idrossiurea, norfloxacina, penicillina V), solamente eritromicina (IC</w:t>
      </w:r>
      <w:r w:rsidRPr="00496684">
        <w:rPr>
          <w:rFonts w:ascii="Times New Roman" w:hAnsi="Times New Roman"/>
          <w:vertAlign w:val="subscript"/>
          <w:lang w:val="it-IT"/>
        </w:rPr>
        <w:t>50</w:t>
      </w:r>
      <w:r w:rsidRPr="00496684">
        <w:rPr>
          <w:rFonts w:ascii="Times New Roman" w:hAnsi="Times New Roman"/>
          <w:lang w:val="it-IT"/>
        </w:rPr>
        <w:t xml:space="preserve"> 50 µM) e fluconazolo (IC</w:t>
      </w:r>
      <w:r w:rsidRPr="00496684">
        <w:rPr>
          <w:rFonts w:ascii="Times New Roman" w:hAnsi="Times New Roman"/>
          <w:vertAlign w:val="subscript"/>
          <w:lang w:val="it-IT"/>
        </w:rPr>
        <w:t>50</w:t>
      </w:r>
      <w:r w:rsidRPr="00496684">
        <w:rPr>
          <w:rFonts w:ascii="Times New Roman" w:hAnsi="Times New Roman"/>
          <w:lang w:val="it-IT"/>
        </w:rPr>
        <w:t xml:space="preserve"> 118 µM) hanno mostrato un’inibizione del metabolismo di imatinib che poteva essere clinicamente rilevante.</w:t>
      </w:r>
    </w:p>
    <w:p w14:paraId="06E084DF" w14:textId="77777777" w:rsidR="00D203E4" w:rsidRPr="00496684" w:rsidRDefault="00D203E4" w:rsidP="001F4490">
      <w:pPr>
        <w:spacing w:after="0" w:line="240" w:lineRule="auto"/>
        <w:rPr>
          <w:rFonts w:ascii="Times New Roman" w:hAnsi="Times New Roman"/>
          <w:lang w:val="it-IT"/>
        </w:rPr>
      </w:pPr>
    </w:p>
    <w:p w14:paraId="6E5616C2" w14:textId="77777777" w:rsidR="00DB73FA" w:rsidRPr="00496684" w:rsidRDefault="00D203E4" w:rsidP="001F4490">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w:t>
      </w:r>
      <w:r w:rsidRPr="00496684">
        <w:rPr>
          <w:rFonts w:ascii="Times New Roman" w:hAnsi="Times New Roman"/>
          <w:i/>
          <w:lang w:val="it-IT"/>
        </w:rPr>
        <w:t xml:space="preserve">in vitro </w:t>
      </w:r>
      <w:r w:rsidRPr="00496684">
        <w:rPr>
          <w:rFonts w:ascii="Times New Roman" w:hAnsi="Times New Roman"/>
          <w:lang w:val="it-IT"/>
        </w:rPr>
        <w:t>si è rivelato un inibitore competitivo dei substrati marcati per il CYP2C9, il CYP2D6 ed il CYP3A4/5. I valori K</w:t>
      </w:r>
      <w:r w:rsidRPr="00496684">
        <w:rPr>
          <w:rFonts w:ascii="Times New Roman" w:hAnsi="Times New Roman"/>
          <w:vertAlign w:val="subscript"/>
          <w:lang w:val="it-IT"/>
        </w:rPr>
        <w:t>i</w:t>
      </w:r>
      <w:r w:rsidRPr="00496684">
        <w:rPr>
          <w:rFonts w:ascii="Times New Roman" w:hAnsi="Times New Roman"/>
          <w:lang w:val="it-IT"/>
        </w:rPr>
        <w:t xml:space="preserve"> nei microsomi epatici umani erano rispettivamente 27, 7,5 e 7,9 μmol/</w:t>
      </w:r>
      <w:r w:rsidR="00FC71F5" w:rsidRPr="00496684">
        <w:rPr>
          <w:rFonts w:ascii="Times New Roman" w:hAnsi="Times New Roman"/>
          <w:lang w:val="it-IT"/>
        </w:rPr>
        <w:t>L</w:t>
      </w:r>
      <w:r w:rsidRPr="00496684">
        <w:rPr>
          <w:rFonts w:ascii="Times New Roman" w:hAnsi="Times New Roman"/>
          <w:lang w:val="it-IT"/>
        </w:rPr>
        <w:t>. Le concentrazioni plasmatiche massime di imatinib nei pazienti sono di 2–4 μmol/</w:t>
      </w:r>
      <w:r w:rsidR="00FC71F5" w:rsidRPr="00496684">
        <w:rPr>
          <w:rFonts w:ascii="Times New Roman" w:hAnsi="Times New Roman"/>
          <w:lang w:val="it-IT"/>
        </w:rPr>
        <w:t>L</w:t>
      </w:r>
      <w:r w:rsidRPr="00496684">
        <w:rPr>
          <w:rFonts w:ascii="Times New Roman" w:hAnsi="Times New Roman"/>
          <w:lang w:val="it-IT"/>
        </w:rPr>
        <w:t>, ed è dunque possibile un’inibizione metabolica mediata dal CYP2D6 e/o dal CYP3A4/5 dei farmaci somministrati in associazione. Imatinib non interferiva nella biotrasformazione del 5-fluorouracile ma inibiva il metabolismo del paclitaxel, come conseguenza dell’inibizione competitiva del CYP2C8 (K</w:t>
      </w:r>
      <w:r w:rsidRPr="00496684">
        <w:rPr>
          <w:rFonts w:ascii="Times New Roman" w:hAnsi="Times New Roman"/>
          <w:vertAlign w:val="subscript"/>
          <w:lang w:val="it-IT"/>
        </w:rPr>
        <w:t>i</w:t>
      </w:r>
      <w:r w:rsidRPr="00496684">
        <w:rPr>
          <w:rFonts w:ascii="Times New Roman" w:hAnsi="Times New Roman"/>
          <w:lang w:val="it-IT"/>
        </w:rPr>
        <w:t xml:space="preserve"> = 34,7 μM). Questo valore K</w:t>
      </w:r>
      <w:r w:rsidRPr="00496684">
        <w:rPr>
          <w:rFonts w:ascii="Times New Roman" w:hAnsi="Times New Roman"/>
          <w:vertAlign w:val="subscript"/>
          <w:lang w:val="it-IT"/>
        </w:rPr>
        <w:t>i</w:t>
      </w:r>
      <w:r w:rsidRPr="00496684">
        <w:rPr>
          <w:rFonts w:ascii="Times New Roman" w:hAnsi="Times New Roman"/>
          <w:lang w:val="it-IT"/>
        </w:rPr>
        <w:t xml:space="preserve"> è ben più elevato dei livelli plasmatici di imatinib attesi nei pazienti e non ci si attende quindi alcuna interazione con la somministrazione in associazione di 5-fluorouracile o del paclitaxel e di imatinib.</w:t>
      </w:r>
    </w:p>
    <w:p w14:paraId="77B3EFB5" w14:textId="77777777" w:rsidR="00DB73FA" w:rsidRPr="00496684" w:rsidRDefault="00DB73FA" w:rsidP="00DB73FA">
      <w:pPr>
        <w:autoSpaceDE w:val="0"/>
        <w:autoSpaceDN w:val="0"/>
        <w:adjustRightInd w:val="0"/>
        <w:spacing w:after="0" w:line="240" w:lineRule="auto"/>
        <w:rPr>
          <w:rFonts w:ascii="Times New Roman" w:hAnsi="Times New Roman"/>
          <w:lang w:val="it-IT"/>
        </w:rPr>
      </w:pPr>
    </w:p>
    <w:p w14:paraId="4CFFEDDC" w14:textId="77777777" w:rsidR="00D203E4" w:rsidRPr="00496684" w:rsidRDefault="00D203E4" w:rsidP="00D203E4">
      <w:pPr>
        <w:pStyle w:val="Endnotentext"/>
        <w:widowControl w:val="0"/>
        <w:tabs>
          <w:tab w:val="clear" w:pos="567"/>
        </w:tabs>
        <w:rPr>
          <w:szCs w:val="22"/>
          <w:lang w:val="it-IT"/>
        </w:rPr>
      </w:pPr>
      <w:r w:rsidRPr="00496684">
        <w:rPr>
          <w:szCs w:val="22"/>
          <w:u w:val="single"/>
          <w:lang w:val="it-IT"/>
        </w:rPr>
        <w:t>Eliminazione</w:t>
      </w:r>
    </w:p>
    <w:p w14:paraId="1154FB8C" w14:textId="77777777" w:rsidR="00D203E4" w:rsidRPr="00496684" w:rsidRDefault="00D203E4" w:rsidP="00D203E4">
      <w:pPr>
        <w:pStyle w:val="Endnotentext"/>
        <w:widowControl w:val="0"/>
        <w:tabs>
          <w:tab w:val="clear" w:pos="567"/>
        </w:tabs>
        <w:rPr>
          <w:szCs w:val="22"/>
          <w:lang w:val="it-IT"/>
        </w:rPr>
      </w:pPr>
      <w:r w:rsidRPr="00496684">
        <w:rPr>
          <w:szCs w:val="22"/>
          <w:lang w:val="it-IT"/>
        </w:rPr>
        <w:t xml:space="preserve">In base al recupero del/dei composto/i dopo una dose orale di imatinib marcata con </w:t>
      </w:r>
      <w:smartTag w:uri="urn:schemas-microsoft-com:office:smarttags" w:element="metricconverter">
        <w:smartTagPr>
          <w:attr w:name="ProductID" w:val="14C"/>
        </w:smartTagPr>
        <w:r w:rsidRPr="00496684">
          <w:rPr>
            <w:szCs w:val="22"/>
            <w:vertAlign w:val="superscript"/>
            <w:lang w:val="it-IT"/>
          </w:rPr>
          <w:t>14</w:t>
        </w:r>
        <w:r w:rsidRPr="00496684">
          <w:rPr>
            <w:szCs w:val="22"/>
            <w:lang w:val="it-IT"/>
          </w:rPr>
          <w:t>C</w:t>
        </w:r>
      </w:smartTag>
      <w:r w:rsidRPr="00496684">
        <w:rPr>
          <w:szCs w:val="22"/>
          <w:lang w:val="it-IT"/>
        </w:rPr>
        <w:t>, approssimativamente l’81% della dose era recuperata entro 7 giorni nelle feci (68% della dose) e nelle urine (13% della dose). Il 25% della dose era costituito da imatinib invariato (5% urina, 20% feci), il resto era rappresentato da metaboliti.</w:t>
      </w:r>
    </w:p>
    <w:p w14:paraId="0442EF8C" w14:textId="77777777" w:rsidR="00D203E4" w:rsidRPr="00496684" w:rsidRDefault="00D203E4" w:rsidP="00D203E4">
      <w:pPr>
        <w:pStyle w:val="Endnotentext"/>
        <w:widowControl w:val="0"/>
        <w:tabs>
          <w:tab w:val="clear" w:pos="567"/>
        </w:tabs>
        <w:rPr>
          <w:szCs w:val="22"/>
          <w:lang w:val="it-IT"/>
        </w:rPr>
      </w:pPr>
    </w:p>
    <w:p w14:paraId="16EC7E7E" w14:textId="77777777" w:rsidR="00D203E4" w:rsidRPr="00496684" w:rsidRDefault="00D203E4" w:rsidP="00D203E4">
      <w:pPr>
        <w:pStyle w:val="Endnotentext"/>
        <w:widowControl w:val="0"/>
        <w:tabs>
          <w:tab w:val="clear" w:pos="567"/>
        </w:tabs>
        <w:rPr>
          <w:szCs w:val="22"/>
          <w:lang w:val="it-IT"/>
        </w:rPr>
      </w:pPr>
      <w:r w:rsidRPr="00496684">
        <w:rPr>
          <w:szCs w:val="22"/>
          <w:u w:val="single"/>
          <w:lang w:val="it-IT"/>
        </w:rPr>
        <w:t>Farmacocinetica plasmatica</w:t>
      </w:r>
    </w:p>
    <w:p w14:paraId="09BD56D5" w14:textId="77777777" w:rsidR="00D203E4" w:rsidRPr="00496684" w:rsidRDefault="00D203E4" w:rsidP="00D203E4">
      <w:pPr>
        <w:pStyle w:val="Endnotentext"/>
        <w:widowControl w:val="0"/>
        <w:tabs>
          <w:tab w:val="clear" w:pos="567"/>
        </w:tabs>
        <w:rPr>
          <w:szCs w:val="22"/>
          <w:lang w:val="it-IT"/>
        </w:rPr>
      </w:pPr>
      <w:r w:rsidRPr="00496684">
        <w:rPr>
          <w:szCs w:val="22"/>
          <w:lang w:val="it-IT"/>
        </w:rPr>
        <w:t>A seguito di somministrazione orale in volontari sani, il t</w:t>
      </w:r>
      <w:r w:rsidRPr="00496684">
        <w:rPr>
          <w:szCs w:val="22"/>
          <w:vertAlign w:val="subscript"/>
          <w:lang w:val="it-IT"/>
        </w:rPr>
        <w:t>½</w:t>
      </w:r>
      <w:r w:rsidRPr="00496684">
        <w:rPr>
          <w:szCs w:val="22"/>
          <w:lang w:val="it-IT"/>
        </w:rPr>
        <w:t xml:space="preserve"> era approssimativamente di 18 ore, suggerendo che la dose giornaliera unica è appropriata. L’aumento dell’AUC medio in seguito all’aumento della dose era lineare e proporzionale alla dose nel range di 25–1.000 mg di imatinib dopo la somministrazione orale. La cinetica dell’imatinib non ha subito variazioni in caso di dosaggio ripetuto e l’accumulo è stato di 1,5–2,5 volte quello che si verifica allo steady-state dopo una dose unica giornaliera.</w:t>
      </w:r>
    </w:p>
    <w:p w14:paraId="3FB8DF8D" w14:textId="77777777" w:rsidR="00D203E4" w:rsidRPr="00496684" w:rsidRDefault="00D203E4" w:rsidP="00D203E4">
      <w:pPr>
        <w:pStyle w:val="Endnotentext"/>
        <w:widowControl w:val="0"/>
        <w:tabs>
          <w:tab w:val="clear" w:pos="567"/>
        </w:tabs>
        <w:rPr>
          <w:szCs w:val="22"/>
          <w:lang w:val="it-IT"/>
        </w:rPr>
      </w:pPr>
    </w:p>
    <w:p w14:paraId="32650A93" w14:textId="77777777" w:rsidR="00D203E4" w:rsidRPr="00496684" w:rsidRDefault="00D203E4" w:rsidP="00D203E4">
      <w:pPr>
        <w:pStyle w:val="Endnotentext"/>
        <w:widowControl w:val="0"/>
        <w:tabs>
          <w:tab w:val="clear" w:pos="567"/>
        </w:tabs>
        <w:rPr>
          <w:szCs w:val="22"/>
          <w:lang w:val="it-IT"/>
        </w:rPr>
      </w:pPr>
      <w:r w:rsidRPr="00496684">
        <w:rPr>
          <w:szCs w:val="22"/>
          <w:u w:val="single"/>
          <w:lang w:val="it-IT"/>
        </w:rPr>
        <w:t>Farmacocinetica di popolazione</w:t>
      </w:r>
    </w:p>
    <w:p w14:paraId="695387E2" w14:textId="77777777" w:rsidR="00D203E4" w:rsidRPr="00496684" w:rsidRDefault="00D203E4" w:rsidP="00D203E4">
      <w:pPr>
        <w:pStyle w:val="Endnotentext"/>
        <w:widowControl w:val="0"/>
        <w:tabs>
          <w:tab w:val="clear" w:pos="567"/>
        </w:tabs>
        <w:rPr>
          <w:szCs w:val="22"/>
          <w:lang w:val="it-IT"/>
        </w:rPr>
      </w:pPr>
      <w:r w:rsidRPr="00496684">
        <w:rPr>
          <w:szCs w:val="22"/>
          <w:lang w:val="it-IT"/>
        </w:rPr>
        <w:t xml:space="preserve">Dall’analisi della farmacocinetica di popolazione nei pazienti con LMC è emerso un limitato effetto dell’età sul volume di distribuzione (aumento del 12% in pazienti di età &gt;65 anni). Questa variazione non è ritenuta clinicamente significativa. L’effetto del peso corporeo sulla clearance dell’imatinib è tale che, per un paziente di </w:t>
      </w:r>
      <w:smartTag w:uri="urn:schemas-microsoft-com:office:smarttags" w:element="metricconverter">
        <w:smartTagPr>
          <w:attr w:name="ProductID" w:val="50ﾠkg"/>
        </w:smartTagPr>
        <w:r w:rsidRPr="00496684">
          <w:rPr>
            <w:szCs w:val="22"/>
            <w:lang w:val="it-IT"/>
          </w:rPr>
          <w:t>50 kg</w:t>
        </w:r>
      </w:smartTag>
      <w:r w:rsidRPr="00496684">
        <w:rPr>
          <w:szCs w:val="22"/>
          <w:lang w:val="it-IT"/>
        </w:rPr>
        <w:t xml:space="preserve"> di peso, la clearance media prevista è 8,5 </w:t>
      </w:r>
      <w:r w:rsidR="00FC71F5" w:rsidRPr="00496684">
        <w:rPr>
          <w:szCs w:val="22"/>
          <w:lang w:val="it-IT"/>
        </w:rPr>
        <w:t>L</w:t>
      </w:r>
      <w:r w:rsidRPr="00496684">
        <w:rPr>
          <w:szCs w:val="22"/>
          <w:lang w:val="it-IT"/>
        </w:rPr>
        <w:t xml:space="preserve">/h, mentre per un paziente di </w:t>
      </w:r>
      <w:smartTag w:uri="urn:schemas-microsoft-com:office:smarttags" w:element="metricconverter">
        <w:smartTagPr>
          <w:attr w:name="ProductID" w:val="100ﾠkg"/>
        </w:smartTagPr>
        <w:r w:rsidRPr="00496684">
          <w:rPr>
            <w:szCs w:val="22"/>
            <w:lang w:val="it-IT"/>
          </w:rPr>
          <w:t>100 kg</w:t>
        </w:r>
      </w:smartTag>
      <w:r w:rsidRPr="00496684">
        <w:rPr>
          <w:szCs w:val="22"/>
          <w:lang w:val="it-IT"/>
        </w:rPr>
        <w:t xml:space="preserve"> di peso, la clearance aumenterà fino a 11,8 </w:t>
      </w:r>
      <w:r w:rsidR="00FC71F5" w:rsidRPr="00496684">
        <w:rPr>
          <w:szCs w:val="22"/>
          <w:lang w:val="it-IT"/>
        </w:rPr>
        <w:t>L</w:t>
      </w:r>
      <w:r w:rsidRPr="00496684">
        <w:rPr>
          <w:szCs w:val="22"/>
          <w:lang w:val="it-IT"/>
        </w:rPr>
        <w:t>/h. Queste variazioni non sono considerate sufficienti per permettere un aggiustamento della dose in base ai chilogrammi di peso corporeo. Il sesso non ha alcun effetto sulla cinetica dell’imatinib.</w:t>
      </w:r>
    </w:p>
    <w:p w14:paraId="4490EB2D" w14:textId="77777777" w:rsidR="00D203E4" w:rsidRPr="00496684" w:rsidRDefault="00D203E4" w:rsidP="00D203E4">
      <w:pPr>
        <w:pStyle w:val="Endnotentext"/>
        <w:widowControl w:val="0"/>
        <w:tabs>
          <w:tab w:val="clear" w:pos="567"/>
        </w:tabs>
        <w:rPr>
          <w:szCs w:val="22"/>
          <w:lang w:val="it-IT"/>
        </w:rPr>
      </w:pPr>
    </w:p>
    <w:p w14:paraId="069B03C7" w14:textId="1B70B534" w:rsidR="00D203E4" w:rsidRPr="00496684" w:rsidRDefault="00D203E4" w:rsidP="00D203E4">
      <w:pPr>
        <w:pStyle w:val="Endnotentext"/>
        <w:widowControl w:val="0"/>
        <w:tabs>
          <w:tab w:val="clear" w:pos="567"/>
        </w:tabs>
        <w:rPr>
          <w:szCs w:val="22"/>
          <w:u w:val="single"/>
          <w:lang w:val="it-IT"/>
        </w:rPr>
      </w:pPr>
      <w:r w:rsidRPr="00496684">
        <w:rPr>
          <w:szCs w:val="22"/>
          <w:u w:val="single"/>
          <w:lang w:val="it-IT"/>
        </w:rPr>
        <w:t>Farmacocinetica n</w:t>
      </w:r>
      <w:r w:rsidR="00DE5FF8" w:rsidRPr="00496684">
        <w:rPr>
          <w:szCs w:val="22"/>
          <w:u w:val="single"/>
          <w:lang w:val="it-IT"/>
        </w:rPr>
        <w:t>ella popolazione pediatrica</w:t>
      </w:r>
    </w:p>
    <w:p w14:paraId="03ECA863" w14:textId="4DE450E6" w:rsidR="00D203E4" w:rsidRPr="00496684" w:rsidRDefault="00D203E4" w:rsidP="00D203E4">
      <w:pPr>
        <w:pStyle w:val="Endnotentext"/>
        <w:widowControl w:val="0"/>
        <w:tabs>
          <w:tab w:val="clear" w:pos="567"/>
        </w:tabs>
        <w:rPr>
          <w:szCs w:val="22"/>
          <w:lang w:val="it-IT"/>
        </w:rPr>
      </w:pPr>
      <w:r w:rsidRPr="00496684">
        <w:rPr>
          <w:szCs w:val="22"/>
          <w:lang w:val="it-IT"/>
        </w:rPr>
        <w:t>Come nei pazienti adulti, imatinib è stato rapidamente assorbito in pazienti</w:t>
      </w:r>
      <w:r w:rsidRPr="00496684">
        <w:rPr>
          <w:szCs w:val="22"/>
          <w:u w:val="single"/>
          <w:lang w:val="it-IT"/>
        </w:rPr>
        <w:t xml:space="preserve"> </w:t>
      </w:r>
      <w:r w:rsidRPr="00496684">
        <w:rPr>
          <w:szCs w:val="22"/>
          <w:lang w:val="it-IT"/>
        </w:rPr>
        <w:t>pediatrici dopo somministrazione orale in studi sia di fase I che di fase II. Somministrando a bambini dosi di 260 e di 340 mg/ m</w:t>
      </w:r>
      <w:r w:rsidRPr="00496684">
        <w:rPr>
          <w:szCs w:val="22"/>
          <w:vertAlign w:val="superscript"/>
          <w:lang w:val="it-IT"/>
        </w:rPr>
        <w:t>2</w:t>
      </w:r>
      <w:r w:rsidRPr="00496684">
        <w:rPr>
          <w:szCs w:val="22"/>
          <w:lang w:val="it-IT"/>
        </w:rPr>
        <w:t>/die si è raggiunta una esposizione simile a quella ottenuta negli adulti trattati rispettivamente con dosi di 400 mg e di 600 mg. Il confronto di AUC</w:t>
      </w:r>
      <w:r w:rsidRPr="00496684">
        <w:rPr>
          <w:szCs w:val="22"/>
          <w:vertAlign w:val="subscript"/>
          <w:lang w:val="it-IT"/>
        </w:rPr>
        <w:t>(0-24)</w:t>
      </w:r>
      <w:r w:rsidRPr="00496684">
        <w:rPr>
          <w:szCs w:val="22"/>
          <w:lang w:val="it-IT"/>
        </w:rPr>
        <w:t xml:space="preserve"> sui livelli del giorno 8 e del giorno 1 alla dose di 340 mg/m</w:t>
      </w:r>
      <w:r w:rsidRPr="00496684">
        <w:rPr>
          <w:szCs w:val="22"/>
          <w:vertAlign w:val="superscript"/>
          <w:lang w:val="it-IT"/>
        </w:rPr>
        <w:t>2</w:t>
      </w:r>
      <w:r w:rsidRPr="00496684">
        <w:rPr>
          <w:szCs w:val="22"/>
          <w:lang w:val="it-IT"/>
        </w:rPr>
        <w:t>/die ha evidenziato un accumulo del farmaco di 1,7 volte rispetto a quello che si verifica dopo somministrazione ripetuta della dose unica giornaliera.</w:t>
      </w:r>
    </w:p>
    <w:p w14:paraId="29048F32" w14:textId="77777777" w:rsidR="00DE5FF8" w:rsidRPr="00496684" w:rsidRDefault="00DE5FF8" w:rsidP="00DE5FF8">
      <w:pPr>
        <w:pStyle w:val="Endnotentext"/>
        <w:widowControl w:val="0"/>
        <w:tabs>
          <w:tab w:val="clear" w:pos="567"/>
        </w:tabs>
        <w:rPr>
          <w:szCs w:val="22"/>
          <w:u w:val="single"/>
          <w:lang w:val="it-IT"/>
        </w:rPr>
      </w:pPr>
    </w:p>
    <w:p w14:paraId="2EF6319B" w14:textId="77777777" w:rsidR="00DE5FF8" w:rsidRPr="00496684" w:rsidRDefault="00DE5FF8" w:rsidP="00DE5FF8">
      <w:pPr>
        <w:pStyle w:val="Endnotentext"/>
        <w:widowControl w:val="0"/>
        <w:tabs>
          <w:tab w:val="clear" w:pos="567"/>
        </w:tabs>
        <w:rPr>
          <w:szCs w:val="22"/>
          <w:lang w:val="it-IT"/>
        </w:rPr>
      </w:pPr>
      <w:r w:rsidRPr="00496684">
        <w:rPr>
          <w:szCs w:val="22"/>
          <w:u w:val="single"/>
          <w:lang w:val="it-IT"/>
        </w:rPr>
        <w:t xml:space="preserve">Sulla base di un’analisi combinata </w:t>
      </w:r>
      <w:r w:rsidRPr="00496684">
        <w:rPr>
          <w:szCs w:val="22"/>
          <w:lang w:val="it-IT"/>
        </w:rPr>
        <w:t>della farmacocinetica di popolazione in pazienti pediatrici con patologie ematologiche (LMC, LLA Ph+, o altre patologie ematologiche trattate con imatinib), la clearance di imatinib aumenta con l’aumentare della superficie corporea (body surface area, BSA). Dopo la correzione per l’effetto della BSA, altri fattori demografici quali l’età, il peso corporeo e l’indice di massa corporea non hanno dimostrato effetti clinicamente significativi sull’esposizione di imatinib. L’analisi ha confermato che l’esposizione di imatinib nei pazienti pediatrici che ricevono 260 mg/m</w:t>
      </w:r>
      <w:r w:rsidRPr="00496684">
        <w:rPr>
          <w:szCs w:val="22"/>
          <w:vertAlign w:val="superscript"/>
          <w:lang w:val="it-IT"/>
        </w:rPr>
        <w:t>2</w:t>
      </w:r>
      <w:r w:rsidRPr="00496684">
        <w:rPr>
          <w:szCs w:val="22"/>
          <w:lang w:val="it-IT"/>
        </w:rPr>
        <w:t xml:space="preserve"> una volta al giorno (non superando i 400 mg una volta al giorno) o 340 mg/m</w:t>
      </w:r>
      <w:r w:rsidRPr="00496684">
        <w:rPr>
          <w:szCs w:val="22"/>
          <w:vertAlign w:val="superscript"/>
          <w:lang w:val="it-IT"/>
        </w:rPr>
        <w:t>2</w:t>
      </w:r>
      <w:r w:rsidRPr="00496684">
        <w:rPr>
          <w:szCs w:val="22"/>
          <w:lang w:val="it-IT"/>
        </w:rPr>
        <w:t xml:space="preserve"> una volta al giorno (non superando i 600 mg una volta al giorno) era simile a quella nei pazienti adulti che ricevevano imatinib 400 mg o 600 mg una volta al giorno.</w:t>
      </w:r>
    </w:p>
    <w:p w14:paraId="35D9C2E1" w14:textId="77777777" w:rsidR="00872361" w:rsidRPr="00496684" w:rsidRDefault="00872361" w:rsidP="00872361">
      <w:pPr>
        <w:autoSpaceDE w:val="0"/>
        <w:autoSpaceDN w:val="0"/>
        <w:adjustRightInd w:val="0"/>
        <w:spacing w:after="0" w:line="240" w:lineRule="auto"/>
        <w:rPr>
          <w:rFonts w:ascii="Times New Roman" w:hAnsi="Times New Roman"/>
          <w:lang w:val="it-IT"/>
        </w:rPr>
      </w:pPr>
    </w:p>
    <w:p w14:paraId="7E15F4B9" w14:textId="77777777" w:rsidR="00D203E4" w:rsidRPr="00496684" w:rsidRDefault="00D203E4" w:rsidP="00D203E4">
      <w:pPr>
        <w:pStyle w:val="Endnotentext"/>
        <w:widowControl w:val="0"/>
        <w:tabs>
          <w:tab w:val="clear" w:pos="567"/>
        </w:tabs>
        <w:rPr>
          <w:szCs w:val="22"/>
          <w:lang w:val="it-IT"/>
        </w:rPr>
      </w:pPr>
      <w:r w:rsidRPr="00496684">
        <w:rPr>
          <w:szCs w:val="22"/>
          <w:u w:val="single"/>
          <w:lang w:val="it-IT"/>
        </w:rPr>
        <w:t>Compromissione della funzione degli organi</w:t>
      </w:r>
    </w:p>
    <w:p w14:paraId="2B5A45E2" w14:textId="77777777" w:rsidR="00D203E4" w:rsidRPr="00496684" w:rsidRDefault="00D203E4" w:rsidP="00D203E4">
      <w:pPr>
        <w:pStyle w:val="Endnotentext"/>
        <w:widowControl w:val="0"/>
        <w:tabs>
          <w:tab w:val="clear" w:pos="567"/>
        </w:tabs>
        <w:rPr>
          <w:szCs w:val="22"/>
          <w:lang w:val="it-IT"/>
        </w:rPr>
      </w:pPr>
      <w:r w:rsidRPr="00496684">
        <w:rPr>
          <w:szCs w:val="22"/>
          <w:lang w:val="it-IT"/>
        </w:rPr>
        <w:t>Imatinib e i suoi metaboliti non sono escreti in misura significativa attraverso i reni. I pazienti con compromissione della funzionalità renale lieve e moderata sembrano avere una maggiore esposizione plasmatica rispetto a quella osservata in pazienti con funzionalità renale normale. L’aumento è da 1,5 a 2 volte circa, corrispondente ad un innalzamento di 1,5 volte della AGP plasmatica, a cui imatinib si lega fortemente. La clearance di imatinib come farmaco libero è probabilmente simile tra i pazienti con funzionalità renale compromessa e normale poichè l’escrezione renale rappresenta solo una via di eliminazione minore di imatinib (vedere paragrafi 4.2 e 4.4).</w:t>
      </w:r>
    </w:p>
    <w:p w14:paraId="4137BF80" w14:textId="77777777" w:rsidR="00D203E4" w:rsidRPr="00496684" w:rsidRDefault="00D203E4" w:rsidP="00D203E4">
      <w:pPr>
        <w:pStyle w:val="Endnotentext"/>
        <w:widowControl w:val="0"/>
        <w:tabs>
          <w:tab w:val="clear" w:pos="567"/>
        </w:tabs>
        <w:rPr>
          <w:szCs w:val="22"/>
          <w:lang w:val="it-IT"/>
        </w:rPr>
      </w:pPr>
    </w:p>
    <w:p w14:paraId="12BA6785" w14:textId="77777777" w:rsidR="00D203E4" w:rsidRPr="00496684" w:rsidRDefault="00D203E4" w:rsidP="00D203E4">
      <w:pPr>
        <w:pStyle w:val="Endnotentext"/>
        <w:widowControl w:val="0"/>
        <w:tabs>
          <w:tab w:val="clear" w:pos="567"/>
        </w:tabs>
        <w:rPr>
          <w:szCs w:val="22"/>
          <w:lang w:val="it-IT"/>
        </w:rPr>
      </w:pPr>
      <w:r w:rsidRPr="00496684">
        <w:rPr>
          <w:szCs w:val="22"/>
          <w:lang w:val="it-IT"/>
        </w:rPr>
        <w:t>Anche se i risultati delle analisi farmacocinetiche hanno mostrato che c’è una considerevole variazione inter-soggetti, l’esposizione media a imatinib non aumentava in pazienti con diversi gradi di disfunzione epatica rispetto ai pazienti con funzione epatica normale (vedere paragrafi 4.2, 4.4 e 4.8).</w:t>
      </w:r>
    </w:p>
    <w:p w14:paraId="142220E0" w14:textId="77777777" w:rsidR="00872361" w:rsidRPr="00496684" w:rsidRDefault="00872361">
      <w:pPr>
        <w:autoSpaceDE w:val="0"/>
        <w:autoSpaceDN w:val="0"/>
        <w:adjustRightInd w:val="0"/>
        <w:spacing w:after="0" w:line="240" w:lineRule="auto"/>
        <w:rPr>
          <w:rFonts w:ascii="Times New Roman" w:hAnsi="Times New Roman"/>
          <w:lang w:val="it-IT"/>
        </w:rPr>
      </w:pPr>
    </w:p>
    <w:p w14:paraId="7C53F6C1" w14:textId="77777777" w:rsidR="00F82CE8" w:rsidRPr="00496684" w:rsidRDefault="00F82CE8" w:rsidP="00F82CE8">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5.3</w:t>
      </w:r>
      <w:r w:rsidRPr="00496684">
        <w:rPr>
          <w:rFonts w:ascii="Times New Roman" w:hAnsi="Times New Roman"/>
          <w:b/>
          <w:bCs/>
          <w:lang w:val="it-IT"/>
        </w:rPr>
        <w:tab/>
      </w:r>
      <w:r w:rsidR="00D203E4" w:rsidRPr="00496684">
        <w:rPr>
          <w:rFonts w:ascii="Times New Roman" w:hAnsi="Times New Roman"/>
          <w:b/>
          <w:lang w:val="it-IT"/>
        </w:rPr>
        <w:t>Dati preclinici di sicurezza</w:t>
      </w:r>
    </w:p>
    <w:p w14:paraId="3C2E51F5" w14:textId="77777777" w:rsidR="00F82CE8" w:rsidRPr="00496684" w:rsidRDefault="00F82CE8" w:rsidP="00F82CE8">
      <w:pPr>
        <w:autoSpaceDE w:val="0"/>
        <w:autoSpaceDN w:val="0"/>
        <w:adjustRightInd w:val="0"/>
        <w:spacing w:after="0" w:line="240" w:lineRule="auto"/>
        <w:rPr>
          <w:rFonts w:ascii="Times New Roman" w:hAnsi="Times New Roman"/>
          <w:bCs/>
          <w:lang w:val="it-IT"/>
        </w:rPr>
      </w:pPr>
    </w:p>
    <w:p w14:paraId="580B09FB" w14:textId="77777777" w:rsidR="00D203E4" w:rsidRPr="00496684" w:rsidRDefault="00D203E4" w:rsidP="00D203E4">
      <w:pPr>
        <w:pStyle w:val="Textkrper"/>
        <w:jc w:val="left"/>
        <w:rPr>
          <w:sz w:val="22"/>
          <w:szCs w:val="22"/>
          <w:lang w:val="it-IT"/>
        </w:rPr>
      </w:pPr>
      <w:r w:rsidRPr="00496684">
        <w:rPr>
          <w:sz w:val="22"/>
          <w:szCs w:val="22"/>
          <w:lang w:val="it-IT"/>
        </w:rPr>
        <w:t>Il profilo preclinico di sicurezza di imatinib è stato valutato nei topi, nei cani, nelle scimmie e nei conigli.</w:t>
      </w:r>
    </w:p>
    <w:p w14:paraId="3A8AC431" w14:textId="77777777" w:rsidR="00D203E4" w:rsidRPr="00496684" w:rsidRDefault="00D203E4" w:rsidP="00D203E4">
      <w:pPr>
        <w:spacing w:after="0" w:line="240" w:lineRule="auto"/>
        <w:rPr>
          <w:rFonts w:ascii="Times New Roman" w:hAnsi="Times New Roman"/>
          <w:lang w:val="it-IT"/>
        </w:rPr>
      </w:pPr>
    </w:p>
    <w:p w14:paraId="789555C0" w14:textId="77777777" w:rsidR="00D203E4" w:rsidRPr="00496684" w:rsidRDefault="00D203E4" w:rsidP="00D203E4">
      <w:pPr>
        <w:spacing w:after="0" w:line="240" w:lineRule="auto"/>
        <w:rPr>
          <w:rFonts w:ascii="Times New Roman" w:hAnsi="Times New Roman"/>
          <w:lang w:val="it-IT"/>
        </w:rPr>
      </w:pPr>
      <w:r w:rsidRPr="00496684">
        <w:rPr>
          <w:rFonts w:ascii="Times New Roman" w:hAnsi="Times New Roman"/>
          <w:lang w:val="it-IT"/>
        </w:rPr>
        <w:t>Gli studi sulla tossicità con dosi multiple hanno rivelato variazioni ematologiche da lievi a moderate nei topi, nei cani e nelle scimmie, accompagnate da variazioni a livello del midollo osseo nei topi e nei cani.</w:t>
      </w:r>
    </w:p>
    <w:p w14:paraId="1407B1AC" w14:textId="77777777" w:rsidR="00D203E4" w:rsidRPr="00496684" w:rsidRDefault="00D203E4" w:rsidP="00D203E4">
      <w:pPr>
        <w:spacing w:after="0" w:line="240" w:lineRule="auto"/>
        <w:rPr>
          <w:rFonts w:ascii="Times New Roman" w:hAnsi="Times New Roman"/>
          <w:lang w:val="it-IT"/>
        </w:rPr>
      </w:pPr>
    </w:p>
    <w:p w14:paraId="0637BDF9" w14:textId="77777777" w:rsidR="00D203E4" w:rsidRPr="00496684" w:rsidRDefault="00D203E4" w:rsidP="00D203E4">
      <w:pPr>
        <w:spacing w:after="0" w:line="240" w:lineRule="auto"/>
        <w:ind w:right="98"/>
        <w:rPr>
          <w:rFonts w:ascii="Times New Roman" w:hAnsi="Times New Roman"/>
          <w:lang w:val="it-IT"/>
        </w:rPr>
      </w:pPr>
      <w:r w:rsidRPr="00496684">
        <w:rPr>
          <w:rFonts w:ascii="Times New Roman" w:hAnsi="Times New Roman"/>
          <w:lang w:val="it-IT"/>
        </w:rPr>
        <w:t>Il fegato era un organo bersaglio nei topi e nei cani. In entrambe le specie sono stati osservati aumenti da lievi a moderati nei livelli delle transaminasi e leggere diminuzioni nei livelli di colesterolo, dei trigliceridi, delle proteine totali e dell’albumina. Non è stata rilevata alcuna variazione epatica istopatologica nei topi. È stato osservato un grave livello di tossicità epatica nei cani sottoposti a terapia per 2 settimane, con elevati valori degli enzimi epatici, necrosi epatocellulare, necrosi ed iperplasia dei dotti biliari.</w:t>
      </w:r>
    </w:p>
    <w:p w14:paraId="237FAC8F" w14:textId="77777777" w:rsidR="00D203E4" w:rsidRPr="00496684" w:rsidRDefault="00D203E4" w:rsidP="00D203E4">
      <w:pPr>
        <w:spacing w:after="0" w:line="240" w:lineRule="auto"/>
        <w:rPr>
          <w:rFonts w:ascii="Times New Roman" w:hAnsi="Times New Roman"/>
          <w:lang w:val="it-IT"/>
        </w:rPr>
      </w:pPr>
    </w:p>
    <w:p w14:paraId="740BBF24" w14:textId="77777777" w:rsidR="00D203E4" w:rsidRPr="00496684" w:rsidRDefault="00D203E4" w:rsidP="00D203E4">
      <w:pPr>
        <w:spacing w:after="0" w:line="240" w:lineRule="auto"/>
        <w:rPr>
          <w:rFonts w:ascii="Times New Roman" w:hAnsi="Times New Roman"/>
          <w:lang w:val="it-IT"/>
        </w:rPr>
      </w:pPr>
      <w:r w:rsidRPr="00496684">
        <w:rPr>
          <w:rFonts w:ascii="Times New Roman" w:hAnsi="Times New Roman"/>
          <w:lang w:val="it-IT"/>
        </w:rPr>
        <w:t>Sono stati riscontrati fenomeni di tossicità renale nelle scimmie sottoposte a terapia per 2 settimane, con mineralizzazione focale e dilatazione dei tubuli renali e nefropatia tubolare. In numerosi di questi animali è stato osservato un aumento dei livelli di azoto dell'urea ematica (BUN) e della creatinina. Nei topi è stata riscontrata un’iperplasia dell’epitelio di transizione nella papilla renale e nella vescica urinaria a dosaggi ≥6 mg/kg in uno studio di 13 settimane, senza riportare alcun cambiamento nei parametri del siero e dell’urina. Con il trattamento cronico di imatinib, è osservato un aumento del tasso d’infezioni opportunistiche.</w:t>
      </w:r>
    </w:p>
    <w:p w14:paraId="01B0B614" w14:textId="77777777" w:rsidR="00D203E4" w:rsidRPr="00496684" w:rsidRDefault="00D203E4" w:rsidP="00D203E4">
      <w:pPr>
        <w:spacing w:after="0" w:line="240" w:lineRule="auto"/>
        <w:rPr>
          <w:rFonts w:ascii="Times New Roman" w:hAnsi="Times New Roman"/>
          <w:lang w:val="it-IT"/>
        </w:rPr>
      </w:pPr>
    </w:p>
    <w:p w14:paraId="7345C340" w14:textId="77777777" w:rsidR="00D203E4" w:rsidRPr="00496684" w:rsidRDefault="00D203E4" w:rsidP="00D203E4">
      <w:pPr>
        <w:spacing w:after="0" w:line="240" w:lineRule="auto"/>
        <w:rPr>
          <w:rFonts w:ascii="Times New Roman" w:hAnsi="Times New Roman"/>
          <w:lang w:val="it-IT"/>
        </w:rPr>
      </w:pPr>
      <w:r w:rsidRPr="00496684">
        <w:rPr>
          <w:rFonts w:ascii="Times New Roman" w:hAnsi="Times New Roman"/>
          <w:lang w:val="it-IT"/>
        </w:rPr>
        <w:t>In uno studio di 39 settimane condotto sulle scimmie, non è stato stabilito alcun NOAEL (</w:t>
      </w:r>
      <w:r w:rsidR="00DB266A" w:rsidRPr="00496684">
        <w:rPr>
          <w:rFonts w:ascii="Times New Roman" w:hAnsi="Times New Roman"/>
          <w:lang w:val="it-IT"/>
        </w:rPr>
        <w:t>dose senza effetto avverso osservabile</w:t>
      </w:r>
      <w:r w:rsidRPr="00496684">
        <w:rPr>
          <w:rFonts w:ascii="Times New Roman" w:hAnsi="Times New Roman"/>
          <w:lang w:val="it-IT"/>
        </w:rPr>
        <w:t>) alla dose minima di 15 mg/kg, che corrisponde approssimativamente ad un terzo della dose umana massima di 800 mg. calcolata in base alla superficie corporea. La terapia condotta su questi animali ha comportato un peggioramento delle infezioni malariche normalmente soppresse.</w:t>
      </w:r>
    </w:p>
    <w:p w14:paraId="566071FA" w14:textId="77777777" w:rsidR="00D203E4" w:rsidRPr="00496684" w:rsidRDefault="00D203E4" w:rsidP="00D203E4">
      <w:pPr>
        <w:spacing w:after="0" w:line="240" w:lineRule="auto"/>
        <w:rPr>
          <w:rFonts w:ascii="Times New Roman" w:hAnsi="Times New Roman"/>
          <w:lang w:val="it-IT"/>
        </w:rPr>
      </w:pPr>
    </w:p>
    <w:p w14:paraId="4D015AD0" w14:textId="77777777" w:rsidR="00D203E4" w:rsidRPr="00496684" w:rsidRDefault="00D203E4" w:rsidP="00D203E4">
      <w:pPr>
        <w:spacing w:after="0" w:line="240" w:lineRule="auto"/>
        <w:ind w:right="98"/>
        <w:rPr>
          <w:rFonts w:ascii="Times New Roman" w:hAnsi="Times New Roman"/>
          <w:lang w:val="it-IT"/>
        </w:rPr>
      </w:pPr>
      <w:r w:rsidRPr="00496684">
        <w:rPr>
          <w:rFonts w:ascii="Times New Roman" w:hAnsi="Times New Roman"/>
          <w:lang w:val="it-IT"/>
        </w:rPr>
        <w:t xml:space="preserve">Imatinib non è stato considerato genotossico quando testato con un’analisi delle cellule batteriche </w:t>
      </w:r>
      <w:r w:rsidRPr="00496684">
        <w:rPr>
          <w:rFonts w:ascii="Times New Roman" w:hAnsi="Times New Roman"/>
          <w:i/>
          <w:lang w:val="it-IT"/>
        </w:rPr>
        <w:t xml:space="preserve">in vitro </w:t>
      </w:r>
      <w:r w:rsidRPr="00496684">
        <w:rPr>
          <w:rFonts w:ascii="Times New Roman" w:hAnsi="Times New Roman"/>
          <w:lang w:val="it-IT"/>
        </w:rPr>
        <w:t xml:space="preserve">(test di Ames), con un’analisi delle cellule di mammiferi </w:t>
      </w:r>
      <w:r w:rsidRPr="00496684">
        <w:rPr>
          <w:rFonts w:ascii="Times New Roman" w:hAnsi="Times New Roman"/>
          <w:i/>
          <w:lang w:val="it-IT"/>
        </w:rPr>
        <w:t xml:space="preserve">in vitro </w:t>
      </w:r>
      <w:r w:rsidRPr="00496684">
        <w:rPr>
          <w:rFonts w:ascii="Times New Roman" w:hAnsi="Times New Roman"/>
          <w:lang w:val="it-IT"/>
        </w:rPr>
        <w:t xml:space="preserve">(linfoma del topo) e con un test del micronucleo del topo </w:t>
      </w:r>
      <w:r w:rsidRPr="00496684">
        <w:rPr>
          <w:rFonts w:ascii="Times New Roman" w:hAnsi="Times New Roman"/>
          <w:i/>
          <w:lang w:val="it-IT"/>
        </w:rPr>
        <w:t xml:space="preserve">in vivo. </w:t>
      </w:r>
      <w:r w:rsidRPr="00496684">
        <w:rPr>
          <w:rFonts w:ascii="Times New Roman" w:hAnsi="Times New Roman"/>
          <w:lang w:val="it-IT"/>
        </w:rPr>
        <w:t xml:space="preserve">Si sono ottenuti effetti genotossici positivi per imatinib in un’analisi delle cellule di mammifero </w:t>
      </w:r>
      <w:r w:rsidRPr="00496684">
        <w:rPr>
          <w:rFonts w:ascii="Times New Roman" w:hAnsi="Times New Roman"/>
          <w:i/>
          <w:lang w:val="it-IT"/>
        </w:rPr>
        <w:t xml:space="preserve">in vitro </w:t>
      </w:r>
      <w:r w:rsidRPr="00496684">
        <w:rPr>
          <w:rFonts w:ascii="Times New Roman" w:hAnsi="Times New Roman"/>
          <w:lang w:val="it-IT"/>
        </w:rPr>
        <w:t>(ovaia di criceto cinese) per la clastogenicità (aberrazione cromosomica) in presenza di attivazione metabolica. Due composti intermedi del processo di preparazione, che sono presenti anche nel prodotto finale, si sono dimostrati positivi alla mutagenesi nel test di Ames ed uno di questi è risultato inoltre positivo all’analisi del linfoma di topo.</w:t>
      </w:r>
    </w:p>
    <w:p w14:paraId="4805B2FB" w14:textId="77777777" w:rsidR="00D203E4" w:rsidRPr="00496684" w:rsidRDefault="00D203E4" w:rsidP="00D203E4">
      <w:pPr>
        <w:spacing w:after="0" w:line="240" w:lineRule="auto"/>
        <w:rPr>
          <w:rFonts w:ascii="Times New Roman" w:hAnsi="Times New Roman"/>
          <w:lang w:val="it-IT"/>
        </w:rPr>
      </w:pPr>
    </w:p>
    <w:p w14:paraId="1DB023B9" w14:textId="77777777" w:rsidR="00D203E4" w:rsidRPr="00496684" w:rsidRDefault="00D203E4" w:rsidP="00D203E4">
      <w:pPr>
        <w:spacing w:after="0" w:line="240" w:lineRule="auto"/>
        <w:ind w:right="98"/>
        <w:rPr>
          <w:rFonts w:ascii="Times New Roman" w:hAnsi="Times New Roman"/>
          <w:lang w:val="it-IT"/>
        </w:rPr>
      </w:pPr>
      <w:r w:rsidRPr="00496684">
        <w:rPr>
          <w:rFonts w:ascii="Times New Roman" w:hAnsi="Times New Roman"/>
          <w:lang w:val="it-IT"/>
        </w:rPr>
        <w:t>In uno studio sulla fertilità condotto su topi maschi, con dosi corrispondenti approssimativamente alla dose clinica massima giornaliera di 800 mg, determinata in base alla superficie corporea, somministrate per 70 giorni prima dell’accoppiamento, il peso dei testicoli, quello dell’epididimo e la percentuale di sperma mobile sono scesi a 60 mg/kg. Tale fenomeno non è stato rilevato a dosaggi ≤</w:t>
      </w:r>
      <w:r w:rsidR="00FC71F5" w:rsidRPr="00496684">
        <w:rPr>
          <w:rFonts w:ascii="Times New Roman" w:hAnsi="Times New Roman"/>
          <w:lang w:val="it-IT"/>
        </w:rPr>
        <w:t xml:space="preserve"> </w:t>
      </w:r>
      <w:r w:rsidRPr="00496684">
        <w:rPr>
          <w:rFonts w:ascii="Times New Roman" w:hAnsi="Times New Roman"/>
          <w:lang w:val="it-IT"/>
        </w:rPr>
        <w:t>20 mg/kg. Una riduzione da lieve a moderata della spermatogenesi è stata inoltre osservata nel cane con somministrazione orale di dosi ≥</w:t>
      </w:r>
      <w:r w:rsidR="00FC71F5" w:rsidRPr="00496684">
        <w:rPr>
          <w:rFonts w:ascii="Times New Roman" w:hAnsi="Times New Roman"/>
          <w:lang w:val="it-IT"/>
        </w:rPr>
        <w:t xml:space="preserve"> </w:t>
      </w:r>
      <w:r w:rsidRPr="00496684">
        <w:rPr>
          <w:rFonts w:ascii="Times New Roman" w:hAnsi="Times New Roman"/>
          <w:lang w:val="it-IT"/>
        </w:rPr>
        <w:t>30 mg/kg. Quando è stato somministrato il dosaggio a topi femmina per 14 giorni, prima dell’accoppiamento e fino al sesto giorno di gestazione, non si è manifestato alcun effetto sull’accoppiamento o sul numero delle gravidanze. Con dosi di 60 mg/kg, i topi femmina hanno presentato una perdita del feto successiva all’impianto significativa ed un minor numero di feti vivi. Questo non è stato riscontrato a dosaggi ≤</w:t>
      </w:r>
      <w:r w:rsidR="00FC71F5" w:rsidRPr="00496684">
        <w:rPr>
          <w:rFonts w:ascii="Times New Roman" w:hAnsi="Times New Roman"/>
          <w:lang w:val="it-IT"/>
        </w:rPr>
        <w:t xml:space="preserve"> </w:t>
      </w:r>
      <w:r w:rsidRPr="00496684">
        <w:rPr>
          <w:rFonts w:ascii="Times New Roman" w:hAnsi="Times New Roman"/>
          <w:lang w:val="it-IT"/>
        </w:rPr>
        <w:t>20 mg/kg.</w:t>
      </w:r>
    </w:p>
    <w:p w14:paraId="09573033" w14:textId="77777777" w:rsidR="00D203E4" w:rsidRPr="00496684" w:rsidRDefault="00D203E4" w:rsidP="00D203E4">
      <w:pPr>
        <w:spacing w:after="0" w:line="240" w:lineRule="auto"/>
        <w:rPr>
          <w:rFonts w:ascii="Times New Roman" w:hAnsi="Times New Roman"/>
          <w:lang w:val="it-IT"/>
        </w:rPr>
      </w:pPr>
    </w:p>
    <w:p w14:paraId="70E0CCA5" w14:textId="77777777" w:rsidR="00D203E4" w:rsidRPr="00496684" w:rsidRDefault="00D203E4" w:rsidP="00D203E4">
      <w:pPr>
        <w:spacing w:after="0" w:line="240" w:lineRule="auto"/>
        <w:rPr>
          <w:rFonts w:ascii="Times New Roman" w:hAnsi="Times New Roman"/>
          <w:lang w:val="it-IT"/>
        </w:rPr>
      </w:pPr>
      <w:r w:rsidRPr="00496684">
        <w:rPr>
          <w:rFonts w:ascii="Times New Roman" w:hAnsi="Times New Roman"/>
          <w:lang w:val="it-IT"/>
        </w:rPr>
        <w:t>In uno studio di interferenza sullo sviluppo pre e postnatale condotto nel ratto, con somministrazione orale, è stata osservata una perdita vaginale di colore rosso nel gruppo trattato con 45 mg/kg/die, al giorno 14 o al giorno 15 della gestazione. Alla stessa dose, aumentava il numero dei feti nati morti e dei soggetti che morivano tra i giorni 0 e 4 dopo il parto. Allo stesso livello di dose, nella prole F</w:t>
      </w:r>
      <w:r w:rsidRPr="00496684">
        <w:rPr>
          <w:rFonts w:ascii="Times New Roman" w:hAnsi="Times New Roman"/>
          <w:vertAlign w:val="subscript"/>
          <w:lang w:val="it-IT"/>
        </w:rPr>
        <w:t>1</w:t>
      </w:r>
      <w:r w:rsidRPr="00496684">
        <w:rPr>
          <w:rFonts w:ascii="Times New Roman" w:hAnsi="Times New Roman"/>
          <w:lang w:val="it-IT"/>
        </w:rPr>
        <w:t xml:space="preserve"> diminuiva il peso medio corporeo dalla nascita fino al sacrificio terminale e si riduceva di poco il numero dei soggetti che raggiungevano i criteri di separazione del prepuzio. La fertilità della generazione F</w:t>
      </w:r>
      <w:r w:rsidRPr="00496684">
        <w:rPr>
          <w:rFonts w:ascii="Times New Roman" w:hAnsi="Times New Roman"/>
          <w:vertAlign w:val="subscript"/>
          <w:lang w:val="it-IT"/>
        </w:rPr>
        <w:t>1</w:t>
      </w:r>
      <w:r w:rsidRPr="00496684">
        <w:rPr>
          <w:rFonts w:ascii="Times New Roman" w:hAnsi="Times New Roman"/>
          <w:lang w:val="it-IT"/>
        </w:rPr>
        <w:t xml:space="preserve"> non veniva influenzata mentre è stato notato alla dose di 45 mg/kg/die un aumento del numero dei riassorbimenti e una diminuzione del numero dei feti vitali. Sia per le madri che per la generazione F</w:t>
      </w:r>
      <w:r w:rsidRPr="00496684">
        <w:rPr>
          <w:rFonts w:ascii="Times New Roman" w:hAnsi="Times New Roman"/>
          <w:vertAlign w:val="subscript"/>
          <w:lang w:val="it-IT"/>
        </w:rPr>
        <w:t>1</w:t>
      </w:r>
      <w:r w:rsidRPr="00496684">
        <w:rPr>
          <w:rFonts w:ascii="Times New Roman" w:hAnsi="Times New Roman"/>
          <w:lang w:val="it-IT"/>
        </w:rPr>
        <w:t>, il NOEL</w:t>
      </w:r>
      <w:r w:rsidR="00DB266A" w:rsidRPr="00496684">
        <w:rPr>
          <w:rFonts w:ascii="Times New Roman" w:hAnsi="Times New Roman"/>
          <w:lang w:val="it-IT"/>
        </w:rPr>
        <w:t xml:space="preserve"> (dose senza effetto osservabile) </w:t>
      </w:r>
      <w:r w:rsidRPr="00496684">
        <w:rPr>
          <w:rFonts w:ascii="Times New Roman" w:hAnsi="Times New Roman"/>
          <w:lang w:val="it-IT"/>
        </w:rPr>
        <w:t>era 15 mg/kg/die (un quarto della dose massima di 800 mg somministrata all’uomo).</w:t>
      </w:r>
    </w:p>
    <w:p w14:paraId="7B17D803" w14:textId="77777777" w:rsidR="00D203E4" w:rsidRPr="00496684" w:rsidRDefault="00D203E4" w:rsidP="00D203E4">
      <w:pPr>
        <w:spacing w:after="0" w:line="240" w:lineRule="auto"/>
        <w:rPr>
          <w:rFonts w:ascii="Times New Roman" w:hAnsi="Times New Roman"/>
          <w:lang w:val="it-IT"/>
        </w:rPr>
      </w:pPr>
    </w:p>
    <w:p w14:paraId="5CC6F7E1" w14:textId="77777777" w:rsidR="00D203E4" w:rsidRPr="00496684" w:rsidRDefault="00D203E4" w:rsidP="00D203E4">
      <w:pPr>
        <w:spacing w:after="0" w:line="240" w:lineRule="auto"/>
        <w:rPr>
          <w:rFonts w:ascii="Times New Roman" w:hAnsi="Times New Roman"/>
          <w:lang w:val="it-IT"/>
        </w:rPr>
      </w:pPr>
      <w:r w:rsidRPr="00496684">
        <w:rPr>
          <w:rFonts w:ascii="Times New Roman" w:hAnsi="Times New Roman"/>
          <w:lang w:val="it-IT"/>
        </w:rPr>
        <w:t>Imatinib si è rivelato teratogenico nei topi quando somministrato durante l’organogenesi a dosaggi ≥100 mg/kg, che equivalgono approssimativamente alla dose clinica massima di 800 mg/die, determinata in relazione alla superficie corporea. Gli effetti teratogenici includevano exencefalia o encefalocele, assenza/riduzione delle ossa frontali ed assenza delle ossa parietali. Tali effetti non sono stati osservati a dosaggi ≤30 mg/kg.</w:t>
      </w:r>
    </w:p>
    <w:p w14:paraId="58205844" w14:textId="77777777" w:rsidR="00D203E4" w:rsidRPr="00496684" w:rsidRDefault="00D203E4" w:rsidP="00D203E4">
      <w:pPr>
        <w:spacing w:after="0" w:line="240" w:lineRule="auto"/>
        <w:jc w:val="both"/>
        <w:rPr>
          <w:rFonts w:ascii="Times New Roman" w:hAnsi="Times New Roman"/>
          <w:lang w:val="it-IT"/>
        </w:rPr>
      </w:pPr>
    </w:p>
    <w:p w14:paraId="6BE70743" w14:textId="77777777" w:rsidR="00A41E19" w:rsidRPr="00496684" w:rsidRDefault="00A41E19" w:rsidP="00D203E4">
      <w:pPr>
        <w:spacing w:after="0" w:line="240" w:lineRule="auto"/>
        <w:jc w:val="both"/>
        <w:rPr>
          <w:rFonts w:ascii="Times New Roman" w:hAnsi="Times New Roman"/>
          <w:lang w:val="it-IT"/>
        </w:rPr>
      </w:pPr>
      <w:r w:rsidRPr="00496684">
        <w:rPr>
          <w:rFonts w:ascii="Times New Roman" w:hAnsi="Times New Roman"/>
          <w:lang w:val="it-IT"/>
        </w:rPr>
        <w:t>In uno studio di tossicologia dello sviluppo nei ratti giovani (dal giorno 10 al giorno 70 dopo il parto) non sono stati identificati nuovi organi bersaglio rispetto agli organi bersaglio noti nei ratti adulti. Nello studio di tossicologia su animali giovani, sono stati osservati effetti sulla crescita, di ritardo nell’apertura vaginale e nella separazione del prepuzio a circa 0,3-2 volte l’esposizione pediatrica media alla dose massima raccomandata di 340 mg/m</w:t>
      </w:r>
      <w:r w:rsidRPr="00496684">
        <w:rPr>
          <w:rFonts w:ascii="Times New Roman" w:hAnsi="Times New Roman"/>
          <w:sz w:val="20"/>
          <w:szCs w:val="14"/>
          <w:vertAlign w:val="superscript"/>
          <w:lang w:val="it-IT"/>
        </w:rPr>
        <w:t>2</w:t>
      </w:r>
      <w:r w:rsidRPr="00496684">
        <w:rPr>
          <w:rFonts w:ascii="Times New Roman" w:hAnsi="Times New Roman"/>
          <w:lang w:val="it-IT"/>
        </w:rPr>
        <w:t>. Inoltre, è stata osservata mortalità negli animali giovani (intorno alla fase di svezzamento) a circa 2 volte l’esposizione pediatrica media alla dose massima raccomandata di 340 mg/m</w:t>
      </w:r>
      <w:r w:rsidRPr="00496684">
        <w:rPr>
          <w:rFonts w:ascii="Times New Roman" w:hAnsi="Times New Roman"/>
          <w:sz w:val="20"/>
          <w:szCs w:val="14"/>
          <w:vertAlign w:val="superscript"/>
          <w:lang w:val="it-IT"/>
        </w:rPr>
        <w:t>2</w:t>
      </w:r>
      <w:r w:rsidRPr="00496684">
        <w:rPr>
          <w:rFonts w:ascii="Times New Roman" w:hAnsi="Times New Roman"/>
          <w:lang w:val="it-IT"/>
        </w:rPr>
        <w:t>.</w:t>
      </w:r>
    </w:p>
    <w:p w14:paraId="190E7806" w14:textId="77777777" w:rsidR="00A41E19" w:rsidRPr="00496684" w:rsidRDefault="00A41E19" w:rsidP="00D203E4">
      <w:pPr>
        <w:spacing w:after="0" w:line="240" w:lineRule="auto"/>
        <w:jc w:val="both"/>
        <w:rPr>
          <w:rFonts w:ascii="Times New Roman" w:hAnsi="Times New Roman"/>
          <w:lang w:val="it-IT"/>
        </w:rPr>
      </w:pPr>
    </w:p>
    <w:p w14:paraId="5B1F3A32" w14:textId="77777777" w:rsidR="00D203E4" w:rsidRPr="00496684" w:rsidRDefault="00D203E4" w:rsidP="00D203E4">
      <w:pPr>
        <w:pStyle w:val="Endnotentext"/>
        <w:widowControl w:val="0"/>
        <w:tabs>
          <w:tab w:val="clear" w:pos="567"/>
        </w:tabs>
        <w:rPr>
          <w:szCs w:val="22"/>
          <w:lang w:val="it-IT"/>
        </w:rPr>
      </w:pPr>
      <w:r w:rsidRPr="00496684">
        <w:rPr>
          <w:szCs w:val="22"/>
          <w:lang w:val="it-IT"/>
        </w:rPr>
        <w:t xml:space="preserve">Uno studio di carcinogenesi della durata di 2 anni in ratti trattati con dosi di 15, 30 e 60 mg/kg/die di imatinib ha evidenziato una riduzione statisticamente significativa della longevità dei maschi trattati alla dose di 60 mg/kg/die e delle femmine trattate a dosi </w:t>
      </w:r>
      <w:r w:rsidRPr="00496684">
        <w:rPr>
          <w:szCs w:val="22"/>
          <w:lang w:val="it-IT"/>
        </w:rPr>
        <w:sym w:font="Symbol" w:char="F0B3"/>
      </w:r>
      <w:r w:rsidRPr="00496684">
        <w:rPr>
          <w:szCs w:val="22"/>
          <w:lang w:val="it-IT"/>
        </w:rPr>
        <w:t>30 mg/kg/die. L’esame istopatologico dei cadaveri ha rivelato come cause principali di morte o come motivo del sacrificio la cardiomiopatia (entrambi i sessi), la nefropatia cronica progressiva (femmine) ed il papilloma della ghiandola prepuziale. Gli organi bersaglio per cambiamenti neoplastici sono stati i reni, la vescica urinaria, l’uretra, la ghiandola prepuziale e clitoridea, l’intestino tenue, le ghiandole paratiroidee, le ghiandole surrenali e la parte non ghiandolare dello stomaco.</w:t>
      </w:r>
    </w:p>
    <w:p w14:paraId="58087CF5" w14:textId="77777777" w:rsidR="00D203E4" w:rsidRPr="00496684" w:rsidRDefault="00D203E4" w:rsidP="00D203E4">
      <w:pPr>
        <w:pStyle w:val="Endnotentext"/>
        <w:widowControl w:val="0"/>
        <w:tabs>
          <w:tab w:val="clear" w:pos="567"/>
        </w:tabs>
        <w:rPr>
          <w:szCs w:val="22"/>
          <w:lang w:val="it-IT"/>
        </w:rPr>
      </w:pPr>
    </w:p>
    <w:p w14:paraId="58AEB951" w14:textId="535F37E2" w:rsidR="00D203E4" w:rsidRPr="00496684" w:rsidRDefault="00D203E4" w:rsidP="00D203E4">
      <w:pPr>
        <w:pStyle w:val="Endnotentext"/>
        <w:widowControl w:val="0"/>
        <w:tabs>
          <w:tab w:val="clear" w:pos="567"/>
        </w:tabs>
        <w:rPr>
          <w:szCs w:val="22"/>
          <w:lang w:val="it-IT"/>
        </w:rPr>
      </w:pPr>
      <w:r w:rsidRPr="00496684">
        <w:rPr>
          <w:szCs w:val="22"/>
          <w:lang w:val="it-IT"/>
        </w:rPr>
        <w:t>Papillomi/carcinomi delle ghiandole prepuziali e clitoridee sono stati osservati a dosi da 30 mg/kg/die in avanti che rappresentano 0,5</w:t>
      </w:r>
      <w:r w:rsidRPr="00496684">
        <w:rPr>
          <w:bCs/>
          <w:lang w:val="it-IT"/>
        </w:rPr>
        <w:t> </w:t>
      </w:r>
      <w:r w:rsidRPr="00496684">
        <w:rPr>
          <w:szCs w:val="22"/>
          <w:lang w:val="it-IT"/>
        </w:rPr>
        <w:t>o 0,3</w:t>
      </w:r>
      <w:r w:rsidRPr="00496684">
        <w:rPr>
          <w:bCs/>
          <w:lang w:val="it-IT"/>
        </w:rPr>
        <w:t> </w:t>
      </w:r>
      <w:r w:rsidRPr="00496684">
        <w:rPr>
          <w:szCs w:val="22"/>
          <w:lang w:val="it-IT"/>
        </w:rPr>
        <w:t>volte circa l’esposizione giornaliera nell’uomo rispettivamente a 400 mg/die o a 800 mg/die (sulla base dell’AUC), e 0,4</w:t>
      </w:r>
      <w:r w:rsidRPr="00496684">
        <w:rPr>
          <w:bCs/>
          <w:lang w:val="it-IT"/>
        </w:rPr>
        <w:t> </w:t>
      </w:r>
      <w:r w:rsidRPr="00496684">
        <w:rPr>
          <w:szCs w:val="22"/>
          <w:lang w:val="it-IT"/>
        </w:rPr>
        <w:t>volte l’esposizione giornaliera nei bambini a 340 mg/m</w:t>
      </w:r>
      <w:r w:rsidRPr="00496684">
        <w:rPr>
          <w:bCs/>
          <w:szCs w:val="22"/>
          <w:vertAlign w:val="superscript"/>
          <w:lang w:val="it-IT"/>
        </w:rPr>
        <w:t>2</w:t>
      </w:r>
      <w:r w:rsidRPr="00496684">
        <w:rPr>
          <w:szCs w:val="22"/>
          <w:lang w:val="it-IT"/>
        </w:rPr>
        <w:t xml:space="preserve">/die (sulla base dell’AUC). Il NOEL è stato di </w:t>
      </w:r>
      <w:r w:rsidRPr="00496684">
        <w:rPr>
          <w:bCs/>
          <w:lang w:val="it-IT"/>
        </w:rPr>
        <w:t>15 mg/kg/die.</w:t>
      </w:r>
      <w:r w:rsidRPr="00496684">
        <w:rPr>
          <w:szCs w:val="22"/>
          <w:lang w:val="it-IT"/>
        </w:rPr>
        <w:t xml:space="preserve"> L’adenoma/carcinoma renale, il papilloma della vescica urinaria e dell’uretra, gli adenocarcinomi dell’intestino tenue, gli adenomi delle ghiandole parotidee, i tumori benigni e maligni della porzione midollare delle ghiandole surrenali ed i papillomi/carcinomi della parte non ghiandolare dello stomaco sono stati osservati a 60 mg/kg/die che rappresenta 1,7</w:t>
      </w:r>
      <w:r w:rsidRPr="00496684">
        <w:rPr>
          <w:bCs/>
          <w:lang w:val="it-IT"/>
        </w:rPr>
        <w:t> o</w:t>
      </w:r>
      <w:r w:rsidRPr="00496684">
        <w:rPr>
          <w:szCs w:val="22"/>
          <w:lang w:val="it-IT"/>
        </w:rPr>
        <w:t xml:space="preserve"> 1</w:t>
      </w:r>
      <w:r w:rsidRPr="00496684">
        <w:rPr>
          <w:bCs/>
          <w:lang w:val="it-IT"/>
        </w:rPr>
        <w:t> </w:t>
      </w:r>
      <w:r w:rsidRPr="00496684">
        <w:rPr>
          <w:szCs w:val="22"/>
          <w:lang w:val="it-IT"/>
        </w:rPr>
        <w:t xml:space="preserve">volta circa l’esposizione giornaliera nell’uomo rispettivamente a </w:t>
      </w:r>
      <w:r w:rsidRPr="00496684">
        <w:rPr>
          <w:bCs/>
          <w:lang w:val="it-IT"/>
        </w:rPr>
        <w:t>400 mg/die o a 800 mg/die</w:t>
      </w:r>
      <w:r w:rsidRPr="00496684">
        <w:rPr>
          <w:szCs w:val="22"/>
          <w:lang w:val="it-IT"/>
        </w:rPr>
        <w:t xml:space="preserve"> (sulla base dell’AUC), e 1,2</w:t>
      </w:r>
      <w:r w:rsidRPr="00496684">
        <w:rPr>
          <w:bCs/>
          <w:lang w:val="it-IT"/>
        </w:rPr>
        <w:t> </w:t>
      </w:r>
      <w:r w:rsidRPr="00496684">
        <w:rPr>
          <w:szCs w:val="22"/>
          <w:lang w:val="it-IT"/>
        </w:rPr>
        <w:t xml:space="preserve">volte l’esposizione giornaliera nei bambini a </w:t>
      </w:r>
      <w:r w:rsidRPr="00496684">
        <w:rPr>
          <w:bCs/>
          <w:lang w:val="it-IT"/>
        </w:rPr>
        <w:t>340 mg/m</w:t>
      </w:r>
      <w:r w:rsidRPr="00496684">
        <w:rPr>
          <w:bCs/>
          <w:szCs w:val="22"/>
          <w:vertAlign w:val="superscript"/>
          <w:lang w:val="it-IT"/>
        </w:rPr>
        <w:t>2</w:t>
      </w:r>
      <w:r w:rsidRPr="00496684">
        <w:rPr>
          <w:bCs/>
          <w:szCs w:val="22"/>
          <w:lang w:val="it-IT"/>
        </w:rPr>
        <w:t xml:space="preserve">/die </w:t>
      </w:r>
      <w:r w:rsidRPr="00496684">
        <w:rPr>
          <w:szCs w:val="22"/>
          <w:lang w:val="it-IT"/>
        </w:rPr>
        <w:t>(sulla base dell’AUC). Il NOEL è stato di 30</w:t>
      </w:r>
      <w:r w:rsidRPr="00496684">
        <w:rPr>
          <w:bCs/>
          <w:lang w:val="it-IT"/>
        </w:rPr>
        <w:t> mg/kg/die.</w:t>
      </w:r>
    </w:p>
    <w:p w14:paraId="42082AFF" w14:textId="77777777" w:rsidR="00D203E4" w:rsidRPr="00496684" w:rsidRDefault="00D203E4" w:rsidP="00D203E4">
      <w:pPr>
        <w:pStyle w:val="Endnotentext"/>
        <w:widowControl w:val="0"/>
        <w:tabs>
          <w:tab w:val="clear" w:pos="567"/>
        </w:tabs>
        <w:rPr>
          <w:szCs w:val="22"/>
          <w:lang w:val="it-IT"/>
        </w:rPr>
      </w:pPr>
    </w:p>
    <w:p w14:paraId="4E6658EB" w14:textId="77777777" w:rsidR="00D203E4" w:rsidRPr="00496684" w:rsidRDefault="00D203E4" w:rsidP="00D203E4">
      <w:pPr>
        <w:pStyle w:val="Endnotentext"/>
        <w:widowControl w:val="0"/>
        <w:tabs>
          <w:tab w:val="clear" w:pos="567"/>
        </w:tabs>
        <w:rPr>
          <w:szCs w:val="22"/>
          <w:lang w:val="it-IT"/>
        </w:rPr>
      </w:pPr>
      <w:r w:rsidRPr="00496684">
        <w:rPr>
          <w:szCs w:val="22"/>
          <w:lang w:val="it-IT"/>
        </w:rPr>
        <w:t>Per l’uomo il meccanismo e la rilevanza di questi risultati emersi nello studio di carcinogenesi condotto nel ratto non sono ancora chiariti.</w:t>
      </w:r>
    </w:p>
    <w:p w14:paraId="476E18DF" w14:textId="77777777" w:rsidR="00D203E4" w:rsidRPr="00496684" w:rsidRDefault="00D203E4" w:rsidP="00D203E4">
      <w:pPr>
        <w:pStyle w:val="Endnotentext"/>
        <w:widowControl w:val="0"/>
        <w:tabs>
          <w:tab w:val="clear" w:pos="567"/>
        </w:tabs>
        <w:rPr>
          <w:szCs w:val="22"/>
          <w:lang w:val="it-IT"/>
        </w:rPr>
      </w:pPr>
    </w:p>
    <w:p w14:paraId="65BCF342" w14:textId="77777777" w:rsidR="00D203E4" w:rsidRPr="00496684" w:rsidRDefault="00D203E4" w:rsidP="00D203E4">
      <w:pPr>
        <w:pStyle w:val="Endnotentext"/>
        <w:widowControl w:val="0"/>
        <w:tabs>
          <w:tab w:val="clear" w:pos="567"/>
        </w:tabs>
        <w:rPr>
          <w:szCs w:val="22"/>
          <w:lang w:val="it-IT"/>
        </w:rPr>
      </w:pPr>
      <w:r w:rsidRPr="00496684">
        <w:rPr>
          <w:szCs w:val="22"/>
          <w:lang w:val="it-IT"/>
        </w:rPr>
        <w:t>Lesioni non neoplastiche non identificate nei precedenti studi preclinici sono state a carico del sistema cardiovascolare, del pancreas, degli organi endocrini e dei denti. I cambiamenti più importanti hanno compreso l’ipertrofia e la dilatazione cardiaca che hanno portano a segni di insufficienza cardiaca in alcuni animali.</w:t>
      </w:r>
    </w:p>
    <w:p w14:paraId="1CCD196C" w14:textId="77777777" w:rsidR="005A4DAC" w:rsidRPr="00496684" w:rsidRDefault="005A4DAC">
      <w:pPr>
        <w:autoSpaceDE w:val="0"/>
        <w:autoSpaceDN w:val="0"/>
        <w:adjustRightInd w:val="0"/>
        <w:spacing w:after="0" w:line="240" w:lineRule="auto"/>
        <w:rPr>
          <w:rFonts w:ascii="Times New Roman" w:hAnsi="Times New Roman"/>
          <w:lang w:val="it-IT"/>
        </w:rPr>
      </w:pPr>
    </w:p>
    <w:p w14:paraId="03551409" w14:textId="77777777" w:rsidR="0053751C" w:rsidRPr="00496684" w:rsidRDefault="00A41E1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La sostanza attiva imatinib mostra un rischio ambientale per gli organismi dei sedimenti.</w:t>
      </w:r>
    </w:p>
    <w:p w14:paraId="71EE61E7" w14:textId="77777777" w:rsidR="00A41E19" w:rsidRPr="00496684" w:rsidRDefault="00A41E19">
      <w:pPr>
        <w:autoSpaceDE w:val="0"/>
        <w:autoSpaceDN w:val="0"/>
        <w:adjustRightInd w:val="0"/>
        <w:spacing w:after="0" w:line="240" w:lineRule="auto"/>
        <w:rPr>
          <w:rFonts w:ascii="Times New Roman" w:hAnsi="Times New Roman"/>
          <w:lang w:val="it-IT"/>
        </w:rPr>
      </w:pPr>
    </w:p>
    <w:p w14:paraId="612EC372" w14:textId="77777777" w:rsidR="006E4320" w:rsidRPr="00496684" w:rsidRDefault="006E4320">
      <w:pPr>
        <w:autoSpaceDE w:val="0"/>
        <w:autoSpaceDN w:val="0"/>
        <w:adjustRightInd w:val="0"/>
        <w:spacing w:after="0" w:line="240" w:lineRule="auto"/>
        <w:rPr>
          <w:rFonts w:ascii="Times New Roman" w:hAnsi="Times New Roman"/>
          <w:lang w:val="it-IT"/>
        </w:rPr>
      </w:pPr>
    </w:p>
    <w:p w14:paraId="5A0CC5CD"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00D203E4" w:rsidRPr="00496684">
        <w:rPr>
          <w:rFonts w:ascii="Times New Roman" w:hAnsi="Times New Roman"/>
          <w:b/>
          <w:lang w:val="it-IT"/>
        </w:rPr>
        <w:t>INFORMAZIONI FARMACEUTICHE</w:t>
      </w:r>
    </w:p>
    <w:p w14:paraId="370D3E10" w14:textId="77777777" w:rsidR="0053751C" w:rsidRPr="00496684" w:rsidRDefault="0053751C" w:rsidP="0053751C">
      <w:pPr>
        <w:autoSpaceDE w:val="0"/>
        <w:autoSpaceDN w:val="0"/>
        <w:adjustRightInd w:val="0"/>
        <w:spacing w:after="0" w:line="240" w:lineRule="auto"/>
        <w:rPr>
          <w:rFonts w:ascii="Times New Roman" w:hAnsi="Times New Roman"/>
          <w:lang w:val="it-IT"/>
        </w:rPr>
      </w:pPr>
    </w:p>
    <w:p w14:paraId="1212B791"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6.1</w:t>
      </w:r>
      <w:r w:rsidRPr="00496684">
        <w:rPr>
          <w:rFonts w:ascii="Times New Roman" w:hAnsi="Times New Roman"/>
          <w:b/>
          <w:bCs/>
          <w:lang w:val="it-IT"/>
        </w:rPr>
        <w:tab/>
      </w:r>
      <w:r w:rsidR="00D203E4" w:rsidRPr="00496684">
        <w:rPr>
          <w:rFonts w:ascii="Times New Roman" w:hAnsi="Times New Roman"/>
          <w:b/>
          <w:lang w:val="it-IT"/>
        </w:rPr>
        <w:t>Elenco degli eccipienti</w:t>
      </w:r>
    </w:p>
    <w:p w14:paraId="731901A6" w14:textId="77777777" w:rsidR="00A07DBC" w:rsidRPr="00496684" w:rsidRDefault="00A07DBC" w:rsidP="00A07DBC">
      <w:pPr>
        <w:pStyle w:val="KeinLeerraum"/>
        <w:rPr>
          <w:rFonts w:ascii="Times New Roman" w:hAnsi="Times New Roman"/>
          <w:lang w:val="it-IT"/>
        </w:rPr>
      </w:pPr>
    </w:p>
    <w:p w14:paraId="2161448D" w14:textId="77777777" w:rsidR="00E231E8" w:rsidRPr="00496684" w:rsidRDefault="00E231E8" w:rsidP="00E231E8">
      <w:pPr>
        <w:pStyle w:val="StandardWeb"/>
        <w:spacing w:before="0" w:beforeAutospacing="0" w:after="0" w:afterAutospacing="0"/>
        <w:rPr>
          <w:sz w:val="22"/>
          <w:szCs w:val="22"/>
        </w:rPr>
      </w:pPr>
      <w:r w:rsidRPr="00496684">
        <w:rPr>
          <w:sz w:val="22"/>
          <w:szCs w:val="22"/>
        </w:rPr>
        <w:t>Imatinib Actavis 50 mg capsule rigide</w:t>
      </w:r>
    </w:p>
    <w:p w14:paraId="2B8FA9D1" w14:textId="77777777" w:rsidR="00BE5F51" w:rsidRPr="00496684" w:rsidRDefault="00D203E4" w:rsidP="00BE5F51">
      <w:pPr>
        <w:autoSpaceDE w:val="0"/>
        <w:autoSpaceDN w:val="0"/>
        <w:adjustRightInd w:val="0"/>
        <w:spacing w:after="0" w:line="240" w:lineRule="auto"/>
        <w:ind w:left="567" w:hanging="567"/>
        <w:rPr>
          <w:rFonts w:ascii="Times New Roman" w:hAnsi="Times New Roman"/>
          <w:i/>
          <w:lang w:val="it-IT"/>
        </w:rPr>
      </w:pPr>
      <w:r w:rsidRPr="00496684">
        <w:rPr>
          <w:rFonts w:ascii="Times New Roman" w:hAnsi="Times New Roman"/>
          <w:i/>
          <w:lang w:val="it-IT"/>
        </w:rPr>
        <w:t>Contenuto della capsula</w:t>
      </w:r>
    </w:p>
    <w:p w14:paraId="4172938A" w14:textId="77777777" w:rsidR="00BE5F51" w:rsidRPr="00496684" w:rsidRDefault="00BE5F51" w:rsidP="00BE5F51">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Cellulos</w:t>
      </w:r>
      <w:r w:rsidR="00D203E4" w:rsidRPr="00496684">
        <w:rPr>
          <w:rFonts w:ascii="Times New Roman" w:hAnsi="Times New Roman"/>
          <w:lang w:val="it-IT"/>
        </w:rPr>
        <w:t>a</w:t>
      </w:r>
      <w:r w:rsidRPr="00496684">
        <w:rPr>
          <w:rFonts w:ascii="Times New Roman" w:hAnsi="Times New Roman"/>
          <w:lang w:val="it-IT"/>
        </w:rPr>
        <w:t xml:space="preserve"> microcr</w:t>
      </w:r>
      <w:r w:rsidR="00D203E4" w:rsidRPr="00496684">
        <w:rPr>
          <w:rFonts w:ascii="Times New Roman" w:hAnsi="Times New Roman"/>
          <w:lang w:val="it-IT"/>
        </w:rPr>
        <w:t>o</w:t>
      </w:r>
      <w:r w:rsidRPr="00496684">
        <w:rPr>
          <w:rFonts w:ascii="Times New Roman" w:hAnsi="Times New Roman"/>
          <w:lang w:val="it-IT"/>
        </w:rPr>
        <w:t>stallin</w:t>
      </w:r>
      <w:r w:rsidR="00D203E4" w:rsidRPr="00496684">
        <w:rPr>
          <w:rFonts w:ascii="Times New Roman" w:hAnsi="Times New Roman"/>
          <w:lang w:val="it-IT"/>
        </w:rPr>
        <w:t>a</w:t>
      </w:r>
    </w:p>
    <w:p w14:paraId="6392DC17" w14:textId="77777777" w:rsidR="00BE5F51" w:rsidRPr="00496684" w:rsidRDefault="005514E9" w:rsidP="00BE5F51">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Cop</w:t>
      </w:r>
      <w:r w:rsidR="00BE5F51" w:rsidRPr="00496684">
        <w:rPr>
          <w:rFonts w:ascii="Times New Roman" w:hAnsi="Times New Roman"/>
          <w:lang w:val="it-IT"/>
        </w:rPr>
        <w:t>ovidone</w:t>
      </w:r>
    </w:p>
    <w:p w14:paraId="141238B9" w14:textId="77777777" w:rsidR="00BE5F51" w:rsidRPr="00496684" w:rsidRDefault="00BE5F51" w:rsidP="00BE5F51">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Crospovidone</w:t>
      </w:r>
    </w:p>
    <w:p w14:paraId="1A16C6EF" w14:textId="77777777" w:rsidR="00BE5F51" w:rsidRPr="00496684" w:rsidRDefault="00D203E4" w:rsidP="00BE5F51">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Sodioste</w:t>
      </w:r>
      <w:r w:rsidR="00AF3378" w:rsidRPr="00496684">
        <w:rPr>
          <w:rFonts w:ascii="Times New Roman" w:hAnsi="Times New Roman"/>
          <w:lang w:val="it-IT"/>
        </w:rPr>
        <w:t>a</w:t>
      </w:r>
      <w:r w:rsidRPr="00496684">
        <w:rPr>
          <w:rFonts w:ascii="Times New Roman" w:hAnsi="Times New Roman"/>
          <w:lang w:val="it-IT"/>
        </w:rPr>
        <w:t>ri</w:t>
      </w:r>
      <w:r w:rsidR="00BE5F51" w:rsidRPr="00496684">
        <w:rPr>
          <w:rFonts w:ascii="Times New Roman" w:hAnsi="Times New Roman"/>
          <w:lang w:val="it-IT"/>
        </w:rPr>
        <w:t>l fumarat</w:t>
      </w:r>
      <w:r w:rsidRPr="00496684">
        <w:rPr>
          <w:rFonts w:ascii="Times New Roman" w:hAnsi="Times New Roman"/>
          <w:lang w:val="it-IT"/>
        </w:rPr>
        <w:t>o</w:t>
      </w:r>
    </w:p>
    <w:p w14:paraId="76DA7B5D" w14:textId="77777777" w:rsidR="00BE5F51" w:rsidRPr="00496684" w:rsidRDefault="00BE5F51" w:rsidP="00BE5F51">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Silic</w:t>
      </w:r>
      <w:r w:rsidR="00D203E4" w:rsidRPr="00496684">
        <w:rPr>
          <w:rFonts w:ascii="Times New Roman" w:hAnsi="Times New Roman"/>
          <w:lang w:val="it-IT"/>
        </w:rPr>
        <w:t>e colloidale idrofobica</w:t>
      </w:r>
    </w:p>
    <w:p w14:paraId="36BB95FF" w14:textId="77777777" w:rsidR="00D203E4" w:rsidRPr="00496684" w:rsidRDefault="00D203E4" w:rsidP="00D203E4">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Silice colloidale anidra</w:t>
      </w:r>
    </w:p>
    <w:p w14:paraId="5576312D" w14:textId="77777777" w:rsidR="00BE5F51" w:rsidRPr="00496684" w:rsidRDefault="00BE5F51" w:rsidP="00BE5F51">
      <w:pPr>
        <w:autoSpaceDE w:val="0"/>
        <w:autoSpaceDN w:val="0"/>
        <w:adjustRightInd w:val="0"/>
        <w:spacing w:after="0" w:line="240" w:lineRule="auto"/>
        <w:rPr>
          <w:rFonts w:ascii="Times New Roman" w:hAnsi="Times New Roman"/>
          <w:highlight w:val="yellow"/>
          <w:lang w:val="it-IT"/>
        </w:rPr>
      </w:pPr>
    </w:p>
    <w:p w14:paraId="32496783" w14:textId="77777777" w:rsidR="00BE5F51" w:rsidRPr="00496684" w:rsidRDefault="0019675B" w:rsidP="00AF3378">
      <w:pPr>
        <w:autoSpaceDE w:val="0"/>
        <w:autoSpaceDN w:val="0"/>
        <w:adjustRightInd w:val="0"/>
        <w:spacing w:after="0" w:line="240" w:lineRule="auto"/>
        <w:ind w:left="567" w:hanging="567"/>
        <w:rPr>
          <w:rFonts w:ascii="Times New Roman" w:hAnsi="Times New Roman"/>
          <w:i/>
          <w:lang w:val="it-IT"/>
        </w:rPr>
      </w:pPr>
      <w:r w:rsidRPr="00496684">
        <w:rPr>
          <w:rFonts w:ascii="Times New Roman" w:hAnsi="Times New Roman"/>
          <w:i/>
          <w:lang w:val="it-IT"/>
        </w:rPr>
        <w:t>Involucro della capsula</w:t>
      </w:r>
    </w:p>
    <w:p w14:paraId="4514D01A" w14:textId="77777777" w:rsidR="00BE5F51" w:rsidRPr="00496684" w:rsidRDefault="0019675B" w:rsidP="00AF337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Ipromellosa</w:t>
      </w:r>
    </w:p>
    <w:p w14:paraId="4A80422C" w14:textId="77777777" w:rsidR="00BE5F51" w:rsidRPr="00496684" w:rsidRDefault="0019675B" w:rsidP="00AF337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 xml:space="preserve">Titanio </w:t>
      </w:r>
      <w:r w:rsidR="002A3C16" w:rsidRPr="00496684">
        <w:rPr>
          <w:rFonts w:ascii="Times New Roman" w:hAnsi="Times New Roman"/>
          <w:lang w:val="it-IT"/>
        </w:rPr>
        <w:t>di</w:t>
      </w:r>
      <w:r w:rsidRPr="00496684">
        <w:rPr>
          <w:rFonts w:ascii="Times New Roman" w:hAnsi="Times New Roman"/>
          <w:lang w:val="it-IT"/>
        </w:rPr>
        <w:t>ossido</w:t>
      </w:r>
      <w:r w:rsidR="00BE5F51" w:rsidRPr="00496684">
        <w:rPr>
          <w:rFonts w:ascii="Times New Roman" w:hAnsi="Times New Roman"/>
          <w:lang w:val="it-IT"/>
        </w:rPr>
        <w:t xml:space="preserve"> (E171)</w:t>
      </w:r>
    </w:p>
    <w:p w14:paraId="35776BD3" w14:textId="77777777" w:rsidR="00BE5F51" w:rsidRPr="00496684" w:rsidRDefault="0019675B" w:rsidP="00BE5F5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giallo</w:t>
      </w:r>
      <w:r w:rsidR="003063DC" w:rsidRPr="00496684">
        <w:rPr>
          <w:rFonts w:ascii="Times New Roman" w:hAnsi="Times New Roman"/>
          <w:lang w:val="it-IT"/>
        </w:rPr>
        <w:t xml:space="preserve"> </w:t>
      </w:r>
      <w:r w:rsidR="00BE5F51" w:rsidRPr="00496684">
        <w:rPr>
          <w:rFonts w:ascii="Times New Roman" w:hAnsi="Times New Roman"/>
          <w:lang w:val="it-IT"/>
        </w:rPr>
        <w:t>(E172)</w:t>
      </w:r>
    </w:p>
    <w:p w14:paraId="41704F53" w14:textId="77777777" w:rsidR="00D47543" w:rsidRPr="00496684" w:rsidRDefault="00D47543" w:rsidP="00BE5F51">
      <w:pPr>
        <w:autoSpaceDE w:val="0"/>
        <w:autoSpaceDN w:val="0"/>
        <w:adjustRightInd w:val="0"/>
        <w:spacing w:after="0" w:line="240" w:lineRule="auto"/>
        <w:rPr>
          <w:rFonts w:ascii="Times New Roman" w:hAnsi="Times New Roman"/>
          <w:lang w:val="it-IT"/>
        </w:rPr>
      </w:pPr>
    </w:p>
    <w:p w14:paraId="0C9FFC8C" w14:textId="77777777" w:rsidR="00BE5F51" w:rsidRPr="00496684" w:rsidRDefault="001505E2" w:rsidP="00BE5F51">
      <w:pPr>
        <w:autoSpaceDE w:val="0"/>
        <w:autoSpaceDN w:val="0"/>
        <w:adjustRightInd w:val="0"/>
        <w:spacing w:after="0" w:line="240" w:lineRule="auto"/>
        <w:rPr>
          <w:rFonts w:ascii="Times New Roman" w:hAnsi="Times New Roman"/>
          <w:i/>
          <w:lang w:val="it-IT"/>
        </w:rPr>
      </w:pPr>
      <w:r w:rsidRPr="00496684">
        <w:rPr>
          <w:rFonts w:ascii="Times New Roman" w:hAnsi="Times New Roman"/>
          <w:i/>
          <w:lang w:val="it-IT"/>
        </w:rPr>
        <w:t>Inchiostro di stampa</w:t>
      </w:r>
    </w:p>
    <w:p w14:paraId="70A82EB8" w14:textId="77777777" w:rsidR="00BE5F51" w:rsidRPr="00496684" w:rsidRDefault="001505E2" w:rsidP="00BE5F5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Gomma lacca</w:t>
      </w:r>
    </w:p>
    <w:p w14:paraId="7F153AF5" w14:textId="77777777" w:rsidR="001505E2" w:rsidRPr="00496684" w:rsidRDefault="001505E2" w:rsidP="001505E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nero (E172)</w:t>
      </w:r>
    </w:p>
    <w:p w14:paraId="6C83BB6B" w14:textId="77777777" w:rsidR="00BE5F51" w:rsidRPr="00496684" w:rsidRDefault="001505E2" w:rsidP="00BE5F5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Glicole propilenico</w:t>
      </w:r>
    </w:p>
    <w:p w14:paraId="14B9DFCD" w14:textId="77777777" w:rsidR="00BE5F51" w:rsidRPr="00496684" w:rsidRDefault="001505E2" w:rsidP="00BE5F5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Soluzione ammoniacale</w:t>
      </w:r>
    </w:p>
    <w:p w14:paraId="39CB6C8D" w14:textId="77777777" w:rsidR="00BE5F51" w:rsidRPr="00496684" w:rsidRDefault="001505E2" w:rsidP="00BE5F5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Potassio idrossido</w:t>
      </w:r>
    </w:p>
    <w:p w14:paraId="4C103616" w14:textId="77777777" w:rsidR="00BE5F51" w:rsidRPr="00496684" w:rsidRDefault="00BE5F51" w:rsidP="00A07DBC">
      <w:pPr>
        <w:pStyle w:val="KeinLeerraum"/>
        <w:rPr>
          <w:rFonts w:ascii="Times New Roman" w:hAnsi="Times New Roman"/>
          <w:lang w:val="it-IT"/>
        </w:rPr>
      </w:pPr>
    </w:p>
    <w:p w14:paraId="24F7D42B" w14:textId="77777777" w:rsidR="00E231E8" w:rsidRPr="00496684" w:rsidRDefault="00E231E8" w:rsidP="00E231E8">
      <w:pPr>
        <w:pStyle w:val="StandardWeb"/>
        <w:spacing w:before="0" w:beforeAutospacing="0" w:after="0" w:afterAutospacing="0"/>
        <w:rPr>
          <w:sz w:val="22"/>
          <w:szCs w:val="22"/>
        </w:rPr>
      </w:pPr>
      <w:r w:rsidRPr="00496684">
        <w:rPr>
          <w:sz w:val="22"/>
          <w:szCs w:val="22"/>
        </w:rPr>
        <w:t>Imatinib Actavis 100 mg capsule rigide</w:t>
      </w:r>
    </w:p>
    <w:p w14:paraId="529337DB" w14:textId="77777777" w:rsidR="00E231E8" w:rsidRPr="00496684" w:rsidRDefault="00E231E8" w:rsidP="00E231E8">
      <w:pPr>
        <w:autoSpaceDE w:val="0"/>
        <w:autoSpaceDN w:val="0"/>
        <w:adjustRightInd w:val="0"/>
        <w:spacing w:after="0" w:line="240" w:lineRule="auto"/>
        <w:ind w:left="567" w:hanging="567"/>
        <w:rPr>
          <w:rFonts w:ascii="Times New Roman" w:hAnsi="Times New Roman"/>
          <w:i/>
          <w:lang w:val="it-IT"/>
        </w:rPr>
      </w:pPr>
      <w:r w:rsidRPr="00496684">
        <w:rPr>
          <w:rFonts w:ascii="Times New Roman" w:hAnsi="Times New Roman"/>
          <w:i/>
          <w:lang w:val="it-IT"/>
        </w:rPr>
        <w:t>Contenuto della capsula</w:t>
      </w:r>
    </w:p>
    <w:p w14:paraId="74D2BC46"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Cellulosa microcrostallina</w:t>
      </w:r>
    </w:p>
    <w:p w14:paraId="538DC2F6"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Copovidone</w:t>
      </w:r>
    </w:p>
    <w:p w14:paraId="007D4930"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Crospovidone</w:t>
      </w:r>
    </w:p>
    <w:p w14:paraId="616D668A"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Sodiostearil fumarato</w:t>
      </w:r>
    </w:p>
    <w:p w14:paraId="3D03AD80"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Silice colloidale idrofobica</w:t>
      </w:r>
    </w:p>
    <w:p w14:paraId="5123E5FC"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Silice colloidale anidra</w:t>
      </w:r>
    </w:p>
    <w:p w14:paraId="693AD042" w14:textId="77777777" w:rsidR="00E231E8" w:rsidRPr="00496684" w:rsidRDefault="00E231E8" w:rsidP="00E231E8">
      <w:pPr>
        <w:autoSpaceDE w:val="0"/>
        <w:autoSpaceDN w:val="0"/>
        <w:adjustRightInd w:val="0"/>
        <w:spacing w:after="0" w:line="240" w:lineRule="auto"/>
        <w:rPr>
          <w:rFonts w:ascii="Times New Roman" w:hAnsi="Times New Roman"/>
          <w:highlight w:val="yellow"/>
          <w:lang w:val="it-IT"/>
        </w:rPr>
      </w:pPr>
    </w:p>
    <w:p w14:paraId="10545A68" w14:textId="77777777" w:rsidR="00E231E8" w:rsidRPr="00496684" w:rsidRDefault="00E231E8" w:rsidP="00E231E8">
      <w:pPr>
        <w:autoSpaceDE w:val="0"/>
        <w:autoSpaceDN w:val="0"/>
        <w:adjustRightInd w:val="0"/>
        <w:spacing w:after="0" w:line="240" w:lineRule="auto"/>
        <w:ind w:left="567" w:hanging="567"/>
        <w:rPr>
          <w:rFonts w:ascii="Times New Roman" w:hAnsi="Times New Roman"/>
          <w:i/>
          <w:lang w:val="it-IT"/>
        </w:rPr>
      </w:pPr>
      <w:r w:rsidRPr="00496684">
        <w:rPr>
          <w:rFonts w:ascii="Times New Roman" w:hAnsi="Times New Roman"/>
          <w:i/>
          <w:lang w:val="it-IT"/>
        </w:rPr>
        <w:t>Involucro della capsula</w:t>
      </w:r>
    </w:p>
    <w:p w14:paraId="0F1D06E0"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Ipromellosa</w:t>
      </w:r>
    </w:p>
    <w:p w14:paraId="679D709A"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Titanio diossido (E171)</w:t>
      </w:r>
    </w:p>
    <w:p w14:paraId="1DF5AAC0"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giallo (E172)</w:t>
      </w:r>
    </w:p>
    <w:p w14:paraId="74A44351"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rosso (E172)</w:t>
      </w:r>
    </w:p>
    <w:p w14:paraId="5CB763C6" w14:textId="77777777" w:rsidR="00E231E8" w:rsidRPr="00496684" w:rsidRDefault="00E231E8" w:rsidP="00E231E8">
      <w:pPr>
        <w:autoSpaceDE w:val="0"/>
        <w:autoSpaceDN w:val="0"/>
        <w:adjustRightInd w:val="0"/>
        <w:spacing w:after="0" w:line="240" w:lineRule="auto"/>
        <w:rPr>
          <w:rFonts w:ascii="Times New Roman" w:hAnsi="Times New Roman"/>
          <w:lang w:val="it-IT"/>
        </w:rPr>
      </w:pPr>
    </w:p>
    <w:p w14:paraId="027B8BC2" w14:textId="77777777" w:rsidR="00E231E8" w:rsidRPr="00496684" w:rsidRDefault="00E231E8" w:rsidP="00E231E8">
      <w:pPr>
        <w:autoSpaceDE w:val="0"/>
        <w:autoSpaceDN w:val="0"/>
        <w:adjustRightInd w:val="0"/>
        <w:spacing w:after="0" w:line="240" w:lineRule="auto"/>
        <w:rPr>
          <w:rFonts w:ascii="Times New Roman" w:hAnsi="Times New Roman"/>
          <w:i/>
          <w:lang w:val="it-IT"/>
        </w:rPr>
      </w:pPr>
      <w:r w:rsidRPr="00496684">
        <w:rPr>
          <w:rFonts w:ascii="Times New Roman" w:hAnsi="Times New Roman"/>
          <w:i/>
          <w:lang w:val="it-IT"/>
        </w:rPr>
        <w:t>Inchiostro di stampa</w:t>
      </w:r>
    </w:p>
    <w:p w14:paraId="58AD495F"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Gomma lacca</w:t>
      </w:r>
    </w:p>
    <w:p w14:paraId="0AE4AEB0"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nero (E172)</w:t>
      </w:r>
    </w:p>
    <w:p w14:paraId="020E5302"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Glicole propilenico</w:t>
      </w:r>
    </w:p>
    <w:p w14:paraId="7A93289F"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Soluzione ammoniacale</w:t>
      </w:r>
    </w:p>
    <w:p w14:paraId="7A8A651B"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Potassio idrossido</w:t>
      </w:r>
    </w:p>
    <w:p w14:paraId="2A55ABA1" w14:textId="77777777" w:rsidR="00E231E8" w:rsidRPr="00496684" w:rsidRDefault="00E231E8" w:rsidP="00E231E8">
      <w:pPr>
        <w:autoSpaceDE w:val="0"/>
        <w:autoSpaceDN w:val="0"/>
        <w:adjustRightInd w:val="0"/>
        <w:spacing w:after="0" w:line="240" w:lineRule="auto"/>
        <w:rPr>
          <w:rFonts w:ascii="Times New Roman" w:hAnsi="Times New Roman"/>
          <w:lang w:val="it-IT"/>
        </w:rPr>
      </w:pPr>
    </w:p>
    <w:p w14:paraId="33A60BD7" w14:textId="77777777" w:rsidR="00E231E8" w:rsidRPr="00496684" w:rsidRDefault="00E231E8" w:rsidP="00E231E8">
      <w:pPr>
        <w:pStyle w:val="StandardWeb"/>
        <w:spacing w:before="0" w:beforeAutospacing="0" w:after="0" w:afterAutospacing="0"/>
        <w:rPr>
          <w:sz w:val="22"/>
          <w:szCs w:val="22"/>
        </w:rPr>
      </w:pPr>
      <w:r w:rsidRPr="00496684">
        <w:rPr>
          <w:sz w:val="22"/>
          <w:szCs w:val="22"/>
        </w:rPr>
        <w:t>Imatinib Actavis 400 mg capsule rigide</w:t>
      </w:r>
    </w:p>
    <w:p w14:paraId="04211478" w14:textId="77777777" w:rsidR="00E231E8" w:rsidRPr="00496684" w:rsidRDefault="00E231E8" w:rsidP="00E231E8">
      <w:pPr>
        <w:autoSpaceDE w:val="0"/>
        <w:autoSpaceDN w:val="0"/>
        <w:adjustRightInd w:val="0"/>
        <w:spacing w:after="0" w:line="240" w:lineRule="auto"/>
        <w:ind w:left="567" w:hanging="567"/>
        <w:rPr>
          <w:rFonts w:ascii="Times New Roman" w:hAnsi="Times New Roman"/>
          <w:i/>
          <w:lang w:val="it-IT"/>
        </w:rPr>
      </w:pPr>
      <w:r w:rsidRPr="00496684">
        <w:rPr>
          <w:rFonts w:ascii="Times New Roman" w:hAnsi="Times New Roman"/>
          <w:i/>
          <w:lang w:val="it-IT"/>
        </w:rPr>
        <w:t>Contenuto della capsula</w:t>
      </w:r>
    </w:p>
    <w:p w14:paraId="041AFF83"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Cellulosa microcrostallina</w:t>
      </w:r>
    </w:p>
    <w:p w14:paraId="1AC8F5BF"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Copovidone</w:t>
      </w:r>
    </w:p>
    <w:p w14:paraId="2A8859DC"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Crospovidone</w:t>
      </w:r>
    </w:p>
    <w:p w14:paraId="4BEC0C9C"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Sodiostearil fumarato</w:t>
      </w:r>
    </w:p>
    <w:p w14:paraId="39ACA5A6"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Silice colloidale idrofobica</w:t>
      </w:r>
    </w:p>
    <w:p w14:paraId="2F5B9724"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Silice colloidale anidra</w:t>
      </w:r>
    </w:p>
    <w:p w14:paraId="67C1FEA4" w14:textId="77777777" w:rsidR="00E231E8" w:rsidRPr="00496684" w:rsidRDefault="00E231E8" w:rsidP="00E231E8">
      <w:pPr>
        <w:autoSpaceDE w:val="0"/>
        <w:autoSpaceDN w:val="0"/>
        <w:adjustRightInd w:val="0"/>
        <w:spacing w:after="0" w:line="240" w:lineRule="auto"/>
        <w:rPr>
          <w:rFonts w:ascii="Times New Roman" w:hAnsi="Times New Roman"/>
          <w:highlight w:val="yellow"/>
          <w:lang w:val="it-IT"/>
        </w:rPr>
      </w:pPr>
    </w:p>
    <w:p w14:paraId="1852CD1F" w14:textId="77777777" w:rsidR="00E231E8" w:rsidRPr="00496684" w:rsidRDefault="00E231E8" w:rsidP="00E231E8">
      <w:pPr>
        <w:autoSpaceDE w:val="0"/>
        <w:autoSpaceDN w:val="0"/>
        <w:adjustRightInd w:val="0"/>
        <w:spacing w:after="0" w:line="240" w:lineRule="auto"/>
        <w:ind w:left="567" w:hanging="567"/>
        <w:rPr>
          <w:rFonts w:ascii="Times New Roman" w:hAnsi="Times New Roman"/>
          <w:i/>
          <w:lang w:val="it-IT"/>
        </w:rPr>
      </w:pPr>
      <w:r w:rsidRPr="00496684">
        <w:rPr>
          <w:rFonts w:ascii="Times New Roman" w:hAnsi="Times New Roman"/>
          <w:i/>
          <w:lang w:val="it-IT"/>
        </w:rPr>
        <w:t>Involucro della capsula</w:t>
      </w:r>
    </w:p>
    <w:p w14:paraId="3B93D52F"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Ipromellosa</w:t>
      </w:r>
    </w:p>
    <w:p w14:paraId="31664B62" w14:textId="77777777" w:rsidR="00E231E8" w:rsidRPr="00496684" w:rsidRDefault="00E231E8" w:rsidP="00E231E8">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Titanio diossido (E171)</w:t>
      </w:r>
    </w:p>
    <w:p w14:paraId="3C66CA3D"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giallo (E172)</w:t>
      </w:r>
    </w:p>
    <w:p w14:paraId="4E69659E"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rosso (E172)</w:t>
      </w:r>
    </w:p>
    <w:p w14:paraId="3C6C47F9"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nero (E172)</w:t>
      </w:r>
    </w:p>
    <w:p w14:paraId="2111F2AD" w14:textId="77777777" w:rsidR="00E231E8" w:rsidRPr="00496684" w:rsidRDefault="00E231E8" w:rsidP="00E231E8">
      <w:pPr>
        <w:autoSpaceDE w:val="0"/>
        <w:autoSpaceDN w:val="0"/>
        <w:adjustRightInd w:val="0"/>
        <w:spacing w:after="0" w:line="240" w:lineRule="auto"/>
        <w:rPr>
          <w:rFonts w:ascii="Times New Roman" w:hAnsi="Times New Roman"/>
          <w:lang w:val="it-IT"/>
        </w:rPr>
      </w:pPr>
    </w:p>
    <w:p w14:paraId="48979ACF" w14:textId="77777777" w:rsidR="00E231E8" w:rsidRPr="00496684" w:rsidRDefault="00E231E8" w:rsidP="00E231E8">
      <w:pPr>
        <w:autoSpaceDE w:val="0"/>
        <w:autoSpaceDN w:val="0"/>
        <w:adjustRightInd w:val="0"/>
        <w:spacing w:after="0" w:line="240" w:lineRule="auto"/>
        <w:rPr>
          <w:rFonts w:ascii="Times New Roman" w:hAnsi="Times New Roman"/>
          <w:i/>
          <w:lang w:val="it-IT"/>
        </w:rPr>
      </w:pPr>
      <w:r w:rsidRPr="00496684">
        <w:rPr>
          <w:rFonts w:ascii="Times New Roman" w:hAnsi="Times New Roman"/>
          <w:i/>
          <w:lang w:val="it-IT"/>
        </w:rPr>
        <w:t>Inchiostro di stampa</w:t>
      </w:r>
    </w:p>
    <w:p w14:paraId="7B1AC75F"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Gomma lacca-45%</w:t>
      </w:r>
    </w:p>
    <w:p w14:paraId="4D5F6EFD"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Ferro ossido nero (E172)</w:t>
      </w:r>
    </w:p>
    <w:p w14:paraId="6131B3E7"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Glicole propilenico</w:t>
      </w:r>
    </w:p>
    <w:p w14:paraId="4ACF9682" w14:textId="77777777" w:rsidR="00E231E8" w:rsidRPr="00496684" w:rsidRDefault="00E231E8" w:rsidP="00E231E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Soluzione ammoniacale 28%</w:t>
      </w:r>
    </w:p>
    <w:p w14:paraId="18CDE128" w14:textId="77777777" w:rsidR="00E231E8" w:rsidRPr="00496684" w:rsidRDefault="00E231E8" w:rsidP="00E231E8">
      <w:pPr>
        <w:autoSpaceDE w:val="0"/>
        <w:autoSpaceDN w:val="0"/>
        <w:adjustRightInd w:val="0"/>
        <w:spacing w:after="0" w:line="240" w:lineRule="auto"/>
        <w:rPr>
          <w:rFonts w:ascii="Times New Roman" w:hAnsi="Times New Roman"/>
          <w:lang w:val="it-IT"/>
        </w:rPr>
      </w:pPr>
    </w:p>
    <w:p w14:paraId="2D436C89" w14:textId="77777777" w:rsidR="00E231E8" w:rsidRPr="00496684" w:rsidRDefault="00E231E8" w:rsidP="00A07DBC">
      <w:pPr>
        <w:pStyle w:val="KeinLeerraum"/>
        <w:rPr>
          <w:rFonts w:ascii="Times New Roman" w:hAnsi="Times New Roman"/>
          <w:lang w:val="it-IT"/>
        </w:rPr>
      </w:pPr>
    </w:p>
    <w:p w14:paraId="0EA795AB"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6.2</w:t>
      </w:r>
      <w:r w:rsidRPr="00496684">
        <w:rPr>
          <w:rFonts w:ascii="Times New Roman" w:hAnsi="Times New Roman"/>
          <w:b/>
          <w:bCs/>
          <w:lang w:val="it-IT"/>
        </w:rPr>
        <w:tab/>
      </w:r>
      <w:r w:rsidR="00CD6ED6" w:rsidRPr="00496684">
        <w:rPr>
          <w:rFonts w:ascii="Times New Roman" w:hAnsi="Times New Roman"/>
          <w:b/>
          <w:lang w:val="it-IT"/>
        </w:rPr>
        <w:t>Incompatibilità</w:t>
      </w:r>
    </w:p>
    <w:p w14:paraId="4E25890D" w14:textId="77777777" w:rsidR="0053751C" w:rsidRPr="00496684" w:rsidRDefault="0053751C" w:rsidP="00AF3378">
      <w:pPr>
        <w:autoSpaceDE w:val="0"/>
        <w:autoSpaceDN w:val="0"/>
        <w:adjustRightInd w:val="0"/>
        <w:spacing w:after="0" w:line="240" w:lineRule="auto"/>
        <w:rPr>
          <w:rFonts w:ascii="Times New Roman" w:hAnsi="Times New Roman"/>
          <w:bCs/>
          <w:lang w:val="it-IT"/>
        </w:rPr>
      </w:pPr>
    </w:p>
    <w:p w14:paraId="11079FF3" w14:textId="77777777" w:rsidR="00CD6ED6" w:rsidRPr="00496684" w:rsidRDefault="00CD6ED6" w:rsidP="00AF3378">
      <w:pPr>
        <w:widowControl w:val="0"/>
        <w:spacing w:after="0" w:line="240" w:lineRule="auto"/>
        <w:rPr>
          <w:rFonts w:ascii="Times New Roman" w:hAnsi="Times New Roman"/>
          <w:lang w:val="it-IT"/>
        </w:rPr>
      </w:pPr>
      <w:r w:rsidRPr="00496684">
        <w:rPr>
          <w:rFonts w:ascii="Times New Roman" w:hAnsi="Times New Roman"/>
          <w:lang w:val="it-IT"/>
        </w:rPr>
        <w:t>Non pertinente.</w:t>
      </w:r>
    </w:p>
    <w:p w14:paraId="6C8FFA27" w14:textId="77777777" w:rsidR="00E83BDA" w:rsidRPr="00496684" w:rsidRDefault="00E83BDA" w:rsidP="00AF3378">
      <w:pPr>
        <w:widowControl w:val="0"/>
        <w:spacing w:after="0" w:line="240" w:lineRule="auto"/>
        <w:rPr>
          <w:rFonts w:ascii="Times New Roman" w:hAnsi="Times New Roman"/>
          <w:lang w:val="it-IT"/>
        </w:rPr>
      </w:pPr>
    </w:p>
    <w:p w14:paraId="6A7C91F1"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6.3</w:t>
      </w:r>
      <w:r w:rsidRPr="00496684">
        <w:rPr>
          <w:rFonts w:ascii="Times New Roman" w:hAnsi="Times New Roman"/>
          <w:b/>
          <w:bCs/>
          <w:lang w:val="it-IT"/>
        </w:rPr>
        <w:tab/>
      </w:r>
      <w:r w:rsidR="00CD6ED6" w:rsidRPr="00496684">
        <w:rPr>
          <w:rFonts w:ascii="Times New Roman" w:hAnsi="Times New Roman"/>
          <w:b/>
          <w:lang w:val="it-IT"/>
        </w:rPr>
        <w:t>Periodo di validità</w:t>
      </w:r>
    </w:p>
    <w:p w14:paraId="47F7BA6B" w14:textId="77777777" w:rsidR="004A78B6" w:rsidRPr="00496684" w:rsidRDefault="004A78B6" w:rsidP="004A78B6">
      <w:pPr>
        <w:pStyle w:val="KeinLeerraum"/>
        <w:rPr>
          <w:rFonts w:ascii="Times New Roman" w:hAnsi="Times New Roman"/>
          <w:lang w:val="it-IT"/>
        </w:rPr>
      </w:pPr>
    </w:p>
    <w:p w14:paraId="05B77BFB" w14:textId="77777777" w:rsidR="005514E9" w:rsidRPr="00496684" w:rsidRDefault="00BF1C2C" w:rsidP="005514E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w:t>
      </w:r>
      <w:r w:rsidR="003B6AD1" w:rsidRPr="00496684">
        <w:rPr>
          <w:rFonts w:ascii="Times New Roman" w:hAnsi="Times New Roman"/>
          <w:lang w:val="it-IT"/>
        </w:rPr>
        <w:t xml:space="preserve"> </w:t>
      </w:r>
      <w:r w:rsidR="00A65D96" w:rsidRPr="00496684">
        <w:rPr>
          <w:rFonts w:ascii="Times New Roman" w:hAnsi="Times New Roman"/>
          <w:lang w:val="it-IT"/>
        </w:rPr>
        <w:t>anni</w:t>
      </w:r>
    </w:p>
    <w:p w14:paraId="6B1C0F3E" w14:textId="77777777" w:rsidR="005514E9" w:rsidRPr="00496684" w:rsidRDefault="005514E9" w:rsidP="005514E9">
      <w:pPr>
        <w:pStyle w:val="KeinLeerraum"/>
        <w:rPr>
          <w:rFonts w:ascii="Times New Roman" w:hAnsi="Times New Roman"/>
          <w:highlight w:val="lightGray"/>
          <w:lang w:val="it-IT"/>
        </w:rPr>
      </w:pPr>
    </w:p>
    <w:p w14:paraId="2E81AD2B"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6.4</w:t>
      </w:r>
      <w:r w:rsidRPr="00496684">
        <w:rPr>
          <w:rFonts w:ascii="Times New Roman" w:hAnsi="Times New Roman"/>
          <w:b/>
          <w:bCs/>
          <w:lang w:val="it-IT"/>
        </w:rPr>
        <w:tab/>
      </w:r>
      <w:r w:rsidR="00CD6ED6" w:rsidRPr="00496684">
        <w:rPr>
          <w:rFonts w:ascii="Times New Roman" w:hAnsi="Times New Roman"/>
          <w:b/>
          <w:lang w:val="it-IT"/>
        </w:rPr>
        <w:t>Precauzioni particolari per la conservazione</w:t>
      </w:r>
    </w:p>
    <w:p w14:paraId="3FDD16F9" w14:textId="77777777" w:rsidR="0053751C" w:rsidRPr="00496684" w:rsidRDefault="0053751C" w:rsidP="0053751C">
      <w:pPr>
        <w:autoSpaceDE w:val="0"/>
        <w:autoSpaceDN w:val="0"/>
        <w:adjustRightInd w:val="0"/>
        <w:spacing w:after="0" w:line="240" w:lineRule="auto"/>
        <w:rPr>
          <w:rFonts w:ascii="Times New Roman" w:hAnsi="Times New Roman"/>
          <w:bCs/>
          <w:lang w:val="it-IT"/>
        </w:rPr>
      </w:pPr>
    </w:p>
    <w:p w14:paraId="1FC72BD2" w14:textId="77777777" w:rsidR="00CD6ED6" w:rsidRPr="00496684" w:rsidRDefault="00CD6ED6" w:rsidP="00CD6ED6">
      <w:pPr>
        <w:widowControl w:val="0"/>
        <w:spacing w:after="0" w:line="240" w:lineRule="auto"/>
        <w:rPr>
          <w:rFonts w:ascii="Times New Roman" w:hAnsi="Times New Roman"/>
          <w:lang w:val="it-IT"/>
        </w:rPr>
      </w:pPr>
      <w:r w:rsidRPr="00496684">
        <w:rPr>
          <w:rFonts w:ascii="Times New Roman" w:hAnsi="Times New Roman"/>
          <w:lang w:val="it-IT"/>
        </w:rPr>
        <w:t xml:space="preserve">Non conservare a temperatura superiore ai </w:t>
      </w:r>
      <w:r w:rsidR="00A65D96" w:rsidRPr="00496684">
        <w:rPr>
          <w:rFonts w:ascii="Times New Roman" w:hAnsi="Times New Roman"/>
          <w:lang w:val="it-IT"/>
        </w:rPr>
        <w:t>25</w:t>
      </w:r>
      <w:r w:rsidRPr="00496684">
        <w:rPr>
          <w:rFonts w:ascii="Times New Roman" w:hAnsi="Times New Roman"/>
          <w:lang w:val="it-IT"/>
        </w:rPr>
        <w:sym w:font="Symbol" w:char="F0B0"/>
      </w:r>
      <w:r w:rsidRPr="00496684">
        <w:rPr>
          <w:rFonts w:ascii="Times New Roman" w:hAnsi="Times New Roman"/>
          <w:lang w:val="it-IT"/>
        </w:rPr>
        <w:t>C.</w:t>
      </w:r>
    </w:p>
    <w:p w14:paraId="36E8D734" w14:textId="77777777" w:rsidR="00CD6ED6" w:rsidRPr="00496684" w:rsidRDefault="00CD6ED6" w:rsidP="00CD6ED6">
      <w:pPr>
        <w:widowControl w:val="0"/>
        <w:spacing w:after="0" w:line="240" w:lineRule="auto"/>
        <w:rPr>
          <w:rFonts w:ascii="Times New Roman" w:hAnsi="Times New Roman"/>
          <w:lang w:val="it-IT"/>
        </w:rPr>
      </w:pPr>
      <w:r w:rsidRPr="00496684">
        <w:rPr>
          <w:rFonts w:ascii="Times New Roman" w:hAnsi="Times New Roman"/>
          <w:lang w:val="it-IT"/>
        </w:rPr>
        <w:t>Conservare nella confezione originale per proteggere il medicinale dall’umidità.</w:t>
      </w:r>
    </w:p>
    <w:p w14:paraId="1D94BD69" w14:textId="77777777" w:rsidR="0053751C" w:rsidRPr="00496684" w:rsidRDefault="0053751C" w:rsidP="0053751C">
      <w:pPr>
        <w:autoSpaceDE w:val="0"/>
        <w:autoSpaceDN w:val="0"/>
        <w:adjustRightInd w:val="0"/>
        <w:spacing w:after="0" w:line="240" w:lineRule="auto"/>
        <w:rPr>
          <w:rFonts w:ascii="Times New Roman" w:hAnsi="Times New Roman"/>
          <w:lang w:val="it-IT"/>
        </w:rPr>
      </w:pPr>
    </w:p>
    <w:p w14:paraId="6E331E9D"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bookmarkStart w:id="2" w:name="OLE_LINK3"/>
      <w:bookmarkStart w:id="3" w:name="OLE_LINK4"/>
      <w:r w:rsidRPr="00496684">
        <w:rPr>
          <w:rFonts w:ascii="Times New Roman" w:hAnsi="Times New Roman"/>
          <w:b/>
          <w:bCs/>
          <w:lang w:val="it-IT"/>
        </w:rPr>
        <w:t>6.5</w:t>
      </w:r>
      <w:r w:rsidRPr="00496684">
        <w:rPr>
          <w:rFonts w:ascii="Times New Roman" w:hAnsi="Times New Roman"/>
          <w:b/>
          <w:bCs/>
          <w:lang w:val="it-IT"/>
        </w:rPr>
        <w:tab/>
      </w:r>
      <w:r w:rsidR="00CD6ED6" w:rsidRPr="00496684">
        <w:rPr>
          <w:rFonts w:ascii="Times New Roman" w:hAnsi="Times New Roman"/>
          <w:b/>
          <w:lang w:val="it-IT"/>
        </w:rPr>
        <w:t>Natura e contenuto del contenitore</w:t>
      </w:r>
    </w:p>
    <w:p w14:paraId="3A2A5317" w14:textId="77777777" w:rsidR="0053751C" w:rsidRPr="00496684" w:rsidRDefault="0053751C" w:rsidP="0053751C">
      <w:pPr>
        <w:autoSpaceDE w:val="0"/>
        <w:autoSpaceDN w:val="0"/>
        <w:adjustRightInd w:val="0"/>
        <w:spacing w:after="0" w:line="240" w:lineRule="auto"/>
        <w:rPr>
          <w:rFonts w:ascii="Times New Roman" w:hAnsi="Times New Roman"/>
          <w:bCs/>
          <w:lang w:val="it-IT"/>
        </w:rPr>
      </w:pPr>
    </w:p>
    <w:p w14:paraId="04C25C1F" w14:textId="77777777" w:rsidR="00D653BF" w:rsidRPr="00496684" w:rsidRDefault="00D653BF" w:rsidP="00D653BF">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Imatinib Actavis 50 mg capsule rigide</w:t>
      </w:r>
    </w:p>
    <w:p w14:paraId="2F54BEAB" w14:textId="77777777" w:rsidR="00A970B7" w:rsidRPr="00496684" w:rsidRDefault="00CD6ED6" w:rsidP="0053751C">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Blister in Al/PVC/Aclar</w:t>
      </w:r>
      <w:r w:rsidR="00B9357E" w:rsidRPr="00496684">
        <w:rPr>
          <w:rFonts w:ascii="Times New Roman" w:hAnsi="Times New Roman"/>
          <w:bCs/>
          <w:lang w:val="it-IT"/>
        </w:rPr>
        <w:t xml:space="preserve">. </w:t>
      </w:r>
      <w:r w:rsidR="0028629B" w:rsidRPr="00496684">
        <w:rPr>
          <w:rFonts w:ascii="Times New Roman" w:hAnsi="Times New Roman"/>
          <w:bCs/>
          <w:lang w:val="it-IT"/>
        </w:rPr>
        <w:t>Un</w:t>
      </w:r>
      <w:r w:rsidR="00B9357E" w:rsidRPr="00496684">
        <w:rPr>
          <w:rFonts w:ascii="Times New Roman" w:hAnsi="Times New Roman"/>
          <w:bCs/>
          <w:lang w:val="it-IT"/>
        </w:rPr>
        <w:t xml:space="preserve"> blister contiene 10 capsule.</w:t>
      </w:r>
      <w:r w:rsidRPr="00496684">
        <w:rPr>
          <w:rFonts w:ascii="Times New Roman" w:hAnsi="Times New Roman"/>
          <w:bCs/>
          <w:lang w:val="it-IT"/>
        </w:rPr>
        <w:t xml:space="preserve"> </w:t>
      </w:r>
    </w:p>
    <w:p w14:paraId="612382CE" w14:textId="77777777" w:rsidR="00BE5F51" w:rsidRPr="00496684" w:rsidRDefault="00CD6ED6" w:rsidP="00BE5F51">
      <w:pPr>
        <w:pStyle w:val="KeinLeerraum"/>
        <w:rPr>
          <w:rFonts w:ascii="Times New Roman" w:hAnsi="Times New Roman"/>
          <w:lang w:val="it-IT"/>
        </w:rPr>
      </w:pPr>
      <w:r w:rsidRPr="00496684">
        <w:rPr>
          <w:rFonts w:ascii="Times New Roman" w:hAnsi="Times New Roman"/>
          <w:lang w:val="it-IT"/>
        </w:rPr>
        <w:t>Confezione da</w:t>
      </w:r>
      <w:r w:rsidR="00677E11" w:rsidRPr="00496684">
        <w:rPr>
          <w:rFonts w:ascii="Times New Roman" w:hAnsi="Times New Roman"/>
          <w:lang w:val="it-IT"/>
        </w:rPr>
        <w:t xml:space="preserve"> </w:t>
      </w:r>
      <w:r w:rsidR="00BE5F51" w:rsidRPr="00496684">
        <w:rPr>
          <w:rFonts w:ascii="Times New Roman" w:hAnsi="Times New Roman"/>
          <w:lang w:val="it-IT"/>
        </w:rPr>
        <w:t>30 o</w:t>
      </w:r>
      <w:r w:rsidRPr="00496684">
        <w:rPr>
          <w:rFonts w:ascii="Times New Roman" w:hAnsi="Times New Roman"/>
          <w:lang w:val="it-IT"/>
        </w:rPr>
        <w:t xml:space="preserve"> 90 capsule</w:t>
      </w:r>
      <w:r w:rsidR="00677E11" w:rsidRPr="00496684">
        <w:rPr>
          <w:rFonts w:ascii="Times New Roman" w:hAnsi="Times New Roman"/>
          <w:lang w:val="it-IT"/>
        </w:rPr>
        <w:t>.</w:t>
      </w:r>
    </w:p>
    <w:bookmarkEnd w:id="2"/>
    <w:bookmarkEnd w:id="3"/>
    <w:p w14:paraId="2A5E0D20" w14:textId="77777777" w:rsidR="00A53A89" w:rsidRPr="00496684" w:rsidRDefault="00A53A89" w:rsidP="00A53A89">
      <w:pPr>
        <w:autoSpaceDE w:val="0"/>
        <w:autoSpaceDN w:val="0"/>
        <w:adjustRightInd w:val="0"/>
        <w:spacing w:after="0" w:line="240" w:lineRule="auto"/>
        <w:rPr>
          <w:rFonts w:ascii="Times New Roman" w:hAnsi="Times New Roman"/>
          <w:highlight w:val="yellow"/>
          <w:lang w:val="it-IT"/>
        </w:rPr>
      </w:pPr>
    </w:p>
    <w:p w14:paraId="752A5ADD" w14:textId="77777777" w:rsidR="00D653BF" w:rsidRPr="00496684" w:rsidRDefault="00D653BF" w:rsidP="00D653BF">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Imatinib Actavis 100 mg capsule rigide</w:t>
      </w:r>
    </w:p>
    <w:p w14:paraId="74ECD31B" w14:textId="77777777" w:rsidR="00D653BF" w:rsidRPr="00496684" w:rsidRDefault="00D653BF" w:rsidP="00D653BF">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 xml:space="preserve">Blister in Al/PVC/Aclar. Un blister contiene 8 o 10 capsule. </w:t>
      </w:r>
    </w:p>
    <w:p w14:paraId="3C6BB8B5" w14:textId="77777777" w:rsidR="00D653BF" w:rsidRPr="00496684" w:rsidRDefault="00D653BF" w:rsidP="00D653BF">
      <w:pPr>
        <w:pStyle w:val="KeinLeerraum"/>
        <w:rPr>
          <w:rFonts w:ascii="Times New Roman" w:hAnsi="Times New Roman"/>
          <w:lang w:val="it-IT"/>
        </w:rPr>
      </w:pPr>
      <w:r w:rsidRPr="00496684">
        <w:rPr>
          <w:rFonts w:ascii="Times New Roman" w:hAnsi="Times New Roman"/>
          <w:lang w:val="it-IT"/>
        </w:rPr>
        <w:t>Confezione da 24, 48, 60, 96, 120 o 180 capsule.</w:t>
      </w:r>
    </w:p>
    <w:p w14:paraId="0B99C203" w14:textId="77777777" w:rsidR="00CD24BD" w:rsidRPr="00496684" w:rsidRDefault="00CD24BD" w:rsidP="00D653BF">
      <w:pPr>
        <w:pStyle w:val="KeinLeerraum"/>
        <w:rPr>
          <w:rFonts w:ascii="Times New Roman" w:hAnsi="Times New Roman"/>
          <w:lang w:val="it-IT"/>
        </w:rPr>
      </w:pPr>
    </w:p>
    <w:p w14:paraId="24B4A0CB" w14:textId="77777777" w:rsidR="00CD24BD" w:rsidRPr="00496684" w:rsidRDefault="00CD24BD" w:rsidP="00CD24BD">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Imatinib Actavis 400 mg capsule rigide</w:t>
      </w:r>
    </w:p>
    <w:p w14:paraId="40894BF6" w14:textId="77777777" w:rsidR="00CD24BD" w:rsidRPr="00496684" w:rsidRDefault="00CD24BD" w:rsidP="00CD24BD">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 xml:space="preserve">Blister in Al/PVC-PVDC. Un blister contiene 10 capsule. </w:t>
      </w:r>
    </w:p>
    <w:p w14:paraId="6E33E964" w14:textId="77777777" w:rsidR="00CD24BD" w:rsidRPr="00496684" w:rsidRDefault="00CD24BD" w:rsidP="00CD24BD">
      <w:pPr>
        <w:pStyle w:val="KeinLeerraum"/>
        <w:rPr>
          <w:rFonts w:ascii="Times New Roman" w:hAnsi="Times New Roman"/>
          <w:lang w:val="it-IT"/>
        </w:rPr>
      </w:pPr>
      <w:r w:rsidRPr="00496684">
        <w:rPr>
          <w:rFonts w:ascii="Times New Roman" w:hAnsi="Times New Roman"/>
          <w:lang w:val="it-IT"/>
        </w:rPr>
        <w:t>Confezione da 10, 30, 60, o 90 capsule.</w:t>
      </w:r>
    </w:p>
    <w:p w14:paraId="588D970A" w14:textId="77777777" w:rsidR="00D653BF" w:rsidRPr="00496684" w:rsidRDefault="00D653BF" w:rsidP="00A53A89">
      <w:pPr>
        <w:autoSpaceDE w:val="0"/>
        <w:autoSpaceDN w:val="0"/>
        <w:adjustRightInd w:val="0"/>
        <w:spacing w:after="0" w:line="240" w:lineRule="auto"/>
        <w:rPr>
          <w:rFonts w:ascii="Times New Roman" w:hAnsi="Times New Roman"/>
          <w:highlight w:val="yellow"/>
          <w:lang w:val="it-IT"/>
        </w:rPr>
      </w:pPr>
    </w:p>
    <w:p w14:paraId="4AE84242" w14:textId="77777777" w:rsidR="00A53A89" w:rsidRPr="00496684" w:rsidRDefault="00CD6ED6" w:rsidP="00A53A8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p</w:t>
      </w:r>
      <w:r w:rsidR="00901DA8" w:rsidRPr="00496684">
        <w:rPr>
          <w:rFonts w:ascii="Times New Roman" w:hAnsi="Times New Roman"/>
          <w:lang w:val="it-IT"/>
        </w:rPr>
        <w:t>ossibile</w:t>
      </w:r>
      <w:r w:rsidRPr="00496684">
        <w:rPr>
          <w:rFonts w:ascii="Times New Roman" w:hAnsi="Times New Roman"/>
          <w:lang w:val="it-IT"/>
        </w:rPr>
        <w:t xml:space="preserve"> che non tutte le confezion</w:t>
      </w:r>
      <w:r w:rsidR="00AF3378" w:rsidRPr="00496684">
        <w:rPr>
          <w:rFonts w:ascii="Times New Roman" w:hAnsi="Times New Roman"/>
          <w:lang w:val="it-IT"/>
        </w:rPr>
        <w:t>i</w:t>
      </w:r>
      <w:r w:rsidRPr="00496684">
        <w:rPr>
          <w:rFonts w:ascii="Times New Roman" w:hAnsi="Times New Roman"/>
          <w:lang w:val="it-IT"/>
        </w:rPr>
        <w:t xml:space="preserve"> s</w:t>
      </w:r>
      <w:r w:rsidR="00901DA8" w:rsidRPr="00496684">
        <w:rPr>
          <w:rFonts w:ascii="Times New Roman" w:hAnsi="Times New Roman"/>
          <w:lang w:val="it-IT"/>
        </w:rPr>
        <w:t>ia</w:t>
      </w:r>
      <w:r w:rsidRPr="00496684">
        <w:rPr>
          <w:rFonts w:ascii="Times New Roman" w:hAnsi="Times New Roman"/>
          <w:lang w:val="it-IT"/>
        </w:rPr>
        <w:t>no commercializzate</w:t>
      </w:r>
    </w:p>
    <w:p w14:paraId="4B42BFD5" w14:textId="77777777" w:rsidR="0053751C" w:rsidRPr="00496684" w:rsidRDefault="0053751C" w:rsidP="0053751C">
      <w:pPr>
        <w:autoSpaceDE w:val="0"/>
        <w:autoSpaceDN w:val="0"/>
        <w:adjustRightInd w:val="0"/>
        <w:spacing w:after="0" w:line="240" w:lineRule="auto"/>
        <w:rPr>
          <w:rFonts w:ascii="Times New Roman" w:hAnsi="Times New Roman"/>
          <w:lang w:val="it-IT"/>
        </w:rPr>
      </w:pPr>
    </w:p>
    <w:p w14:paraId="5AC630C2"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6.6</w:t>
      </w:r>
      <w:r w:rsidRPr="00496684">
        <w:rPr>
          <w:rFonts w:ascii="Times New Roman" w:hAnsi="Times New Roman"/>
          <w:b/>
          <w:bCs/>
          <w:lang w:val="it-IT"/>
        </w:rPr>
        <w:tab/>
      </w:r>
      <w:r w:rsidR="008E3A9B" w:rsidRPr="00496684">
        <w:rPr>
          <w:rFonts w:ascii="Times New Roman" w:hAnsi="Times New Roman"/>
          <w:b/>
          <w:lang w:val="it-IT"/>
        </w:rPr>
        <w:t>Precauzioni particolari per lo smaltimento e la manipolazione</w:t>
      </w:r>
    </w:p>
    <w:p w14:paraId="00496F47" w14:textId="77777777" w:rsidR="0053751C" w:rsidRPr="00496684" w:rsidRDefault="0053751C" w:rsidP="0053751C">
      <w:pPr>
        <w:autoSpaceDE w:val="0"/>
        <w:autoSpaceDN w:val="0"/>
        <w:adjustRightInd w:val="0"/>
        <w:spacing w:after="0" w:line="240" w:lineRule="auto"/>
        <w:rPr>
          <w:rFonts w:ascii="Times New Roman" w:hAnsi="Times New Roman"/>
          <w:bCs/>
          <w:lang w:val="it-IT"/>
        </w:rPr>
      </w:pPr>
    </w:p>
    <w:p w14:paraId="1C3EA061" w14:textId="77777777" w:rsidR="00CD6ED6" w:rsidRPr="00496684" w:rsidRDefault="00CD6ED6" w:rsidP="0053751C">
      <w:pPr>
        <w:autoSpaceDE w:val="0"/>
        <w:autoSpaceDN w:val="0"/>
        <w:adjustRightInd w:val="0"/>
        <w:spacing w:after="0" w:line="240" w:lineRule="auto"/>
        <w:rPr>
          <w:rFonts w:ascii="Times New Roman" w:hAnsi="Times New Roman"/>
          <w:bCs/>
          <w:u w:val="single"/>
          <w:lang w:val="it-IT"/>
        </w:rPr>
      </w:pPr>
      <w:r w:rsidRPr="00496684">
        <w:rPr>
          <w:rFonts w:ascii="Times New Roman" w:hAnsi="Times New Roman"/>
          <w:bCs/>
          <w:u w:val="single"/>
          <w:lang w:val="it-IT"/>
        </w:rPr>
        <w:t>M</w:t>
      </w:r>
      <w:r w:rsidR="008E3A9B" w:rsidRPr="00496684">
        <w:rPr>
          <w:rFonts w:ascii="Times New Roman" w:hAnsi="Times New Roman"/>
          <w:bCs/>
          <w:u w:val="single"/>
          <w:lang w:val="it-IT"/>
        </w:rPr>
        <w:t>anipolazione</w:t>
      </w:r>
      <w:r w:rsidRPr="00496684">
        <w:rPr>
          <w:rFonts w:ascii="Times New Roman" w:hAnsi="Times New Roman"/>
          <w:bCs/>
          <w:u w:val="single"/>
          <w:lang w:val="it-IT"/>
        </w:rPr>
        <w:t xml:space="preserve"> delle capsule aperte da donne in età fertile</w:t>
      </w:r>
    </w:p>
    <w:p w14:paraId="299B7BD0" w14:textId="77777777" w:rsidR="00CD6ED6" w:rsidRPr="00496684" w:rsidRDefault="00CD6ED6" w:rsidP="0053751C">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Poichè gli studi negli animali hanno evidenziato segni di tossicità riproduttiva e il rischio potenziale per il feto umano non è noto, le donne in età fertile che aprono le capsule devono maneggiare il contenuto con cautela ed evitare il contatto con gli occhi o l’inalazione (vedere paragrafo 4.6). Le mani devono essere lavate immediatamente dopo aver toccato le capsule aperte.</w:t>
      </w:r>
    </w:p>
    <w:p w14:paraId="4CE9A2DE" w14:textId="77777777" w:rsidR="00CD6ED6" w:rsidRPr="00496684" w:rsidRDefault="00CD6ED6" w:rsidP="0053751C">
      <w:pPr>
        <w:autoSpaceDE w:val="0"/>
        <w:autoSpaceDN w:val="0"/>
        <w:adjustRightInd w:val="0"/>
        <w:spacing w:after="0" w:line="240" w:lineRule="auto"/>
        <w:rPr>
          <w:rFonts w:ascii="Times New Roman" w:hAnsi="Times New Roman"/>
          <w:bCs/>
          <w:lang w:val="it-IT"/>
        </w:rPr>
      </w:pPr>
    </w:p>
    <w:p w14:paraId="12FF7255" w14:textId="3590CF23" w:rsidR="0053751C" w:rsidRPr="00496684" w:rsidRDefault="00BF48F7">
      <w:pPr>
        <w:autoSpaceDE w:val="0"/>
        <w:autoSpaceDN w:val="0"/>
        <w:adjustRightInd w:val="0"/>
        <w:spacing w:after="0" w:line="240" w:lineRule="auto"/>
        <w:rPr>
          <w:rFonts w:asciiTheme="majorBidi" w:hAnsiTheme="majorBidi" w:cstheme="majorBidi"/>
          <w:lang w:val="it-IT"/>
        </w:rPr>
      </w:pPr>
      <w:r w:rsidRPr="00496684">
        <w:rPr>
          <w:rFonts w:asciiTheme="majorBidi" w:eastAsia="Times New Roman" w:hAnsiTheme="majorBidi" w:cstheme="majorBidi"/>
          <w:szCs w:val="20"/>
          <w:lang w:val="it-IT"/>
        </w:rPr>
        <w:t>Il medicinale non utilizzato e i rifiuti derivati da tale medicinale devono essere smaltiti in conformità alla normativa locale vigente</w:t>
      </w:r>
      <w:r w:rsidR="00DE5FF8" w:rsidRPr="00496684">
        <w:rPr>
          <w:rFonts w:asciiTheme="majorBidi" w:eastAsia="Times New Roman" w:hAnsiTheme="majorBidi" w:cstheme="majorBidi"/>
          <w:szCs w:val="20"/>
          <w:lang w:val="it-IT"/>
        </w:rPr>
        <w:t>.</w:t>
      </w:r>
    </w:p>
    <w:p w14:paraId="6CD1EA29" w14:textId="77777777" w:rsidR="0020671B" w:rsidRPr="00496684" w:rsidRDefault="0020671B">
      <w:pPr>
        <w:autoSpaceDE w:val="0"/>
        <w:autoSpaceDN w:val="0"/>
        <w:adjustRightInd w:val="0"/>
        <w:spacing w:after="0" w:line="240" w:lineRule="auto"/>
        <w:rPr>
          <w:rFonts w:ascii="Times New Roman" w:hAnsi="Times New Roman"/>
          <w:lang w:val="it-IT"/>
        </w:rPr>
      </w:pPr>
    </w:p>
    <w:p w14:paraId="52E22D59" w14:textId="77777777" w:rsidR="00945646" w:rsidRPr="00496684" w:rsidRDefault="00945646">
      <w:pPr>
        <w:autoSpaceDE w:val="0"/>
        <w:autoSpaceDN w:val="0"/>
        <w:adjustRightInd w:val="0"/>
        <w:spacing w:after="0" w:line="240" w:lineRule="auto"/>
        <w:rPr>
          <w:rFonts w:ascii="Times New Roman" w:hAnsi="Times New Roman"/>
          <w:lang w:val="it-IT"/>
        </w:rPr>
      </w:pPr>
    </w:p>
    <w:p w14:paraId="4C112B71" w14:textId="77777777" w:rsidR="0053751C" w:rsidRPr="00496684" w:rsidRDefault="0053751C" w:rsidP="002B50EE">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7.</w:t>
      </w:r>
      <w:r w:rsidRPr="00496684">
        <w:rPr>
          <w:rFonts w:ascii="Times New Roman" w:hAnsi="Times New Roman"/>
          <w:b/>
          <w:bCs/>
          <w:lang w:val="it-IT"/>
        </w:rPr>
        <w:tab/>
      </w:r>
      <w:r w:rsidR="008E3A9B" w:rsidRPr="00496684">
        <w:rPr>
          <w:rFonts w:ascii="Times New Roman" w:hAnsi="Times New Roman"/>
          <w:b/>
          <w:lang w:val="it-IT"/>
        </w:rPr>
        <w:t xml:space="preserve">TITOLARE </w:t>
      </w:r>
      <w:smartTag w:uri="urn:schemas-microsoft-com:office:smarttags" w:element="stockticker">
        <w:r w:rsidR="008E3A9B" w:rsidRPr="00496684">
          <w:rPr>
            <w:rFonts w:ascii="Times New Roman" w:hAnsi="Times New Roman"/>
            <w:b/>
            <w:lang w:val="it-IT"/>
          </w:rPr>
          <w:t>DELL</w:t>
        </w:r>
      </w:smartTag>
      <w:r w:rsidR="008E3A9B" w:rsidRPr="00496684">
        <w:rPr>
          <w:rFonts w:ascii="Times New Roman" w:hAnsi="Times New Roman"/>
          <w:b/>
          <w:lang w:val="it-IT"/>
        </w:rPr>
        <w:t xml:space="preserve">’AUTORIZZAZIONE </w:t>
      </w:r>
      <w:smartTag w:uri="urn:schemas-microsoft-com:office:smarttags" w:element="stockticker">
        <w:r w:rsidR="008E3A9B" w:rsidRPr="00496684">
          <w:rPr>
            <w:rFonts w:ascii="Times New Roman" w:hAnsi="Times New Roman"/>
            <w:b/>
            <w:lang w:val="it-IT"/>
          </w:rPr>
          <w:t>ALL</w:t>
        </w:r>
      </w:smartTag>
      <w:r w:rsidR="008E3A9B" w:rsidRPr="00496684">
        <w:rPr>
          <w:rFonts w:ascii="Times New Roman" w:hAnsi="Times New Roman"/>
          <w:b/>
          <w:lang w:val="it-IT"/>
        </w:rPr>
        <w:t>’IMMISSIONE IN COMMERCIO</w:t>
      </w:r>
    </w:p>
    <w:p w14:paraId="49BC7454" w14:textId="77777777" w:rsidR="0053751C" w:rsidRPr="00496684" w:rsidRDefault="0053751C" w:rsidP="002B50EE">
      <w:pPr>
        <w:keepNext/>
        <w:autoSpaceDE w:val="0"/>
        <w:autoSpaceDN w:val="0"/>
        <w:adjustRightInd w:val="0"/>
        <w:spacing w:after="0" w:line="240" w:lineRule="auto"/>
        <w:rPr>
          <w:rFonts w:ascii="Times New Roman" w:hAnsi="Times New Roman"/>
          <w:bCs/>
          <w:lang w:val="it-IT"/>
        </w:rPr>
      </w:pPr>
    </w:p>
    <w:p w14:paraId="5DC79208" w14:textId="77777777" w:rsidR="00395498" w:rsidRPr="00496684" w:rsidRDefault="00395498" w:rsidP="002B50E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4C3A1CBD" w14:textId="77777777" w:rsidR="00395498" w:rsidRPr="00496684" w:rsidRDefault="00395498" w:rsidP="002B50E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Reykjavíkurvegur 76-78</w:t>
      </w:r>
    </w:p>
    <w:p w14:paraId="6C6D64B6" w14:textId="77777777" w:rsidR="00395498" w:rsidRPr="00496684" w:rsidRDefault="00395498" w:rsidP="0039549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IS-220 Hafnarfjörður</w:t>
      </w:r>
    </w:p>
    <w:p w14:paraId="3BBD8318" w14:textId="77777777" w:rsidR="00395498" w:rsidRPr="00496684" w:rsidRDefault="008E3A9B" w:rsidP="0039549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705AF5A0" w14:textId="77777777" w:rsidR="0053751C" w:rsidRPr="00496684" w:rsidRDefault="0053751C" w:rsidP="0053751C">
      <w:pPr>
        <w:autoSpaceDE w:val="0"/>
        <w:autoSpaceDN w:val="0"/>
        <w:adjustRightInd w:val="0"/>
        <w:spacing w:after="0" w:line="240" w:lineRule="auto"/>
        <w:rPr>
          <w:rFonts w:ascii="Times New Roman" w:hAnsi="Times New Roman"/>
          <w:lang w:val="it-IT"/>
        </w:rPr>
      </w:pPr>
    </w:p>
    <w:p w14:paraId="6C8DE705" w14:textId="77777777" w:rsidR="0053751C" w:rsidRPr="00496684" w:rsidRDefault="0053751C" w:rsidP="0053751C">
      <w:pPr>
        <w:autoSpaceDE w:val="0"/>
        <w:autoSpaceDN w:val="0"/>
        <w:adjustRightInd w:val="0"/>
        <w:spacing w:after="0" w:line="240" w:lineRule="auto"/>
        <w:rPr>
          <w:rFonts w:ascii="Times New Roman" w:hAnsi="Times New Roman"/>
          <w:lang w:val="it-IT"/>
        </w:rPr>
      </w:pPr>
    </w:p>
    <w:p w14:paraId="1AE49A3D" w14:textId="77777777" w:rsidR="000A77CB" w:rsidRPr="00496684" w:rsidRDefault="0053751C" w:rsidP="00CE7998">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8.</w:t>
      </w:r>
      <w:r w:rsidRPr="00496684">
        <w:rPr>
          <w:rFonts w:ascii="Times New Roman" w:hAnsi="Times New Roman"/>
          <w:b/>
          <w:bCs/>
          <w:lang w:val="it-IT"/>
        </w:rPr>
        <w:tab/>
      </w:r>
      <w:r w:rsidR="000A77CB" w:rsidRPr="00496684">
        <w:rPr>
          <w:rFonts w:ascii="Times New Roman" w:hAnsi="Times New Roman"/>
          <w:b/>
          <w:bCs/>
          <w:lang w:val="it-IT"/>
        </w:rPr>
        <w:t xml:space="preserve">NUMERO(I) </w:t>
      </w:r>
      <w:smartTag w:uri="urn:schemas-microsoft-com:office:smarttags" w:element="stockticker">
        <w:r w:rsidR="000A77CB" w:rsidRPr="00496684">
          <w:rPr>
            <w:rFonts w:ascii="Times New Roman" w:hAnsi="Times New Roman"/>
            <w:b/>
            <w:bCs/>
            <w:lang w:val="it-IT"/>
          </w:rPr>
          <w:t>DELL</w:t>
        </w:r>
      </w:smartTag>
      <w:r w:rsidR="000A77CB" w:rsidRPr="00496684">
        <w:rPr>
          <w:rFonts w:ascii="Times New Roman" w:hAnsi="Times New Roman"/>
          <w:b/>
          <w:bCs/>
          <w:lang w:val="it-IT"/>
        </w:rPr>
        <w:t xml:space="preserve">’AUTORIZZAZIONE </w:t>
      </w:r>
      <w:smartTag w:uri="urn:schemas-microsoft-com:office:smarttags" w:element="stockticker">
        <w:r w:rsidR="000A77CB" w:rsidRPr="00496684">
          <w:rPr>
            <w:rFonts w:ascii="Times New Roman" w:hAnsi="Times New Roman"/>
            <w:b/>
            <w:bCs/>
            <w:lang w:val="it-IT"/>
          </w:rPr>
          <w:t>ALL</w:t>
        </w:r>
      </w:smartTag>
      <w:r w:rsidR="000A77CB" w:rsidRPr="00496684">
        <w:rPr>
          <w:rFonts w:ascii="Times New Roman" w:hAnsi="Times New Roman"/>
          <w:b/>
          <w:bCs/>
          <w:lang w:val="it-IT"/>
        </w:rPr>
        <w:t>’IMMISSIONE IN COMMERCIO</w:t>
      </w:r>
    </w:p>
    <w:p w14:paraId="4EFDCD88" w14:textId="77777777" w:rsidR="0053751C" w:rsidRPr="00496684" w:rsidRDefault="0053751C" w:rsidP="00CE7998">
      <w:pPr>
        <w:keepNext/>
        <w:autoSpaceDE w:val="0"/>
        <w:autoSpaceDN w:val="0"/>
        <w:adjustRightInd w:val="0"/>
        <w:spacing w:after="0" w:line="240" w:lineRule="auto"/>
        <w:rPr>
          <w:rFonts w:ascii="Times New Roman" w:hAnsi="Times New Roman"/>
          <w:bCs/>
          <w:lang w:val="it-IT"/>
        </w:rPr>
      </w:pPr>
    </w:p>
    <w:p w14:paraId="79C2BD29" w14:textId="77777777" w:rsidR="00F8546A" w:rsidRPr="00496684" w:rsidRDefault="00F8546A" w:rsidP="00CE7998">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50 mg capsule rigide</w:t>
      </w:r>
    </w:p>
    <w:p w14:paraId="3EDFB72B" w14:textId="77777777" w:rsidR="00766B31" w:rsidRPr="00496684" w:rsidRDefault="00766B31" w:rsidP="00766B3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EU/1/13/825/001</w:t>
      </w:r>
    </w:p>
    <w:p w14:paraId="2782CE68" w14:textId="77777777" w:rsidR="00395498" w:rsidRPr="00496684" w:rsidRDefault="00766B31" w:rsidP="00766B3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EU/1/13/825/002</w:t>
      </w:r>
    </w:p>
    <w:p w14:paraId="603520D4" w14:textId="77777777" w:rsidR="0053751C" w:rsidRPr="00496684" w:rsidRDefault="0053751C" w:rsidP="0053751C">
      <w:pPr>
        <w:autoSpaceDE w:val="0"/>
        <w:autoSpaceDN w:val="0"/>
        <w:adjustRightInd w:val="0"/>
        <w:spacing w:after="0" w:line="240" w:lineRule="auto"/>
        <w:rPr>
          <w:rFonts w:ascii="Times New Roman" w:hAnsi="Times New Roman"/>
          <w:lang w:val="it-IT"/>
        </w:rPr>
      </w:pPr>
    </w:p>
    <w:p w14:paraId="713955EE" w14:textId="77777777" w:rsidR="00F8546A" w:rsidRPr="00496684" w:rsidRDefault="00F8546A" w:rsidP="0053751C">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capsule rigide</w:t>
      </w:r>
    </w:p>
    <w:p w14:paraId="3FA28166"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EU/1/13/825/003</w:t>
      </w:r>
    </w:p>
    <w:p w14:paraId="584AFC4C"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EU/1/13/825/004</w:t>
      </w:r>
    </w:p>
    <w:p w14:paraId="4FBDCC12"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EU/1/13/825/005</w:t>
      </w:r>
    </w:p>
    <w:p w14:paraId="3F4AADEC"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EU/1/13/825/006</w:t>
      </w:r>
    </w:p>
    <w:p w14:paraId="2EFF1957"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EU/1/13/825/007</w:t>
      </w:r>
    </w:p>
    <w:p w14:paraId="0B7BF9F2"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EU/1/13/825/019</w:t>
      </w:r>
    </w:p>
    <w:p w14:paraId="2E307C80" w14:textId="77777777" w:rsidR="00F8546A" w:rsidRPr="00496684" w:rsidRDefault="00F8546A" w:rsidP="00F8546A">
      <w:pPr>
        <w:autoSpaceDE w:val="0"/>
        <w:autoSpaceDN w:val="0"/>
        <w:adjustRightInd w:val="0"/>
        <w:spacing w:after="0" w:line="240" w:lineRule="auto"/>
        <w:rPr>
          <w:rFonts w:ascii="Times New Roman" w:hAnsi="Times New Roman"/>
          <w:lang w:val="it-IT"/>
        </w:rPr>
      </w:pPr>
    </w:p>
    <w:p w14:paraId="15250E33"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capsule rigide</w:t>
      </w:r>
    </w:p>
    <w:p w14:paraId="499E69E2"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EU/1/13/825/020</w:t>
      </w:r>
    </w:p>
    <w:p w14:paraId="5D50D526"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EU/1/13/825/021</w:t>
      </w:r>
    </w:p>
    <w:p w14:paraId="010DE8AD"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EU/1/13/825/022</w:t>
      </w:r>
    </w:p>
    <w:p w14:paraId="0DA3EE79" w14:textId="77777777" w:rsidR="00F8546A" w:rsidRPr="00496684" w:rsidRDefault="00F8546A" w:rsidP="00F854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EU/1/13/825/023</w:t>
      </w:r>
    </w:p>
    <w:p w14:paraId="65003F38" w14:textId="77777777" w:rsidR="00F8546A" w:rsidRPr="00496684" w:rsidRDefault="00F8546A" w:rsidP="00F8546A">
      <w:pPr>
        <w:autoSpaceDE w:val="0"/>
        <w:autoSpaceDN w:val="0"/>
        <w:adjustRightInd w:val="0"/>
        <w:spacing w:after="0" w:line="240" w:lineRule="auto"/>
        <w:rPr>
          <w:rFonts w:ascii="Times New Roman" w:hAnsi="Times New Roman"/>
          <w:lang w:val="it-IT"/>
        </w:rPr>
      </w:pPr>
    </w:p>
    <w:p w14:paraId="55863394" w14:textId="77777777" w:rsidR="0020671B" w:rsidRPr="00496684" w:rsidRDefault="0020671B" w:rsidP="0053751C">
      <w:pPr>
        <w:autoSpaceDE w:val="0"/>
        <w:autoSpaceDN w:val="0"/>
        <w:adjustRightInd w:val="0"/>
        <w:spacing w:after="0" w:line="240" w:lineRule="auto"/>
        <w:rPr>
          <w:rFonts w:ascii="Times New Roman" w:hAnsi="Times New Roman"/>
          <w:lang w:val="it-IT"/>
        </w:rPr>
      </w:pPr>
    </w:p>
    <w:p w14:paraId="18758A09" w14:textId="77777777" w:rsidR="00A970B7" w:rsidRPr="00496684" w:rsidRDefault="0053751C" w:rsidP="0053751C">
      <w:pPr>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9.</w:t>
      </w:r>
      <w:r w:rsidRPr="00496684">
        <w:rPr>
          <w:rFonts w:ascii="Times New Roman" w:hAnsi="Times New Roman"/>
          <w:b/>
          <w:bCs/>
          <w:lang w:val="it-IT"/>
        </w:rPr>
        <w:tab/>
      </w:r>
      <w:r w:rsidR="000A77CB" w:rsidRPr="00496684">
        <w:rPr>
          <w:rFonts w:ascii="Times New Roman" w:hAnsi="Times New Roman"/>
          <w:b/>
          <w:bCs/>
          <w:lang w:val="it-IT"/>
        </w:rPr>
        <w:t>DATA DELLA PRIMA AUTORIZZAZIONE/RINNOVO DELL’AUTORIZZAZIONE</w:t>
      </w:r>
    </w:p>
    <w:p w14:paraId="703D49DE" w14:textId="77777777" w:rsidR="0053751C" w:rsidRPr="00496684" w:rsidRDefault="0053751C" w:rsidP="0096781A">
      <w:pPr>
        <w:autoSpaceDE w:val="0"/>
        <w:autoSpaceDN w:val="0"/>
        <w:adjustRightInd w:val="0"/>
        <w:spacing w:after="0" w:line="240" w:lineRule="auto"/>
        <w:rPr>
          <w:rFonts w:ascii="Times New Roman" w:hAnsi="Times New Roman"/>
          <w:lang w:val="it-IT"/>
        </w:rPr>
      </w:pPr>
    </w:p>
    <w:p w14:paraId="7A47B83D" w14:textId="77777777" w:rsidR="00F8546A" w:rsidRPr="00496684" w:rsidRDefault="00F8546A" w:rsidP="00EB45D1">
      <w:pPr>
        <w:pStyle w:val="StandardWeb"/>
        <w:spacing w:before="0" w:beforeAutospacing="0" w:after="0" w:afterAutospacing="0"/>
        <w:rPr>
          <w:sz w:val="22"/>
          <w:szCs w:val="22"/>
        </w:rPr>
      </w:pPr>
      <w:r w:rsidRPr="00496684">
        <w:rPr>
          <w:sz w:val="22"/>
          <w:szCs w:val="22"/>
        </w:rPr>
        <w:t>Data della prima autorizzazione: 17 Aprile 2013.</w:t>
      </w:r>
    </w:p>
    <w:p w14:paraId="793AC6CE" w14:textId="77777777" w:rsidR="00A23E54" w:rsidRPr="00496684" w:rsidRDefault="00A23E54" w:rsidP="00DC43CC">
      <w:pPr>
        <w:autoSpaceDE w:val="0"/>
        <w:autoSpaceDN w:val="0"/>
        <w:adjustRightInd w:val="0"/>
        <w:spacing w:after="0" w:line="240" w:lineRule="auto"/>
        <w:rPr>
          <w:rFonts w:ascii="Times New Roman" w:hAnsi="Times New Roman"/>
          <w:lang w:val="it-IT"/>
        </w:rPr>
      </w:pPr>
    </w:p>
    <w:p w14:paraId="5EE9BD14" w14:textId="77777777" w:rsidR="00A65D96" w:rsidRPr="00496684" w:rsidRDefault="00A65D96" w:rsidP="0053751C">
      <w:pPr>
        <w:autoSpaceDE w:val="0"/>
        <w:autoSpaceDN w:val="0"/>
        <w:adjustRightInd w:val="0"/>
        <w:spacing w:after="0" w:line="240" w:lineRule="auto"/>
        <w:rPr>
          <w:rFonts w:ascii="Times New Roman" w:hAnsi="Times New Roman"/>
          <w:lang w:val="it-IT"/>
        </w:rPr>
      </w:pPr>
    </w:p>
    <w:p w14:paraId="48078600" w14:textId="77777777" w:rsidR="0053751C" w:rsidRPr="00496684" w:rsidRDefault="0053751C" w:rsidP="0053751C">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10.</w:t>
      </w:r>
      <w:r w:rsidRPr="00496684">
        <w:rPr>
          <w:rFonts w:ascii="Times New Roman" w:hAnsi="Times New Roman"/>
          <w:b/>
          <w:bCs/>
          <w:lang w:val="it-IT"/>
        </w:rPr>
        <w:tab/>
      </w:r>
      <w:smartTag w:uri="urn:schemas-microsoft-com:office:smarttags" w:element="stockticker">
        <w:r w:rsidR="008E3A9B" w:rsidRPr="00496684">
          <w:rPr>
            <w:rFonts w:ascii="Times New Roman" w:hAnsi="Times New Roman"/>
            <w:b/>
            <w:lang w:val="it-IT"/>
          </w:rPr>
          <w:t>DATA</w:t>
        </w:r>
      </w:smartTag>
      <w:r w:rsidR="008E3A9B" w:rsidRPr="00496684">
        <w:rPr>
          <w:rFonts w:ascii="Times New Roman" w:hAnsi="Times New Roman"/>
          <w:b/>
          <w:lang w:val="it-IT"/>
        </w:rPr>
        <w:t xml:space="preserve"> DI REVISIONE </w:t>
      </w:r>
      <w:smartTag w:uri="urn:schemas-microsoft-com:office:smarttags" w:element="stockticker">
        <w:r w:rsidR="008E3A9B" w:rsidRPr="00496684">
          <w:rPr>
            <w:rFonts w:ascii="Times New Roman" w:hAnsi="Times New Roman"/>
            <w:b/>
            <w:lang w:val="it-IT"/>
          </w:rPr>
          <w:t>DEL</w:t>
        </w:r>
      </w:smartTag>
      <w:r w:rsidR="008E3A9B" w:rsidRPr="00496684">
        <w:rPr>
          <w:rFonts w:ascii="Times New Roman" w:hAnsi="Times New Roman"/>
          <w:b/>
          <w:lang w:val="it-IT"/>
        </w:rPr>
        <w:t xml:space="preserve"> TESTO</w:t>
      </w:r>
    </w:p>
    <w:p w14:paraId="63AC90C1" w14:textId="77777777" w:rsidR="0053751C" w:rsidRPr="00496684" w:rsidRDefault="0053751C" w:rsidP="0053751C">
      <w:pPr>
        <w:autoSpaceDE w:val="0"/>
        <w:autoSpaceDN w:val="0"/>
        <w:adjustRightInd w:val="0"/>
        <w:spacing w:after="0" w:line="240" w:lineRule="auto"/>
        <w:rPr>
          <w:rFonts w:ascii="Times New Roman" w:hAnsi="Times New Roman"/>
          <w:bCs/>
          <w:lang w:val="it-IT"/>
        </w:rPr>
      </w:pPr>
    </w:p>
    <w:p w14:paraId="6E3A2563" w14:textId="77777777" w:rsidR="00FD13F2" w:rsidRPr="00496684" w:rsidRDefault="00FD13F2" w:rsidP="00FD13F2">
      <w:pPr>
        <w:widowControl w:val="0"/>
        <w:spacing w:after="0" w:line="240" w:lineRule="auto"/>
        <w:rPr>
          <w:rFonts w:ascii="Times New Roman" w:hAnsi="Times New Roman"/>
          <w:lang w:val="it-IT"/>
        </w:rPr>
      </w:pPr>
      <w:r w:rsidRPr="00496684">
        <w:rPr>
          <w:rFonts w:ascii="Times New Roman" w:hAnsi="Times New Roman"/>
          <w:lang w:val="it-IT"/>
        </w:rPr>
        <w:t xml:space="preserve">Informazioni più dettagliate su questo medicinale sono disponibili sul sito web della Agenzia europea dei medicinali: </w:t>
      </w:r>
      <w:hyperlink r:id="rId14" w:history="1">
        <w:r w:rsidR="00B9357E" w:rsidRPr="00496684">
          <w:rPr>
            <w:rStyle w:val="Hyperlink"/>
            <w:rFonts w:ascii="Times New Roman" w:hAnsi="Times New Roman"/>
            <w:lang w:val="it-IT"/>
          </w:rPr>
          <w:t>http://www.ema.europa.eu</w:t>
        </w:r>
      </w:hyperlink>
      <w:r w:rsidR="00B9357E" w:rsidRPr="00496684">
        <w:rPr>
          <w:rFonts w:ascii="Times New Roman" w:hAnsi="Times New Roman"/>
          <w:lang w:val="it-IT"/>
        </w:rPr>
        <w:t xml:space="preserve"> </w:t>
      </w:r>
    </w:p>
    <w:p w14:paraId="47B928AC" w14:textId="77777777" w:rsidR="0013265B" w:rsidRPr="00496684" w:rsidRDefault="00695A1E"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p w14:paraId="255A22EE" w14:textId="77777777" w:rsidR="00CA176A" w:rsidRPr="00496684" w:rsidRDefault="004C7EE6" w:rsidP="0013265B">
      <w:pPr>
        <w:tabs>
          <w:tab w:val="left" w:pos="567"/>
        </w:tabs>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r>
      <w:r w:rsidRPr="00496684">
        <w:rPr>
          <w:rFonts w:ascii="Times New Roman" w:hAnsi="Times New Roman"/>
          <w:b/>
          <w:lang w:val="it-IT"/>
        </w:rPr>
        <w:t xml:space="preserve">DENOMINAZIONE </w:t>
      </w:r>
      <w:smartTag w:uri="urn:schemas-microsoft-com:office:smarttags" w:element="stockticker">
        <w:r w:rsidRPr="00496684">
          <w:rPr>
            <w:rFonts w:ascii="Times New Roman" w:hAnsi="Times New Roman"/>
            <w:b/>
            <w:lang w:val="it-IT"/>
          </w:rPr>
          <w:t>DEL</w:t>
        </w:r>
      </w:smartTag>
      <w:r w:rsidRPr="00496684">
        <w:rPr>
          <w:rFonts w:ascii="Times New Roman" w:hAnsi="Times New Roman"/>
          <w:b/>
          <w:lang w:val="it-IT"/>
        </w:rPr>
        <w:t xml:space="preserve"> MEDICINALE</w:t>
      </w:r>
    </w:p>
    <w:p w14:paraId="0DFAD324" w14:textId="77777777" w:rsidR="00CA176A" w:rsidRPr="00496684" w:rsidRDefault="00CA176A" w:rsidP="00CA176A">
      <w:pPr>
        <w:tabs>
          <w:tab w:val="left" w:pos="567"/>
        </w:tabs>
        <w:autoSpaceDE w:val="0"/>
        <w:autoSpaceDN w:val="0"/>
        <w:adjustRightInd w:val="0"/>
        <w:spacing w:after="0" w:line="240" w:lineRule="auto"/>
        <w:rPr>
          <w:rFonts w:ascii="Times New Roman" w:hAnsi="Times New Roman"/>
          <w:bCs/>
          <w:lang w:val="it-IT"/>
        </w:rPr>
      </w:pPr>
    </w:p>
    <w:p w14:paraId="6A82B4E9" w14:textId="77777777" w:rsidR="00CA176A" w:rsidRPr="00496684" w:rsidRDefault="004C7EE6"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compresse rivestite con film</w:t>
      </w:r>
    </w:p>
    <w:p w14:paraId="33634EA0" w14:textId="77777777" w:rsidR="00D14596" w:rsidRPr="00496684" w:rsidRDefault="00D14596" w:rsidP="00D14596">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compresse rivestite con film</w:t>
      </w:r>
    </w:p>
    <w:p w14:paraId="03CC0CE5"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46176C95"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0BAD5D3C" w14:textId="77777777" w:rsidR="00911503" w:rsidRPr="00496684" w:rsidRDefault="004C7EE6" w:rsidP="00CA176A">
      <w:pPr>
        <w:tabs>
          <w:tab w:val="left" w:pos="567"/>
        </w:tabs>
        <w:autoSpaceDE w:val="0"/>
        <w:autoSpaceDN w:val="0"/>
        <w:adjustRightInd w:val="0"/>
        <w:spacing w:after="0" w:line="240" w:lineRule="auto"/>
        <w:rPr>
          <w:rFonts w:ascii="Times New Roman" w:hAnsi="Times New Roman"/>
          <w:b/>
          <w:lang w:val="it-IT"/>
        </w:rPr>
      </w:pPr>
      <w:r w:rsidRPr="00496684">
        <w:rPr>
          <w:rFonts w:ascii="Times New Roman" w:hAnsi="Times New Roman"/>
          <w:b/>
          <w:bCs/>
          <w:lang w:val="it-IT"/>
        </w:rPr>
        <w:t>2.</w:t>
      </w:r>
      <w:r w:rsidRPr="00496684">
        <w:rPr>
          <w:rFonts w:ascii="Times New Roman" w:hAnsi="Times New Roman"/>
          <w:b/>
          <w:bCs/>
          <w:lang w:val="it-IT"/>
        </w:rPr>
        <w:tab/>
      </w:r>
      <w:r w:rsidRPr="00496684">
        <w:rPr>
          <w:rFonts w:ascii="Times New Roman" w:hAnsi="Times New Roman"/>
          <w:b/>
          <w:lang w:val="it-IT"/>
        </w:rPr>
        <w:t>COMPOSIZIONE QUALITATIVA E QUANTITATIVA</w:t>
      </w:r>
    </w:p>
    <w:p w14:paraId="14DE76C1" w14:textId="77777777" w:rsidR="00911503" w:rsidRPr="00496684" w:rsidRDefault="00911503" w:rsidP="00C41C1C">
      <w:pPr>
        <w:tabs>
          <w:tab w:val="left" w:pos="567"/>
        </w:tabs>
        <w:autoSpaceDE w:val="0"/>
        <w:autoSpaceDN w:val="0"/>
        <w:adjustRightInd w:val="0"/>
        <w:spacing w:after="0" w:line="240" w:lineRule="auto"/>
        <w:rPr>
          <w:rFonts w:ascii="Times New Roman" w:hAnsi="Times New Roman"/>
          <w:lang w:val="it-IT"/>
        </w:rPr>
      </w:pPr>
    </w:p>
    <w:p w14:paraId="357E872E" w14:textId="77777777" w:rsidR="00846B92" w:rsidRPr="00496684" w:rsidRDefault="00846B92" w:rsidP="001C7029">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100 mg compresse rivestite con film</w:t>
      </w:r>
    </w:p>
    <w:p w14:paraId="5214CAF9" w14:textId="77777777" w:rsidR="00FD13F2" w:rsidRPr="00496684" w:rsidRDefault="00FD13F2" w:rsidP="00FD13F2">
      <w:pPr>
        <w:widowControl w:val="0"/>
        <w:rPr>
          <w:rFonts w:ascii="Times New Roman" w:hAnsi="Times New Roman"/>
          <w:lang w:val="it-IT"/>
        </w:rPr>
      </w:pPr>
      <w:r w:rsidRPr="00496684">
        <w:rPr>
          <w:rFonts w:ascii="Times New Roman" w:hAnsi="Times New Roman"/>
          <w:lang w:val="it-IT"/>
        </w:rPr>
        <w:t>Ogni compressa rivestita con film contiene 100 mg di imatinib (come mesilato).</w:t>
      </w:r>
    </w:p>
    <w:p w14:paraId="02BB9571" w14:textId="77777777" w:rsidR="00CA176A" w:rsidRPr="00496684" w:rsidRDefault="00CA176A"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u w:val="single"/>
          <w:lang w:val="it-IT"/>
        </w:rPr>
        <w:t>E</w:t>
      </w:r>
      <w:r w:rsidR="00FD13F2" w:rsidRPr="00496684">
        <w:rPr>
          <w:rFonts w:ascii="Times New Roman" w:hAnsi="Times New Roman"/>
          <w:u w:val="single"/>
          <w:lang w:val="it-IT"/>
        </w:rPr>
        <w:t>ccipienti con effetto noto</w:t>
      </w:r>
      <w:r w:rsidRPr="00496684">
        <w:rPr>
          <w:rFonts w:ascii="Times New Roman" w:hAnsi="Times New Roman"/>
          <w:lang w:val="it-IT"/>
        </w:rPr>
        <w:t>:</w:t>
      </w:r>
    </w:p>
    <w:p w14:paraId="7160C180" w14:textId="77777777" w:rsidR="00CA176A" w:rsidRPr="00496684" w:rsidRDefault="00FD13F2"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lang w:val="it-IT"/>
        </w:rPr>
        <w:t>Ogni compressa rivestita con film contiene</w:t>
      </w:r>
      <w:r w:rsidR="00CA176A" w:rsidRPr="00496684">
        <w:rPr>
          <w:rFonts w:ascii="Times New Roman" w:hAnsi="Times New Roman"/>
          <w:bCs/>
          <w:lang w:val="it-IT"/>
        </w:rPr>
        <w:t xml:space="preserve"> 0</w:t>
      </w:r>
      <w:r w:rsidR="00664230" w:rsidRPr="00496684">
        <w:rPr>
          <w:rFonts w:ascii="Times New Roman" w:hAnsi="Times New Roman"/>
          <w:bCs/>
          <w:lang w:val="it-IT"/>
        </w:rPr>
        <w:t>,</w:t>
      </w:r>
      <w:r w:rsidR="00CA176A" w:rsidRPr="00496684">
        <w:rPr>
          <w:rFonts w:ascii="Times New Roman" w:hAnsi="Times New Roman"/>
          <w:bCs/>
          <w:lang w:val="it-IT"/>
        </w:rPr>
        <w:t>19 mg</w:t>
      </w:r>
      <w:r w:rsidRPr="00496684">
        <w:rPr>
          <w:rFonts w:ascii="Times New Roman" w:hAnsi="Times New Roman"/>
          <w:bCs/>
          <w:lang w:val="it-IT"/>
        </w:rPr>
        <w:t xml:space="preserve"> di</w:t>
      </w:r>
      <w:r w:rsidR="00CA176A" w:rsidRPr="00496684">
        <w:rPr>
          <w:rFonts w:ascii="Times New Roman" w:hAnsi="Times New Roman"/>
          <w:bCs/>
          <w:lang w:val="it-IT"/>
        </w:rPr>
        <w:t xml:space="preserve"> lecitin</w:t>
      </w:r>
      <w:r w:rsidRPr="00496684">
        <w:rPr>
          <w:rFonts w:ascii="Times New Roman" w:hAnsi="Times New Roman"/>
          <w:bCs/>
          <w:lang w:val="it-IT"/>
        </w:rPr>
        <w:t>a</w:t>
      </w:r>
      <w:r w:rsidR="00CA176A" w:rsidRPr="00496684">
        <w:rPr>
          <w:rFonts w:ascii="Times New Roman" w:hAnsi="Times New Roman"/>
          <w:bCs/>
          <w:lang w:val="it-IT"/>
        </w:rPr>
        <w:t xml:space="preserve"> (so</w:t>
      </w:r>
      <w:r w:rsidRPr="00496684">
        <w:rPr>
          <w:rFonts w:ascii="Times New Roman" w:hAnsi="Times New Roman"/>
          <w:bCs/>
          <w:lang w:val="it-IT"/>
        </w:rPr>
        <w:t>i</w:t>
      </w:r>
      <w:r w:rsidR="00CA176A" w:rsidRPr="00496684">
        <w:rPr>
          <w:rFonts w:ascii="Times New Roman" w:hAnsi="Times New Roman"/>
          <w:bCs/>
          <w:lang w:val="it-IT"/>
        </w:rPr>
        <w:t>a) (E322)</w:t>
      </w:r>
    </w:p>
    <w:p w14:paraId="27EC4736" w14:textId="77777777" w:rsidR="00846B92" w:rsidRPr="00496684" w:rsidRDefault="00846B92" w:rsidP="00CA176A">
      <w:pPr>
        <w:autoSpaceDE w:val="0"/>
        <w:autoSpaceDN w:val="0"/>
        <w:adjustRightInd w:val="0"/>
        <w:spacing w:after="0" w:line="240" w:lineRule="auto"/>
        <w:rPr>
          <w:rFonts w:ascii="Times New Roman" w:hAnsi="Times New Roman"/>
          <w:bCs/>
          <w:lang w:val="it-IT"/>
        </w:rPr>
      </w:pPr>
    </w:p>
    <w:p w14:paraId="2E74A8D4" w14:textId="77777777" w:rsidR="00846B92" w:rsidRPr="00496684" w:rsidRDefault="00846B92" w:rsidP="00846B92">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400 mg compresse rivestite con film</w:t>
      </w:r>
    </w:p>
    <w:p w14:paraId="4C7D880F" w14:textId="77777777" w:rsidR="00846B92" w:rsidRPr="00496684" w:rsidRDefault="00846B92" w:rsidP="00846B92">
      <w:pPr>
        <w:widowControl w:val="0"/>
        <w:rPr>
          <w:rFonts w:ascii="Times New Roman" w:hAnsi="Times New Roman"/>
          <w:lang w:val="it-IT"/>
        </w:rPr>
      </w:pPr>
      <w:r w:rsidRPr="00496684">
        <w:rPr>
          <w:rFonts w:ascii="Times New Roman" w:hAnsi="Times New Roman"/>
          <w:lang w:val="it-IT"/>
        </w:rPr>
        <w:t>Ogni compressa rivestita con film contiene 400 mg di imatinib (come mesilato).</w:t>
      </w:r>
    </w:p>
    <w:p w14:paraId="06D98663" w14:textId="77777777" w:rsidR="00846B92" w:rsidRPr="00496684" w:rsidRDefault="00846B92" w:rsidP="00846B92">
      <w:pPr>
        <w:autoSpaceDE w:val="0"/>
        <w:autoSpaceDN w:val="0"/>
        <w:adjustRightInd w:val="0"/>
        <w:spacing w:after="0" w:line="240" w:lineRule="auto"/>
        <w:rPr>
          <w:rFonts w:ascii="Times New Roman" w:hAnsi="Times New Roman"/>
          <w:lang w:val="it-IT"/>
        </w:rPr>
      </w:pPr>
      <w:r w:rsidRPr="00496684">
        <w:rPr>
          <w:rFonts w:ascii="Times New Roman" w:hAnsi="Times New Roman"/>
          <w:u w:val="single"/>
          <w:lang w:val="it-IT"/>
        </w:rPr>
        <w:t>Eccipienti con effetto noto</w:t>
      </w:r>
      <w:r w:rsidRPr="00496684">
        <w:rPr>
          <w:rFonts w:ascii="Times New Roman" w:hAnsi="Times New Roman"/>
          <w:lang w:val="it-IT"/>
        </w:rPr>
        <w:t>:</w:t>
      </w:r>
    </w:p>
    <w:p w14:paraId="62053CC2" w14:textId="77777777" w:rsidR="00846B92" w:rsidRPr="00496684" w:rsidRDefault="00846B92"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lang w:val="it-IT"/>
        </w:rPr>
        <w:t>Ogni compressa rivestita con film contiene</w:t>
      </w:r>
      <w:r w:rsidRPr="00496684">
        <w:rPr>
          <w:rFonts w:ascii="Times New Roman" w:hAnsi="Times New Roman"/>
          <w:bCs/>
          <w:lang w:val="it-IT"/>
        </w:rPr>
        <w:t xml:space="preserve"> 0,75 mg di lecitina (soia) (E322)</w:t>
      </w:r>
    </w:p>
    <w:p w14:paraId="7DF8D289" w14:textId="77777777" w:rsidR="00CA176A" w:rsidRPr="00496684" w:rsidRDefault="00CA176A" w:rsidP="00CA176A">
      <w:pPr>
        <w:autoSpaceDE w:val="0"/>
        <w:autoSpaceDN w:val="0"/>
        <w:adjustRightInd w:val="0"/>
        <w:spacing w:after="0" w:line="240" w:lineRule="auto"/>
        <w:rPr>
          <w:rFonts w:ascii="Times New Roman" w:hAnsi="Times New Roman"/>
          <w:highlight w:val="lightGray"/>
          <w:lang w:val="it-IT"/>
        </w:rPr>
      </w:pPr>
    </w:p>
    <w:p w14:paraId="4DB1DFD5" w14:textId="77777777" w:rsidR="00FD13F2" w:rsidRPr="00496684" w:rsidRDefault="00FD13F2" w:rsidP="00F34DDE">
      <w:pPr>
        <w:widowControl w:val="0"/>
        <w:spacing w:after="0" w:line="240" w:lineRule="auto"/>
        <w:rPr>
          <w:rFonts w:ascii="Times New Roman" w:hAnsi="Times New Roman"/>
          <w:lang w:val="it-IT"/>
        </w:rPr>
      </w:pPr>
      <w:r w:rsidRPr="00496684">
        <w:rPr>
          <w:rFonts w:ascii="Times New Roman" w:hAnsi="Times New Roman"/>
          <w:lang w:val="it-IT"/>
        </w:rPr>
        <w:t>Per l’elenco completo degli eccipienti, vedere paragrafo 6.1.</w:t>
      </w:r>
    </w:p>
    <w:p w14:paraId="3BE4D734"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5520C426" w14:textId="77777777" w:rsidR="00F34DDE" w:rsidRPr="00496684" w:rsidRDefault="00F34DDE" w:rsidP="00CA176A">
      <w:pPr>
        <w:autoSpaceDE w:val="0"/>
        <w:autoSpaceDN w:val="0"/>
        <w:adjustRightInd w:val="0"/>
        <w:spacing w:after="0" w:line="240" w:lineRule="auto"/>
        <w:rPr>
          <w:rFonts w:ascii="Times New Roman" w:hAnsi="Times New Roman"/>
          <w:lang w:val="it-IT"/>
        </w:rPr>
      </w:pPr>
    </w:p>
    <w:p w14:paraId="6511D2F9" w14:textId="77777777" w:rsidR="00CA176A" w:rsidRPr="00496684" w:rsidRDefault="00CA176A" w:rsidP="00CA176A">
      <w:pPr>
        <w:tabs>
          <w:tab w:val="left" w:pos="567"/>
        </w:tabs>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r>
      <w:r w:rsidR="004B121D" w:rsidRPr="00496684">
        <w:rPr>
          <w:rFonts w:ascii="Times New Roman" w:hAnsi="Times New Roman"/>
          <w:b/>
          <w:lang w:val="it-IT"/>
        </w:rPr>
        <w:t>FORMA FARMACEUTICA</w:t>
      </w:r>
    </w:p>
    <w:p w14:paraId="77D78D3E" w14:textId="77777777" w:rsidR="00CA176A" w:rsidRPr="00496684" w:rsidRDefault="00CA176A" w:rsidP="00CA176A">
      <w:pPr>
        <w:autoSpaceDE w:val="0"/>
        <w:autoSpaceDN w:val="0"/>
        <w:adjustRightInd w:val="0"/>
        <w:spacing w:after="0" w:line="240" w:lineRule="auto"/>
        <w:rPr>
          <w:rFonts w:ascii="Times New Roman" w:hAnsi="Times New Roman"/>
          <w:highlight w:val="lightGray"/>
          <w:lang w:val="it-IT"/>
        </w:rPr>
      </w:pPr>
    </w:p>
    <w:p w14:paraId="23528E38" w14:textId="77777777" w:rsidR="00CA176A" w:rsidRPr="00496684" w:rsidRDefault="004B121D"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Compressa rivestita con film</w:t>
      </w:r>
      <w:r w:rsidR="00EE39E6" w:rsidRPr="00496684">
        <w:rPr>
          <w:rFonts w:ascii="Times New Roman" w:hAnsi="Times New Roman"/>
          <w:lang w:val="it-IT"/>
        </w:rPr>
        <w:t xml:space="preserve"> (compresse).</w:t>
      </w:r>
    </w:p>
    <w:p w14:paraId="3126B636" w14:textId="77777777" w:rsidR="00CA176A" w:rsidRPr="00496684" w:rsidRDefault="00CA176A" w:rsidP="00CA176A">
      <w:pPr>
        <w:autoSpaceDE w:val="0"/>
        <w:autoSpaceDN w:val="0"/>
        <w:adjustRightInd w:val="0"/>
        <w:spacing w:after="0" w:line="240" w:lineRule="auto"/>
        <w:rPr>
          <w:rFonts w:ascii="Times New Roman" w:hAnsi="Times New Roman"/>
          <w:highlight w:val="lightGray"/>
          <w:lang w:val="it-IT"/>
        </w:rPr>
      </w:pPr>
    </w:p>
    <w:p w14:paraId="3529147A" w14:textId="77777777" w:rsidR="00027A26" w:rsidRPr="00496684" w:rsidRDefault="00027A26" w:rsidP="00027A26">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100 mg compresse rivestite con film</w:t>
      </w:r>
    </w:p>
    <w:p w14:paraId="04036484" w14:textId="77777777" w:rsidR="004B121D" w:rsidRPr="00496684" w:rsidRDefault="00F34DDE" w:rsidP="004B121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Compressa rivestita con film, r</w:t>
      </w:r>
      <w:r w:rsidR="004B121D" w:rsidRPr="00496684">
        <w:rPr>
          <w:rFonts w:ascii="Times New Roman" w:hAnsi="Times New Roman"/>
          <w:lang w:val="it-IT"/>
        </w:rPr>
        <w:t>otonda</w:t>
      </w:r>
      <w:r w:rsidRPr="00496684">
        <w:rPr>
          <w:rFonts w:ascii="Times New Roman" w:hAnsi="Times New Roman"/>
          <w:lang w:val="it-IT"/>
        </w:rPr>
        <w:t>, 9.</w:t>
      </w:r>
      <w:r w:rsidR="00CA176A" w:rsidRPr="00496684">
        <w:rPr>
          <w:rFonts w:ascii="Times New Roman" w:hAnsi="Times New Roman"/>
          <w:lang w:val="it-IT"/>
        </w:rPr>
        <w:t xml:space="preserve">2 mm </w:t>
      </w:r>
      <w:r w:rsidR="004B121D" w:rsidRPr="00496684">
        <w:rPr>
          <w:rFonts w:ascii="Times New Roman" w:hAnsi="Times New Roman"/>
          <w:lang w:val="it-IT"/>
        </w:rPr>
        <w:t>di diametro, biconvessa  di colore da giallo molto scuro a</w:t>
      </w:r>
      <w:r w:rsidRPr="00496684">
        <w:rPr>
          <w:rFonts w:ascii="Times New Roman" w:hAnsi="Times New Roman"/>
          <w:lang w:val="it-IT"/>
        </w:rPr>
        <w:t>l</w:t>
      </w:r>
      <w:r w:rsidR="004B121D" w:rsidRPr="00496684">
        <w:rPr>
          <w:rFonts w:ascii="Times New Roman" w:hAnsi="Times New Roman"/>
          <w:lang w:val="it-IT"/>
        </w:rPr>
        <w:t xml:space="preserve"> brunastro con l'impressione del logo dell'azienda su un lato e "36" con linea di frattura sull'altro</w:t>
      </w:r>
      <w:r w:rsidR="00E83BDA" w:rsidRPr="00496684">
        <w:rPr>
          <w:rFonts w:ascii="Times New Roman" w:hAnsi="Times New Roman"/>
          <w:lang w:val="it-IT"/>
        </w:rPr>
        <w:t>.</w:t>
      </w:r>
    </w:p>
    <w:p w14:paraId="1133C76A" w14:textId="77777777" w:rsidR="00CA176A" w:rsidRPr="00496684" w:rsidRDefault="004B121D" w:rsidP="00CA176A">
      <w:pPr>
        <w:pStyle w:val="KeinLeerraum"/>
        <w:rPr>
          <w:rFonts w:ascii="Times New Roman" w:hAnsi="Times New Roman"/>
          <w:lang w:val="it-IT"/>
        </w:rPr>
      </w:pPr>
      <w:r w:rsidRPr="00496684">
        <w:rPr>
          <w:rFonts w:ascii="Times New Roman" w:hAnsi="Times New Roman"/>
          <w:lang w:val="it-IT"/>
        </w:rPr>
        <w:t>La compressa può essere divisa in due met</w:t>
      </w:r>
      <w:r w:rsidR="005A0B22" w:rsidRPr="00496684">
        <w:rPr>
          <w:rFonts w:ascii="Times New Roman" w:hAnsi="Times New Roman"/>
          <w:lang w:val="it-IT"/>
        </w:rPr>
        <w:t>à</w:t>
      </w:r>
      <w:r w:rsidRPr="00496684">
        <w:rPr>
          <w:rFonts w:ascii="Times New Roman" w:hAnsi="Times New Roman"/>
          <w:lang w:val="it-IT"/>
        </w:rPr>
        <w:t xml:space="preserve"> uguali</w:t>
      </w:r>
    </w:p>
    <w:p w14:paraId="0A75EE79" w14:textId="77777777" w:rsidR="00CA176A" w:rsidRPr="00496684" w:rsidRDefault="00CA176A" w:rsidP="00CA176A">
      <w:pPr>
        <w:pStyle w:val="KeinLeerraum"/>
        <w:rPr>
          <w:rFonts w:ascii="Times New Roman" w:hAnsi="Times New Roman"/>
          <w:highlight w:val="lightGray"/>
          <w:lang w:val="it-IT"/>
        </w:rPr>
      </w:pPr>
    </w:p>
    <w:p w14:paraId="694A5DF0" w14:textId="77777777" w:rsidR="00E34A6E" w:rsidRPr="00496684" w:rsidRDefault="00E34A6E" w:rsidP="00E34A6E">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400 mg compresse rivestite con film</w:t>
      </w:r>
    </w:p>
    <w:p w14:paraId="6502B30D" w14:textId="77777777" w:rsidR="00E34A6E" w:rsidRPr="00496684" w:rsidRDefault="00E34A6E" w:rsidP="00E34A6E">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Compressa rivestita con film, </w:t>
      </w:r>
      <w:r w:rsidR="00BA55C4" w:rsidRPr="00496684">
        <w:rPr>
          <w:rFonts w:ascii="Times New Roman" w:hAnsi="Times New Roman"/>
          <w:lang w:val="it-IT"/>
        </w:rPr>
        <w:t>ovale</w:t>
      </w:r>
      <w:r w:rsidRPr="00496684">
        <w:rPr>
          <w:rFonts w:ascii="Times New Roman" w:hAnsi="Times New Roman"/>
          <w:lang w:val="it-IT"/>
        </w:rPr>
        <w:t xml:space="preserve">, </w:t>
      </w:r>
      <w:r w:rsidR="00BA55C4" w:rsidRPr="00496684">
        <w:rPr>
          <w:rFonts w:ascii="Times New Roman" w:hAnsi="Times New Roman"/>
          <w:lang w:val="it-IT"/>
        </w:rPr>
        <w:t xml:space="preserve">18,6 x 6,6 </w:t>
      </w:r>
      <w:r w:rsidRPr="00496684">
        <w:rPr>
          <w:rFonts w:ascii="Times New Roman" w:hAnsi="Times New Roman"/>
          <w:lang w:val="it-IT"/>
        </w:rPr>
        <w:t>mm, biconvessa  di colore da giallo molto scuro al brunastro con l'impressione del lo</w:t>
      </w:r>
      <w:r w:rsidR="00BB66FD" w:rsidRPr="00496684">
        <w:rPr>
          <w:rFonts w:ascii="Times New Roman" w:hAnsi="Times New Roman"/>
          <w:lang w:val="it-IT"/>
        </w:rPr>
        <w:t>go dell'azienda su un lato e "37</w:t>
      </w:r>
      <w:r w:rsidRPr="00496684">
        <w:rPr>
          <w:rFonts w:ascii="Times New Roman" w:hAnsi="Times New Roman"/>
          <w:lang w:val="it-IT"/>
        </w:rPr>
        <w:t>" con linea di frattura sull'altro.</w:t>
      </w:r>
    </w:p>
    <w:p w14:paraId="339BE505" w14:textId="77777777" w:rsidR="00E34A6E" w:rsidRPr="00496684" w:rsidRDefault="00BB66FD" w:rsidP="00E34A6E">
      <w:pPr>
        <w:pStyle w:val="KeinLeerraum"/>
        <w:rPr>
          <w:rFonts w:ascii="Times New Roman" w:hAnsi="Times New Roman"/>
          <w:lang w:val="it-IT"/>
        </w:rPr>
      </w:pPr>
      <w:r w:rsidRPr="00496684">
        <w:rPr>
          <w:rFonts w:ascii="Times New Roman" w:hAnsi="Times New Roman"/>
          <w:lang w:val="it-IT"/>
        </w:rPr>
        <w:t>La linea di frattura non è pensata per dividere la compressa.</w:t>
      </w:r>
    </w:p>
    <w:p w14:paraId="7EADCED9" w14:textId="77777777" w:rsidR="00E34A6E" w:rsidRPr="00496684" w:rsidRDefault="00E34A6E" w:rsidP="00CA176A">
      <w:pPr>
        <w:pStyle w:val="KeinLeerraum"/>
        <w:rPr>
          <w:rFonts w:ascii="Times New Roman" w:hAnsi="Times New Roman"/>
          <w:highlight w:val="lightGray"/>
          <w:lang w:val="it-IT"/>
        </w:rPr>
      </w:pPr>
    </w:p>
    <w:p w14:paraId="6CE55975" w14:textId="77777777" w:rsidR="00CA176A" w:rsidRPr="00496684" w:rsidRDefault="00CA176A" w:rsidP="00CA176A">
      <w:pPr>
        <w:pStyle w:val="KeinLeerraum"/>
        <w:rPr>
          <w:rFonts w:ascii="Times New Roman" w:hAnsi="Times New Roman"/>
          <w:lang w:val="it-IT"/>
        </w:rPr>
      </w:pPr>
    </w:p>
    <w:p w14:paraId="35A5DCCF" w14:textId="77777777" w:rsidR="00CA176A" w:rsidRPr="00496684" w:rsidRDefault="00CA176A" w:rsidP="00CA176A">
      <w:pPr>
        <w:tabs>
          <w:tab w:val="left" w:pos="567"/>
        </w:tabs>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005A0B22" w:rsidRPr="00496684">
        <w:rPr>
          <w:rFonts w:ascii="Times New Roman" w:hAnsi="Times New Roman"/>
          <w:b/>
          <w:caps/>
          <w:lang w:val="it-IT"/>
        </w:rPr>
        <w:t>INFORMAZIONI CLINICHE</w:t>
      </w:r>
    </w:p>
    <w:p w14:paraId="3714BC0E"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317F2A2C" w14:textId="77777777" w:rsidR="00CA176A" w:rsidRPr="00496684" w:rsidRDefault="00CA176A" w:rsidP="00CA176A">
      <w:pPr>
        <w:tabs>
          <w:tab w:val="left" w:pos="567"/>
        </w:tabs>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4.1</w:t>
      </w:r>
      <w:r w:rsidRPr="00496684">
        <w:rPr>
          <w:rFonts w:ascii="Times New Roman" w:hAnsi="Times New Roman"/>
          <w:b/>
          <w:bCs/>
          <w:lang w:val="it-IT"/>
        </w:rPr>
        <w:tab/>
      </w:r>
      <w:r w:rsidR="005A0B22" w:rsidRPr="00496684">
        <w:rPr>
          <w:rFonts w:ascii="Times New Roman" w:hAnsi="Times New Roman"/>
          <w:b/>
          <w:lang w:val="it-IT"/>
        </w:rPr>
        <w:t>Indicazioni terapeutiche</w:t>
      </w:r>
    </w:p>
    <w:p w14:paraId="76819F97" w14:textId="77777777" w:rsidR="00CA176A" w:rsidRPr="00496684" w:rsidRDefault="00CA176A" w:rsidP="00CA176A">
      <w:pPr>
        <w:tabs>
          <w:tab w:val="left" w:pos="567"/>
        </w:tabs>
        <w:autoSpaceDE w:val="0"/>
        <w:autoSpaceDN w:val="0"/>
        <w:adjustRightInd w:val="0"/>
        <w:spacing w:after="0" w:line="240" w:lineRule="auto"/>
        <w:rPr>
          <w:rFonts w:ascii="Times New Roman" w:hAnsi="Times New Roman"/>
          <w:bCs/>
          <w:lang w:val="it-IT"/>
        </w:rPr>
      </w:pPr>
    </w:p>
    <w:p w14:paraId="65D45A3D" w14:textId="77777777" w:rsidR="005A0B22" w:rsidRPr="00496684" w:rsidRDefault="005A0B22" w:rsidP="005A0B2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è indicato per il trattamento di</w:t>
      </w:r>
    </w:p>
    <w:p w14:paraId="1E96D611" w14:textId="0BE98024" w:rsidR="005A0B22" w:rsidRPr="00496684" w:rsidRDefault="005A0B22" w:rsidP="005A0B2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pazienti pediatrici con leucemia mieloide cronica (LMC) con cromosoma Philadelphia (bcr-</w:t>
      </w:r>
      <w:r w:rsidRPr="00496684">
        <w:rPr>
          <w:rFonts w:ascii="Times New Roman" w:hAnsi="Times New Roman"/>
          <w:lang w:val="it-IT"/>
        </w:rPr>
        <w:tab/>
        <w:t xml:space="preserve">abl) </w:t>
      </w:r>
      <w:r w:rsidRPr="00496684">
        <w:rPr>
          <w:rFonts w:ascii="Times New Roman" w:hAnsi="Times New Roman"/>
          <w:lang w:val="it-IT"/>
        </w:rPr>
        <w:tab/>
        <w:t xml:space="preserve">positivo (Ph+) di nuova diagnosi, per i quali il trapianto di midollo osseo non è considerato </w:t>
      </w:r>
      <w:r w:rsidRPr="00496684">
        <w:rPr>
          <w:rFonts w:ascii="Times New Roman" w:hAnsi="Times New Roman"/>
          <w:lang w:val="it-IT"/>
        </w:rPr>
        <w:tab/>
        <w:t>come trattamento di prima linea</w:t>
      </w:r>
    </w:p>
    <w:p w14:paraId="1B9EFFFA" w14:textId="17E5A452" w:rsidR="005A0B22" w:rsidRPr="00496684" w:rsidRDefault="005A0B22" w:rsidP="005A0B2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 xml:space="preserve">pazienti pediatrici con LMC Ph+ in fase cronica dopo il fallimento della terapia con </w:t>
      </w:r>
      <w:r w:rsidRPr="00496684">
        <w:rPr>
          <w:rFonts w:ascii="Times New Roman" w:hAnsi="Times New Roman"/>
          <w:lang w:val="it-IT"/>
        </w:rPr>
        <w:tab/>
        <w:t>interferone-</w:t>
      </w:r>
      <w:r w:rsidRPr="00496684">
        <w:rPr>
          <w:rFonts w:ascii="Times New Roman" w:hAnsi="Times New Roman"/>
          <w:lang w:val="it-IT"/>
        </w:rPr>
        <w:tab/>
        <w:t>alfa, o in fase accelerata o in crisi blastica.</w:t>
      </w:r>
    </w:p>
    <w:p w14:paraId="3DCEDD55" w14:textId="77777777" w:rsidR="005A0B22" w:rsidRPr="00496684" w:rsidRDefault="005A0B22" w:rsidP="005A0B2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pazienti adulti LMC Ph+ in crisi blastica</w:t>
      </w:r>
    </w:p>
    <w:p w14:paraId="440DD29B" w14:textId="77777777" w:rsidR="00D778B4" w:rsidRPr="00496684" w:rsidRDefault="00D778B4" w:rsidP="00965B46">
      <w:pPr>
        <w:autoSpaceDE w:val="0"/>
        <w:autoSpaceDN w:val="0"/>
        <w:adjustRightInd w:val="0"/>
        <w:spacing w:after="0" w:line="240" w:lineRule="auto"/>
        <w:ind w:left="567" w:hanging="567"/>
        <w:rPr>
          <w:lang w:val="it-IT"/>
        </w:rPr>
      </w:pPr>
      <w:r w:rsidRPr="00496684">
        <w:rPr>
          <w:rFonts w:ascii="Times New Roman" w:hAnsi="Times New Roman"/>
          <w:lang w:val="it-IT"/>
        </w:rPr>
        <w:t>-</w:t>
      </w:r>
      <w:r w:rsidRPr="00496684">
        <w:rPr>
          <w:rFonts w:ascii="Times New Roman" w:hAnsi="Times New Roman"/>
          <w:lang w:val="it-IT"/>
        </w:rPr>
        <w:tab/>
        <w:t>pazienti adulti</w:t>
      </w:r>
      <w:r w:rsidR="003A3302" w:rsidRPr="00496684">
        <w:rPr>
          <w:rFonts w:ascii="Times New Roman" w:hAnsi="Times New Roman"/>
          <w:lang w:val="it-IT"/>
        </w:rPr>
        <w:t xml:space="preserve"> e pediatrici</w:t>
      </w:r>
      <w:r w:rsidRPr="00496684">
        <w:rPr>
          <w:rFonts w:ascii="Times New Roman" w:hAnsi="Times New Roman"/>
          <w:lang w:val="it-IT"/>
        </w:rPr>
        <w:t xml:space="preserve"> con leucemia linfoblastica acuta con cromosoma Philadelphia positivo </w:t>
      </w:r>
      <w:r w:rsidR="003A3302" w:rsidRPr="00496684">
        <w:rPr>
          <w:rFonts w:ascii="Times New Roman" w:hAnsi="Times New Roman"/>
          <w:lang w:val="it-IT"/>
        </w:rPr>
        <w:tab/>
      </w:r>
      <w:r w:rsidRPr="00496684">
        <w:rPr>
          <w:rFonts w:ascii="Times New Roman" w:hAnsi="Times New Roman"/>
          <w:lang w:val="it-IT"/>
        </w:rPr>
        <w:t xml:space="preserve">(LLA Ph+) di nuova diagnosi integrato con chemioterapia. </w:t>
      </w:r>
    </w:p>
    <w:p w14:paraId="61555E25" w14:textId="77777777" w:rsidR="00D778B4" w:rsidRPr="00496684" w:rsidRDefault="00D778B4" w:rsidP="00D778B4">
      <w:pPr>
        <w:pStyle w:val="Default"/>
        <w:rPr>
          <w:sz w:val="22"/>
          <w:szCs w:val="22"/>
          <w:lang w:val="it-IT"/>
        </w:rPr>
      </w:pPr>
      <w:r w:rsidRPr="00496684">
        <w:rPr>
          <w:sz w:val="22"/>
          <w:szCs w:val="22"/>
          <w:lang w:val="it-IT"/>
        </w:rPr>
        <w:t>-</w:t>
      </w:r>
      <w:r w:rsidRPr="00496684">
        <w:rPr>
          <w:sz w:val="22"/>
          <w:szCs w:val="22"/>
          <w:lang w:val="it-IT"/>
        </w:rPr>
        <w:tab/>
        <w:t xml:space="preserve">pazienti adulti con LLA Ph+ recidivante o refrattaria come monoterapia. </w:t>
      </w:r>
    </w:p>
    <w:p w14:paraId="2309A97B" w14:textId="77777777" w:rsidR="00D778B4" w:rsidRPr="00496684" w:rsidRDefault="00D778B4" w:rsidP="00D778B4">
      <w:pPr>
        <w:autoSpaceDE w:val="0"/>
        <w:autoSpaceDN w:val="0"/>
        <w:adjustRightInd w:val="0"/>
        <w:spacing w:after="0" w:line="240" w:lineRule="auto"/>
        <w:ind w:left="567" w:hanging="567"/>
        <w:rPr>
          <w:rFonts w:ascii="Times New Roman" w:hAnsi="Times New Roman"/>
          <w:lang w:val="it-IT"/>
        </w:rPr>
      </w:pPr>
      <w:r w:rsidRPr="00496684">
        <w:rPr>
          <w:lang w:val="it-IT"/>
        </w:rPr>
        <w:t>-</w:t>
      </w:r>
      <w:r w:rsidRPr="00496684">
        <w:rPr>
          <w:lang w:val="it-IT"/>
        </w:rPr>
        <w:tab/>
      </w:r>
      <w:r w:rsidRPr="00496684">
        <w:rPr>
          <w:rFonts w:ascii="Times New Roman" w:hAnsi="Times New Roman"/>
          <w:lang w:val="it-IT"/>
        </w:rPr>
        <w:t xml:space="preserve">pazienti adulti con malattie mielodisplastiche/mieloproliferative (MDS/MPD) associate a riarrangiamenti del gene del recettore per il fattore di crescita di origine piastrinica (PDGFR). </w:t>
      </w:r>
    </w:p>
    <w:p w14:paraId="44B786B6" w14:textId="77777777" w:rsidR="00D778B4" w:rsidRPr="00496684" w:rsidRDefault="00D778B4" w:rsidP="00D778B4">
      <w:pPr>
        <w:pStyle w:val="Default"/>
        <w:ind w:left="567" w:hanging="567"/>
        <w:rPr>
          <w:sz w:val="22"/>
          <w:szCs w:val="22"/>
          <w:lang w:val="it-IT"/>
        </w:rPr>
      </w:pPr>
      <w:r w:rsidRPr="00496684">
        <w:rPr>
          <w:sz w:val="22"/>
          <w:szCs w:val="22"/>
          <w:lang w:val="it-IT"/>
        </w:rPr>
        <w:t>-</w:t>
      </w:r>
      <w:r w:rsidRPr="00496684">
        <w:rPr>
          <w:sz w:val="22"/>
          <w:szCs w:val="22"/>
          <w:lang w:val="it-IT"/>
        </w:rPr>
        <w:tab/>
        <w:t xml:space="preserve"> pazienti adulti con sindrome ipereosinofila avanzata (HES) e/o con leucemia eosinofila cronica (LEC) con riarrangiamento FIP1L1-PDGFRα. </w:t>
      </w:r>
    </w:p>
    <w:p w14:paraId="4FB7C257" w14:textId="77777777" w:rsidR="00D778B4" w:rsidRPr="00496684" w:rsidRDefault="00D778B4" w:rsidP="005A0B22">
      <w:pPr>
        <w:autoSpaceDE w:val="0"/>
        <w:autoSpaceDN w:val="0"/>
        <w:adjustRightInd w:val="0"/>
        <w:spacing w:after="0" w:line="240" w:lineRule="auto"/>
        <w:rPr>
          <w:rFonts w:ascii="Times New Roman" w:hAnsi="Times New Roman"/>
          <w:lang w:val="it-IT"/>
        </w:rPr>
      </w:pPr>
    </w:p>
    <w:p w14:paraId="57A775B8" w14:textId="77777777" w:rsidR="005A0B22" w:rsidRPr="00496684" w:rsidRDefault="005A0B22" w:rsidP="005A0B22">
      <w:pPr>
        <w:pStyle w:val="Endnotentext"/>
        <w:widowControl w:val="0"/>
        <w:tabs>
          <w:tab w:val="clear" w:pos="567"/>
        </w:tabs>
        <w:jc w:val="both"/>
        <w:rPr>
          <w:szCs w:val="22"/>
          <w:lang w:val="it-IT"/>
        </w:rPr>
      </w:pPr>
      <w:r w:rsidRPr="00496684">
        <w:rPr>
          <w:szCs w:val="22"/>
          <w:lang w:val="it-IT"/>
        </w:rPr>
        <w:t>L’effetto di imatinib sull’esito del trapianto di midollo osseo non è stato determinato.</w:t>
      </w:r>
    </w:p>
    <w:p w14:paraId="4E5C062F" w14:textId="77777777" w:rsidR="005A0B22" w:rsidRPr="00496684" w:rsidRDefault="005A0B22" w:rsidP="005A0B22">
      <w:pPr>
        <w:tabs>
          <w:tab w:val="left" w:pos="0"/>
        </w:tabs>
        <w:autoSpaceDE w:val="0"/>
        <w:autoSpaceDN w:val="0"/>
        <w:adjustRightInd w:val="0"/>
        <w:spacing w:after="0" w:line="240" w:lineRule="auto"/>
        <w:ind w:left="567" w:hanging="567"/>
        <w:rPr>
          <w:rFonts w:ascii="Times New Roman" w:hAnsi="Times New Roman"/>
          <w:lang w:val="it-IT"/>
        </w:rPr>
      </w:pPr>
    </w:p>
    <w:p w14:paraId="3B6619F5" w14:textId="77777777" w:rsidR="003464FE" w:rsidRPr="00496684" w:rsidRDefault="003464FE" w:rsidP="003464FE">
      <w:pPr>
        <w:tabs>
          <w:tab w:val="left" w:pos="0"/>
        </w:tabs>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lang w:val="it-IT"/>
        </w:rPr>
        <w:t>Imatinib Actavis è indicato per</w:t>
      </w:r>
    </w:p>
    <w:p w14:paraId="56FEA086" w14:textId="10C6ACFF" w:rsidR="003464FE" w:rsidRPr="00496684" w:rsidRDefault="003464FE" w:rsidP="003464FE">
      <w:pPr>
        <w:autoSpaceDE w:val="0"/>
        <w:autoSpaceDN w:val="0"/>
        <w:adjustRightInd w:val="0"/>
        <w:spacing w:after="0" w:line="240" w:lineRule="auto"/>
        <w:ind w:left="567" w:hanging="567"/>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w:t>
      </w:r>
      <w:r w:rsidRPr="00496684">
        <w:rPr>
          <w:rFonts w:ascii="Times New Roman" w:eastAsia="Times New Roman" w:hAnsi="Times New Roman"/>
          <w:color w:val="000000"/>
          <w:lang w:val="it-IT" w:eastAsia="it-IT"/>
        </w:rPr>
        <w:tab/>
        <w:t>il trattamento di pazienti adulti con dermatofibrosarcoma protuberans (DFSP) non resecabile e pazienti adulti con DFSP recidivante e/o metastatico non eleg</w:t>
      </w:r>
      <w:r w:rsidR="0040468F" w:rsidRPr="00496684">
        <w:rPr>
          <w:rFonts w:ascii="Times New Roman" w:eastAsia="Times New Roman" w:hAnsi="Times New Roman"/>
          <w:color w:val="000000"/>
          <w:lang w:val="it-IT" w:eastAsia="it-IT"/>
        </w:rPr>
        <w:t>g</w:t>
      </w:r>
      <w:r w:rsidRPr="00496684">
        <w:rPr>
          <w:rFonts w:ascii="Times New Roman" w:eastAsia="Times New Roman" w:hAnsi="Times New Roman"/>
          <w:color w:val="000000"/>
          <w:lang w:val="it-IT" w:eastAsia="it-IT"/>
        </w:rPr>
        <w:t xml:space="preserve">ibili per la chirurgia. </w:t>
      </w:r>
    </w:p>
    <w:p w14:paraId="01610A54" w14:textId="77777777" w:rsidR="003464FE" w:rsidRPr="00496684" w:rsidRDefault="003464FE" w:rsidP="005A0B22">
      <w:pPr>
        <w:tabs>
          <w:tab w:val="left" w:pos="0"/>
        </w:tabs>
        <w:autoSpaceDE w:val="0"/>
        <w:autoSpaceDN w:val="0"/>
        <w:adjustRightInd w:val="0"/>
        <w:spacing w:after="0" w:line="240" w:lineRule="auto"/>
        <w:ind w:left="567" w:hanging="567"/>
        <w:rPr>
          <w:rFonts w:ascii="Times New Roman" w:hAnsi="Times New Roman"/>
          <w:lang w:val="it-IT"/>
        </w:rPr>
      </w:pPr>
    </w:p>
    <w:p w14:paraId="02D5DD3C" w14:textId="1E8FF1C0" w:rsidR="003464FE" w:rsidRPr="00496684" w:rsidRDefault="005A0B22" w:rsidP="003464FE">
      <w:pPr>
        <w:tabs>
          <w:tab w:val="left" w:pos="0"/>
        </w:tabs>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Nei pazienti adulti e pediatrici, l'efficacia di imatinib si basa sui valori globali di risposta ematologica e citogenetica e di sopravvivenza libera da progressione nella LMC</w:t>
      </w:r>
      <w:r w:rsidR="003464FE" w:rsidRPr="00496684">
        <w:rPr>
          <w:rFonts w:ascii="Times New Roman" w:eastAsia="Times New Roman" w:hAnsi="Times New Roman"/>
          <w:lang w:val="it-IT" w:eastAsia="it-IT"/>
        </w:rPr>
        <w:t>,</w:t>
      </w:r>
      <w:r w:rsidR="003464FE" w:rsidRPr="00496684">
        <w:rPr>
          <w:lang w:val="it-IT"/>
        </w:rPr>
        <w:t xml:space="preserve"> </w:t>
      </w:r>
      <w:r w:rsidR="003464FE" w:rsidRPr="00496684">
        <w:rPr>
          <w:rFonts w:ascii="Times New Roman" w:hAnsi="Times New Roman"/>
          <w:lang w:val="it-IT"/>
        </w:rPr>
        <w:t>su valori di risposta ematologica e citogenetica nella LLA Ph+, MDS/MPD, su valori di risposta ematologica nelle HES/LEC e su valori di risposta obiettiva nei pazienti adulti con DFSP non operabile e/o metastatico. L’esperienza con imatinib in pazienti con MDS/MPD associata a riarrangiamenti del gene PDGFR è molto limitata (vedere paragrafo 5.1). Non ci sono sperimentazioni cliniche controllate che dimostrano un beneficio clinico o</w:t>
      </w:r>
      <w:r w:rsidR="003464FE" w:rsidRPr="00496684">
        <w:rPr>
          <w:lang w:val="it-IT"/>
        </w:rPr>
        <w:t xml:space="preserve"> </w:t>
      </w:r>
      <w:r w:rsidR="003464FE" w:rsidRPr="00496684">
        <w:rPr>
          <w:rFonts w:ascii="Times New Roman" w:hAnsi="Times New Roman"/>
          <w:lang w:val="it-IT"/>
        </w:rPr>
        <w:t>un aumento della sopravvivenza per queste patologie.</w:t>
      </w:r>
    </w:p>
    <w:p w14:paraId="6194FA6C" w14:textId="77777777" w:rsidR="00CA176A" w:rsidRPr="00496684" w:rsidRDefault="00CA176A" w:rsidP="00CA176A">
      <w:pPr>
        <w:tabs>
          <w:tab w:val="left" w:pos="0"/>
        </w:tabs>
        <w:autoSpaceDE w:val="0"/>
        <w:autoSpaceDN w:val="0"/>
        <w:adjustRightInd w:val="0"/>
        <w:spacing w:after="0" w:line="240" w:lineRule="auto"/>
        <w:ind w:left="567" w:hanging="567"/>
        <w:rPr>
          <w:rFonts w:ascii="Times New Roman" w:hAnsi="Times New Roman"/>
          <w:lang w:val="it-IT"/>
        </w:rPr>
      </w:pPr>
    </w:p>
    <w:p w14:paraId="2B57EC58"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4.2</w:t>
      </w:r>
      <w:r w:rsidRPr="00496684">
        <w:rPr>
          <w:rFonts w:ascii="Times New Roman" w:hAnsi="Times New Roman"/>
          <w:b/>
          <w:bCs/>
          <w:lang w:val="it-IT"/>
        </w:rPr>
        <w:tab/>
      </w:r>
      <w:r w:rsidR="003724E8" w:rsidRPr="00496684">
        <w:rPr>
          <w:rFonts w:ascii="Times New Roman" w:hAnsi="Times New Roman"/>
          <w:b/>
          <w:lang w:val="it-IT"/>
        </w:rPr>
        <w:t>Posologia e modo di somministrazione</w:t>
      </w:r>
    </w:p>
    <w:p w14:paraId="6712B4CC"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53AEE53A" w14:textId="77777777" w:rsidR="003724E8" w:rsidRPr="00496684" w:rsidRDefault="003724E8" w:rsidP="003724E8">
      <w:pPr>
        <w:pStyle w:val="Endnotentext"/>
        <w:widowControl w:val="0"/>
        <w:tabs>
          <w:tab w:val="clear" w:pos="567"/>
        </w:tabs>
        <w:rPr>
          <w:szCs w:val="22"/>
          <w:lang w:val="it-IT"/>
        </w:rPr>
      </w:pPr>
      <w:r w:rsidRPr="00496684">
        <w:rPr>
          <w:szCs w:val="22"/>
          <w:lang w:val="it-IT"/>
        </w:rPr>
        <w:t>La terapia deve essere iniziata da un medico esperto nel trattamento di pazienti con tumori ematologici</w:t>
      </w:r>
      <w:r w:rsidR="002D51FD" w:rsidRPr="00496684">
        <w:rPr>
          <w:szCs w:val="22"/>
          <w:lang w:val="it-IT"/>
        </w:rPr>
        <w:t xml:space="preserve"> e sarcomi maligni, come appropriato.</w:t>
      </w:r>
    </w:p>
    <w:p w14:paraId="779CCA38" w14:textId="77777777" w:rsidR="003724E8" w:rsidRPr="00496684" w:rsidRDefault="003724E8" w:rsidP="003724E8">
      <w:pPr>
        <w:autoSpaceDE w:val="0"/>
        <w:autoSpaceDN w:val="0"/>
        <w:adjustRightInd w:val="0"/>
        <w:spacing w:after="0" w:line="240" w:lineRule="auto"/>
        <w:rPr>
          <w:rFonts w:ascii="Times New Roman" w:hAnsi="Times New Roman"/>
          <w:lang w:val="it-IT"/>
        </w:rPr>
      </w:pPr>
    </w:p>
    <w:p w14:paraId="5506B29D" w14:textId="77777777" w:rsidR="003724E8" w:rsidRPr="00496684" w:rsidRDefault="003724E8" w:rsidP="003724E8">
      <w:pPr>
        <w:autoSpaceDE w:val="0"/>
        <w:autoSpaceDN w:val="0"/>
        <w:adjustRightInd w:val="0"/>
        <w:spacing w:after="0" w:line="240" w:lineRule="auto"/>
        <w:rPr>
          <w:rFonts w:ascii="Times New Roman" w:hAnsi="Times New Roman"/>
          <w:u w:val="single"/>
          <w:lang w:val="it-IT"/>
        </w:rPr>
      </w:pPr>
      <w:r w:rsidRPr="00496684">
        <w:rPr>
          <w:rFonts w:ascii="Times New Roman" w:hAnsi="Times New Roman"/>
          <w:u w:val="single"/>
          <w:lang w:val="it-IT"/>
        </w:rPr>
        <w:t>Posologia</w:t>
      </w:r>
    </w:p>
    <w:p w14:paraId="7CFF1D01" w14:textId="77777777" w:rsidR="003724E8" w:rsidRPr="00496684" w:rsidRDefault="003724E8" w:rsidP="003724E8">
      <w:pPr>
        <w:autoSpaceDE w:val="0"/>
        <w:autoSpaceDN w:val="0"/>
        <w:adjustRightInd w:val="0"/>
        <w:spacing w:after="0" w:line="240" w:lineRule="auto"/>
        <w:rPr>
          <w:rFonts w:ascii="Times New Roman" w:hAnsi="Times New Roman"/>
          <w:lang w:val="it-IT"/>
        </w:rPr>
      </w:pPr>
    </w:p>
    <w:p w14:paraId="6208A5C0" w14:textId="77777777" w:rsidR="003724E8" w:rsidRPr="00496684" w:rsidRDefault="003724E8" w:rsidP="003724E8">
      <w:pPr>
        <w:pStyle w:val="Endnotentext"/>
        <w:widowControl w:val="0"/>
        <w:tabs>
          <w:tab w:val="clear" w:pos="567"/>
        </w:tabs>
        <w:rPr>
          <w:i/>
          <w:szCs w:val="22"/>
          <w:u w:val="single"/>
          <w:lang w:val="it-IT"/>
        </w:rPr>
      </w:pPr>
      <w:r w:rsidRPr="00496684">
        <w:rPr>
          <w:i/>
          <w:szCs w:val="22"/>
          <w:u w:val="single"/>
          <w:lang w:val="it-IT"/>
        </w:rPr>
        <w:t>Posologia per la LMC in pazienti adulti</w:t>
      </w:r>
    </w:p>
    <w:p w14:paraId="1B47F99D" w14:textId="77777777" w:rsidR="003724E8" w:rsidRPr="00496684" w:rsidRDefault="003724E8" w:rsidP="003724E8">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Per i pazienti </w:t>
      </w:r>
      <w:r w:rsidR="002D51FD" w:rsidRPr="00496684">
        <w:rPr>
          <w:rFonts w:ascii="Times New Roman" w:eastAsia="Times New Roman" w:hAnsi="Times New Roman"/>
          <w:lang w:val="it-IT" w:eastAsia="it-IT"/>
        </w:rPr>
        <w:t xml:space="preserve">adulti </w:t>
      </w:r>
      <w:r w:rsidRPr="00496684">
        <w:rPr>
          <w:rFonts w:ascii="Times New Roman" w:eastAsia="Times New Roman" w:hAnsi="Times New Roman"/>
          <w:lang w:val="it-IT" w:eastAsia="it-IT"/>
        </w:rPr>
        <w:t xml:space="preserve">in crisi blastica il dosaggio raccomandato di imatinib è di 600 mg/die. La crisi blastica è definita dalla presenza di blasti nel sangue o nel midollo osseo </w:t>
      </w:r>
      <w:r w:rsidRPr="00496684">
        <w:rPr>
          <w:rFonts w:ascii="Times New Roman" w:eastAsia="Times New Roman" w:hAnsi="Times New Roman"/>
          <w:lang w:val="it-IT" w:eastAsia="it-IT"/>
        </w:rPr>
        <w:sym w:font="Symbol" w:char="F0B3"/>
      </w:r>
      <w:r w:rsidRPr="00496684">
        <w:rPr>
          <w:rFonts w:ascii="Times New Roman" w:eastAsia="Times New Roman" w:hAnsi="Times New Roman"/>
          <w:lang w:val="it-IT" w:eastAsia="it-IT"/>
        </w:rPr>
        <w:t>30% o da malattia extramidollare diversa dalla epatosplenomegalia</w:t>
      </w:r>
    </w:p>
    <w:p w14:paraId="333FB774" w14:textId="77777777" w:rsidR="003724E8" w:rsidRPr="00496684" w:rsidRDefault="003724E8" w:rsidP="003724E8">
      <w:pPr>
        <w:autoSpaceDE w:val="0"/>
        <w:autoSpaceDN w:val="0"/>
        <w:adjustRightInd w:val="0"/>
        <w:spacing w:after="0" w:line="240" w:lineRule="auto"/>
        <w:rPr>
          <w:rFonts w:ascii="Times New Roman" w:hAnsi="Times New Roman"/>
          <w:lang w:val="it-IT"/>
        </w:rPr>
      </w:pPr>
    </w:p>
    <w:p w14:paraId="2E6DB88E" w14:textId="77777777" w:rsidR="003724E8" w:rsidRPr="00496684" w:rsidRDefault="003724E8" w:rsidP="003724E8">
      <w:pPr>
        <w:pStyle w:val="Endnotentext"/>
        <w:widowControl w:val="0"/>
        <w:tabs>
          <w:tab w:val="clear" w:pos="567"/>
        </w:tabs>
        <w:rPr>
          <w:szCs w:val="22"/>
          <w:lang w:val="it-IT"/>
        </w:rPr>
      </w:pPr>
      <w:r w:rsidRPr="00496684">
        <w:rPr>
          <w:szCs w:val="22"/>
          <w:lang w:val="it-IT"/>
        </w:rPr>
        <w:t>Durata del trattamento: Negli studi clinici, il trattamento con imatinib è continuato fino alla progressione della malattia. Non è stato studiato l'effetto dell'interruzione del trattamento dopo il raggiungimento di una risposta citogenetica completa.</w:t>
      </w:r>
    </w:p>
    <w:p w14:paraId="424DEA24" w14:textId="77777777" w:rsidR="003724E8" w:rsidRPr="00496684" w:rsidRDefault="003724E8" w:rsidP="003724E8">
      <w:pPr>
        <w:autoSpaceDE w:val="0"/>
        <w:autoSpaceDN w:val="0"/>
        <w:adjustRightInd w:val="0"/>
        <w:spacing w:after="0" w:line="240" w:lineRule="auto"/>
        <w:rPr>
          <w:rFonts w:ascii="Times New Roman" w:hAnsi="Times New Roman"/>
          <w:lang w:val="it-IT"/>
        </w:rPr>
      </w:pPr>
    </w:p>
    <w:p w14:paraId="421C36A7" w14:textId="7B6AAC8F" w:rsidR="003724E8" w:rsidRPr="00496684" w:rsidRDefault="003724E8" w:rsidP="003724E8">
      <w:pPr>
        <w:pStyle w:val="Endnotentext"/>
        <w:widowControl w:val="0"/>
        <w:tabs>
          <w:tab w:val="clear" w:pos="567"/>
        </w:tabs>
        <w:rPr>
          <w:szCs w:val="22"/>
          <w:lang w:val="it-IT"/>
        </w:rPr>
      </w:pPr>
      <w:r w:rsidRPr="00496684">
        <w:rPr>
          <w:szCs w:val="22"/>
          <w:lang w:val="it-IT"/>
        </w:rPr>
        <w:t>E’ possibile aumentare da 600 mg ad un massimo di 800 mg (somministrati con dosi da 400 mg due volte al giorno) nei pazienti con malattia in crisi blastica in assenza di gravi reazioni avverse al farmaco e grave neutropenia o trombocitopenia non associata alla leucemia nelle seguenti condizioni: progressione della malattia (in qualsiasi momento); mancato ottenimento di una risposta ematologica soddisfacente dopo almeno 3 mesi di trattamento; mancato ottenimento della risposta citogenetica dopo 12 mesi di trattamento; o perdita di una risposta ematologica e/o citogenetica precedentemente ottenuta. I pazienti devono essere strettamente monitorati a seguito dell'aumento della dose dato il potenziale aumento di incidenza delle reazioni avverse a dosaggi superiori.</w:t>
      </w:r>
    </w:p>
    <w:p w14:paraId="4F697AC3" w14:textId="77777777" w:rsidR="003724E8" w:rsidRPr="00496684" w:rsidRDefault="003724E8" w:rsidP="00CA176A">
      <w:pPr>
        <w:autoSpaceDE w:val="0"/>
        <w:autoSpaceDN w:val="0"/>
        <w:adjustRightInd w:val="0"/>
        <w:spacing w:after="0" w:line="240" w:lineRule="auto"/>
        <w:rPr>
          <w:rFonts w:ascii="Times New Roman" w:hAnsi="Times New Roman"/>
          <w:bCs/>
          <w:lang w:val="it-IT"/>
        </w:rPr>
      </w:pPr>
    </w:p>
    <w:p w14:paraId="1C97595E" w14:textId="77777777" w:rsidR="003724E8" w:rsidRPr="00496684" w:rsidRDefault="003724E8" w:rsidP="003724E8">
      <w:pPr>
        <w:pStyle w:val="Endnotentext"/>
        <w:widowControl w:val="0"/>
        <w:tabs>
          <w:tab w:val="clear" w:pos="567"/>
        </w:tabs>
        <w:rPr>
          <w:i/>
          <w:szCs w:val="22"/>
          <w:lang w:val="it-IT"/>
        </w:rPr>
      </w:pPr>
      <w:r w:rsidRPr="00496684">
        <w:rPr>
          <w:i/>
          <w:szCs w:val="22"/>
          <w:u w:val="single"/>
          <w:lang w:val="it-IT"/>
        </w:rPr>
        <w:t>Posologia per la LMC in pazienti pediatrici</w:t>
      </w:r>
    </w:p>
    <w:p w14:paraId="754C2C68" w14:textId="2EA5FB3C" w:rsidR="003724E8" w:rsidRPr="00496684" w:rsidRDefault="003724E8" w:rsidP="003724E8">
      <w:pPr>
        <w:pStyle w:val="Endnotentext"/>
        <w:widowControl w:val="0"/>
        <w:tabs>
          <w:tab w:val="clear" w:pos="567"/>
        </w:tabs>
        <w:rPr>
          <w:szCs w:val="22"/>
          <w:lang w:val="it-IT"/>
        </w:rPr>
      </w:pPr>
      <w:r w:rsidRPr="00496684">
        <w:rPr>
          <w:szCs w:val="22"/>
          <w:lang w:val="it-IT"/>
        </w:rPr>
        <w:t xml:space="preserve">Il dosaggio per i </w:t>
      </w:r>
      <w:r w:rsidR="003A3302" w:rsidRPr="00496684">
        <w:rPr>
          <w:szCs w:val="22"/>
          <w:lang w:val="it-IT"/>
        </w:rPr>
        <w:t>pazienti pediatrici</w:t>
      </w:r>
      <w:r w:rsidR="00EE39E6" w:rsidRPr="00496684">
        <w:rPr>
          <w:szCs w:val="22"/>
          <w:lang w:val="it-IT"/>
        </w:rPr>
        <w:t xml:space="preserve"> </w:t>
      </w:r>
      <w:r w:rsidRPr="00496684">
        <w:rPr>
          <w:szCs w:val="22"/>
          <w:lang w:val="it-IT"/>
        </w:rPr>
        <w:t xml:space="preserve"> deve essere calcolato sulla base della superficie corporea (mg/m</w:t>
      </w:r>
      <w:r w:rsidRPr="00496684">
        <w:rPr>
          <w:szCs w:val="22"/>
          <w:vertAlign w:val="superscript"/>
          <w:lang w:val="it-IT"/>
        </w:rPr>
        <w:t>2</w:t>
      </w:r>
      <w:r w:rsidRPr="00496684">
        <w:rPr>
          <w:szCs w:val="22"/>
          <w:lang w:val="it-IT"/>
        </w:rPr>
        <w:t xml:space="preserve">). A bambini con LMC in fase cronica e in fase </w:t>
      </w:r>
      <w:r w:rsidR="004D049F" w:rsidRPr="00496684">
        <w:rPr>
          <w:szCs w:val="22"/>
          <w:lang w:val="it-IT"/>
        </w:rPr>
        <w:t xml:space="preserve">accelerata </w:t>
      </w:r>
      <w:r w:rsidRPr="00496684">
        <w:rPr>
          <w:szCs w:val="22"/>
          <w:lang w:val="it-IT"/>
        </w:rPr>
        <w:t>si raccomanda la dose giornaliera di 340 mg/m</w:t>
      </w:r>
      <w:r w:rsidRPr="00496684">
        <w:rPr>
          <w:szCs w:val="22"/>
          <w:vertAlign w:val="superscript"/>
          <w:lang w:val="it-IT"/>
        </w:rPr>
        <w:t>2</w:t>
      </w:r>
      <w:r w:rsidRPr="00496684">
        <w:rPr>
          <w:szCs w:val="22"/>
          <w:lang w:val="it-IT"/>
        </w:rPr>
        <w:t xml:space="preserve"> (</w:t>
      </w:r>
      <w:r w:rsidR="004D049F" w:rsidRPr="00496684">
        <w:rPr>
          <w:szCs w:val="22"/>
          <w:lang w:val="it-IT"/>
        </w:rPr>
        <w:t xml:space="preserve">senza </w:t>
      </w:r>
      <w:r w:rsidRPr="00496684">
        <w:rPr>
          <w:szCs w:val="22"/>
          <w:lang w:val="it-IT"/>
        </w:rPr>
        <w:t>superare la dose totale di 800 mg). La dose totale giornaliera può essere assunta in un’unica somministrazione o suddivisa in due somministrazioni, una al mattino e una alla sera. Le raccomandazioni per il dosaggio si basano al momento su un numero limitato di pazienti pediatrici (vedere paragrafi 5.1 e 5.2). Non ci sono dati nel trattamento dei bambini di età inferiore ai 2 anni.</w:t>
      </w:r>
    </w:p>
    <w:p w14:paraId="06509A01" w14:textId="77777777" w:rsidR="003724E8" w:rsidRPr="00496684" w:rsidRDefault="003724E8" w:rsidP="003724E8">
      <w:pPr>
        <w:pStyle w:val="Endnotentext"/>
        <w:widowControl w:val="0"/>
        <w:tabs>
          <w:tab w:val="clear" w:pos="567"/>
        </w:tabs>
        <w:rPr>
          <w:szCs w:val="22"/>
          <w:lang w:val="it-IT"/>
        </w:rPr>
      </w:pPr>
    </w:p>
    <w:p w14:paraId="5D30D487" w14:textId="30A3FCD2" w:rsidR="003724E8" w:rsidRPr="00496684" w:rsidRDefault="003724E8" w:rsidP="003724E8">
      <w:pPr>
        <w:pStyle w:val="Endnotentext"/>
        <w:widowControl w:val="0"/>
        <w:tabs>
          <w:tab w:val="clear" w:pos="567"/>
        </w:tabs>
        <w:rPr>
          <w:szCs w:val="22"/>
          <w:lang w:val="it-IT"/>
        </w:rPr>
      </w:pPr>
      <w:r w:rsidRPr="00496684">
        <w:rPr>
          <w:szCs w:val="22"/>
          <w:lang w:val="it-IT"/>
        </w:rPr>
        <w:t>E’ possibile aumentare la dose giornaliera da 340 mg/m</w:t>
      </w:r>
      <w:r w:rsidRPr="00496684">
        <w:rPr>
          <w:szCs w:val="22"/>
          <w:vertAlign w:val="superscript"/>
          <w:lang w:val="it-IT"/>
        </w:rPr>
        <w:t>2</w:t>
      </w:r>
      <w:r w:rsidRPr="00496684">
        <w:rPr>
          <w:szCs w:val="22"/>
          <w:lang w:val="it-IT"/>
        </w:rPr>
        <w:t xml:space="preserve"> a 570 mg/m</w:t>
      </w:r>
      <w:r w:rsidRPr="00496684">
        <w:rPr>
          <w:szCs w:val="22"/>
          <w:vertAlign w:val="superscript"/>
          <w:lang w:val="it-IT"/>
        </w:rPr>
        <w:t>2</w:t>
      </w:r>
      <w:r w:rsidRPr="00496684">
        <w:rPr>
          <w:szCs w:val="22"/>
          <w:lang w:val="it-IT"/>
        </w:rPr>
        <w:t xml:space="preserve"> (</w:t>
      </w:r>
      <w:r w:rsidR="004D049F" w:rsidRPr="00496684">
        <w:rPr>
          <w:szCs w:val="22"/>
          <w:lang w:val="it-IT"/>
        </w:rPr>
        <w:t xml:space="preserve">senza </w:t>
      </w:r>
      <w:r w:rsidRPr="00496684">
        <w:rPr>
          <w:szCs w:val="22"/>
          <w:lang w:val="it-IT"/>
        </w:rPr>
        <w:t xml:space="preserve">superare la dose totale di 800 mg) </w:t>
      </w:r>
      <w:r w:rsidR="00EE39E6" w:rsidRPr="00496684">
        <w:rPr>
          <w:szCs w:val="22"/>
          <w:lang w:val="it-IT"/>
        </w:rPr>
        <w:t xml:space="preserve"> nei bambini </w:t>
      </w:r>
      <w:r w:rsidRPr="00496684">
        <w:rPr>
          <w:szCs w:val="22"/>
          <w:lang w:val="it-IT"/>
        </w:rPr>
        <w:t>in assenza di gravi reazioni avverse al farmaco e grave neutropenia o trombocitopenia non associata alla leucemia nelle seguenti circostanze: progressione della malattia (in qualsiasi momento); mancato ottenimento di una risposta ematologica soddisfacente dopo almeno 3 mesi di trattamento, mancato ottenimento di una risposta citogenetica dopo 12 mesi di trattamento; o perdita di una risposta ematologica e/o citogenetica precedentemente ottenuta. I pazienti devono essere strettamente monitorati dopo l’aumento di dose, data la potenziale maggior incidenza di reazioni avverse a dosaggi più alti.</w:t>
      </w:r>
    </w:p>
    <w:p w14:paraId="355639C7" w14:textId="77777777" w:rsidR="002D51FD" w:rsidRPr="00496684" w:rsidRDefault="002D51FD" w:rsidP="003724E8">
      <w:pPr>
        <w:pStyle w:val="Endnotentext"/>
        <w:widowControl w:val="0"/>
        <w:tabs>
          <w:tab w:val="clear" w:pos="567"/>
        </w:tabs>
        <w:rPr>
          <w:szCs w:val="22"/>
          <w:lang w:val="it-IT"/>
        </w:rPr>
      </w:pPr>
    </w:p>
    <w:p w14:paraId="47F34F00" w14:textId="77777777" w:rsidR="002D51FD" w:rsidRPr="00496684" w:rsidRDefault="002D51FD" w:rsidP="002D51FD">
      <w:pPr>
        <w:autoSpaceDE w:val="0"/>
        <w:autoSpaceDN w:val="0"/>
        <w:adjustRightInd w:val="0"/>
        <w:spacing w:after="0" w:line="240" w:lineRule="auto"/>
        <w:rPr>
          <w:rFonts w:ascii="Times New Roman" w:hAnsi="Times New Roman"/>
          <w:i/>
          <w:u w:val="single"/>
          <w:lang w:val="it-IT"/>
        </w:rPr>
      </w:pPr>
      <w:r w:rsidRPr="00496684">
        <w:rPr>
          <w:rFonts w:ascii="Times New Roman" w:hAnsi="Times New Roman"/>
          <w:i/>
          <w:u w:val="single"/>
          <w:lang w:val="it-IT"/>
        </w:rPr>
        <w:t xml:space="preserve">Posologia per LLA Ph+ </w:t>
      </w:r>
      <w:r w:rsidR="003A3302" w:rsidRPr="00496684">
        <w:rPr>
          <w:rFonts w:ascii="Times New Roman" w:hAnsi="Times New Roman"/>
          <w:i/>
          <w:u w:val="single"/>
          <w:lang w:val="it-IT"/>
        </w:rPr>
        <w:t>in pazienti adulti</w:t>
      </w:r>
    </w:p>
    <w:p w14:paraId="5C2A8652"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Per i pazienti adulti con LLA Ph+ il dosaggio raccomandato di imatinib è di 600 mg/die. Ematologi esperti nella gestione di questa malattia devono supervisionare la terapia in tutte le fasi del trattamento. </w:t>
      </w:r>
    </w:p>
    <w:p w14:paraId="666FD107" w14:textId="77777777" w:rsidR="002D51FD" w:rsidRPr="00496684" w:rsidRDefault="002D51FD" w:rsidP="002D51FD">
      <w:pPr>
        <w:autoSpaceDE w:val="0"/>
        <w:autoSpaceDN w:val="0"/>
        <w:adjustRightInd w:val="0"/>
        <w:spacing w:after="0" w:line="240" w:lineRule="auto"/>
        <w:rPr>
          <w:rFonts w:ascii="Times New Roman" w:hAnsi="Times New Roman"/>
          <w:lang w:val="it-IT"/>
        </w:rPr>
      </w:pPr>
    </w:p>
    <w:p w14:paraId="6AB2E031"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Schema di trattamento: Sulla base dei dati esistenti, imatinib ha mostrato di essere efficace e sicuro quando viene somministrato a 600 mg/die in associazione a chemioterapia nelle fasi d’induzione, consolidamento e mantenimento (vedere paragrafo 5.1) utilizzate nel trattamento di pazienti adulti con LLA Ph+ di nuova diagnosi. La durata della terapia con imatinib può variare in funzione dello schema di trattamento scelto, ma generalmente risultati migliori si sono raggiunti con esposizioni più prolungate a imatinib.</w:t>
      </w:r>
    </w:p>
    <w:p w14:paraId="6B4FB228"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 </w:t>
      </w:r>
    </w:p>
    <w:p w14:paraId="6B729A1F"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Per i pazienti adulti con LLA Ph+ recidivante o refrattaria, imatinib in monoterapia a 600 mg/die risulta sicuro, efficace e può essere somministrato fino a progressione della malattia.</w:t>
      </w:r>
    </w:p>
    <w:p w14:paraId="268F7F30" w14:textId="77777777" w:rsidR="002D51FD" w:rsidRPr="00496684" w:rsidRDefault="002D51FD" w:rsidP="002D51FD">
      <w:pPr>
        <w:autoSpaceDE w:val="0"/>
        <w:autoSpaceDN w:val="0"/>
        <w:adjustRightInd w:val="0"/>
        <w:spacing w:after="0" w:line="240" w:lineRule="auto"/>
        <w:rPr>
          <w:rFonts w:ascii="Times New Roman" w:hAnsi="Times New Roman"/>
          <w:lang w:val="it-IT"/>
        </w:rPr>
      </w:pPr>
    </w:p>
    <w:p w14:paraId="6A0F2BE0" w14:textId="77777777" w:rsidR="003A3302" w:rsidRPr="00496684" w:rsidRDefault="003A3302" w:rsidP="003A3302">
      <w:pPr>
        <w:pStyle w:val="Endnotentext"/>
        <w:widowControl w:val="0"/>
        <w:tabs>
          <w:tab w:val="clear" w:pos="567"/>
        </w:tabs>
        <w:rPr>
          <w:i/>
          <w:szCs w:val="22"/>
          <w:lang w:val="it-IT"/>
        </w:rPr>
      </w:pPr>
      <w:r w:rsidRPr="00496684">
        <w:rPr>
          <w:i/>
          <w:szCs w:val="22"/>
          <w:u w:val="single"/>
          <w:lang w:val="it-IT"/>
        </w:rPr>
        <w:t>Posologia per LLA Ph+ in pazienti pediatrici</w:t>
      </w:r>
    </w:p>
    <w:p w14:paraId="63132F9A" w14:textId="77777777" w:rsidR="003A3302" w:rsidRPr="00496684" w:rsidRDefault="003A3302" w:rsidP="003A3302">
      <w:pPr>
        <w:pStyle w:val="Endnotentext"/>
        <w:widowControl w:val="0"/>
        <w:tabs>
          <w:tab w:val="clear" w:pos="567"/>
        </w:tabs>
        <w:rPr>
          <w:szCs w:val="22"/>
          <w:lang w:val="it-IT"/>
        </w:rPr>
      </w:pPr>
      <w:r w:rsidRPr="00496684">
        <w:rPr>
          <w:szCs w:val="22"/>
          <w:lang w:val="it-IT"/>
        </w:rPr>
        <w:t>Il dosaggio per i pazienti pediatrici deve essere calcolato sulla base della superficie corporea (mg/m</w:t>
      </w:r>
      <w:r w:rsidRPr="00496684">
        <w:rPr>
          <w:szCs w:val="22"/>
          <w:vertAlign w:val="superscript"/>
          <w:lang w:val="it-IT"/>
        </w:rPr>
        <w:t>2</w:t>
      </w:r>
      <w:r w:rsidRPr="00496684">
        <w:rPr>
          <w:szCs w:val="22"/>
          <w:lang w:val="it-IT"/>
        </w:rPr>
        <w:t>). A bambini con LLA Ph+ la dose giornaliera raccomandata è di 340 mg/m</w:t>
      </w:r>
      <w:r w:rsidRPr="00496684">
        <w:rPr>
          <w:szCs w:val="22"/>
          <w:vertAlign w:val="superscript"/>
          <w:lang w:val="it-IT"/>
        </w:rPr>
        <w:t>2</w:t>
      </w:r>
      <w:r w:rsidRPr="00496684">
        <w:rPr>
          <w:szCs w:val="22"/>
          <w:lang w:val="it-IT"/>
        </w:rPr>
        <w:t xml:space="preserve"> (non superare la dose totale di 600 mg).</w:t>
      </w:r>
    </w:p>
    <w:p w14:paraId="7216111E" w14:textId="77777777" w:rsidR="003A3302" w:rsidRPr="00496684" w:rsidRDefault="003A3302" w:rsidP="003A3302">
      <w:pPr>
        <w:autoSpaceDE w:val="0"/>
        <w:autoSpaceDN w:val="0"/>
        <w:adjustRightInd w:val="0"/>
        <w:spacing w:after="0" w:line="240" w:lineRule="auto"/>
        <w:rPr>
          <w:rFonts w:ascii="Times New Roman" w:eastAsia="Times New Roman" w:hAnsi="Times New Roman"/>
          <w:i/>
          <w:color w:val="000000"/>
          <w:u w:val="single"/>
          <w:lang w:val="it-IT" w:eastAsia="it-IT"/>
        </w:rPr>
      </w:pPr>
    </w:p>
    <w:p w14:paraId="539B947F" w14:textId="77777777" w:rsidR="002D51FD" w:rsidRPr="00496684" w:rsidRDefault="002D51FD" w:rsidP="002D51FD">
      <w:pPr>
        <w:autoSpaceDE w:val="0"/>
        <w:autoSpaceDN w:val="0"/>
        <w:adjustRightInd w:val="0"/>
        <w:spacing w:after="0" w:line="240" w:lineRule="auto"/>
        <w:rPr>
          <w:rFonts w:ascii="Times New Roman" w:hAnsi="Times New Roman"/>
          <w:i/>
          <w:u w:val="single"/>
          <w:lang w:val="it-IT"/>
        </w:rPr>
      </w:pPr>
      <w:r w:rsidRPr="00496684">
        <w:rPr>
          <w:rFonts w:ascii="Times New Roman" w:hAnsi="Times New Roman"/>
          <w:i/>
          <w:u w:val="single"/>
          <w:lang w:val="it-IT"/>
        </w:rPr>
        <w:t xml:space="preserve">Posologia per MDS/MPD </w:t>
      </w:r>
    </w:p>
    <w:p w14:paraId="129CBBDC"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Per i pazienti adulti con MDS/MPD il dosaggio raccomandato di imatinib è di 400 mg/die. </w:t>
      </w:r>
    </w:p>
    <w:p w14:paraId="21DF93BB" w14:textId="77777777" w:rsidR="002D51FD" w:rsidRPr="00496684" w:rsidRDefault="002D51FD" w:rsidP="002D51FD">
      <w:pPr>
        <w:autoSpaceDE w:val="0"/>
        <w:autoSpaceDN w:val="0"/>
        <w:adjustRightInd w:val="0"/>
        <w:spacing w:after="0" w:line="240" w:lineRule="auto"/>
        <w:rPr>
          <w:rFonts w:ascii="Times New Roman" w:hAnsi="Times New Roman"/>
          <w:lang w:val="it-IT"/>
        </w:rPr>
      </w:pPr>
    </w:p>
    <w:p w14:paraId="1933383D"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Durata del trattamento: Nell’unico studio clinico condotto finora, il trattamento con imatinib è stato continuato fino a progressione della malattia (vedere paragrafo 5.1). Al momento dell’analisi, la durata mediana del trattamento era di 47 mesi (24 giorni – 60 mesi).</w:t>
      </w:r>
    </w:p>
    <w:p w14:paraId="5D0144B0" w14:textId="77777777" w:rsidR="002D51FD" w:rsidRPr="00496684" w:rsidRDefault="002D51FD" w:rsidP="002D51FD">
      <w:pPr>
        <w:autoSpaceDE w:val="0"/>
        <w:autoSpaceDN w:val="0"/>
        <w:adjustRightInd w:val="0"/>
        <w:spacing w:after="0" w:line="240" w:lineRule="auto"/>
        <w:rPr>
          <w:rFonts w:ascii="Times New Roman" w:hAnsi="Times New Roman"/>
          <w:u w:val="single"/>
          <w:lang w:val="it-IT"/>
        </w:rPr>
      </w:pPr>
    </w:p>
    <w:p w14:paraId="14B50D8D" w14:textId="77777777" w:rsidR="002D51FD" w:rsidRPr="00496684" w:rsidRDefault="002D51FD" w:rsidP="002D51FD">
      <w:pPr>
        <w:autoSpaceDE w:val="0"/>
        <w:autoSpaceDN w:val="0"/>
        <w:adjustRightInd w:val="0"/>
        <w:spacing w:after="0" w:line="240" w:lineRule="auto"/>
        <w:rPr>
          <w:rFonts w:ascii="Times New Roman" w:hAnsi="Times New Roman"/>
          <w:i/>
          <w:u w:val="single"/>
          <w:lang w:val="it-IT"/>
        </w:rPr>
      </w:pPr>
      <w:r w:rsidRPr="00496684">
        <w:rPr>
          <w:rFonts w:ascii="Times New Roman" w:hAnsi="Times New Roman"/>
          <w:i/>
          <w:u w:val="single"/>
          <w:lang w:val="it-IT"/>
        </w:rPr>
        <w:t xml:space="preserve">Posologia per HES/LEC </w:t>
      </w:r>
    </w:p>
    <w:p w14:paraId="00D58623"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Per i pazienti adulti con HES/LEC il dosaggio raccomandato di imatinib è 100 mg/die. </w:t>
      </w:r>
    </w:p>
    <w:p w14:paraId="1A878AC4" w14:textId="77777777" w:rsidR="002D51FD" w:rsidRPr="00496684" w:rsidRDefault="002D51FD" w:rsidP="002D51FD">
      <w:pPr>
        <w:autoSpaceDE w:val="0"/>
        <w:autoSpaceDN w:val="0"/>
        <w:adjustRightInd w:val="0"/>
        <w:spacing w:after="0" w:line="240" w:lineRule="auto"/>
        <w:rPr>
          <w:rFonts w:ascii="Times New Roman" w:hAnsi="Times New Roman"/>
          <w:lang w:val="it-IT"/>
        </w:rPr>
      </w:pPr>
    </w:p>
    <w:p w14:paraId="5CE32E76"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Si può considerare un incremento della dose da 100 mg a 400 mg in assenza di reazioni avverse al farmaco, se le valutazioni dimostrano una risposta terapeutica insufficiente. </w:t>
      </w:r>
    </w:p>
    <w:p w14:paraId="127A3F1F" w14:textId="77777777" w:rsidR="002D51FD" w:rsidRPr="00496684" w:rsidRDefault="002D51FD" w:rsidP="002D51FD">
      <w:pPr>
        <w:autoSpaceDE w:val="0"/>
        <w:autoSpaceDN w:val="0"/>
        <w:adjustRightInd w:val="0"/>
        <w:spacing w:after="0" w:line="240" w:lineRule="auto"/>
        <w:rPr>
          <w:rFonts w:ascii="Times New Roman" w:hAnsi="Times New Roman"/>
          <w:lang w:val="it-IT"/>
        </w:rPr>
      </w:pPr>
    </w:p>
    <w:p w14:paraId="76D446C0" w14:textId="77777777" w:rsidR="002D51FD" w:rsidRPr="00496684" w:rsidRDefault="002D51FD" w:rsidP="002D51FD">
      <w:pPr>
        <w:autoSpaceDE w:val="0"/>
        <w:autoSpaceDN w:val="0"/>
        <w:adjustRightInd w:val="0"/>
        <w:spacing w:after="0" w:line="240" w:lineRule="auto"/>
        <w:rPr>
          <w:rFonts w:ascii="Times New Roman" w:hAnsi="Times New Roman"/>
          <w:u w:val="single"/>
          <w:lang w:val="it-IT"/>
        </w:rPr>
      </w:pPr>
      <w:r w:rsidRPr="00496684">
        <w:rPr>
          <w:rFonts w:ascii="Times New Roman" w:hAnsi="Times New Roman"/>
          <w:lang w:val="it-IT"/>
        </w:rPr>
        <w:t>Il trattamento deve essere continuato finchè il paziente continua a trarne beneficio.</w:t>
      </w:r>
    </w:p>
    <w:p w14:paraId="48AB2052" w14:textId="77777777" w:rsidR="002D51FD" w:rsidRPr="00496684" w:rsidRDefault="002D51FD" w:rsidP="002D51FD">
      <w:pPr>
        <w:autoSpaceDE w:val="0"/>
        <w:autoSpaceDN w:val="0"/>
        <w:adjustRightInd w:val="0"/>
        <w:spacing w:after="0" w:line="240" w:lineRule="auto"/>
        <w:rPr>
          <w:rFonts w:ascii="Times New Roman" w:hAnsi="Times New Roman"/>
          <w:lang w:val="it-IT"/>
        </w:rPr>
      </w:pPr>
    </w:p>
    <w:p w14:paraId="6803CB45" w14:textId="77777777" w:rsidR="002D51FD" w:rsidRPr="00496684" w:rsidRDefault="002D51FD" w:rsidP="002D51FD">
      <w:pPr>
        <w:autoSpaceDE w:val="0"/>
        <w:autoSpaceDN w:val="0"/>
        <w:adjustRightInd w:val="0"/>
        <w:spacing w:after="0" w:line="240" w:lineRule="auto"/>
        <w:rPr>
          <w:rFonts w:ascii="Times New Roman" w:hAnsi="Times New Roman"/>
          <w:i/>
          <w:u w:val="single"/>
          <w:lang w:val="it-IT"/>
        </w:rPr>
      </w:pPr>
      <w:r w:rsidRPr="00496684">
        <w:rPr>
          <w:rFonts w:ascii="Times New Roman" w:hAnsi="Times New Roman"/>
          <w:i/>
          <w:u w:val="single"/>
          <w:lang w:val="it-IT"/>
        </w:rPr>
        <w:t xml:space="preserve">Posologia per DFSP </w:t>
      </w:r>
    </w:p>
    <w:p w14:paraId="7499FBF7" w14:textId="77777777" w:rsidR="002D51FD" w:rsidRPr="00496684" w:rsidRDefault="002D51FD" w:rsidP="002D51F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Per i pazienti adulti con DFSP il dosaggio raccomandato di imatinib è di 800 mg/die.</w:t>
      </w:r>
    </w:p>
    <w:p w14:paraId="52643421"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6930CA80" w14:textId="77777777" w:rsidR="003724E8" w:rsidRPr="00496684" w:rsidRDefault="003724E8" w:rsidP="003724E8">
      <w:pPr>
        <w:pStyle w:val="Endnotentext"/>
        <w:widowControl w:val="0"/>
        <w:tabs>
          <w:tab w:val="clear" w:pos="567"/>
        </w:tabs>
        <w:rPr>
          <w:i/>
          <w:szCs w:val="22"/>
          <w:u w:val="single"/>
          <w:lang w:val="it-IT"/>
        </w:rPr>
      </w:pPr>
      <w:r w:rsidRPr="00496684">
        <w:rPr>
          <w:i/>
          <w:szCs w:val="22"/>
          <w:u w:val="single"/>
          <w:lang w:val="it-IT"/>
        </w:rPr>
        <w:t>Adeguamento della dose in caso di reazioni avverse</w:t>
      </w:r>
    </w:p>
    <w:p w14:paraId="0FD57BA7" w14:textId="77777777" w:rsidR="003724E8" w:rsidRPr="00496684" w:rsidRDefault="003724E8" w:rsidP="003724E8">
      <w:pPr>
        <w:pStyle w:val="Endnotentext"/>
        <w:widowControl w:val="0"/>
        <w:tabs>
          <w:tab w:val="clear" w:pos="567"/>
        </w:tabs>
        <w:rPr>
          <w:i/>
          <w:szCs w:val="22"/>
          <w:lang w:val="it-IT"/>
        </w:rPr>
      </w:pPr>
      <w:r w:rsidRPr="00496684">
        <w:rPr>
          <w:i/>
          <w:szCs w:val="22"/>
          <w:lang w:val="it-IT"/>
        </w:rPr>
        <w:t>Reazioni avverse non ematologiche</w:t>
      </w:r>
    </w:p>
    <w:p w14:paraId="0BF55F68" w14:textId="77777777" w:rsidR="003724E8" w:rsidRPr="00496684" w:rsidRDefault="003724E8" w:rsidP="003724E8">
      <w:pPr>
        <w:pStyle w:val="Endnotentext"/>
        <w:widowControl w:val="0"/>
        <w:tabs>
          <w:tab w:val="clear" w:pos="567"/>
        </w:tabs>
        <w:rPr>
          <w:szCs w:val="22"/>
          <w:lang w:val="it-IT"/>
        </w:rPr>
      </w:pPr>
      <w:r w:rsidRPr="00496684">
        <w:rPr>
          <w:szCs w:val="22"/>
          <w:lang w:val="it-IT"/>
        </w:rPr>
        <w:t>Se dovesse presentarsi una reazione avversa non ematologica con l'uso di imatinib, il trattamento deve essere sospeso fino alla risoluzione dell’evento. In seguito il trattamento può essere ripreso in modo appropriato, a seconda della gravità iniziale dell’evento.</w:t>
      </w:r>
    </w:p>
    <w:p w14:paraId="5F59D2ED" w14:textId="77777777" w:rsidR="003724E8" w:rsidRPr="00496684" w:rsidRDefault="003724E8" w:rsidP="003724E8">
      <w:pPr>
        <w:pStyle w:val="Endnotentext"/>
        <w:widowControl w:val="0"/>
        <w:tabs>
          <w:tab w:val="clear" w:pos="567"/>
        </w:tabs>
        <w:rPr>
          <w:szCs w:val="22"/>
          <w:lang w:val="it-IT"/>
        </w:rPr>
      </w:pPr>
    </w:p>
    <w:p w14:paraId="13FDA624" w14:textId="1E26DDD5" w:rsidR="003724E8" w:rsidRPr="00496684" w:rsidRDefault="003724E8" w:rsidP="003724E8">
      <w:pPr>
        <w:pStyle w:val="Endnotentext"/>
        <w:widowControl w:val="0"/>
        <w:tabs>
          <w:tab w:val="clear" w:pos="567"/>
        </w:tabs>
        <w:rPr>
          <w:snapToGrid w:val="0"/>
          <w:szCs w:val="22"/>
          <w:lang w:val="it-IT"/>
        </w:rPr>
      </w:pPr>
      <w:r w:rsidRPr="00496684">
        <w:rPr>
          <w:szCs w:val="22"/>
          <w:lang w:val="it-IT"/>
        </w:rPr>
        <w:t xml:space="preserve">Se si verificano innalzamenti dei livelli di bilirubina superiori a </w:t>
      </w:r>
      <w:r w:rsidRPr="00496684">
        <w:rPr>
          <w:snapToGrid w:val="0"/>
          <w:szCs w:val="22"/>
          <w:lang w:val="it-IT"/>
        </w:rPr>
        <w:t xml:space="preserve">3 volte il normale limite massimo istituzionale (“Institutional upper limit of normal” IULN) o dei livelli di transaminasi epatiche superiori a 5 volte il limite IULN, imatinib deve essere sospeso fintanto che i livelli di bilirubina siano tornati a valori inferiori a </w:t>
      </w:r>
      <w:r w:rsidRPr="00496684">
        <w:rPr>
          <w:szCs w:val="22"/>
          <w:lang w:val="it-IT"/>
        </w:rPr>
        <w:t xml:space="preserve">1,5 volte il limite </w:t>
      </w:r>
      <w:r w:rsidRPr="00496684">
        <w:rPr>
          <w:snapToGrid w:val="0"/>
          <w:szCs w:val="22"/>
          <w:lang w:val="it-IT"/>
        </w:rPr>
        <w:t xml:space="preserve">IULN e i livelli di transaminasi </w:t>
      </w:r>
      <w:r w:rsidRPr="00496684">
        <w:rPr>
          <w:szCs w:val="22"/>
          <w:lang w:val="it-IT"/>
        </w:rPr>
        <w:t xml:space="preserve">inferiori a 2,5 volte il limite </w:t>
      </w:r>
      <w:r w:rsidRPr="00496684">
        <w:rPr>
          <w:snapToGrid w:val="0"/>
          <w:szCs w:val="22"/>
          <w:lang w:val="it-IT"/>
        </w:rPr>
        <w:t xml:space="preserve">IULN. Il trattamento con imatinib può essere continuato con un dosaggio giornaliero ridotto. Negli adulti la dose deve essere ridotta </w:t>
      </w:r>
      <w:r w:rsidR="002971F6" w:rsidRPr="00496684">
        <w:rPr>
          <w:snapToGrid w:val="0"/>
          <w:szCs w:val="22"/>
          <w:lang w:val="it-IT"/>
        </w:rPr>
        <w:t xml:space="preserve">da </w:t>
      </w:r>
      <w:r w:rsidR="002971F6" w:rsidRPr="00496684">
        <w:rPr>
          <w:szCs w:val="22"/>
          <w:lang w:val="it-IT"/>
        </w:rPr>
        <w:t xml:space="preserve">400 a 300 mg o </w:t>
      </w:r>
      <w:r w:rsidRPr="00496684">
        <w:rPr>
          <w:snapToGrid w:val="0"/>
          <w:szCs w:val="22"/>
          <w:lang w:val="it-IT"/>
        </w:rPr>
        <w:t xml:space="preserve">da </w:t>
      </w:r>
      <w:smartTag w:uri="urn:schemas-microsoft-com:office:smarttags" w:element="metricconverter">
        <w:smartTagPr>
          <w:attr w:name="ProductID" w:val="600 a"/>
        </w:smartTagPr>
        <w:r w:rsidRPr="00496684">
          <w:rPr>
            <w:snapToGrid w:val="0"/>
            <w:szCs w:val="22"/>
            <w:lang w:val="it-IT"/>
          </w:rPr>
          <w:t>600 a</w:t>
        </w:r>
      </w:smartTag>
      <w:r w:rsidRPr="00496684">
        <w:rPr>
          <w:snapToGrid w:val="0"/>
          <w:szCs w:val="22"/>
          <w:lang w:val="it-IT"/>
        </w:rPr>
        <w:t xml:space="preserve"> 400 mg, o da 800 mg a 600 mg e nei bambini da </w:t>
      </w:r>
      <w:smartTag w:uri="urn:schemas-microsoft-com:office:smarttags" w:element="metricconverter">
        <w:smartTagPr>
          <w:attr w:name="ProductID" w:val="340ﾠa"/>
        </w:smartTagPr>
        <w:r w:rsidRPr="00496684">
          <w:rPr>
            <w:snapToGrid w:val="0"/>
            <w:szCs w:val="22"/>
            <w:lang w:val="it-IT"/>
          </w:rPr>
          <w:t>340</w:t>
        </w:r>
        <w:r w:rsidRPr="00496684">
          <w:rPr>
            <w:szCs w:val="22"/>
            <w:lang w:val="it-IT"/>
          </w:rPr>
          <w:t> </w:t>
        </w:r>
        <w:r w:rsidRPr="00496684">
          <w:rPr>
            <w:snapToGrid w:val="0"/>
            <w:szCs w:val="22"/>
            <w:lang w:val="it-IT"/>
          </w:rPr>
          <w:t>a</w:t>
        </w:r>
      </w:smartTag>
      <w:r w:rsidRPr="00496684">
        <w:rPr>
          <w:snapToGrid w:val="0"/>
          <w:szCs w:val="22"/>
          <w:lang w:val="it-IT"/>
        </w:rPr>
        <w:t xml:space="preserve"> 260</w:t>
      </w:r>
      <w:r w:rsidRPr="00496684">
        <w:rPr>
          <w:szCs w:val="22"/>
          <w:lang w:val="it-IT"/>
        </w:rPr>
        <w:t> mg/m</w:t>
      </w:r>
      <w:r w:rsidRPr="00496684">
        <w:rPr>
          <w:szCs w:val="22"/>
          <w:vertAlign w:val="superscript"/>
          <w:lang w:val="it-IT"/>
        </w:rPr>
        <w:t>2</w:t>
      </w:r>
      <w:r w:rsidRPr="00496684">
        <w:rPr>
          <w:snapToGrid w:val="0"/>
          <w:szCs w:val="22"/>
          <w:lang w:val="it-IT"/>
        </w:rPr>
        <w:t>/die.</w:t>
      </w:r>
    </w:p>
    <w:p w14:paraId="04DB76F8" w14:textId="77777777" w:rsidR="003724E8" w:rsidRPr="00496684" w:rsidRDefault="003724E8" w:rsidP="003724E8">
      <w:pPr>
        <w:pStyle w:val="Endnotentext"/>
        <w:widowControl w:val="0"/>
        <w:tabs>
          <w:tab w:val="clear" w:pos="567"/>
        </w:tabs>
        <w:rPr>
          <w:szCs w:val="22"/>
          <w:lang w:val="it-IT"/>
        </w:rPr>
      </w:pPr>
    </w:p>
    <w:p w14:paraId="726FAAEF" w14:textId="77777777" w:rsidR="003724E8" w:rsidRPr="00496684" w:rsidRDefault="003724E8" w:rsidP="003724E8">
      <w:pPr>
        <w:pStyle w:val="Endnotentext"/>
        <w:widowControl w:val="0"/>
        <w:tabs>
          <w:tab w:val="clear" w:pos="567"/>
        </w:tabs>
        <w:rPr>
          <w:i/>
          <w:szCs w:val="22"/>
          <w:lang w:val="it-IT"/>
        </w:rPr>
      </w:pPr>
      <w:r w:rsidRPr="00496684">
        <w:rPr>
          <w:i/>
          <w:szCs w:val="22"/>
          <w:lang w:val="it-IT"/>
        </w:rPr>
        <w:t>Reazioni avverse ematologiche</w:t>
      </w:r>
    </w:p>
    <w:p w14:paraId="40FD7E6C" w14:textId="77777777" w:rsidR="003724E8" w:rsidRPr="00496684" w:rsidRDefault="003724E8" w:rsidP="003724E8">
      <w:pPr>
        <w:pStyle w:val="Endnotentext"/>
        <w:widowControl w:val="0"/>
        <w:tabs>
          <w:tab w:val="clear" w:pos="567"/>
        </w:tabs>
        <w:rPr>
          <w:szCs w:val="22"/>
          <w:lang w:val="it-IT"/>
        </w:rPr>
      </w:pPr>
      <w:r w:rsidRPr="00496684">
        <w:rPr>
          <w:szCs w:val="22"/>
          <w:lang w:val="it-IT"/>
        </w:rPr>
        <w:t>Si raccomanda una riduzione della dose o l’interruzione del trattamento in caso di grave neutropenia e trombocitopenia, come indicato nella tabella seguente.</w:t>
      </w:r>
    </w:p>
    <w:p w14:paraId="57E7C8C7" w14:textId="77777777" w:rsidR="003724E8" w:rsidRPr="00496684" w:rsidRDefault="003724E8" w:rsidP="003724E8">
      <w:pPr>
        <w:pStyle w:val="Endnotentext"/>
        <w:widowControl w:val="0"/>
        <w:tabs>
          <w:tab w:val="clear" w:pos="567"/>
        </w:tabs>
        <w:rPr>
          <w:szCs w:val="22"/>
          <w:lang w:val="it-IT"/>
        </w:rPr>
      </w:pPr>
    </w:p>
    <w:p w14:paraId="720E686F" w14:textId="77777777" w:rsidR="003724E8" w:rsidRPr="00496684" w:rsidRDefault="003724E8" w:rsidP="003724E8">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Aggiustamenti della dose in caso di neutropenia e trombocitopenia:</w:t>
      </w:r>
    </w:p>
    <w:p w14:paraId="2DC96AFA" w14:textId="77777777" w:rsidR="00CA176A" w:rsidRPr="00496684" w:rsidRDefault="00CA176A" w:rsidP="00CA176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2971F6" w:rsidRPr="00496684" w14:paraId="590B24ED" w14:textId="77777777" w:rsidTr="00AF494A">
        <w:tc>
          <w:tcPr>
            <w:tcW w:w="2376" w:type="dxa"/>
          </w:tcPr>
          <w:p w14:paraId="30013716" w14:textId="5418EA2D" w:rsidR="002971F6" w:rsidRPr="00496684" w:rsidRDefault="002971F6" w:rsidP="00CE7998">
            <w:pPr>
              <w:pStyle w:val="Default"/>
              <w:rPr>
                <w:szCs w:val="22"/>
                <w:lang w:val="it-IT" w:eastAsia="it-IT"/>
              </w:rPr>
            </w:pPr>
            <w:r w:rsidRPr="00496684">
              <w:rPr>
                <w:sz w:val="22"/>
                <w:szCs w:val="22"/>
                <w:lang w:val="it-IT"/>
              </w:rPr>
              <w:t xml:space="preserve">HES/LEC (dose iniziale di 100 mg) </w:t>
            </w:r>
          </w:p>
        </w:tc>
        <w:tc>
          <w:tcPr>
            <w:tcW w:w="2400" w:type="dxa"/>
          </w:tcPr>
          <w:p w14:paraId="39AB1358" w14:textId="77777777" w:rsidR="002971F6" w:rsidRPr="00496684" w:rsidRDefault="002971F6" w:rsidP="00E054B5">
            <w:pPr>
              <w:pStyle w:val="Default"/>
              <w:rPr>
                <w:sz w:val="22"/>
                <w:szCs w:val="22"/>
                <w:lang w:val="it-IT"/>
              </w:rPr>
            </w:pPr>
            <w:r w:rsidRPr="00496684">
              <w:rPr>
                <w:sz w:val="22"/>
                <w:szCs w:val="22"/>
                <w:lang w:val="it-IT"/>
              </w:rPr>
              <w:t>ANC &lt; 1,0 x 10</w:t>
            </w:r>
            <w:r w:rsidRPr="00496684">
              <w:rPr>
                <w:sz w:val="22"/>
                <w:szCs w:val="22"/>
                <w:vertAlign w:val="superscript"/>
                <w:lang w:val="it-IT"/>
              </w:rPr>
              <w:t>9</w:t>
            </w:r>
            <w:r w:rsidRPr="00496684">
              <w:rPr>
                <w:sz w:val="22"/>
                <w:szCs w:val="22"/>
                <w:lang w:val="it-IT"/>
              </w:rPr>
              <w:t>/</w:t>
            </w:r>
            <w:r w:rsidR="000F6E19" w:rsidRPr="00496684">
              <w:rPr>
                <w:sz w:val="22"/>
                <w:szCs w:val="22"/>
                <w:lang w:val="it-IT"/>
              </w:rPr>
              <w:t>L</w:t>
            </w:r>
            <w:r w:rsidRPr="00496684">
              <w:rPr>
                <w:sz w:val="22"/>
                <w:szCs w:val="22"/>
                <w:lang w:val="it-IT"/>
              </w:rPr>
              <w:t xml:space="preserve"> </w:t>
            </w:r>
          </w:p>
          <w:p w14:paraId="7311F454" w14:textId="77777777" w:rsidR="002971F6" w:rsidRPr="00496684" w:rsidRDefault="002971F6" w:rsidP="00E054B5">
            <w:pPr>
              <w:pStyle w:val="Default"/>
              <w:rPr>
                <w:sz w:val="22"/>
                <w:szCs w:val="22"/>
                <w:lang w:val="it-IT"/>
              </w:rPr>
            </w:pPr>
            <w:r w:rsidRPr="00496684">
              <w:rPr>
                <w:sz w:val="22"/>
                <w:szCs w:val="22"/>
                <w:lang w:val="it-IT"/>
              </w:rPr>
              <w:t xml:space="preserve">e/o </w:t>
            </w:r>
          </w:p>
          <w:p w14:paraId="12D720CC" w14:textId="77777777" w:rsidR="002971F6" w:rsidRPr="00496684" w:rsidRDefault="002971F6" w:rsidP="000F6E19">
            <w:pPr>
              <w:pStyle w:val="Table"/>
              <w:spacing w:before="0" w:after="0"/>
              <w:rPr>
                <w:rFonts w:ascii="Times New Roman" w:hAnsi="Times New Roman"/>
                <w:sz w:val="22"/>
                <w:szCs w:val="22"/>
                <w:lang w:val="it-IT" w:eastAsia="it-IT"/>
              </w:rPr>
            </w:pPr>
            <w:r w:rsidRPr="00496684">
              <w:rPr>
                <w:szCs w:val="22"/>
                <w:lang w:val="it-IT"/>
              </w:rPr>
              <w:t>piastrine &lt; 50 x 10</w:t>
            </w:r>
            <w:r w:rsidRPr="00496684">
              <w:rPr>
                <w:szCs w:val="22"/>
                <w:vertAlign w:val="superscript"/>
                <w:lang w:val="it-IT"/>
              </w:rPr>
              <w:t>9</w:t>
            </w:r>
            <w:r w:rsidRPr="00496684">
              <w:rPr>
                <w:szCs w:val="22"/>
                <w:lang w:val="it-IT"/>
              </w:rPr>
              <w:t>/</w:t>
            </w:r>
            <w:r w:rsidR="000F6E19" w:rsidRPr="00496684">
              <w:rPr>
                <w:szCs w:val="22"/>
                <w:lang w:val="it-IT"/>
              </w:rPr>
              <w:t>L</w:t>
            </w:r>
            <w:r w:rsidRPr="00496684">
              <w:rPr>
                <w:szCs w:val="22"/>
                <w:lang w:val="it-IT"/>
              </w:rPr>
              <w:t xml:space="preserve"> </w:t>
            </w:r>
          </w:p>
        </w:tc>
        <w:tc>
          <w:tcPr>
            <w:tcW w:w="4404" w:type="dxa"/>
          </w:tcPr>
          <w:p w14:paraId="6211E356" w14:textId="77777777" w:rsidR="002971F6" w:rsidRPr="00496684" w:rsidRDefault="002971F6" w:rsidP="00D008F2">
            <w:pPr>
              <w:pStyle w:val="Default"/>
              <w:numPr>
                <w:ilvl w:val="0"/>
                <w:numId w:val="33"/>
              </w:numPr>
              <w:ind w:left="0" w:firstLine="0"/>
              <w:rPr>
                <w:sz w:val="22"/>
                <w:szCs w:val="22"/>
                <w:lang w:val="it-IT"/>
              </w:rPr>
            </w:pPr>
            <w:r w:rsidRPr="00496684">
              <w:rPr>
                <w:sz w:val="22"/>
                <w:szCs w:val="22"/>
                <w:lang w:val="it-IT"/>
              </w:rPr>
              <w:t>Sospendere imatinib fino a ANC ≥ 1,5 x  10</w:t>
            </w:r>
            <w:r w:rsidRPr="00496684">
              <w:rPr>
                <w:sz w:val="22"/>
                <w:szCs w:val="22"/>
                <w:vertAlign w:val="superscript"/>
                <w:lang w:val="it-IT"/>
              </w:rPr>
              <w:t>9</w:t>
            </w:r>
            <w:r w:rsidRPr="00496684">
              <w:rPr>
                <w:sz w:val="22"/>
                <w:szCs w:val="22"/>
                <w:lang w:val="it-IT"/>
              </w:rPr>
              <w:t>/</w:t>
            </w:r>
            <w:r w:rsidR="000F6E19" w:rsidRPr="00496684">
              <w:rPr>
                <w:sz w:val="22"/>
                <w:szCs w:val="22"/>
                <w:lang w:val="it-IT"/>
              </w:rPr>
              <w:t>L</w:t>
            </w:r>
            <w:r w:rsidRPr="00496684">
              <w:rPr>
                <w:sz w:val="22"/>
                <w:szCs w:val="22"/>
                <w:lang w:val="it-IT"/>
              </w:rPr>
              <w:t xml:space="preserve"> e piastrine ≥ 75 x 10</w:t>
            </w:r>
            <w:r w:rsidRPr="00496684">
              <w:rPr>
                <w:sz w:val="22"/>
                <w:szCs w:val="22"/>
                <w:vertAlign w:val="superscript"/>
                <w:lang w:val="it-IT"/>
              </w:rPr>
              <w:t>9</w:t>
            </w:r>
            <w:r w:rsidRPr="00496684">
              <w:rPr>
                <w:sz w:val="22"/>
                <w:szCs w:val="22"/>
                <w:lang w:val="it-IT"/>
              </w:rPr>
              <w:t>/</w:t>
            </w:r>
            <w:r w:rsidR="000F6E19" w:rsidRPr="00496684">
              <w:rPr>
                <w:sz w:val="22"/>
                <w:szCs w:val="22"/>
                <w:lang w:val="it-IT"/>
              </w:rPr>
              <w:t>L</w:t>
            </w:r>
            <w:r w:rsidRPr="00496684">
              <w:rPr>
                <w:sz w:val="22"/>
                <w:szCs w:val="22"/>
                <w:lang w:val="it-IT"/>
              </w:rPr>
              <w:t xml:space="preserve">. </w:t>
            </w:r>
          </w:p>
          <w:p w14:paraId="634B410B" w14:textId="77777777" w:rsidR="002971F6" w:rsidRPr="00496684" w:rsidRDefault="002971F6" w:rsidP="00D008F2">
            <w:pPr>
              <w:pStyle w:val="Endnotentext"/>
              <w:numPr>
                <w:ilvl w:val="0"/>
                <w:numId w:val="33"/>
              </w:numPr>
              <w:tabs>
                <w:tab w:val="clear" w:pos="567"/>
              </w:tabs>
              <w:ind w:left="0" w:firstLine="0"/>
              <w:rPr>
                <w:lang w:val="it-IT" w:eastAsia="it-IT"/>
              </w:rPr>
            </w:pPr>
            <w:r w:rsidRPr="00496684">
              <w:rPr>
                <w:szCs w:val="22"/>
                <w:lang w:val="it-IT"/>
              </w:rPr>
              <w:t xml:space="preserve">Riprendere il trattamento con imatinib alla dose precedente (es. prima della reazione avversa grave). </w:t>
            </w:r>
          </w:p>
        </w:tc>
      </w:tr>
      <w:tr w:rsidR="002971F6" w:rsidRPr="00496684" w14:paraId="6049B095" w14:textId="77777777" w:rsidTr="00AF494A">
        <w:tc>
          <w:tcPr>
            <w:tcW w:w="2376" w:type="dxa"/>
          </w:tcPr>
          <w:p w14:paraId="1B948173" w14:textId="1082D673" w:rsidR="002971F6" w:rsidRPr="00496684" w:rsidRDefault="002971F6" w:rsidP="00E054B5">
            <w:pPr>
              <w:pStyle w:val="Default"/>
              <w:rPr>
                <w:sz w:val="22"/>
                <w:szCs w:val="22"/>
                <w:lang w:val="it-IT"/>
              </w:rPr>
            </w:pPr>
            <w:r w:rsidRPr="00496684">
              <w:rPr>
                <w:sz w:val="22"/>
                <w:szCs w:val="22"/>
                <w:lang w:val="it-IT"/>
              </w:rPr>
              <w:t xml:space="preserve">MDS/MPD e GIST (dose iniziale 400 mg) </w:t>
            </w:r>
          </w:p>
          <w:p w14:paraId="2B36DB17" w14:textId="77777777" w:rsidR="002971F6" w:rsidRPr="00496684" w:rsidRDefault="002971F6" w:rsidP="00E054B5">
            <w:pPr>
              <w:pStyle w:val="Endnotentext"/>
              <w:widowControl w:val="0"/>
              <w:tabs>
                <w:tab w:val="clear" w:pos="567"/>
              </w:tabs>
              <w:rPr>
                <w:szCs w:val="22"/>
                <w:lang w:val="it-IT"/>
              </w:rPr>
            </w:pPr>
            <w:r w:rsidRPr="00496684">
              <w:rPr>
                <w:szCs w:val="22"/>
                <w:lang w:val="it-IT"/>
              </w:rPr>
              <w:t xml:space="preserve">HES/LEC (dose 400 mg) </w:t>
            </w:r>
          </w:p>
          <w:p w14:paraId="727FD1AD" w14:textId="77777777" w:rsidR="002971F6" w:rsidRPr="00496684" w:rsidRDefault="002971F6" w:rsidP="00AF494A">
            <w:pPr>
              <w:pStyle w:val="Endnotentext"/>
              <w:widowControl w:val="0"/>
              <w:tabs>
                <w:tab w:val="clear" w:pos="567"/>
              </w:tabs>
              <w:rPr>
                <w:szCs w:val="22"/>
                <w:lang w:val="it-IT" w:eastAsia="it-IT"/>
              </w:rPr>
            </w:pPr>
          </w:p>
        </w:tc>
        <w:tc>
          <w:tcPr>
            <w:tcW w:w="2400" w:type="dxa"/>
          </w:tcPr>
          <w:p w14:paraId="2C9BCF43" w14:textId="77777777" w:rsidR="002971F6" w:rsidRPr="00496684" w:rsidRDefault="002971F6" w:rsidP="00E054B5">
            <w:pPr>
              <w:pStyle w:val="Default"/>
              <w:rPr>
                <w:sz w:val="22"/>
                <w:szCs w:val="22"/>
                <w:lang w:val="it-IT"/>
              </w:rPr>
            </w:pPr>
            <w:r w:rsidRPr="00496684">
              <w:rPr>
                <w:sz w:val="22"/>
                <w:szCs w:val="22"/>
                <w:lang w:val="it-IT"/>
              </w:rPr>
              <w:t>ANC &lt; 1,0 x 10</w:t>
            </w:r>
            <w:r w:rsidRPr="00496684">
              <w:rPr>
                <w:sz w:val="22"/>
                <w:szCs w:val="22"/>
                <w:vertAlign w:val="superscript"/>
                <w:lang w:val="it-IT"/>
              </w:rPr>
              <w:t>9</w:t>
            </w:r>
            <w:r w:rsidRPr="00496684">
              <w:rPr>
                <w:sz w:val="22"/>
                <w:szCs w:val="22"/>
                <w:lang w:val="it-IT"/>
              </w:rPr>
              <w:t>/</w:t>
            </w:r>
            <w:r w:rsidR="000F6E19" w:rsidRPr="00496684">
              <w:rPr>
                <w:sz w:val="22"/>
                <w:szCs w:val="22"/>
                <w:lang w:val="it-IT"/>
              </w:rPr>
              <w:t>L</w:t>
            </w:r>
            <w:r w:rsidRPr="00496684">
              <w:rPr>
                <w:sz w:val="22"/>
                <w:szCs w:val="22"/>
                <w:lang w:val="it-IT"/>
              </w:rPr>
              <w:t xml:space="preserve"> </w:t>
            </w:r>
          </w:p>
          <w:p w14:paraId="706B0917" w14:textId="77777777" w:rsidR="002971F6" w:rsidRPr="00496684" w:rsidRDefault="002971F6" w:rsidP="00E054B5">
            <w:pPr>
              <w:pStyle w:val="Default"/>
              <w:rPr>
                <w:sz w:val="22"/>
                <w:szCs w:val="22"/>
                <w:lang w:val="it-IT"/>
              </w:rPr>
            </w:pPr>
            <w:r w:rsidRPr="00496684">
              <w:rPr>
                <w:sz w:val="22"/>
                <w:szCs w:val="22"/>
                <w:lang w:val="it-IT"/>
              </w:rPr>
              <w:t xml:space="preserve">e/o </w:t>
            </w:r>
          </w:p>
          <w:p w14:paraId="5548A9B2" w14:textId="77777777" w:rsidR="002971F6" w:rsidRPr="00496684" w:rsidRDefault="002971F6" w:rsidP="000F6E19">
            <w:pPr>
              <w:pStyle w:val="Table"/>
              <w:spacing w:before="0" w:after="0"/>
              <w:rPr>
                <w:rFonts w:ascii="Times New Roman" w:hAnsi="Times New Roman"/>
                <w:sz w:val="22"/>
                <w:szCs w:val="22"/>
                <w:lang w:val="it-IT" w:eastAsia="it-IT"/>
              </w:rPr>
            </w:pPr>
            <w:r w:rsidRPr="00496684">
              <w:rPr>
                <w:szCs w:val="22"/>
                <w:lang w:val="it-IT"/>
              </w:rPr>
              <w:t>piastrine &lt; 50 x 10</w:t>
            </w:r>
            <w:r w:rsidRPr="00496684">
              <w:rPr>
                <w:szCs w:val="22"/>
                <w:vertAlign w:val="superscript"/>
                <w:lang w:val="it-IT"/>
              </w:rPr>
              <w:t>9</w:t>
            </w:r>
            <w:r w:rsidRPr="00496684">
              <w:rPr>
                <w:szCs w:val="22"/>
                <w:lang w:val="it-IT"/>
              </w:rPr>
              <w:t>/</w:t>
            </w:r>
            <w:r w:rsidR="000F6E19" w:rsidRPr="00496684">
              <w:rPr>
                <w:szCs w:val="22"/>
                <w:lang w:val="it-IT"/>
              </w:rPr>
              <w:t>L</w:t>
            </w:r>
          </w:p>
        </w:tc>
        <w:tc>
          <w:tcPr>
            <w:tcW w:w="4404" w:type="dxa"/>
          </w:tcPr>
          <w:p w14:paraId="5FA2F2B2" w14:textId="77777777" w:rsidR="002971F6" w:rsidRPr="00496684" w:rsidRDefault="002971F6" w:rsidP="00D008F2">
            <w:pPr>
              <w:pStyle w:val="Default"/>
              <w:numPr>
                <w:ilvl w:val="0"/>
                <w:numId w:val="34"/>
              </w:numPr>
              <w:rPr>
                <w:szCs w:val="22"/>
                <w:lang w:val="it-IT"/>
              </w:rPr>
            </w:pPr>
            <w:r w:rsidRPr="00496684">
              <w:rPr>
                <w:sz w:val="22"/>
                <w:szCs w:val="22"/>
                <w:lang w:val="it-IT"/>
              </w:rPr>
              <w:t>Sospendere imatinib fino a ANC ≥ 1,5 x 10</w:t>
            </w:r>
            <w:r w:rsidRPr="00496684">
              <w:rPr>
                <w:sz w:val="22"/>
                <w:szCs w:val="22"/>
                <w:vertAlign w:val="superscript"/>
                <w:lang w:val="it-IT"/>
              </w:rPr>
              <w:t>9</w:t>
            </w:r>
            <w:r w:rsidRPr="00496684">
              <w:rPr>
                <w:sz w:val="22"/>
                <w:szCs w:val="22"/>
                <w:lang w:val="it-IT"/>
              </w:rPr>
              <w:t>/</w:t>
            </w:r>
            <w:r w:rsidR="000F6E19" w:rsidRPr="00496684">
              <w:rPr>
                <w:sz w:val="22"/>
                <w:szCs w:val="22"/>
                <w:lang w:val="it-IT"/>
              </w:rPr>
              <w:t>L</w:t>
            </w:r>
            <w:r w:rsidRPr="00496684">
              <w:rPr>
                <w:sz w:val="22"/>
                <w:szCs w:val="22"/>
                <w:lang w:val="it-IT"/>
              </w:rPr>
              <w:t xml:space="preserve"> e piastrine ≥ 75 x 10</w:t>
            </w:r>
            <w:r w:rsidRPr="00496684">
              <w:rPr>
                <w:sz w:val="22"/>
                <w:szCs w:val="22"/>
                <w:vertAlign w:val="superscript"/>
                <w:lang w:val="it-IT"/>
              </w:rPr>
              <w:t>9</w:t>
            </w:r>
            <w:r w:rsidRPr="00496684">
              <w:rPr>
                <w:sz w:val="22"/>
                <w:szCs w:val="22"/>
                <w:lang w:val="it-IT"/>
              </w:rPr>
              <w:t>/</w:t>
            </w:r>
            <w:r w:rsidR="000F6E19" w:rsidRPr="00496684">
              <w:rPr>
                <w:sz w:val="22"/>
                <w:szCs w:val="22"/>
                <w:lang w:val="it-IT"/>
              </w:rPr>
              <w:t>L</w:t>
            </w:r>
            <w:r w:rsidRPr="00496684">
              <w:rPr>
                <w:sz w:val="22"/>
                <w:szCs w:val="22"/>
                <w:lang w:val="it-IT"/>
              </w:rPr>
              <w:t xml:space="preserve">. </w:t>
            </w:r>
          </w:p>
          <w:p w14:paraId="09457920" w14:textId="77777777" w:rsidR="002971F6" w:rsidRPr="00496684" w:rsidRDefault="002971F6" w:rsidP="00D008F2">
            <w:pPr>
              <w:pStyle w:val="Default"/>
              <w:numPr>
                <w:ilvl w:val="0"/>
                <w:numId w:val="34"/>
              </w:numPr>
              <w:rPr>
                <w:szCs w:val="22"/>
                <w:lang w:val="it-IT"/>
              </w:rPr>
            </w:pPr>
            <w:r w:rsidRPr="00496684">
              <w:rPr>
                <w:szCs w:val="22"/>
                <w:lang w:val="it-IT"/>
              </w:rPr>
              <w:t>Riprendere il trattamento con imatinib alla dose precedente (es. prima della reazione avversa grave).</w:t>
            </w:r>
          </w:p>
          <w:p w14:paraId="494467AA" w14:textId="77777777" w:rsidR="002971F6" w:rsidRPr="00496684" w:rsidRDefault="002971F6" w:rsidP="00D008F2">
            <w:pPr>
              <w:pStyle w:val="Endnotentext"/>
              <w:numPr>
                <w:ilvl w:val="0"/>
                <w:numId w:val="34"/>
              </w:numPr>
              <w:tabs>
                <w:tab w:val="clear" w:pos="567"/>
              </w:tabs>
              <w:rPr>
                <w:lang w:val="it-IT" w:eastAsia="it-IT"/>
              </w:rPr>
            </w:pPr>
            <w:r w:rsidRPr="00496684">
              <w:rPr>
                <w:szCs w:val="22"/>
                <w:lang w:val="it-IT"/>
              </w:rPr>
              <w:t>In caso si ripresenti ANC &lt;1,0 x 10</w:t>
            </w:r>
            <w:r w:rsidRPr="00496684">
              <w:rPr>
                <w:szCs w:val="22"/>
                <w:vertAlign w:val="superscript"/>
                <w:lang w:val="it-IT"/>
              </w:rPr>
              <w:t>9</w:t>
            </w:r>
            <w:r w:rsidRPr="00496684">
              <w:rPr>
                <w:szCs w:val="22"/>
                <w:lang w:val="it-IT"/>
              </w:rPr>
              <w:t>/</w:t>
            </w:r>
            <w:r w:rsidR="000F6E19" w:rsidRPr="00496684">
              <w:rPr>
                <w:szCs w:val="22"/>
                <w:lang w:val="it-IT"/>
              </w:rPr>
              <w:t>L</w:t>
            </w:r>
            <w:r w:rsidRPr="00496684">
              <w:rPr>
                <w:szCs w:val="22"/>
                <w:lang w:val="it-IT"/>
              </w:rPr>
              <w:t xml:space="preserve"> e/o piastrine &lt;50 x 10</w:t>
            </w:r>
            <w:r w:rsidRPr="00496684">
              <w:rPr>
                <w:szCs w:val="22"/>
                <w:vertAlign w:val="superscript"/>
                <w:lang w:val="it-IT"/>
              </w:rPr>
              <w:t>9</w:t>
            </w:r>
            <w:r w:rsidRPr="00496684">
              <w:rPr>
                <w:szCs w:val="22"/>
                <w:lang w:val="it-IT"/>
              </w:rPr>
              <w:t>/</w:t>
            </w:r>
            <w:r w:rsidR="000F6E19" w:rsidRPr="00496684">
              <w:rPr>
                <w:szCs w:val="22"/>
                <w:lang w:val="it-IT"/>
              </w:rPr>
              <w:t>L</w:t>
            </w:r>
            <w:r w:rsidRPr="00496684">
              <w:rPr>
                <w:szCs w:val="22"/>
                <w:lang w:val="it-IT"/>
              </w:rPr>
              <w:t xml:space="preserve">, ripetere la fase 1 e riprendere la somministrazione di imatinib ad un dosaggio ridotto di 300 mg </w:t>
            </w:r>
          </w:p>
        </w:tc>
      </w:tr>
      <w:tr w:rsidR="003724E8" w:rsidRPr="00496684" w14:paraId="7E0FE07A" w14:textId="77777777" w:rsidTr="00AF494A">
        <w:tc>
          <w:tcPr>
            <w:tcW w:w="2376" w:type="dxa"/>
          </w:tcPr>
          <w:p w14:paraId="06083D71" w14:textId="77777777" w:rsidR="003724E8" w:rsidRPr="00496684" w:rsidRDefault="003724E8" w:rsidP="00AF494A">
            <w:pPr>
              <w:pStyle w:val="Endnotentext"/>
              <w:widowControl w:val="0"/>
              <w:tabs>
                <w:tab w:val="clear" w:pos="567"/>
              </w:tabs>
              <w:rPr>
                <w:szCs w:val="22"/>
                <w:lang w:val="it-IT" w:eastAsia="it-IT"/>
              </w:rPr>
            </w:pPr>
            <w:r w:rsidRPr="00496684">
              <w:rPr>
                <w:szCs w:val="22"/>
                <w:lang w:val="it-IT" w:eastAsia="it-IT"/>
              </w:rPr>
              <w:t>LMC in fase cronica in pediatria</w:t>
            </w:r>
          </w:p>
          <w:p w14:paraId="0529CE74" w14:textId="77777777" w:rsidR="003724E8" w:rsidRPr="00496684" w:rsidRDefault="003724E8" w:rsidP="00AF494A">
            <w:pPr>
              <w:pStyle w:val="Endnotentext"/>
              <w:widowControl w:val="0"/>
              <w:tabs>
                <w:tab w:val="clear" w:pos="567"/>
              </w:tabs>
              <w:rPr>
                <w:szCs w:val="22"/>
                <w:lang w:val="it-IT" w:eastAsia="it-IT"/>
              </w:rPr>
            </w:pPr>
            <w:r w:rsidRPr="00496684">
              <w:rPr>
                <w:szCs w:val="22"/>
                <w:lang w:val="it-IT" w:eastAsia="it-IT"/>
              </w:rPr>
              <w:t>(dose 340 mg/m</w:t>
            </w:r>
            <w:r w:rsidRPr="00496684">
              <w:rPr>
                <w:szCs w:val="22"/>
                <w:vertAlign w:val="superscript"/>
                <w:lang w:val="it-IT" w:eastAsia="it-IT"/>
              </w:rPr>
              <w:t>2</w:t>
            </w:r>
            <w:r w:rsidRPr="00496684">
              <w:rPr>
                <w:szCs w:val="22"/>
                <w:lang w:val="it-IT" w:eastAsia="it-IT"/>
              </w:rPr>
              <w:t>)</w:t>
            </w:r>
          </w:p>
        </w:tc>
        <w:tc>
          <w:tcPr>
            <w:tcW w:w="2400" w:type="dxa"/>
          </w:tcPr>
          <w:p w14:paraId="2FE1E6AC" w14:textId="77777777" w:rsidR="003724E8" w:rsidRPr="00496684" w:rsidRDefault="003724E8"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ANC &lt;1,0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0F6E19" w:rsidRPr="00496684">
              <w:rPr>
                <w:rFonts w:ascii="Times New Roman" w:hAnsi="Times New Roman"/>
                <w:sz w:val="22"/>
                <w:szCs w:val="22"/>
                <w:lang w:val="it-IT" w:eastAsia="it-IT"/>
              </w:rPr>
              <w:t>L</w:t>
            </w:r>
          </w:p>
          <w:p w14:paraId="085B269C" w14:textId="77777777" w:rsidR="003724E8" w:rsidRPr="00496684" w:rsidRDefault="003724E8"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e/o</w:t>
            </w:r>
          </w:p>
          <w:p w14:paraId="2BE4E525" w14:textId="77777777" w:rsidR="003724E8" w:rsidRPr="00496684" w:rsidRDefault="003724E8" w:rsidP="000F6E19">
            <w:pPr>
              <w:pStyle w:val="Table"/>
              <w:keepNext w:val="0"/>
              <w:keepLines w:val="0"/>
              <w:widowControl w:val="0"/>
              <w:suppressLineNumbers/>
              <w:tabs>
                <w:tab w:val="clear" w:pos="284"/>
              </w:tabs>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piastrine &lt;50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0F6E19" w:rsidRPr="00496684">
              <w:rPr>
                <w:rFonts w:ascii="Times New Roman" w:hAnsi="Times New Roman"/>
                <w:sz w:val="22"/>
                <w:szCs w:val="22"/>
                <w:lang w:val="it-IT" w:eastAsia="it-IT"/>
              </w:rPr>
              <w:t>L</w:t>
            </w:r>
          </w:p>
        </w:tc>
        <w:tc>
          <w:tcPr>
            <w:tcW w:w="4404" w:type="dxa"/>
          </w:tcPr>
          <w:p w14:paraId="0737984F" w14:textId="77777777" w:rsidR="003724E8" w:rsidRPr="00496684" w:rsidRDefault="003724E8" w:rsidP="00AF494A">
            <w:pPr>
              <w:pStyle w:val="Endnotentext"/>
              <w:tabs>
                <w:tab w:val="clear" w:pos="567"/>
              </w:tabs>
              <w:ind w:left="469" w:hanging="469"/>
              <w:rPr>
                <w:lang w:val="it-IT" w:eastAsia="it-IT"/>
              </w:rPr>
            </w:pPr>
            <w:r w:rsidRPr="00496684">
              <w:rPr>
                <w:lang w:val="it-IT" w:eastAsia="it-IT"/>
              </w:rPr>
              <w:t>1.</w:t>
            </w:r>
            <w:r w:rsidRPr="00496684">
              <w:rPr>
                <w:lang w:val="it-IT" w:eastAsia="it-IT"/>
              </w:rPr>
              <w:tab/>
              <w:t xml:space="preserve">Sospendere imatinib fino a ANC </w:t>
            </w:r>
            <w:r w:rsidRPr="00496684">
              <w:rPr>
                <w:lang w:val="it-IT" w:eastAsia="it-IT"/>
              </w:rPr>
              <w:sym w:font="Symbol" w:char="F0B3"/>
            </w:r>
            <w:r w:rsidRPr="00496684">
              <w:rPr>
                <w:lang w:val="it-IT" w:eastAsia="it-IT"/>
              </w:rPr>
              <w:t>1,5 x 10</w:t>
            </w:r>
            <w:r w:rsidRPr="00496684">
              <w:rPr>
                <w:vertAlign w:val="superscript"/>
                <w:lang w:val="it-IT" w:eastAsia="it-IT"/>
              </w:rPr>
              <w:t>9</w:t>
            </w:r>
            <w:r w:rsidRPr="00496684">
              <w:rPr>
                <w:lang w:val="it-IT" w:eastAsia="it-IT"/>
              </w:rPr>
              <w:t>/</w:t>
            </w:r>
            <w:r w:rsidR="000F6E19" w:rsidRPr="00496684">
              <w:rPr>
                <w:lang w:val="it-IT" w:eastAsia="it-IT"/>
              </w:rPr>
              <w:t>L</w:t>
            </w:r>
            <w:r w:rsidRPr="00496684">
              <w:rPr>
                <w:lang w:val="it-IT" w:eastAsia="it-IT"/>
              </w:rPr>
              <w:t xml:space="preserve"> e piastrine </w:t>
            </w:r>
            <w:r w:rsidRPr="00496684">
              <w:rPr>
                <w:lang w:val="it-IT" w:eastAsia="it-IT"/>
              </w:rPr>
              <w:sym w:font="Symbol" w:char="F0B3"/>
            </w:r>
            <w:r w:rsidRPr="00496684">
              <w:rPr>
                <w:lang w:val="it-IT" w:eastAsia="it-IT"/>
              </w:rPr>
              <w:t>75 x 10</w:t>
            </w:r>
            <w:r w:rsidRPr="00496684">
              <w:rPr>
                <w:vertAlign w:val="superscript"/>
                <w:lang w:val="it-IT" w:eastAsia="it-IT"/>
              </w:rPr>
              <w:t>9</w:t>
            </w:r>
            <w:r w:rsidRPr="00496684">
              <w:rPr>
                <w:lang w:val="it-IT" w:eastAsia="it-IT"/>
              </w:rPr>
              <w:t>/</w:t>
            </w:r>
            <w:r w:rsidR="000F6E19" w:rsidRPr="00496684">
              <w:rPr>
                <w:lang w:val="it-IT" w:eastAsia="it-IT"/>
              </w:rPr>
              <w:t>L</w:t>
            </w:r>
            <w:r w:rsidRPr="00496684">
              <w:rPr>
                <w:lang w:val="it-IT" w:eastAsia="it-IT"/>
              </w:rPr>
              <w:t>.</w:t>
            </w:r>
          </w:p>
          <w:p w14:paraId="7ADAB655" w14:textId="77777777" w:rsidR="003724E8" w:rsidRPr="00496684" w:rsidRDefault="003724E8" w:rsidP="00AF494A">
            <w:pPr>
              <w:pStyle w:val="Endnotentext"/>
              <w:tabs>
                <w:tab w:val="clear" w:pos="567"/>
              </w:tabs>
              <w:ind w:left="469" w:hanging="469"/>
              <w:rPr>
                <w:lang w:val="it-IT" w:eastAsia="it-IT"/>
              </w:rPr>
            </w:pPr>
            <w:r w:rsidRPr="00496684">
              <w:rPr>
                <w:lang w:val="it-IT" w:eastAsia="it-IT"/>
              </w:rPr>
              <w:t>2.</w:t>
            </w:r>
            <w:r w:rsidRPr="00496684">
              <w:rPr>
                <w:lang w:val="it-IT" w:eastAsia="it-IT"/>
              </w:rPr>
              <w:tab/>
              <w:t>Riprendere il trattamento con imatinib alla dose precedente (es. prima della reazione avversa grave).</w:t>
            </w:r>
          </w:p>
          <w:p w14:paraId="3391DE74" w14:textId="77777777" w:rsidR="003724E8" w:rsidRPr="00496684" w:rsidRDefault="003724E8" w:rsidP="000F6E19">
            <w:pPr>
              <w:pStyle w:val="Table"/>
              <w:keepNext w:val="0"/>
              <w:keepLines w:val="0"/>
              <w:widowControl w:val="0"/>
              <w:suppressLineNumbers/>
              <w:tabs>
                <w:tab w:val="clear" w:pos="284"/>
              </w:tabs>
              <w:spacing w:before="0" w:after="0"/>
              <w:ind w:left="469" w:hanging="469"/>
              <w:rPr>
                <w:rFonts w:ascii="Times New Roman" w:hAnsi="Times New Roman"/>
                <w:sz w:val="22"/>
                <w:szCs w:val="22"/>
                <w:lang w:val="it-IT" w:eastAsia="it-IT"/>
              </w:rPr>
            </w:pPr>
            <w:r w:rsidRPr="00496684">
              <w:rPr>
                <w:rFonts w:ascii="Times New Roman" w:hAnsi="Times New Roman"/>
                <w:sz w:val="22"/>
                <w:lang w:val="it-IT" w:eastAsia="it-IT"/>
              </w:rPr>
              <w:t>3.</w:t>
            </w:r>
            <w:r w:rsidRPr="00496684">
              <w:rPr>
                <w:rFonts w:ascii="Times New Roman" w:hAnsi="Times New Roman"/>
                <w:sz w:val="22"/>
                <w:lang w:val="it-IT" w:eastAsia="it-IT"/>
              </w:rPr>
              <w:tab/>
              <w:t>In caso si ripresenti ANC &lt;1,0 x 10</w:t>
            </w:r>
            <w:r w:rsidRPr="00496684">
              <w:rPr>
                <w:rFonts w:ascii="Times New Roman" w:hAnsi="Times New Roman"/>
                <w:sz w:val="22"/>
                <w:vertAlign w:val="superscript"/>
                <w:lang w:val="it-IT" w:eastAsia="it-IT"/>
              </w:rPr>
              <w:t>9</w:t>
            </w:r>
            <w:r w:rsidRPr="00496684">
              <w:rPr>
                <w:rFonts w:ascii="Times New Roman" w:hAnsi="Times New Roman"/>
                <w:sz w:val="22"/>
                <w:lang w:val="it-IT" w:eastAsia="it-IT"/>
              </w:rPr>
              <w:t>/</w:t>
            </w:r>
            <w:r w:rsidR="000F6E19" w:rsidRPr="00496684">
              <w:rPr>
                <w:rFonts w:ascii="Times New Roman" w:hAnsi="Times New Roman"/>
                <w:sz w:val="22"/>
                <w:lang w:val="it-IT" w:eastAsia="it-IT"/>
              </w:rPr>
              <w:t>L</w:t>
            </w:r>
            <w:r w:rsidRPr="00496684">
              <w:rPr>
                <w:rFonts w:ascii="Times New Roman" w:hAnsi="Times New Roman"/>
                <w:sz w:val="22"/>
                <w:lang w:val="it-IT" w:eastAsia="it-IT"/>
              </w:rPr>
              <w:t xml:space="preserve"> e/o piastrine &lt;50 x 10</w:t>
            </w:r>
            <w:r w:rsidRPr="00496684">
              <w:rPr>
                <w:rFonts w:ascii="Times New Roman" w:hAnsi="Times New Roman"/>
                <w:sz w:val="22"/>
                <w:vertAlign w:val="superscript"/>
                <w:lang w:val="it-IT" w:eastAsia="it-IT"/>
              </w:rPr>
              <w:t>9</w:t>
            </w:r>
            <w:r w:rsidRPr="00496684">
              <w:rPr>
                <w:rFonts w:ascii="Times New Roman" w:hAnsi="Times New Roman"/>
                <w:sz w:val="22"/>
                <w:lang w:val="it-IT" w:eastAsia="it-IT"/>
              </w:rPr>
              <w:t>/</w:t>
            </w:r>
            <w:r w:rsidR="000F6E19" w:rsidRPr="00496684">
              <w:rPr>
                <w:rFonts w:ascii="Times New Roman" w:hAnsi="Times New Roman"/>
                <w:sz w:val="22"/>
                <w:lang w:val="it-IT" w:eastAsia="it-IT"/>
              </w:rPr>
              <w:t>L</w:t>
            </w:r>
            <w:r w:rsidRPr="00496684">
              <w:rPr>
                <w:rFonts w:ascii="Times New Roman" w:hAnsi="Times New Roman"/>
                <w:sz w:val="22"/>
                <w:lang w:val="it-IT" w:eastAsia="it-IT"/>
              </w:rPr>
              <w:t>, ripetere la fase 1 e la somministrazione di imatinib al dosaggio ridotto di 260 mg/m</w:t>
            </w:r>
            <w:r w:rsidRPr="00496684">
              <w:rPr>
                <w:rFonts w:ascii="Times New Roman" w:hAnsi="Times New Roman"/>
                <w:sz w:val="22"/>
                <w:vertAlign w:val="superscript"/>
                <w:lang w:val="it-IT" w:eastAsia="it-IT"/>
              </w:rPr>
              <w:t>2</w:t>
            </w:r>
            <w:r w:rsidRPr="00496684">
              <w:rPr>
                <w:rFonts w:ascii="Times New Roman" w:hAnsi="Times New Roman"/>
                <w:sz w:val="22"/>
                <w:szCs w:val="22"/>
                <w:lang w:val="it-IT" w:eastAsia="it-IT"/>
              </w:rPr>
              <w:t>.</w:t>
            </w:r>
          </w:p>
        </w:tc>
      </w:tr>
      <w:tr w:rsidR="003724E8" w:rsidRPr="00496684" w14:paraId="7C0345AF" w14:textId="77777777" w:rsidTr="00AF494A">
        <w:tc>
          <w:tcPr>
            <w:tcW w:w="2376" w:type="dxa"/>
            <w:tcBorders>
              <w:top w:val="single" w:sz="4" w:space="0" w:color="auto"/>
              <w:left w:val="single" w:sz="4" w:space="0" w:color="auto"/>
              <w:bottom w:val="single" w:sz="4" w:space="0" w:color="auto"/>
              <w:right w:val="single" w:sz="4" w:space="0" w:color="auto"/>
            </w:tcBorders>
          </w:tcPr>
          <w:p w14:paraId="4223AE71" w14:textId="0669BA38" w:rsidR="003724E8" w:rsidRPr="00496684" w:rsidRDefault="003724E8">
            <w:pPr>
              <w:pStyle w:val="Endnotentext"/>
              <w:widowControl w:val="0"/>
              <w:tabs>
                <w:tab w:val="clear" w:pos="567"/>
              </w:tabs>
              <w:rPr>
                <w:szCs w:val="22"/>
                <w:lang w:val="it-IT" w:eastAsia="it-IT"/>
              </w:rPr>
            </w:pPr>
            <w:r w:rsidRPr="00496684">
              <w:rPr>
                <w:szCs w:val="22"/>
                <w:lang w:val="it-IT" w:eastAsia="it-IT"/>
              </w:rPr>
              <w:t xml:space="preserve">LMC in crisi blastica </w:t>
            </w:r>
            <w:r w:rsidR="002971F6" w:rsidRPr="00496684">
              <w:rPr>
                <w:szCs w:val="22"/>
                <w:lang w:val="it-IT" w:eastAsia="it-IT"/>
              </w:rPr>
              <w:t xml:space="preserve">e LLA Ph+ </w:t>
            </w:r>
            <w:r w:rsidRPr="00496684">
              <w:rPr>
                <w:szCs w:val="22"/>
                <w:lang w:val="it-IT" w:eastAsia="it-IT"/>
              </w:rPr>
              <w:t>(dose iniziale 600 mg)</w:t>
            </w:r>
          </w:p>
        </w:tc>
        <w:tc>
          <w:tcPr>
            <w:tcW w:w="2400" w:type="dxa"/>
            <w:tcBorders>
              <w:top w:val="single" w:sz="4" w:space="0" w:color="auto"/>
              <w:left w:val="single" w:sz="4" w:space="0" w:color="auto"/>
              <w:bottom w:val="single" w:sz="4" w:space="0" w:color="auto"/>
              <w:right w:val="single" w:sz="4" w:space="0" w:color="auto"/>
            </w:tcBorders>
          </w:tcPr>
          <w:p w14:paraId="6DE80448" w14:textId="77777777" w:rsidR="003724E8" w:rsidRPr="00496684" w:rsidRDefault="003724E8"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vertAlign w:val="superscript"/>
                <w:lang w:val="it-IT" w:eastAsia="it-IT"/>
              </w:rPr>
              <w:t>a</w:t>
            </w:r>
            <w:r w:rsidRPr="00496684">
              <w:rPr>
                <w:rFonts w:ascii="Times New Roman" w:hAnsi="Times New Roman"/>
                <w:sz w:val="22"/>
                <w:szCs w:val="22"/>
                <w:lang w:val="it-IT" w:eastAsia="it-IT"/>
              </w:rPr>
              <w:t>ANC &lt;0,5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0F6E19" w:rsidRPr="00496684">
              <w:rPr>
                <w:rFonts w:ascii="Times New Roman" w:hAnsi="Times New Roman"/>
                <w:sz w:val="22"/>
                <w:szCs w:val="22"/>
                <w:lang w:val="it-IT" w:eastAsia="it-IT"/>
              </w:rPr>
              <w:t>L</w:t>
            </w:r>
          </w:p>
          <w:p w14:paraId="78F9392F" w14:textId="77777777" w:rsidR="003724E8" w:rsidRPr="00496684" w:rsidRDefault="003724E8"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e/o</w:t>
            </w:r>
          </w:p>
          <w:p w14:paraId="0C13CA2C" w14:textId="77777777" w:rsidR="003724E8" w:rsidRPr="00496684" w:rsidRDefault="003724E8" w:rsidP="000F6E19">
            <w:pPr>
              <w:pStyle w:val="Table"/>
              <w:rPr>
                <w:rFonts w:ascii="Times New Roman" w:hAnsi="Times New Roman"/>
                <w:sz w:val="22"/>
                <w:szCs w:val="22"/>
                <w:lang w:val="it-IT" w:eastAsia="it-IT"/>
              </w:rPr>
            </w:pPr>
            <w:r w:rsidRPr="00496684">
              <w:rPr>
                <w:rFonts w:ascii="Times New Roman" w:hAnsi="Times New Roman"/>
                <w:sz w:val="22"/>
                <w:szCs w:val="22"/>
                <w:lang w:val="it-IT" w:eastAsia="it-IT"/>
              </w:rPr>
              <w:t>piastrine &lt;10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0F6E19" w:rsidRPr="00496684">
              <w:rPr>
                <w:rFonts w:ascii="Times New Roman" w:hAnsi="Times New Roman"/>
                <w:sz w:val="22"/>
                <w:szCs w:val="22"/>
                <w:lang w:val="it-IT" w:eastAsia="it-IT"/>
              </w:rPr>
              <w:t>L</w:t>
            </w:r>
          </w:p>
        </w:tc>
        <w:tc>
          <w:tcPr>
            <w:tcW w:w="4404" w:type="dxa"/>
            <w:tcBorders>
              <w:top w:val="single" w:sz="4" w:space="0" w:color="auto"/>
              <w:left w:val="single" w:sz="4" w:space="0" w:color="auto"/>
              <w:bottom w:val="single" w:sz="4" w:space="0" w:color="auto"/>
              <w:right w:val="single" w:sz="4" w:space="0" w:color="auto"/>
            </w:tcBorders>
          </w:tcPr>
          <w:p w14:paraId="6E3FA477" w14:textId="77777777" w:rsidR="003724E8" w:rsidRPr="00496684" w:rsidRDefault="003724E8" w:rsidP="00AF494A">
            <w:pPr>
              <w:pStyle w:val="Endnotentext"/>
              <w:ind w:left="469" w:hanging="425"/>
              <w:rPr>
                <w:lang w:val="it-IT" w:eastAsia="it-IT"/>
              </w:rPr>
            </w:pPr>
            <w:r w:rsidRPr="00496684">
              <w:rPr>
                <w:lang w:val="it-IT" w:eastAsia="it-IT"/>
              </w:rPr>
              <w:t>1.</w:t>
            </w:r>
            <w:r w:rsidRPr="00496684">
              <w:rPr>
                <w:lang w:val="it-IT" w:eastAsia="it-IT"/>
              </w:rPr>
              <w:tab/>
              <w:t>Controllare se la citopenia è correlata alla leucemia (aspirazione o biopsia del midollo).</w:t>
            </w:r>
          </w:p>
          <w:p w14:paraId="1A956910" w14:textId="77777777" w:rsidR="003724E8" w:rsidRPr="00496684" w:rsidRDefault="003724E8" w:rsidP="00AF494A">
            <w:pPr>
              <w:pStyle w:val="Endnotentext"/>
              <w:ind w:left="469" w:hanging="425"/>
              <w:rPr>
                <w:lang w:val="it-IT" w:eastAsia="it-IT"/>
              </w:rPr>
            </w:pPr>
            <w:r w:rsidRPr="00496684">
              <w:rPr>
                <w:lang w:val="it-IT" w:eastAsia="it-IT"/>
              </w:rPr>
              <w:t>2.</w:t>
            </w:r>
            <w:r w:rsidRPr="00496684">
              <w:rPr>
                <w:lang w:val="it-IT" w:eastAsia="it-IT"/>
              </w:rPr>
              <w:tab/>
              <w:t>Se la citopenia non è correlata alla leucemia, ridurre la dose di imatinib a 400 mg.</w:t>
            </w:r>
          </w:p>
          <w:p w14:paraId="70EC39CA" w14:textId="77777777" w:rsidR="003724E8" w:rsidRPr="00496684" w:rsidRDefault="003724E8" w:rsidP="00AF494A">
            <w:pPr>
              <w:pStyle w:val="Endnotentext"/>
              <w:ind w:left="469" w:hanging="469"/>
              <w:rPr>
                <w:lang w:val="it-IT" w:eastAsia="it-IT"/>
              </w:rPr>
            </w:pPr>
            <w:r w:rsidRPr="00496684">
              <w:rPr>
                <w:lang w:val="it-IT" w:eastAsia="it-IT"/>
              </w:rPr>
              <w:t>3.</w:t>
            </w:r>
            <w:r w:rsidRPr="00496684">
              <w:rPr>
                <w:lang w:val="it-IT" w:eastAsia="it-IT"/>
              </w:rPr>
              <w:tab/>
              <w:t>Se la citopenia persiste per 2 settimane, ridurre ulteriormente a 300 mg.</w:t>
            </w:r>
          </w:p>
          <w:p w14:paraId="3171F651" w14:textId="77777777" w:rsidR="003724E8" w:rsidRPr="00496684" w:rsidRDefault="003724E8" w:rsidP="000F6E19">
            <w:pPr>
              <w:pStyle w:val="Endnotentext"/>
              <w:tabs>
                <w:tab w:val="clear" w:pos="567"/>
              </w:tabs>
              <w:ind w:left="469" w:hanging="469"/>
              <w:rPr>
                <w:lang w:val="it-IT" w:eastAsia="it-IT"/>
              </w:rPr>
            </w:pPr>
            <w:r w:rsidRPr="00496684">
              <w:rPr>
                <w:lang w:val="it-IT" w:eastAsia="it-IT"/>
              </w:rPr>
              <w:t>4.</w:t>
            </w:r>
            <w:r w:rsidRPr="00496684">
              <w:rPr>
                <w:lang w:val="it-IT" w:eastAsia="it-IT"/>
              </w:rPr>
              <w:tab/>
              <w:t xml:space="preserve">Se la citopenia persiste per 4 settimane e continua a non essere correlata alla leucemia, sospendere </w:t>
            </w:r>
            <w:r w:rsidR="008A5A81" w:rsidRPr="00496684">
              <w:rPr>
                <w:lang w:val="it-IT" w:eastAsia="it-IT"/>
              </w:rPr>
              <w:t>i</w:t>
            </w:r>
            <w:r w:rsidR="00521ABE" w:rsidRPr="00496684">
              <w:rPr>
                <w:lang w:val="it-IT" w:eastAsia="it-IT"/>
              </w:rPr>
              <w:t>matinib</w:t>
            </w:r>
            <w:r w:rsidRPr="00496684">
              <w:rPr>
                <w:lang w:val="it-IT" w:eastAsia="it-IT"/>
              </w:rPr>
              <w:t xml:space="preserve"> finché ANC </w:t>
            </w:r>
            <w:r w:rsidRPr="00496684">
              <w:rPr>
                <w:lang w:val="it-IT" w:eastAsia="it-IT"/>
              </w:rPr>
              <w:sym w:font="Symbol" w:char="F0B3"/>
            </w:r>
            <w:r w:rsidRPr="00496684">
              <w:rPr>
                <w:lang w:val="it-IT" w:eastAsia="it-IT"/>
              </w:rPr>
              <w:t>1 x 10</w:t>
            </w:r>
            <w:r w:rsidRPr="00496684">
              <w:rPr>
                <w:vertAlign w:val="superscript"/>
                <w:lang w:val="it-IT" w:eastAsia="it-IT"/>
              </w:rPr>
              <w:t>9</w:t>
            </w:r>
            <w:r w:rsidRPr="00496684">
              <w:rPr>
                <w:lang w:val="it-IT" w:eastAsia="it-IT"/>
              </w:rPr>
              <w:t>/</w:t>
            </w:r>
            <w:r w:rsidR="000F6E19" w:rsidRPr="00496684">
              <w:rPr>
                <w:lang w:val="it-IT" w:eastAsia="it-IT"/>
              </w:rPr>
              <w:t>L</w:t>
            </w:r>
            <w:r w:rsidRPr="00496684">
              <w:rPr>
                <w:lang w:val="it-IT" w:eastAsia="it-IT"/>
              </w:rPr>
              <w:t xml:space="preserve"> e le piastrine </w:t>
            </w:r>
            <w:r w:rsidRPr="00496684">
              <w:rPr>
                <w:lang w:val="it-IT" w:eastAsia="it-IT"/>
              </w:rPr>
              <w:sym w:font="Symbol" w:char="F0B3"/>
            </w:r>
            <w:r w:rsidRPr="00496684">
              <w:rPr>
                <w:lang w:val="it-IT" w:eastAsia="it-IT"/>
              </w:rPr>
              <w:t>20 x 10</w:t>
            </w:r>
            <w:r w:rsidRPr="00496684">
              <w:rPr>
                <w:vertAlign w:val="superscript"/>
                <w:lang w:val="it-IT" w:eastAsia="it-IT"/>
              </w:rPr>
              <w:t>9</w:t>
            </w:r>
            <w:r w:rsidRPr="00496684">
              <w:rPr>
                <w:lang w:val="it-IT" w:eastAsia="it-IT"/>
              </w:rPr>
              <w:t>/</w:t>
            </w:r>
            <w:r w:rsidR="000F6E19" w:rsidRPr="00496684">
              <w:rPr>
                <w:lang w:val="it-IT" w:eastAsia="it-IT"/>
              </w:rPr>
              <w:t>L</w:t>
            </w:r>
            <w:r w:rsidRPr="00496684">
              <w:rPr>
                <w:lang w:val="it-IT" w:eastAsia="it-IT"/>
              </w:rPr>
              <w:t>, quindi riprendere il trattamento a 300 mg.</w:t>
            </w:r>
          </w:p>
        </w:tc>
      </w:tr>
      <w:tr w:rsidR="003724E8" w:rsidRPr="00496684" w14:paraId="7F2A0E1A" w14:textId="77777777" w:rsidTr="00AF494A">
        <w:tc>
          <w:tcPr>
            <w:tcW w:w="2376" w:type="dxa"/>
            <w:tcBorders>
              <w:top w:val="single" w:sz="4" w:space="0" w:color="auto"/>
              <w:left w:val="single" w:sz="4" w:space="0" w:color="auto"/>
              <w:bottom w:val="single" w:sz="4" w:space="0" w:color="auto"/>
              <w:right w:val="single" w:sz="4" w:space="0" w:color="auto"/>
            </w:tcBorders>
          </w:tcPr>
          <w:p w14:paraId="2495369F" w14:textId="77777777" w:rsidR="003724E8" w:rsidRPr="00496684" w:rsidRDefault="003724E8" w:rsidP="00AF494A">
            <w:pPr>
              <w:pStyle w:val="Endnotentext"/>
              <w:widowControl w:val="0"/>
              <w:tabs>
                <w:tab w:val="clear" w:pos="567"/>
              </w:tabs>
              <w:rPr>
                <w:szCs w:val="22"/>
                <w:lang w:val="it-IT" w:eastAsia="it-IT"/>
              </w:rPr>
            </w:pPr>
            <w:r w:rsidRPr="00496684">
              <w:rPr>
                <w:szCs w:val="22"/>
                <w:lang w:val="it-IT" w:eastAsia="it-IT"/>
              </w:rPr>
              <w:t>LMC in fase accelerata e crisi blastica in pediatria (dose iniziale 340 mg/m</w:t>
            </w:r>
            <w:r w:rsidRPr="00496684">
              <w:rPr>
                <w:szCs w:val="22"/>
                <w:vertAlign w:val="superscript"/>
                <w:lang w:val="it-IT" w:eastAsia="it-IT"/>
              </w:rPr>
              <w:t>2</w:t>
            </w:r>
            <w:r w:rsidRPr="00496684">
              <w:rPr>
                <w:szCs w:val="22"/>
                <w:lang w:val="it-IT" w:eastAsia="it-IT"/>
              </w:rPr>
              <w:t>)</w:t>
            </w:r>
          </w:p>
        </w:tc>
        <w:tc>
          <w:tcPr>
            <w:tcW w:w="2400" w:type="dxa"/>
            <w:tcBorders>
              <w:top w:val="single" w:sz="4" w:space="0" w:color="auto"/>
              <w:left w:val="single" w:sz="4" w:space="0" w:color="auto"/>
              <w:bottom w:val="single" w:sz="4" w:space="0" w:color="auto"/>
              <w:right w:val="single" w:sz="4" w:space="0" w:color="auto"/>
            </w:tcBorders>
          </w:tcPr>
          <w:p w14:paraId="0B5D48E8" w14:textId="77777777" w:rsidR="003724E8" w:rsidRPr="00496684" w:rsidRDefault="003724E8"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vertAlign w:val="superscript"/>
                <w:lang w:val="it-IT" w:eastAsia="it-IT"/>
              </w:rPr>
              <w:t>a</w:t>
            </w:r>
            <w:r w:rsidRPr="00496684">
              <w:rPr>
                <w:rFonts w:ascii="Times New Roman" w:hAnsi="Times New Roman"/>
                <w:sz w:val="22"/>
                <w:szCs w:val="22"/>
                <w:lang w:val="it-IT" w:eastAsia="it-IT"/>
              </w:rPr>
              <w:t>ANC &lt;0,5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0F6E19" w:rsidRPr="00496684">
              <w:rPr>
                <w:rFonts w:ascii="Times New Roman" w:hAnsi="Times New Roman"/>
                <w:sz w:val="22"/>
                <w:szCs w:val="22"/>
                <w:lang w:val="it-IT" w:eastAsia="it-IT"/>
              </w:rPr>
              <w:t>L</w:t>
            </w:r>
          </w:p>
          <w:p w14:paraId="14C2A947" w14:textId="77777777" w:rsidR="003724E8" w:rsidRPr="00496684" w:rsidRDefault="003724E8" w:rsidP="00AF494A">
            <w:pPr>
              <w:pStyle w:val="Table"/>
              <w:spacing w:before="0" w:after="0"/>
              <w:rPr>
                <w:rFonts w:ascii="Times New Roman" w:hAnsi="Times New Roman"/>
                <w:sz w:val="22"/>
                <w:szCs w:val="22"/>
                <w:lang w:val="it-IT" w:eastAsia="it-IT"/>
              </w:rPr>
            </w:pPr>
            <w:r w:rsidRPr="00496684">
              <w:rPr>
                <w:rFonts w:ascii="Times New Roman" w:hAnsi="Times New Roman"/>
                <w:sz w:val="22"/>
                <w:szCs w:val="22"/>
                <w:lang w:val="it-IT" w:eastAsia="it-IT"/>
              </w:rPr>
              <w:t>e/o</w:t>
            </w:r>
          </w:p>
          <w:p w14:paraId="0AE4B6BA" w14:textId="77777777" w:rsidR="003724E8" w:rsidRPr="00496684" w:rsidRDefault="003724E8" w:rsidP="000F6E19">
            <w:pPr>
              <w:pStyle w:val="Table"/>
              <w:spacing w:before="0" w:after="0"/>
              <w:rPr>
                <w:rFonts w:ascii="Times New Roman" w:hAnsi="Times New Roman"/>
                <w:sz w:val="22"/>
                <w:szCs w:val="22"/>
                <w:vertAlign w:val="superscript"/>
                <w:lang w:val="it-IT" w:eastAsia="it-IT"/>
              </w:rPr>
            </w:pPr>
            <w:r w:rsidRPr="00496684">
              <w:rPr>
                <w:rFonts w:ascii="Times New Roman" w:hAnsi="Times New Roman"/>
                <w:sz w:val="22"/>
                <w:szCs w:val="22"/>
                <w:lang w:val="it-IT" w:eastAsia="it-IT"/>
              </w:rPr>
              <w:t>piastrine &lt;10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0F6E19" w:rsidRPr="00496684">
              <w:rPr>
                <w:rFonts w:ascii="Times New Roman" w:hAnsi="Times New Roman"/>
                <w:sz w:val="22"/>
                <w:szCs w:val="22"/>
                <w:lang w:val="it-IT" w:eastAsia="it-IT"/>
              </w:rPr>
              <w:t>L</w:t>
            </w:r>
          </w:p>
        </w:tc>
        <w:tc>
          <w:tcPr>
            <w:tcW w:w="4404" w:type="dxa"/>
            <w:tcBorders>
              <w:top w:val="single" w:sz="4" w:space="0" w:color="auto"/>
              <w:left w:val="single" w:sz="4" w:space="0" w:color="auto"/>
              <w:bottom w:val="single" w:sz="4" w:space="0" w:color="auto"/>
              <w:right w:val="single" w:sz="4" w:space="0" w:color="auto"/>
            </w:tcBorders>
          </w:tcPr>
          <w:p w14:paraId="0342BE50" w14:textId="77777777" w:rsidR="003724E8" w:rsidRPr="00496684" w:rsidRDefault="003724E8" w:rsidP="00AF494A">
            <w:pPr>
              <w:pStyle w:val="Endnotentext"/>
              <w:ind w:left="469" w:hanging="425"/>
              <w:rPr>
                <w:lang w:val="it-IT" w:eastAsia="it-IT"/>
              </w:rPr>
            </w:pPr>
            <w:r w:rsidRPr="00496684">
              <w:rPr>
                <w:lang w:val="it-IT" w:eastAsia="it-IT"/>
              </w:rPr>
              <w:t>1.</w:t>
            </w:r>
            <w:r w:rsidRPr="00496684">
              <w:rPr>
                <w:lang w:val="it-IT" w:eastAsia="it-IT"/>
              </w:rPr>
              <w:tab/>
              <w:t>Controllare se la citopenia è correlata alla leucemia (aspirazione o biopsia midollare).</w:t>
            </w:r>
          </w:p>
          <w:p w14:paraId="328BB424" w14:textId="77777777" w:rsidR="003724E8" w:rsidRPr="00496684" w:rsidRDefault="003724E8" w:rsidP="00AF494A">
            <w:pPr>
              <w:pStyle w:val="Endnotentext"/>
              <w:tabs>
                <w:tab w:val="clear" w:pos="567"/>
                <w:tab w:val="left" w:pos="469"/>
              </w:tabs>
              <w:ind w:left="469" w:hanging="425"/>
              <w:rPr>
                <w:lang w:val="it-IT" w:eastAsia="it-IT"/>
              </w:rPr>
            </w:pPr>
            <w:r w:rsidRPr="00496684">
              <w:rPr>
                <w:lang w:val="it-IT" w:eastAsia="it-IT"/>
              </w:rPr>
              <w:t xml:space="preserve">2.     Se la citopenia non è correlata alla leucemia, ridurre la dose di </w:t>
            </w:r>
            <w:r w:rsidR="008A5A81" w:rsidRPr="00496684">
              <w:rPr>
                <w:lang w:val="it-IT" w:eastAsia="it-IT"/>
              </w:rPr>
              <w:t>i</w:t>
            </w:r>
            <w:r w:rsidR="00521ABE" w:rsidRPr="00496684">
              <w:rPr>
                <w:lang w:val="it-IT" w:eastAsia="it-IT"/>
              </w:rPr>
              <w:t xml:space="preserve">matinib </w:t>
            </w:r>
            <w:r w:rsidRPr="00496684">
              <w:rPr>
                <w:lang w:val="it-IT" w:eastAsia="it-IT"/>
              </w:rPr>
              <w:t>a 260 mg/m</w:t>
            </w:r>
            <w:r w:rsidRPr="00496684">
              <w:rPr>
                <w:vertAlign w:val="superscript"/>
                <w:lang w:val="it-IT" w:eastAsia="it-IT"/>
              </w:rPr>
              <w:t>2</w:t>
            </w:r>
            <w:r w:rsidRPr="00496684">
              <w:rPr>
                <w:lang w:val="it-IT" w:eastAsia="it-IT"/>
              </w:rPr>
              <w:t>.</w:t>
            </w:r>
          </w:p>
          <w:p w14:paraId="348AA1F2" w14:textId="77777777" w:rsidR="003724E8" w:rsidRPr="00496684" w:rsidRDefault="003724E8" w:rsidP="00AF494A">
            <w:pPr>
              <w:pStyle w:val="Endnotentext"/>
              <w:ind w:left="469" w:hanging="425"/>
              <w:rPr>
                <w:lang w:val="it-IT" w:eastAsia="it-IT"/>
              </w:rPr>
            </w:pPr>
            <w:r w:rsidRPr="00496684">
              <w:rPr>
                <w:lang w:val="it-IT" w:eastAsia="it-IT"/>
              </w:rPr>
              <w:t>3.</w:t>
            </w:r>
            <w:r w:rsidRPr="00496684">
              <w:rPr>
                <w:lang w:val="it-IT" w:eastAsia="it-IT"/>
              </w:rPr>
              <w:tab/>
              <w:t>Se la citopenia persiste per 2 settimane ridurre ulteriormente a 200 mg/m</w:t>
            </w:r>
            <w:r w:rsidRPr="00496684">
              <w:rPr>
                <w:vertAlign w:val="superscript"/>
                <w:lang w:val="it-IT" w:eastAsia="it-IT"/>
              </w:rPr>
              <w:t>2</w:t>
            </w:r>
            <w:r w:rsidRPr="00496684">
              <w:rPr>
                <w:lang w:val="it-IT" w:eastAsia="it-IT"/>
              </w:rPr>
              <w:t>.</w:t>
            </w:r>
          </w:p>
          <w:p w14:paraId="45739BBA" w14:textId="77777777" w:rsidR="003724E8" w:rsidRPr="00496684" w:rsidRDefault="003724E8" w:rsidP="000F6E19">
            <w:pPr>
              <w:pStyle w:val="Endnotentext"/>
              <w:tabs>
                <w:tab w:val="clear" w:pos="567"/>
                <w:tab w:val="left" w:pos="469"/>
              </w:tabs>
              <w:ind w:left="469" w:hanging="425"/>
              <w:rPr>
                <w:lang w:val="it-IT" w:eastAsia="it-IT"/>
              </w:rPr>
            </w:pPr>
            <w:r w:rsidRPr="00496684">
              <w:rPr>
                <w:lang w:val="it-IT" w:eastAsia="it-IT"/>
              </w:rPr>
              <w:t xml:space="preserve">4.     Se la citopenia persiste per 4 settimane e continua a non essere correlata alla leucemia, sospendere </w:t>
            </w:r>
            <w:r w:rsidR="008A5A81" w:rsidRPr="00496684">
              <w:rPr>
                <w:lang w:val="it-IT" w:eastAsia="it-IT"/>
              </w:rPr>
              <w:t>i</w:t>
            </w:r>
            <w:r w:rsidR="00521ABE" w:rsidRPr="00496684">
              <w:rPr>
                <w:lang w:val="it-IT" w:eastAsia="it-IT"/>
              </w:rPr>
              <w:t xml:space="preserve">matinib </w:t>
            </w:r>
            <w:r w:rsidRPr="00496684">
              <w:rPr>
                <w:lang w:val="it-IT" w:eastAsia="it-IT"/>
              </w:rPr>
              <w:t xml:space="preserve">finché ANC </w:t>
            </w:r>
            <w:r w:rsidRPr="00496684">
              <w:rPr>
                <w:lang w:val="it-IT" w:eastAsia="it-IT"/>
              </w:rPr>
              <w:sym w:font="Symbol" w:char="F0B3"/>
            </w:r>
            <w:r w:rsidRPr="00496684">
              <w:rPr>
                <w:lang w:val="it-IT" w:eastAsia="it-IT"/>
              </w:rPr>
              <w:t>1 x 10</w:t>
            </w:r>
            <w:r w:rsidRPr="00496684">
              <w:rPr>
                <w:vertAlign w:val="superscript"/>
                <w:lang w:val="it-IT" w:eastAsia="it-IT"/>
              </w:rPr>
              <w:t>9</w:t>
            </w:r>
            <w:r w:rsidRPr="00496684">
              <w:rPr>
                <w:lang w:val="it-IT" w:eastAsia="it-IT"/>
              </w:rPr>
              <w:t>/</w:t>
            </w:r>
            <w:r w:rsidR="000F6E19" w:rsidRPr="00496684">
              <w:rPr>
                <w:lang w:val="it-IT" w:eastAsia="it-IT"/>
              </w:rPr>
              <w:t>L</w:t>
            </w:r>
            <w:r w:rsidRPr="00496684">
              <w:rPr>
                <w:lang w:val="it-IT" w:eastAsia="it-IT"/>
              </w:rPr>
              <w:t xml:space="preserve"> e le piastrine </w:t>
            </w:r>
            <w:r w:rsidRPr="00496684">
              <w:rPr>
                <w:lang w:val="it-IT" w:eastAsia="it-IT"/>
              </w:rPr>
              <w:sym w:font="Symbol" w:char="F0B3"/>
            </w:r>
            <w:r w:rsidRPr="00496684">
              <w:rPr>
                <w:lang w:val="it-IT" w:eastAsia="it-IT"/>
              </w:rPr>
              <w:t>20 x 10</w:t>
            </w:r>
            <w:r w:rsidRPr="00496684">
              <w:rPr>
                <w:vertAlign w:val="superscript"/>
                <w:lang w:val="it-IT" w:eastAsia="it-IT"/>
              </w:rPr>
              <w:t>9</w:t>
            </w:r>
            <w:r w:rsidRPr="00496684">
              <w:rPr>
                <w:lang w:val="it-IT" w:eastAsia="it-IT"/>
              </w:rPr>
              <w:t>/</w:t>
            </w:r>
            <w:r w:rsidR="000F6E19" w:rsidRPr="00496684">
              <w:rPr>
                <w:lang w:val="it-IT" w:eastAsia="it-IT"/>
              </w:rPr>
              <w:t>L</w:t>
            </w:r>
            <w:r w:rsidRPr="00496684">
              <w:rPr>
                <w:lang w:val="it-IT" w:eastAsia="it-IT"/>
              </w:rPr>
              <w:t>, quindi riprendere il trattamento a 200 mg/m</w:t>
            </w:r>
            <w:r w:rsidRPr="00496684">
              <w:rPr>
                <w:vertAlign w:val="superscript"/>
                <w:lang w:val="it-IT" w:eastAsia="it-IT"/>
              </w:rPr>
              <w:t>2</w:t>
            </w:r>
            <w:r w:rsidRPr="00496684">
              <w:rPr>
                <w:lang w:val="it-IT" w:eastAsia="it-IT"/>
              </w:rPr>
              <w:t>.</w:t>
            </w:r>
          </w:p>
        </w:tc>
      </w:tr>
      <w:tr w:rsidR="002971F6" w:rsidRPr="00496684" w14:paraId="08E6AD4C" w14:textId="77777777" w:rsidTr="00AF494A">
        <w:tc>
          <w:tcPr>
            <w:tcW w:w="2376" w:type="dxa"/>
            <w:tcBorders>
              <w:top w:val="single" w:sz="4" w:space="0" w:color="auto"/>
              <w:left w:val="single" w:sz="4" w:space="0" w:color="auto"/>
              <w:bottom w:val="single" w:sz="4" w:space="0" w:color="auto"/>
              <w:right w:val="single" w:sz="4" w:space="0" w:color="auto"/>
            </w:tcBorders>
          </w:tcPr>
          <w:p w14:paraId="0B6BEBFE" w14:textId="77777777" w:rsidR="002971F6" w:rsidRPr="00496684" w:rsidRDefault="002971F6" w:rsidP="00E054B5">
            <w:pPr>
              <w:pStyle w:val="Default"/>
              <w:rPr>
                <w:sz w:val="22"/>
                <w:szCs w:val="22"/>
                <w:lang w:val="it-IT"/>
              </w:rPr>
            </w:pPr>
            <w:r w:rsidRPr="00496684">
              <w:rPr>
                <w:sz w:val="22"/>
                <w:szCs w:val="22"/>
                <w:lang w:val="it-IT"/>
              </w:rPr>
              <w:t xml:space="preserve">DFSP </w:t>
            </w:r>
          </w:p>
          <w:p w14:paraId="46491C28" w14:textId="5ADCAA38" w:rsidR="002971F6" w:rsidRPr="00496684" w:rsidRDefault="002971F6" w:rsidP="00AF494A">
            <w:pPr>
              <w:pStyle w:val="Endnotentext"/>
              <w:widowControl w:val="0"/>
              <w:tabs>
                <w:tab w:val="clear" w:pos="567"/>
              </w:tabs>
              <w:rPr>
                <w:szCs w:val="22"/>
                <w:lang w:val="it-IT" w:eastAsia="it-IT"/>
              </w:rPr>
            </w:pPr>
            <w:r w:rsidRPr="00496684">
              <w:rPr>
                <w:szCs w:val="22"/>
                <w:lang w:val="it-IT"/>
              </w:rPr>
              <w:t>(dose 800 mg)</w:t>
            </w:r>
          </w:p>
        </w:tc>
        <w:tc>
          <w:tcPr>
            <w:tcW w:w="2400" w:type="dxa"/>
            <w:tcBorders>
              <w:top w:val="single" w:sz="4" w:space="0" w:color="auto"/>
              <w:left w:val="single" w:sz="4" w:space="0" w:color="auto"/>
              <w:bottom w:val="single" w:sz="4" w:space="0" w:color="auto"/>
              <w:right w:val="single" w:sz="4" w:space="0" w:color="auto"/>
            </w:tcBorders>
          </w:tcPr>
          <w:p w14:paraId="7DC9FCCD" w14:textId="77777777" w:rsidR="002971F6" w:rsidRPr="00496684" w:rsidRDefault="002971F6" w:rsidP="00E054B5">
            <w:pPr>
              <w:pStyle w:val="Default"/>
              <w:rPr>
                <w:sz w:val="22"/>
                <w:szCs w:val="22"/>
                <w:lang w:val="it-IT"/>
              </w:rPr>
            </w:pPr>
            <w:r w:rsidRPr="00496684">
              <w:rPr>
                <w:sz w:val="22"/>
                <w:szCs w:val="22"/>
                <w:lang w:val="it-IT"/>
              </w:rPr>
              <w:t xml:space="preserve">ANC &lt;1,0 x </w:t>
            </w:r>
            <w:r w:rsidRPr="00496684">
              <w:rPr>
                <w:sz w:val="22"/>
                <w:szCs w:val="22"/>
                <w:lang w:val="it-IT" w:eastAsia="it-IT"/>
              </w:rPr>
              <w:t>10</w:t>
            </w:r>
            <w:r w:rsidRPr="00496684">
              <w:rPr>
                <w:sz w:val="22"/>
                <w:szCs w:val="22"/>
                <w:vertAlign w:val="superscript"/>
                <w:lang w:val="it-IT" w:eastAsia="it-IT"/>
              </w:rPr>
              <w:t>9</w:t>
            </w:r>
            <w:r w:rsidRPr="00496684">
              <w:rPr>
                <w:sz w:val="22"/>
                <w:szCs w:val="22"/>
                <w:lang w:val="it-IT" w:eastAsia="it-IT"/>
              </w:rPr>
              <w:t>/</w:t>
            </w:r>
            <w:r w:rsidR="000F6E19" w:rsidRPr="00496684">
              <w:rPr>
                <w:sz w:val="22"/>
                <w:szCs w:val="22"/>
                <w:lang w:val="it-IT" w:eastAsia="it-IT"/>
              </w:rPr>
              <w:t>L</w:t>
            </w:r>
          </w:p>
          <w:p w14:paraId="48F42F3F" w14:textId="77777777" w:rsidR="002971F6" w:rsidRPr="00496684" w:rsidRDefault="002971F6" w:rsidP="00E054B5">
            <w:pPr>
              <w:pStyle w:val="Default"/>
              <w:rPr>
                <w:sz w:val="22"/>
                <w:szCs w:val="22"/>
                <w:lang w:val="it-IT"/>
              </w:rPr>
            </w:pPr>
            <w:r w:rsidRPr="00496684">
              <w:rPr>
                <w:sz w:val="22"/>
                <w:szCs w:val="22"/>
                <w:lang w:val="it-IT"/>
              </w:rPr>
              <w:t xml:space="preserve">e/o </w:t>
            </w:r>
          </w:p>
          <w:p w14:paraId="5AC55795" w14:textId="77777777" w:rsidR="002971F6" w:rsidRPr="00496684" w:rsidRDefault="002971F6" w:rsidP="000F6E19">
            <w:pPr>
              <w:pStyle w:val="Table"/>
              <w:spacing w:before="0" w:after="0"/>
              <w:rPr>
                <w:rFonts w:ascii="Times New Roman" w:hAnsi="Times New Roman"/>
                <w:sz w:val="22"/>
                <w:szCs w:val="22"/>
                <w:vertAlign w:val="superscript"/>
                <w:lang w:val="it-IT" w:eastAsia="it-IT"/>
              </w:rPr>
            </w:pPr>
            <w:r w:rsidRPr="00496684">
              <w:rPr>
                <w:sz w:val="22"/>
                <w:szCs w:val="22"/>
                <w:lang w:val="it-IT"/>
              </w:rPr>
              <w:t xml:space="preserve">piastrine &lt;50 x </w:t>
            </w:r>
            <w:r w:rsidRPr="00496684">
              <w:rPr>
                <w:rFonts w:ascii="Times New Roman" w:hAnsi="Times New Roman"/>
                <w:sz w:val="22"/>
                <w:szCs w:val="22"/>
                <w:lang w:val="it-IT" w:eastAsia="it-IT"/>
              </w:rPr>
              <w:t>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w:t>
            </w:r>
            <w:r w:rsidR="000F6E19" w:rsidRPr="00496684">
              <w:rPr>
                <w:rFonts w:ascii="Times New Roman" w:hAnsi="Times New Roman"/>
                <w:sz w:val="22"/>
                <w:szCs w:val="22"/>
                <w:lang w:val="it-IT" w:eastAsia="it-IT"/>
              </w:rPr>
              <w:t>L</w:t>
            </w:r>
          </w:p>
        </w:tc>
        <w:tc>
          <w:tcPr>
            <w:tcW w:w="4404" w:type="dxa"/>
            <w:tcBorders>
              <w:top w:val="single" w:sz="4" w:space="0" w:color="auto"/>
              <w:left w:val="single" w:sz="4" w:space="0" w:color="auto"/>
              <w:bottom w:val="single" w:sz="4" w:space="0" w:color="auto"/>
              <w:right w:val="single" w:sz="4" w:space="0" w:color="auto"/>
            </w:tcBorders>
          </w:tcPr>
          <w:p w14:paraId="5FBDC4D8" w14:textId="77777777" w:rsidR="002971F6" w:rsidRPr="00496684" w:rsidRDefault="002971F6" w:rsidP="00D008F2">
            <w:pPr>
              <w:pStyle w:val="Default"/>
              <w:numPr>
                <w:ilvl w:val="0"/>
                <w:numId w:val="35"/>
              </w:numPr>
              <w:rPr>
                <w:sz w:val="22"/>
                <w:szCs w:val="22"/>
                <w:lang w:val="it-IT"/>
              </w:rPr>
            </w:pPr>
            <w:r w:rsidRPr="00496684">
              <w:rPr>
                <w:sz w:val="22"/>
                <w:szCs w:val="22"/>
                <w:lang w:val="it-IT"/>
              </w:rPr>
              <w:t xml:space="preserve">Sospendere imatinib fino a ANC </w:t>
            </w:r>
            <w:r w:rsidRPr="00496684">
              <w:rPr>
                <w:lang w:val="it-IT" w:eastAsia="it-IT"/>
              </w:rPr>
              <w:sym w:font="Symbol" w:char="F0B3"/>
            </w:r>
            <w:r w:rsidRPr="00496684">
              <w:rPr>
                <w:sz w:val="22"/>
                <w:szCs w:val="22"/>
                <w:lang w:val="it-IT"/>
              </w:rPr>
              <w:t xml:space="preserve">1,5 x </w:t>
            </w:r>
            <w:r w:rsidRPr="00496684">
              <w:rPr>
                <w:sz w:val="22"/>
                <w:szCs w:val="22"/>
                <w:lang w:val="it-IT" w:eastAsia="it-IT"/>
              </w:rPr>
              <w:t>10</w:t>
            </w:r>
            <w:r w:rsidRPr="00496684">
              <w:rPr>
                <w:sz w:val="22"/>
                <w:szCs w:val="22"/>
                <w:vertAlign w:val="superscript"/>
                <w:lang w:val="it-IT" w:eastAsia="it-IT"/>
              </w:rPr>
              <w:t>9</w:t>
            </w:r>
            <w:r w:rsidRPr="00496684">
              <w:rPr>
                <w:sz w:val="22"/>
                <w:szCs w:val="22"/>
                <w:lang w:val="it-IT" w:eastAsia="it-IT"/>
              </w:rPr>
              <w:t>/</w:t>
            </w:r>
            <w:r w:rsidR="000F6E19" w:rsidRPr="00496684">
              <w:rPr>
                <w:sz w:val="22"/>
                <w:szCs w:val="22"/>
                <w:lang w:val="it-IT" w:eastAsia="it-IT"/>
              </w:rPr>
              <w:t>L</w:t>
            </w:r>
            <w:r w:rsidRPr="00496684">
              <w:rPr>
                <w:sz w:val="22"/>
                <w:szCs w:val="22"/>
                <w:lang w:val="it-IT"/>
              </w:rPr>
              <w:t xml:space="preserve"> e piastrine </w:t>
            </w:r>
            <w:r w:rsidRPr="00496684">
              <w:rPr>
                <w:lang w:val="it-IT" w:eastAsia="it-IT"/>
              </w:rPr>
              <w:sym w:font="Symbol" w:char="F0B3"/>
            </w:r>
            <w:r w:rsidRPr="00496684">
              <w:rPr>
                <w:sz w:val="22"/>
                <w:szCs w:val="22"/>
                <w:lang w:val="it-IT"/>
              </w:rPr>
              <w:t xml:space="preserve">75 x </w:t>
            </w:r>
            <w:r w:rsidRPr="00496684">
              <w:rPr>
                <w:sz w:val="22"/>
                <w:szCs w:val="22"/>
                <w:lang w:val="it-IT" w:eastAsia="it-IT"/>
              </w:rPr>
              <w:t>10</w:t>
            </w:r>
            <w:r w:rsidRPr="00496684">
              <w:rPr>
                <w:sz w:val="22"/>
                <w:szCs w:val="22"/>
                <w:vertAlign w:val="superscript"/>
                <w:lang w:val="it-IT" w:eastAsia="it-IT"/>
              </w:rPr>
              <w:t>9</w:t>
            </w:r>
            <w:r w:rsidRPr="00496684">
              <w:rPr>
                <w:sz w:val="22"/>
                <w:szCs w:val="22"/>
                <w:lang w:val="it-IT" w:eastAsia="it-IT"/>
              </w:rPr>
              <w:t>/</w:t>
            </w:r>
            <w:r w:rsidR="000F6E19" w:rsidRPr="00496684">
              <w:rPr>
                <w:sz w:val="22"/>
                <w:szCs w:val="22"/>
                <w:lang w:val="it-IT" w:eastAsia="it-IT"/>
              </w:rPr>
              <w:t>L</w:t>
            </w:r>
            <w:r w:rsidRPr="00496684">
              <w:rPr>
                <w:sz w:val="22"/>
                <w:szCs w:val="22"/>
                <w:lang w:val="it-IT"/>
              </w:rPr>
              <w:t xml:space="preserve">. </w:t>
            </w:r>
          </w:p>
          <w:p w14:paraId="0E358AE2" w14:textId="77777777" w:rsidR="002971F6" w:rsidRPr="00496684" w:rsidRDefault="002971F6" w:rsidP="00D008F2">
            <w:pPr>
              <w:pStyle w:val="Default"/>
              <w:numPr>
                <w:ilvl w:val="0"/>
                <w:numId w:val="35"/>
              </w:numPr>
              <w:rPr>
                <w:sz w:val="22"/>
                <w:szCs w:val="22"/>
                <w:lang w:val="it-IT"/>
              </w:rPr>
            </w:pPr>
            <w:r w:rsidRPr="00496684">
              <w:rPr>
                <w:sz w:val="22"/>
                <w:szCs w:val="22"/>
                <w:lang w:val="it-IT"/>
              </w:rPr>
              <w:t xml:space="preserve">Riprendere il trattamento con imatinib a 600 mg. </w:t>
            </w:r>
          </w:p>
          <w:p w14:paraId="371DAF9B" w14:textId="77777777" w:rsidR="002971F6" w:rsidRPr="00496684" w:rsidRDefault="002971F6" w:rsidP="00D008F2">
            <w:pPr>
              <w:pStyle w:val="Endnotentext"/>
              <w:numPr>
                <w:ilvl w:val="0"/>
                <w:numId w:val="35"/>
              </w:numPr>
              <w:rPr>
                <w:lang w:val="it-IT" w:eastAsia="it-IT"/>
              </w:rPr>
            </w:pPr>
            <w:r w:rsidRPr="00496684">
              <w:rPr>
                <w:szCs w:val="22"/>
                <w:lang w:val="it-IT"/>
              </w:rPr>
              <w:t xml:space="preserve">In caso si ripresenti ANC &lt;1,0 x </w:t>
            </w:r>
            <w:r w:rsidRPr="00496684">
              <w:rPr>
                <w:szCs w:val="22"/>
                <w:lang w:val="it-IT" w:eastAsia="it-IT"/>
              </w:rPr>
              <w:t>10</w:t>
            </w:r>
            <w:r w:rsidRPr="00496684">
              <w:rPr>
                <w:szCs w:val="22"/>
                <w:vertAlign w:val="superscript"/>
                <w:lang w:val="it-IT" w:eastAsia="it-IT"/>
              </w:rPr>
              <w:t>9</w:t>
            </w:r>
            <w:r w:rsidRPr="00496684">
              <w:rPr>
                <w:szCs w:val="22"/>
                <w:lang w:val="it-IT" w:eastAsia="it-IT"/>
              </w:rPr>
              <w:t>/</w:t>
            </w:r>
            <w:r w:rsidR="000F6E19" w:rsidRPr="00496684">
              <w:rPr>
                <w:szCs w:val="22"/>
                <w:lang w:val="it-IT" w:eastAsia="it-IT"/>
              </w:rPr>
              <w:t>L</w:t>
            </w:r>
            <w:r w:rsidRPr="00496684">
              <w:rPr>
                <w:szCs w:val="22"/>
                <w:lang w:val="it-IT"/>
              </w:rPr>
              <w:t xml:space="preserve"> e/o piastrine &lt;50 x </w:t>
            </w:r>
            <w:r w:rsidRPr="00496684">
              <w:rPr>
                <w:szCs w:val="22"/>
                <w:lang w:val="it-IT" w:eastAsia="it-IT"/>
              </w:rPr>
              <w:t>10</w:t>
            </w:r>
            <w:r w:rsidRPr="00496684">
              <w:rPr>
                <w:szCs w:val="22"/>
                <w:vertAlign w:val="superscript"/>
                <w:lang w:val="it-IT" w:eastAsia="it-IT"/>
              </w:rPr>
              <w:t>9</w:t>
            </w:r>
            <w:r w:rsidRPr="00496684">
              <w:rPr>
                <w:szCs w:val="22"/>
                <w:lang w:val="it-IT" w:eastAsia="it-IT"/>
              </w:rPr>
              <w:t>/</w:t>
            </w:r>
            <w:r w:rsidR="000F6E19" w:rsidRPr="00496684">
              <w:rPr>
                <w:szCs w:val="22"/>
                <w:lang w:val="it-IT" w:eastAsia="it-IT"/>
              </w:rPr>
              <w:t>L</w:t>
            </w:r>
            <w:r w:rsidRPr="00496684">
              <w:rPr>
                <w:szCs w:val="22"/>
                <w:lang w:val="it-IT"/>
              </w:rPr>
              <w:t xml:space="preserve">, ripetere il punto 1 e riprendere imatinib ad un dosaggio ridotto di 400 mg. </w:t>
            </w:r>
          </w:p>
        </w:tc>
      </w:tr>
      <w:tr w:rsidR="00AF494A" w:rsidRPr="00496684" w14:paraId="5007DFF8" w14:textId="77777777" w:rsidTr="00AF494A">
        <w:tc>
          <w:tcPr>
            <w:tcW w:w="9180" w:type="dxa"/>
            <w:gridSpan w:val="3"/>
            <w:tcBorders>
              <w:top w:val="single" w:sz="4" w:space="0" w:color="auto"/>
              <w:left w:val="single" w:sz="4" w:space="0" w:color="auto"/>
              <w:bottom w:val="single" w:sz="4" w:space="0" w:color="auto"/>
              <w:right w:val="single" w:sz="4" w:space="0" w:color="auto"/>
            </w:tcBorders>
          </w:tcPr>
          <w:p w14:paraId="1492E3E0" w14:textId="77777777" w:rsidR="00AF494A" w:rsidRPr="00496684" w:rsidRDefault="00AF494A" w:rsidP="00AF494A">
            <w:pPr>
              <w:pStyle w:val="Endnotentext"/>
              <w:widowControl w:val="0"/>
              <w:tabs>
                <w:tab w:val="clear" w:pos="567"/>
              </w:tabs>
              <w:rPr>
                <w:szCs w:val="22"/>
                <w:lang w:val="it-IT" w:eastAsia="it-IT"/>
              </w:rPr>
            </w:pPr>
            <w:r w:rsidRPr="00496684">
              <w:rPr>
                <w:szCs w:val="22"/>
                <w:lang w:val="it-IT" w:eastAsia="it-IT"/>
              </w:rPr>
              <w:t>ANC = conta assoluta dei neutrofili</w:t>
            </w:r>
          </w:p>
          <w:p w14:paraId="623CC2BE" w14:textId="77777777" w:rsidR="00AF494A" w:rsidRPr="00496684" w:rsidRDefault="00AF494A" w:rsidP="00AF494A">
            <w:pPr>
              <w:pStyle w:val="Endnotentext"/>
              <w:ind w:left="469" w:hanging="425"/>
              <w:rPr>
                <w:lang w:val="it-IT" w:eastAsia="it-IT"/>
              </w:rPr>
            </w:pPr>
            <w:r w:rsidRPr="00496684">
              <w:rPr>
                <w:szCs w:val="22"/>
                <w:vertAlign w:val="superscript"/>
                <w:lang w:val="it-IT" w:eastAsia="it-IT"/>
              </w:rPr>
              <w:t xml:space="preserve">a </w:t>
            </w:r>
            <w:r w:rsidRPr="00496684">
              <w:rPr>
                <w:szCs w:val="22"/>
                <w:lang w:val="it-IT" w:eastAsia="it-IT"/>
              </w:rPr>
              <w:t>che insorga dopo almeno 1 mese di trattamento</w:t>
            </w:r>
          </w:p>
        </w:tc>
      </w:tr>
    </w:tbl>
    <w:p w14:paraId="59280AFA"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703A0983" w14:textId="77777777" w:rsidR="00AF494A" w:rsidRPr="00496684" w:rsidRDefault="000F6E19" w:rsidP="00AF494A">
      <w:pPr>
        <w:pStyle w:val="Endnotentext"/>
        <w:widowControl w:val="0"/>
        <w:tabs>
          <w:tab w:val="clear" w:pos="567"/>
        </w:tabs>
        <w:rPr>
          <w:rFonts w:eastAsia="Calibri"/>
          <w:szCs w:val="22"/>
          <w:u w:val="single"/>
          <w:lang w:val="it-IT" w:eastAsia="is-IS"/>
        </w:rPr>
      </w:pPr>
      <w:r w:rsidRPr="00496684">
        <w:rPr>
          <w:rFonts w:eastAsia="Calibri"/>
          <w:szCs w:val="22"/>
          <w:u w:val="single"/>
          <w:lang w:val="it-IT" w:eastAsia="is-IS"/>
        </w:rPr>
        <w:t>Popolazioni speciali</w:t>
      </w:r>
    </w:p>
    <w:p w14:paraId="7D8BC79E" w14:textId="77777777" w:rsidR="000F6E19" w:rsidRPr="00496684" w:rsidRDefault="000F6E19" w:rsidP="00AF494A">
      <w:pPr>
        <w:pStyle w:val="Endnotentext"/>
        <w:widowControl w:val="0"/>
        <w:tabs>
          <w:tab w:val="clear" w:pos="567"/>
        </w:tabs>
        <w:rPr>
          <w:rFonts w:eastAsia="Calibri"/>
          <w:szCs w:val="22"/>
          <w:u w:val="single"/>
          <w:lang w:val="it-IT" w:eastAsia="is-IS"/>
        </w:rPr>
      </w:pPr>
    </w:p>
    <w:p w14:paraId="281C6EB1" w14:textId="7EEDE16B" w:rsidR="00EC74C4" w:rsidRPr="00496684" w:rsidRDefault="00AF494A" w:rsidP="00EC74C4">
      <w:pPr>
        <w:autoSpaceDE w:val="0"/>
        <w:autoSpaceDN w:val="0"/>
        <w:adjustRightInd w:val="0"/>
        <w:spacing w:after="0" w:line="240" w:lineRule="auto"/>
        <w:rPr>
          <w:rFonts w:ascii="Times New Roman" w:hAnsi="Times New Roman"/>
          <w:lang w:val="it-IT"/>
        </w:rPr>
      </w:pPr>
      <w:r w:rsidRPr="00496684">
        <w:rPr>
          <w:rFonts w:ascii="Times New Roman" w:hAnsi="Times New Roman"/>
          <w:i/>
          <w:u w:val="single"/>
          <w:lang w:val="it-IT" w:eastAsia="is-IS"/>
        </w:rPr>
        <w:t>Uso pediatrico:</w:t>
      </w:r>
      <w:r w:rsidRPr="00496684">
        <w:rPr>
          <w:rFonts w:ascii="Times New Roman" w:hAnsi="Times New Roman"/>
          <w:lang w:val="it-IT" w:eastAsia="is-IS"/>
        </w:rPr>
        <w:t xml:space="preserve"> Non c’è esperienza nei bambini con LMC di età inferiore a 2 anni </w:t>
      </w:r>
      <w:r w:rsidR="003A3302" w:rsidRPr="00496684">
        <w:rPr>
          <w:rFonts w:ascii="Times New Roman" w:hAnsi="Times New Roman"/>
          <w:lang w:val="it-IT"/>
        </w:rPr>
        <w:t>e nei bambini con LLA Ph+ di età inferiore a 1 anno</w:t>
      </w:r>
      <w:r w:rsidR="003A3302" w:rsidRPr="00496684">
        <w:rPr>
          <w:lang w:val="it-IT"/>
        </w:rPr>
        <w:t xml:space="preserve"> </w:t>
      </w:r>
      <w:r w:rsidRPr="00496684">
        <w:rPr>
          <w:rFonts w:ascii="Times New Roman" w:hAnsi="Times New Roman"/>
          <w:lang w:val="it-IT" w:eastAsia="is-IS"/>
        </w:rPr>
        <w:t>(vedere paragrafo 5.1).</w:t>
      </w:r>
      <w:r w:rsidR="003A3302" w:rsidRPr="00496684">
        <w:rPr>
          <w:rFonts w:ascii="Times New Roman" w:hAnsi="Times New Roman"/>
          <w:lang w:val="it-IT"/>
        </w:rPr>
        <w:t xml:space="preserve"> </w:t>
      </w:r>
      <w:r w:rsidR="00EC74C4" w:rsidRPr="00496684">
        <w:rPr>
          <w:rFonts w:ascii="Times New Roman" w:hAnsi="Times New Roman"/>
          <w:lang w:val="it-IT"/>
        </w:rPr>
        <w:t xml:space="preserve">L’esperienza nei bambini con MDS/MPD, DFSP e con HES/LEC </w:t>
      </w:r>
      <w:r w:rsidR="003A3302" w:rsidRPr="00496684">
        <w:rPr>
          <w:rFonts w:ascii="Times New Roman" w:hAnsi="Times New Roman"/>
          <w:lang w:val="it-IT"/>
        </w:rPr>
        <w:t>è molto limitata.</w:t>
      </w:r>
    </w:p>
    <w:p w14:paraId="65CF4B0C" w14:textId="77777777" w:rsidR="00EC74C4" w:rsidRPr="00496684" w:rsidRDefault="00EC74C4" w:rsidP="00EC74C4">
      <w:pPr>
        <w:autoSpaceDE w:val="0"/>
        <w:autoSpaceDN w:val="0"/>
        <w:adjustRightInd w:val="0"/>
        <w:spacing w:after="0" w:line="240" w:lineRule="auto"/>
        <w:rPr>
          <w:rFonts w:ascii="Times New Roman" w:hAnsi="Times New Roman"/>
          <w:lang w:val="it-IT"/>
        </w:rPr>
      </w:pPr>
    </w:p>
    <w:p w14:paraId="5C7F07E4" w14:textId="06EDB7FE" w:rsidR="00EC74C4" w:rsidRPr="00496684" w:rsidRDefault="00EC74C4" w:rsidP="00EC74C4">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La sicurezza e l’efficacia di imatinib nei bambini con MDS/MPD, DFSP e HES/LEC di età inferiore a 18 anni non sono state stabilite negli studi clinici. I dati pubblicati al momento disponibili sono riassunti nel paragrafo 5.1 ma non può essere fatta alcuna raccomandazione riguardante la posologia.</w:t>
      </w:r>
    </w:p>
    <w:p w14:paraId="105E8B53" w14:textId="77777777" w:rsidR="00EC74C4" w:rsidRPr="00496684" w:rsidRDefault="00EC74C4" w:rsidP="00AF494A">
      <w:pPr>
        <w:autoSpaceDE w:val="0"/>
        <w:autoSpaceDN w:val="0"/>
        <w:adjustRightInd w:val="0"/>
        <w:spacing w:after="0" w:line="240" w:lineRule="auto"/>
        <w:rPr>
          <w:rFonts w:ascii="Times New Roman" w:hAnsi="Times New Roman"/>
          <w:lang w:val="it-IT"/>
        </w:rPr>
      </w:pPr>
    </w:p>
    <w:p w14:paraId="1613AC4C" w14:textId="77777777" w:rsidR="00AF494A" w:rsidRPr="00496684" w:rsidRDefault="00AF494A" w:rsidP="00AF494A">
      <w:pPr>
        <w:autoSpaceDE w:val="0"/>
        <w:autoSpaceDN w:val="0"/>
        <w:adjustRightInd w:val="0"/>
        <w:spacing w:after="0" w:line="240" w:lineRule="auto"/>
        <w:rPr>
          <w:rFonts w:ascii="Times New Roman" w:hAnsi="Times New Roman"/>
          <w:lang w:val="it-IT"/>
        </w:rPr>
      </w:pPr>
    </w:p>
    <w:p w14:paraId="0BC59B7B" w14:textId="77777777" w:rsidR="00AF494A" w:rsidRPr="00496684" w:rsidRDefault="00AF494A" w:rsidP="00AF494A">
      <w:pPr>
        <w:pStyle w:val="Endnotentext"/>
        <w:widowControl w:val="0"/>
        <w:tabs>
          <w:tab w:val="clear" w:pos="567"/>
        </w:tabs>
        <w:rPr>
          <w:szCs w:val="22"/>
          <w:lang w:val="it-IT"/>
        </w:rPr>
      </w:pPr>
      <w:r w:rsidRPr="00496684">
        <w:rPr>
          <w:i/>
          <w:szCs w:val="22"/>
          <w:u w:val="single"/>
          <w:lang w:val="it-IT"/>
        </w:rPr>
        <w:t>Insufficienza epatica:</w:t>
      </w:r>
      <w:r w:rsidRPr="00496684">
        <w:rPr>
          <w:szCs w:val="22"/>
          <w:lang w:val="it-IT"/>
        </w:rPr>
        <w:t xml:space="preserve"> Imatinib è principalmente metabolizzato attraverso il fegato. Ai pazienti con disfunzione epatica di natura lieve, moderata o grave dovrebbe essere somministrata la minima dose raccomandata di 400 mg al giorno. La dose può essere ridotta se non tollerata (vedere paragrafi 4.4, 4.8 e 5.2).</w:t>
      </w:r>
    </w:p>
    <w:p w14:paraId="36EA762E" w14:textId="77777777" w:rsidR="00AF494A" w:rsidRPr="00496684" w:rsidRDefault="00AF494A" w:rsidP="00AF494A">
      <w:pPr>
        <w:pStyle w:val="Endnotentext"/>
        <w:widowControl w:val="0"/>
        <w:tabs>
          <w:tab w:val="clear" w:pos="567"/>
        </w:tabs>
        <w:rPr>
          <w:szCs w:val="22"/>
          <w:lang w:val="it-IT"/>
        </w:rPr>
      </w:pPr>
    </w:p>
    <w:p w14:paraId="5BC49AE6" w14:textId="77777777" w:rsidR="00AF494A" w:rsidRPr="00496684" w:rsidRDefault="00AF494A" w:rsidP="00AF494A">
      <w:pPr>
        <w:pStyle w:val="Endnotentext"/>
        <w:widowControl w:val="0"/>
        <w:tabs>
          <w:tab w:val="clear" w:pos="567"/>
        </w:tabs>
        <w:rPr>
          <w:szCs w:val="22"/>
          <w:lang w:val="it-IT"/>
        </w:rPr>
      </w:pPr>
      <w:r w:rsidRPr="00496684">
        <w:rPr>
          <w:szCs w:val="22"/>
          <w:lang w:val="it-IT"/>
        </w:rPr>
        <w:t>Classificazione della disfunzione epatica:</w:t>
      </w:r>
    </w:p>
    <w:p w14:paraId="207761BE" w14:textId="77777777" w:rsidR="00AF494A" w:rsidRPr="00496684" w:rsidRDefault="00AF494A" w:rsidP="00AF494A">
      <w:pPr>
        <w:pStyle w:val="Text"/>
        <w:spacing w:before="0"/>
        <w:jc w:val="left"/>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5918"/>
      </w:tblGrid>
      <w:tr w:rsidR="00AF494A" w:rsidRPr="00496684" w14:paraId="252256B2" w14:textId="77777777" w:rsidTr="00AF494A">
        <w:tc>
          <w:tcPr>
            <w:tcW w:w="3369" w:type="dxa"/>
          </w:tcPr>
          <w:p w14:paraId="1EED76FD" w14:textId="77777777" w:rsidR="00AF494A" w:rsidRPr="00496684" w:rsidRDefault="00AF494A" w:rsidP="00AF494A">
            <w:pPr>
              <w:pStyle w:val="Text"/>
              <w:spacing w:before="0"/>
              <w:jc w:val="left"/>
              <w:rPr>
                <w:sz w:val="22"/>
                <w:szCs w:val="22"/>
                <w:lang w:val="it-IT"/>
              </w:rPr>
            </w:pPr>
            <w:r w:rsidRPr="00496684">
              <w:rPr>
                <w:sz w:val="22"/>
                <w:szCs w:val="22"/>
                <w:lang w:val="it-IT"/>
              </w:rPr>
              <w:t>Disfunzione epatica</w:t>
            </w:r>
          </w:p>
        </w:tc>
        <w:tc>
          <w:tcPr>
            <w:tcW w:w="5918" w:type="dxa"/>
          </w:tcPr>
          <w:p w14:paraId="16FA8DE5" w14:textId="77777777" w:rsidR="00AF494A" w:rsidRPr="00496684" w:rsidRDefault="00AF494A" w:rsidP="00AF494A">
            <w:pPr>
              <w:pStyle w:val="Text"/>
              <w:spacing w:before="0"/>
              <w:jc w:val="left"/>
              <w:rPr>
                <w:sz w:val="22"/>
                <w:szCs w:val="22"/>
                <w:lang w:val="it-IT"/>
              </w:rPr>
            </w:pPr>
            <w:r w:rsidRPr="00496684">
              <w:rPr>
                <w:sz w:val="22"/>
                <w:szCs w:val="22"/>
                <w:lang w:val="it-IT"/>
              </w:rPr>
              <w:t>Analisi della funzione epatica</w:t>
            </w:r>
          </w:p>
        </w:tc>
      </w:tr>
      <w:tr w:rsidR="00AF494A" w:rsidRPr="00496684" w14:paraId="70D171B2" w14:textId="77777777" w:rsidTr="00AF494A">
        <w:tc>
          <w:tcPr>
            <w:tcW w:w="3369" w:type="dxa"/>
          </w:tcPr>
          <w:p w14:paraId="3164AF99" w14:textId="77777777" w:rsidR="00AF494A" w:rsidRPr="00496684" w:rsidRDefault="00AF494A" w:rsidP="00AF494A">
            <w:pPr>
              <w:pStyle w:val="Text"/>
              <w:spacing w:before="0"/>
              <w:jc w:val="left"/>
              <w:rPr>
                <w:sz w:val="22"/>
                <w:szCs w:val="22"/>
                <w:lang w:val="it-IT"/>
              </w:rPr>
            </w:pPr>
            <w:r w:rsidRPr="00496684">
              <w:rPr>
                <w:sz w:val="22"/>
                <w:szCs w:val="22"/>
                <w:lang w:val="it-IT"/>
              </w:rPr>
              <w:t>Lieve</w:t>
            </w:r>
          </w:p>
        </w:tc>
        <w:tc>
          <w:tcPr>
            <w:tcW w:w="5918" w:type="dxa"/>
          </w:tcPr>
          <w:p w14:paraId="7EB15E9D" w14:textId="77777777" w:rsidR="00AF494A" w:rsidRPr="00496684" w:rsidRDefault="00AF494A" w:rsidP="00AF494A">
            <w:pPr>
              <w:spacing w:after="0"/>
              <w:rPr>
                <w:rFonts w:ascii="Times New Roman" w:hAnsi="Times New Roman"/>
                <w:snapToGrid w:val="0"/>
                <w:lang w:val="it-IT"/>
              </w:rPr>
            </w:pPr>
            <w:r w:rsidRPr="00496684">
              <w:rPr>
                <w:rFonts w:ascii="Times New Roman" w:hAnsi="Times New Roman"/>
                <w:snapToGrid w:val="0"/>
                <w:lang w:val="it-IT"/>
              </w:rPr>
              <w:t>Bilirubina totale: = 1,5 ULN</w:t>
            </w:r>
          </w:p>
          <w:p w14:paraId="7587ABA9" w14:textId="77777777" w:rsidR="00AF494A" w:rsidRPr="00496684" w:rsidRDefault="00AF494A" w:rsidP="00AF494A">
            <w:pPr>
              <w:pStyle w:val="Text"/>
              <w:spacing w:before="0"/>
              <w:jc w:val="left"/>
              <w:rPr>
                <w:sz w:val="22"/>
                <w:szCs w:val="22"/>
                <w:lang w:val="it-IT"/>
              </w:rPr>
            </w:pPr>
            <w:r w:rsidRPr="00496684">
              <w:rPr>
                <w:snapToGrid w:val="0"/>
                <w:sz w:val="22"/>
                <w:szCs w:val="22"/>
                <w:lang w:val="it-IT"/>
              </w:rPr>
              <w:t>AST: &gt;ULN (può essere normale o &lt;ULN se la bilirubina totale è &gt;ULN)</w:t>
            </w:r>
          </w:p>
        </w:tc>
      </w:tr>
      <w:tr w:rsidR="00AF494A" w:rsidRPr="00496684" w14:paraId="1A170E47" w14:textId="77777777" w:rsidTr="00AF494A">
        <w:tc>
          <w:tcPr>
            <w:tcW w:w="3369" w:type="dxa"/>
          </w:tcPr>
          <w:p w14:paraId="2E03AAE2" w14:textId="77777777" w:rsidR="00AF494A" w:rsidRPr="00496684" w:rsidRDefault="00AF494A" w:rsidP="00AF494A">
            <w:pPr>
              <w:pStyle w:val="Text"/>
              <w:spacing w:before="0"/>
              <w:jc w:val="left"/>
              <w:rPr>
                <w:sz w:val="22"/>
                <w:szCs w:val="22"/>
                <w:lang w:val="it-IT"/>
              </w:rPr>
            </w:pPr>
            <w:r w:rsidRPr="00496684">
              <w:rPr>
                <w:sz w:val="22"/>
                <w:szCs w:val="22"/>
                <w:lang w:val="it-IT"/>
              </w:rPr>
              <w:t>Moderata</w:t>
            </w:r>
          </w:p>
        </w:tc>
        <w:tc>
          <w:tcPr>
            <w:tcW w:w="5918" w:type="dxa"/>
          </w:tcPr>
          <w:p w14:paraId="5DBF6542" w14:textId="77777777" w:rsidR="00AF494A" w:rsidRPr="00496684" w:rsidRDefault="00AF494A" w:rsidP="00AF494A">
            <w:pPr>
              <w:spacing w:after="0"/>
              <w:rPr>
                <w:rFonts w:ascii="Times New Roman" w:hAnsi="Times New Roman"/>
                <w:snapToGrid w:val="0"/>
                <w:lang w:val="it-IT"/>
              </w:rPr>
            </w:pPr>
            <w:r w:rsidRPr="00496684">
              <w:rPr>
                <w:rFonts w:ascii="Times New Roman" w:hAnsi="Times New Roman"/>
                <w:snapToGrid w:val="0"/>
                <w:lang w:val="it-IT"/>
              </w:rPr>
              <w:t>Bilirubina totale: &gt;1,5</w:t>
            </w:r>
            <w:r w:rsidRPr="00496684">
              <w:rPr>
                <w:rFonts w:ascii="Times New Roman" w:hAnsi="Times New Roman"/>
                <w:lang w:val="it-IT"/>
              </w:rPr>
              <w:t>–</w:t>
            </w:r>
            <w:r w:rsidRPr="00496684">
              <w:rPr>
                <w:rFonts w:ascii="Times New Roman" w:hAnsi="Times New Roman"/>
                <w:snapToGrid w:val="0"/>
                <w:lang w:val="it-IT"/>
              </w:rPr>
              <w:t>3,0 ULN</w:t>
            </w:r>
          </w:p>
          <w:p w14:paraId="129C87EB" w14:textId="77777777" w:rsidR="00AF494A" w:rsidRPr="00496684" w:rsidRDefault="00AF494A" w:rsidP="00AF494A">
            <w:pPr>
              <w:pStyle w:val="Text"/>
              <w:spacing w:before="0"/>
              <w:jc w:val="left"/>
              <w:rPr>
                <w:sz w:val="22"/>
                <w:szCs w:val="22"/>
                <w:lang w:val="it-IT"/>
              </w:rPr>
            </w:pPr>
            <w:r w:rsidRPr="00496684">
              <w:rPr>
                <w:snapToGrid w:val="0"/>
                <w:sz w:val="22"/>
                <w:szCs w:val="22"/>
                <w:lang w:val="it-IT"/>
              </w:rPr>
              <w:t>AST: qualunque</w:t>
            </w:r>
          </w:p>
        </w:tc>
      </w:tr>
      <w:tr w:rsidR="00AF494A" w:rsidRPr="00496684" w14:paraId="1A6FA19E" w14:textId="77777777" w:rsidTr="00AF494A">
        <w:tc>
          <w:tcPr>
            <w:tcW w:w="3369" w:type="dxa"/>
          </w:tcPr>
          <w:p w14:paraId="018B6D59" w14:textId="77777777" w:rsidR="00AF494A" w:rsidRPr="00496684" w:rsidRDefault="00AF494A" w:rsidP="00AF494A">
            <w:pPr>
              <w:pStyle w:val="Text"/>
              <w:spacing w:before="0"/>
              <w:jc w:val="left"/>
              <w:rPr>
                <w:sz w:val="22"/>
                <w:szCs w:val="22"/>
                <w:lang w:val="it-IT"/>
              </w:rPr>
            </w:pPr>
            <w:r w:rsidRPr="00496684">
              <w:rPr>
                <w:sz w:val="22"/>
                <w:szCs w:val="22"/>
                <w:lang w:val="it-IT"/>
              </w:rPr>
              <w:t>Grave</w:t>
            </w:r>
          </w:p>
        </w:tc>
        <w:tc>
          <w:tcPr>
            <w:tcW w:w="5918" w:type="dxa"/>
          </w:tcPr>
          <w:p w14:paraId="5CEEA19C" w14:textId="77777777" w:rsidR="00AF494A" w:rsidRPr="00496684" w:rsidRDefault="00AF494A" w:rsidP="00AF494A">
            <w:pPr>
              <w:spacing w:after="0"/>
              <w:rPr>
                <w:rFonts w:ascii="Times New Roman" w:hAnsi="Times New Roman"/>
                <w:snapToGrid w:val="0"/>
                <w:lang w:val="it-IT"/>
              </w:rPr>
            </w:pPr>
            <w:r w:rsidRPr="00496684">
              <w:rPr>
                <w:rFonts w:ascii="Times New Roman" w:hAnsi="Times New Roman"/>
                <w:snapToGrid w:val="0"/>
                <w:lang w:val="it-IT"/>
              </w:rPr>
              <w:t>Bilirubina totale: &gt;3</w:t>
            </w:r>
            <w:r w:rsidRPr="00496684">
              <w:rPr>
                <w:rFonts w:ascii="Times New Roman" w:hAnsi="Times New Roman"/>
                <w:lang w:val="it-IT"/>
              </w:rPr>
              <w:t>–</w:t>
            </w:r>
            <w:r w:rsidRPr="00496684">
              <w:rPr>
                <w:rFonts w:ascii="Times New Roman" w:hAnsi="Times New Roman"/>
                <w:snapToGrid w:val="0"/>
                <w:lang w:val="it-IT"/>
              </w:rPr>
              <w:t>10 ULN</w:t>
            </w:r>
          </w:p>
          <w:p w14:paraId="49BAB2F1" w14:textId="77777777" w:rsidR="00AF494A" w:rsidRPr="00496684" w:rsidRDefault="00AF494A" w:rsidP="00AF494A">
            <w:pPr>
              <w:pStyle w:val="Text"/>
              <w:spacing w:before="0"/>
              <w:jc w:val="left"/>
              <w:rPr>
                <w:sz w:val="22"/>
                <w:szCs w:val="22"/>
                <w:lang w:val="it-IT"/>
              </w:rPr>
            </w:pPr>
            <w:r w:rsidRPr="00496684">
              <w:rPr>
                <w:snapToGrid w:val="0"/>
                <w:sz w:val="22"/>
                <w:szCs w:val="22"/>
                <w:lang w:val="it-IT"/>
              </w:rPr>
              <w:t>AST: qualunque</w:t>
            </w:r>
          </w:p>
        </w:tc>
      </w:tr>
    </w:tbl>
    <w:p w14:paraId="4797EA9D" w14:textId="77777777" w:rsidR="00AF494A" w:rsidRPr="00496684" w:rsidRDefault="00AF494A" w:rsidP="00AF494A">
      <w:pPr>
        <w:pStyle w:val="Text"/>
        <w:spacing w:before="0"/>
        <w:jc w:val="left"/>
        <w:rPr>
          <w:sz w:val="22"/>
          <w:szCs w:val="22"/>
          <w:lang w:val="it-IT"/>
        </w:rPr>
      </w:pPr>
      <w:r w:rsidRPr="00496684">
        <w:rPr>
          <w:sz w:val="22"/>
          <w:szCs w:val="22"/>
          <w:lang w:val="it-IT"/>
        </w:rPr>
        <w:t>ULN = limite superiore del valore normale per l’istituzione</w:t>
      </w:r>
    </w:p>
    <w:p w14:paraId="2A105610" w14:textId="77777777" w:rsidR="00AF494A" w:rsidRPr="00496684" w:rsidRDefault="00AF494A" w:rsidP="00AF494A">
      <w:pPr>
        <w:autoSpaceDE w:val="0"/>
        <w:autoSpaceDN w:val="0"/>
        <w:adjustRightInd w:val="0"/>
        <w:ind w:left="993" w:hanging="993"/>
        <w:rPr>
          <w:rFonts w:ascii="Times New Roman" w:eastAsia="MS Mincho" w:hAnsi="Times New Roman"/>
          <w:bCs/>
          <w:lang w:val="it-IT" w:eastAsia="ja-JP"/>
        </w:rPr>
      </w:pPr>
      <w:r w:rsidRPr="00496684">
        <w:rPr>
          <w:rFonts w:ascii="Times New Roman" w:eastAsia="MS Mincho" w:hAnsi="Times New Roman"/>
          <w:bCs/>
          <w:lang w:val="it-IT" w:eastAsia="ja-JP"/>
        </w:rPr>
        <w:t xml:space="preserve">AST = </w:t>
      </w:r>
      <w:r w:rsidRPr="00496684">
        <w:rPr>
          <w:rFonts w:ascii="Times New Roman" w:hAnsi="Times New Roman"/>
          <w:lang w:val="it-IT"/>
        </w:rPr>
        <w:t>aspartato aminotransferasi</w:t>
      </w:r>
    </w:p>
    <w:p w14:paraId="4FC27329" w14:textId="77777777" w:rsidR="00AF494A" w:rsidRPr="00496684" w:rsidRDefault="00AF494A" w:rsidP="00AF494A">
      <w:pPr>
        <w:pStyle w:val="Endnotentext"/>
        <w:widowControl w:val="0"/>
        <w:tabs>
          <w:tab w:val="clear" w:pos="567"/>
        </w:tabs>
        <w:rPr>
          <w:szCs w:val="22"/>
          <w:lang w:val="it-IT"/>
        </w:rPr>
      </w:pPr>
      <w:r w:rsidRPr="00496684">
        <w:rPr>
          <w:i/>
          <w:szCs w:val="22"/>
          <w:lang w:val="it-IT"/>
        </w:rPr>
        <w:t>Insufficienza renale</w:t>
      </w:r>
      <w:r w:rsidRPr="00496684">
        <w:rPr>
          <w:szCs w:val="22"/>
          <w:lang w:val="it-IT"/>
        </w:rPr>
        <w:t>: Ai pazienti con disfunzione renale o sottoposti a dialisi</w:t>
      </w:r>
      <w:r w:rsidRPr="00496684">
        <w:rPr>
          <w:snapToGrid w:val="0"/>
          <w:szCs w:val="22"/>
          <w:lang w:val="it-IT"/>
        </w:rPr>
        <w:t xml:space="preserve"> </w:t>
      </w:r>
      <w:r w:rsidRPr="00496684">
        <w:rPr>
          <w:szCs w:val="22"/>
          <w:lang w:val="it-IT"/>
        </w:rPr>
        <w:t>deve essere somministrata come dose iniziale la dose minima raccomandata di 400 mg al giorno. Comunque, si raccomanda cautela in questi pazienti. La dose può essere ridotta se non tollerata. Se tollerata, la dose può essere aumentata per mancanza di efficacia (vedere paragrafi 4.4 e 5.2).</w:t>
      </w:r>
    </w:p>
    <w:p w14:paraId="71C8D371" w14:textId="77777777" w:rsidR="00AF494A" w:rsidRPr="00496684" w:rsidRDefault="00AF494A" w:rsidP="00AF494A">
      <w:pPr>
        <w:pStyle w:val="Endnotentext"/>
        <w:widowControl w:val="0"/>
        <w:tabs>
          <w:tab w:val="clear" w:pos="567"/>
        </w:tabs>
        <w:rPr>
          <w:szCs w:val="22"/>
          <w:lang w:val="it-IT"/>
        </w:rPr>
      </w:pPr>
    </w:p>
    <w:p w14:paraId="4064974D" w14:textId="77777777" w:rsidR="00AF494A" w:rsidRPr="00496684" w:rsidRDefault="00AF494A" w:rsidP="00AF494A">
      <w:pPr>
        <w:pStyle w:val="Endnotentext"/>
        <w:widowControl w:val="0"/>
        <w:tabs>
          <w:tab w:val="clear" w:pos="567"/>
        </w:tabs>
        <w:rPr>
          <w:szCs w:val="22"/>
          <w:lang w:val="it-IT"/>
        </w:rPr>
      </w:pPr>
      <w:r w:rsidRPr="00496684">
        <w:rPr>
          <w:i/>
          <w:szCs w:val="22"/>
          <w:u w:val="single"/>
          <w:lang w:val="it-IT"/>
        </w:rPr>
        <w:t>Pazienti anziani</w:t>
      </w:r>
      <w:r w:rsidRPr="00496684">
        <w:rPr>
          <w:szCs w:val="22"/>
          <w:lang w:val="it-IT"/>
        </w:rPr>
        <w:t xml:space="preserve">: La farmacocinetica di imatinib </w:t>
      </w:r>
      <w:r w:rsidR="00EC74C4" w:rsidRPr="00496684">
        <w:rPr>
          <w:szCs w:val="22"/>
          <w:lang w:val="it-IT"/>
        </w:rPr>
        <w:t xml:space="preserve"> </w:t>
      </w:r>
      <w:r w:rsidR="00E054B5" w:rsidRPr="00496684">
        <w:rPr>
          <w:szCs w:val="22"/>
          <w:lang w:val="it-IT"/>
        </w:rPr>
        <w:t>n</w:t>
      </w:r>
      <w:r w:rsidR="00EC74C4" w:rsidRPr="00496684">
        <w:rPr>
          <w:szCs w:val="22"/>
          <w:lang w:val="it-IT"/>
        </w:rPr>
        <w:t>e</w:t>
      </w:r>
      <w:r w:rsidR="00CD4F24" w:rsidRPr="00496684">
        <w:rPr>
          <w:szCs w:val="22"/>
          <w:lang w:val="it-IT"/>
        </w:rPr>
        <w:t>lle persone</w:t>
      </w:r>
      <w:r w:rsidR="00EC74C4" w:rsidRPr="00496684">
        <w:rPr>
          <w:szCs w:val="22"/>
          <w:lang w:val="it-IT"/>
        </w:rPr>
        <w:t xml:space="preserve"> anzian</w:t>
      </w:r>
      <w:r w:rsidR="00CD4F24" w:rsidRPr="00496684">
        <w:rPr>
          <w:szCs w:val="22"/>
          <w:lang w:val="it-IT"/>
        </w:rPr>
        <w:t>e</w:t>
      </w:r>
      <w:r w:rsidRPr="00496684">
        <w:rPr>
          <w:szCs w:val="22"/>
          <w:lang w:val="it-IT"/>
        </w:rPr>
        <w:t xml:space="preserve"> non è stata specificamente studiata. Nei pazienti adulti non si sono osservate significative differenze farmacocinetiche correlate all'età negli studi clinici che comprendevano più del 20% dei pazienti di 65 anni o di età superiore. Non è necessaria una specifica raccomandazione della dose </w:t>
      </w:r>
      <w:r w:rsidR="00EC74C4" w:rsidRPr="00496684">
        <w:rPr>
          <w:szCs w:val="22"/>
          <w:lang w:val="it-IT"/>
        </w:rPr>
        <w:t xml:space="preserve"> nelle persone anziane</w:t>
      </w:r>
      <w:r w:rsidRPr="00496684">
        <w:rPr>
          <w:szCs w:val="22"/>
          <w:lang w:val="it-IT"/>
        </w:rPr>
        <w:t>.</w:t>
      </w:r>
    </w:p>
    <w:p w14:paraId="6E0D4B8C" w14:textId="77777777" w:rsidR="00AF494A" w:rsidRPr="00496684" w:rsidRDefault="00AF494A" w:rsidP="00AF494A">
      <w:pPr>
        <w:autoSpaceDE w:val="0"/>
        <w:autoSpaceDN w:val="0"/>
        <w:adjustRightInd w:val="0"/>
        <w:spacing w:after="0" w:line="240" w:lineRule="auto"/>
        <w:rPr>
          <w:rFonts w:ascii="Times New Roman" w:hAnsi="Times New Roman"/>
          <w:lang w:val="it-IT"/>
        </w:rPr>
      </w:pPr>
    </w:p>
    <w:p w14:paraId="0F182D41" w14:textId="77777777" w:rsidR="00AF494A" w:rsidRPr="00496684" w:rsidRDefault="00AF494A" w:rsidP="00AF494A">
      <w:pPr>
        <w:autoSpaceDE w:val="0"/>
        <w:autoSpaceDN w:val="0"/>
        <w:adjustRightInd w:val="0"/>
        <w:spacing w:after="0" w:line="240" w:lineRule="auto"/>
        <w:rPr>
          <w:rFonts w:ascii="Times New Roman" w:hAnsi="Times New Roman"/>
          <w:u w:val="single"/>
          <w:lang w:val="it-IT" w:eastAsia="is-IS"/>
        </w:rPr>
      </w:pPr>
      <w:r w:rsidRPr="00496684">
        <w:rPr>
          <w:rFonts w:ascii="Times New Roman" w:hAnsi="Times New Roman"/>
          <w:u w:val="single"/>
          <w:lang w:val="it-IT" w:eastAsia="is-IS"/>
        </w:rPr>
        <w:t>Modo di somministrazione</w:t>
      </w:r>
    </w:p>
    <w:p w14:paraId="2D8CBF9A" w14:textId="77777777" w:rsidR="009F3419" w:rsidRPr="00496684" w:rsidRDefault="009F3419" w:rsidP="009F3419">
      <w:pPr>
        <w:pStyle w:val="Endnotentext"/>
        <w:widowControl w:val="0"/>
        <w:tabs>
          <w:tab w:val="clear" w:pos="567"/>
        </w:tabs>
        <w:rPr>
          <w:szCs w:val="22"/>
          <w:lang w:val="it-IT"/>
        </w:rPr>
      </w:pPr>
      <w:r w:rsidRPr="00496684">
        <w:rPr>
          <w:szCs w:val="22"/>
          <w:lang w:val="it-IT"/>
        </w:rPr>
        <w:t xml:space="preserve">Per dosaggi da 400 mg o superiori è disponibile una compressa da 400 mg (non divisibile) (vedere le raccomandazioni sul dosaggio </w:t>
      </w:r>
      <w:r w:rsidR="00EC74C4" w:rsidRPr="00496684">
        <w:rPr>
          <w:szCs w:val="22"/>
          <w:lang w:val="it-IT"/>
        </w:rPr>
        <w:t>sopra</w:t>
      </w:r>
      <w:r w:rsidRPr="00496684">
        <w:rPr>
          <w:szCs w:val="22"/>
          <w:lang w:val="it-IT"/>
        </w:rPr>
        <w:t xml:space="preserve"> riportate).</w:t>
      </w:r>
    </w:p>
    <w:p w14:paraId="0B9F3823" w14:textId="77777777" w:rsidR="00C635DA" w:rsidRPr="00496684" w:rsidRDefault="00C635DA" w:rsidP="009F3419">
      <w:pPr>
        <w:pStyle w:val="Endnotentext"/>
        <w:widowControl w:val="0"/>
        <w:tabs>
          <w:tab w:val="clear" w:pos="567"/>
        </w:tabs>
        <w:rPr>
          <w:szCs w:val="22"/>
          <w:lang w:val="it-IT"/>
        </w:rPr>
      </w:pPr>
      <w:r w:rsidRPr="00496684">
        <w:rPr>
          <w:szCs w:val="22"/>
          <w:lang w:val="it-IT"/>
        </w:rPr>
        <w:t>Per dosi diverse da 400 mg e 800 mg (vedere la raccomandazione di dose sopra) è disponibile una compressa da 100 mg divisibile.</w:t>
      </w:r>
    </w:p>
    <w:p w14:paraId="76394B3D" w14:textId="77777777" w:rsidR="00CA176A" w:rsidRPr="00496684" w:rsidRDefault="00CA176A" w:rsidP="00CA176A">
      <w:pPr>
        <w:autoSpaceDE w:val="0"/>
        <w:autoSpaceDN w:val="0"/>
        <w:adjustRightInd w:val="0"/>
        <w:spacing w:after="0" w:line="240" w:lineRule="auto"/>
        <w:rPr>
          <w:rFonts w:ascii="Times New Roman" w:hAnsi="Times New Roman"/>
          <w:lang w:val="it-IT" w:eastAsia="is-IS"/>
        </w:rPr>
      </w:pPr>
    </w:p>
    <w:p w14:paraId="0F0849AA" w14:textId="68B830F6" w:rsidR="009F3419" w:rsidRPr="00496684" w:rsidRDefault="009F3419" w:rsidP="009F3419">
      <w:pPr>
        <w:pStyle w:val="Endnotentext"/>
        <w:widowControl w:val="0"/>
        <w:tabs>
          <w:tab w:val="clear" w:pos="567"/>
        </w:tabs>
        <w:rPr>
          <w:szCs w:val="22"/>
          <w:lang w:val="it-IT"/>
        </w:rPr>
      </w:pPr>
      <w:r w:rsidRPr="00496684">
        <w:rPr>
          <w:szCs w:val="22"/>
          <w:lang w:val="it-IT"/>
        </w:rPr>
        <w:t>La dose prescritta deve essere somministrata per via orale, durante un pasto e con un abbondante bicchiere d’acqua</w:t>
      </w:r>
      <w:r w:rsidR="000844DB" w:rsidRPr="00496684">
        <w:rPr>
          <w:szCs w:val="22"/>
          <w:lang w:val="it-IT"/>
        </w:rPr>
        <w:t xml:space="preserve"> liscia</w:t>
      </w:r>
      <w:r w:rsidRPr="00496684">
        <w:rPr>
          <w:szCs w:val="22"/>
          <w:lang w:val="it-IT"/>
        </w:rPr>
        <w:t xml:space="preserve"> per ridurre il rischio di irritazioni gastrointestinali. Dosi di 400 mg e di 600 mg devono essere somministrate in un’unica somministrazione giornaliera, mentre una dose giornaliera di 800 mg deve essere somministrata come 400 mg due volte al giorno, al mattino e alla sera.</w:t>
      </w:r>
    </w:p>
    <w:p w14:paraId="4BFEC4D1" w14:textId="77777777" w:rsidR="009F3419" w:rsidRPr="00496684" w:rsidRDefault="009F3419" w:rsidP="009F3419">
      <w:pPr>
        <w:pStyle w:val="Endnotentext"/>
        <w:widowControl w:val="0"/>
        <w:tabs>
          <w:tab w:val="clear" w:pos="567"/>
        </w:tabs>
        <w:rPr>
          <w:szCs w:val="22"/>
          <w:lang w:val="it-IT"/>
        </w:rPr>
      </w:pPr>
    </w:p>
    <w:p w14:paraId="07D15966" w14:textId="77777777" w:rsidR="009F3419" w:rsidRPr="00496684" w:rsidRDefault="009F3419" w:rsidP="009F3419">
      <w:pPr>
        <w:pStyle w:val="Endnotentext"/>
        <w:widowControl w:val="0"/>
        <w:tabs>
          <w:tab w:val="clear" w:pos="567"/>
        </w:tabs>
        <w:rPr>
          <w:szCs w:val="22"/>
          <w:lang w:val="it-IT"/>
        </w:rPr>
      </w:pPr>
      <w:r w:rsidRPr="00496684">
        <w:rPr>
          <w:szCs w:val="22"/>
          <w:lang w:val="it-IT"/>
        </w:rPr>
        <w:t>Per i pazienti che non riescono ad deglutire le compresse rivestite con film</w:t>
      </w:r>
      <w:r w:rsidR="00E6675E" w:rsidRPr="00496684">
        <w:rPr>
          <w:szCs w:val="22"/>
          <w:lang w:val="it-IT"/>
        </w:rPr>
        <w:t xml:space="preserve"> (ad es. bambini)</w:t>
      </w:r>
      <w:r w:rsidRPr="00496684">
        <w:rPr>
          <w:szCs w:val="22"/>
          <w:lang w:val="it-IT"/>
        </w:rPr>
        <w:t>, le compresse possono essere sciolte in un bicchiere di acqua non gassata o succo di mela. Il numero di compresse necessario deve essere posto in volume appropriato di bevanda (circa 50 ml per una compressa da 100 mg e 200 ml per una compressa da 400 mg) e mescolato con un cucchiaio. La sospensione deve essere somministrata subito dopo la completa dissoluzione della(e) compressa(e).</w:t>
      </w:r>
    </w:p>
    <w:p w14:paraId="055F5EDF" w14:textId="77777777" w:rsidR="00CA176A" w:rsidRPr="00496684" w:rsidRDefault="00CA176A" w:rsidP="00CA176A">
      <w:pPr>
        <w:autoSpaceDE w:val="0"/>
        <w:autoSpaceDN w:val="0"/>
        <w:adjustRightInd w:val="0"/>
        <w:spacing w:after="0" w:line="240" w:lineRule="auto"/>
        <w:rPr>
          <w:rFonts w:ascii="Times New Roman" w:hAnsi="Times New Roman"/>
          <w:highlight w:val="lightGray"/>
          <w:lang w:val="it-IT"/>
        </w:rPr>
      </w:pPr>
    </w:p>
    <w:p w14:paraId="36C7490F" w14:textId="77777777" w:rsidR="009F3419" w:rsidRPr="00496684" w:rsidRDefault="00CA176A" w:rsidP="009F3419">
      <w:pPr>
        <w:autoSpaceDE w:val="0"/>
        <w:autoSpaceDN w:val="0"/>
        <w:adjustRightInd w:val="0"/>
        <w:spacing w:after="0" w:line="240" w:lineRule="auto"/>
        <w:rPr>
          <w:rFonts w:ascii="Times New Roman" w:hAnsi="Times New Roman"/>
          <w:b/>
          <w:bCs/>
          <w:lang w:val="it-IT" w:eastAsia="is-IS"/>
        </w:rPr>
      </w:pPr>
      <w:r w:rsidRPr="00496684">
        <w:rPr>
          <w:rFonts w:ascii="Times New Roman" w:hAnsi="Times New Roman"/>
          <w:b/>
          <w:bCs/>
          <w:lang w:val="it-IT" w:eastAsia="is-IS"/>
        </w:rPr>
        <w:t>4.3</w:t>
      </w:r>
      <w:r w:rsidRPr="00496684">
        <w:rPr>
          <w:rFonts w:ascii="Times New Roman" w:hAnsi="Times New Roman"/>
          <w:b/>
          <w:bCs/>
          <w:lang w:val="it-IT" w:eastAsia="is-IS"/>
        </w:rPr>
        <w:tab/>
      </w:r>
      <w:r w:rsidR="009F3419" w:rsidRPr="00496684">
        <w:rPr>
          <w:rFonts w:ascii="Times New Roman" w:hAnsi="Times New Roman"/>
          <w:b/>
          <w:lang w:val="it-IT"/>
        </w:rPr>
        <w:t>Controindicazioni</w:t>
      </w:r>
    </w:p>
    <w:p w14:paraId="164A9932" w14:textId="77777777" w:rsidR="009F3419" w:rsidRPr="00496684" w:rsidRDefault="009F3419" w:rsidP="009F3419">
      <w:pPr>
        <w:autoSpaceDE w:val="0"/>
        <w:autoSpaceDN w:val="0"/>
        <w:adjustRightInd w:val="0"/>
        <w:spacing w:after="0" w:line="240" w:lineRule="auto"/>
        <w:rPr>
          <w:rFonts w:ascii="Times New Roman" w:hAnsi="Times New Roman"/>
          <w:bCs/>
          <w:lang w:val="it-IT" w:eastAsia="is-IS"/>
        </w:rPr>
      </w:pPr>
    </w:p>
    <w:p w14:paraId="46E3D759" w14:textId="77777777" w:rsidR="009F3419" w:rsidRPr="00496684" w:rsidRDefault="009F3419" w:rsidP="009F3419">
      <w:pPr>
        <w:pStyle w:val="Endnotentext"/>
        <w:widowControl w:val="0"/>
        <w:tabs>
          <w:tab w:val="clear" w:pos="567"/>
        </w:tabs>
        <w:rPr>
          <w:szCs w:val="22"/>
          <w:lang w:val="it-IT"/>
        </w:rPr>
      </w:pPr>
      <w:r w:rsidRPr="00496684">
        <w:rPr>
          <w:szCs w:val="22"/>
          <w:lang w:val="it-IT"/>
        </w:rPr>
        <w:t xml:space="preserve">Ipersensibilità al principio attivo o ad uno qualsiasi degli eccipienti </w:t>
      </w:r>
      <w:r w:rsidRPr="00496684">
        <w:rPr>
          <w:noProof/>
          <w:szCs w:val="24"/>
          <w:lang w:val="it-IT"/>
        </w:rPr>
        <w:t>elencati al paragrafo 6.1</w:t>
      </w:r>
      <w:r w:rsidRPr="00496684">
        <w:rPr>
          <w:szCs w:val="22"/>
          <w:lang w:val="it-IT"/>
        </w:rPr>
        <w:t>.</w:t>
      </w:r>
    </w:p>
    <w:p w14:paraId="2DC95669" w14:textId="77777777" w:rsidR="00CA176A" w:rsidRPr="00496684" w:rsidRDefault="00CA176A" w:rsidP="009F3419">
      <w:pPr>
        <w:autoSpaceDE w:val="0"/>
        <w:autoSpaceDN w:val="0"/>
        <w:adjustRightInd w:val="0"/>
        <w:spacing w:after="0" w:line="240" w:lineRule="auto"/>
        <w:rPr>
          <w:rFonts w:ascii="Times New Roman" w:hAnsi="Times New Roman"/>
          <w:lang w:val="it-IT" w:eastAsia="is-IS"/>
        </w:rPr>
      </w:pPr>
    </w:p>
    <w:p w14:paraId="2004D542" w14:textId="77777777" w:rsidR="00CA176A" w:rsidRPr="00496684" w:rsidRDefault="009F3419"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Ipersensibilità alla soia o all'arachide</w:t>
      </w:r>
      <w:r w:rsidR="00E83BDA" w:rsidRPr="00496684">
        <w:rPr>
          <w:rFonts w:ascii="Times New Roman" w:hAnsi="Times New Roman"/>
          <w:lang w:val="it-IT"/>
        </w:rPr>
        <w:t>.</w:t>
      </w:r>
    </w:p>
    <w:p w14:paraId="74761A04"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71D111DF" w14:textId="77777777" w:rsidR="00CA176A" w:rsidRPr="00496684" w:rsidRDefault="00CA176A" w:rsidP="00CA176A">
      <w:pPr>
        <w:autoSpaceDE w:val="0"/>
        <w:autoSpaceDN w:val="0"/>
        <w:adjustRightInd w:val="0"/>
        <w:spacing w:after="0" w:line="240" w:lineRule="auto"/>
        <w:rPr>
          <w:rFonts w:ascii="Times New Roman" w:hAnsi="Times New Roman"/>
          <w:b/>
          <w:bCs/>
          <w:lang w:val="it-IT" w:eastAsia="is-IS"/>
        </w:rPr>
      </w:pPr>
      <w:r w:rsidRPr="00496684">
        <w:rPr>
          <w:rFonts w:ascii="Times New Roman" w:hAnsi="Times New Roman"/>
          <w:b/>
          <w:bCs/>
          <w:lang w:val="it-IT" w:eastAsia="is-IS"/>
        </w:rPr>
        <w:t>4.4</w:t>
      </w:r>
      <w:r w:rsidRPr="00496684">
        <w:rPr>
          <w:rFonts w:ascii="Times New Roman" w:hAnsi="Times New Roman"/>
          <w:b/>
          <w:bCs/>
          <w:lang w:val="it-IT" w:eastAsia="is-IS"/>
        </w:rPr>
        <w:tab/>
      </w:r>
      <w:r w:rsidR="009F3419" w:rsidRPr="00496684">
        <w:rPr>
          <w:rFonts w:ascii="Times New Roman" w:hAnsi="Times New Roman"/>
          <w:b/>
          <w:lang w:val="it-IT"/>
        </w:rPr>
        <w:t>Avvertenze speciali e precauzioni di impiego</w:t>
      </w:r>
    </w:p>
    <w:p w14:paraId="7CA7931E" w14:textId="77777777" w:rsidR="00CA176A" w:rsidRPr="00496684" w:rsidRDefault="00CA176A" w:rsidP="00CA176A">
      <w:pPr>
        <w:autoSpaceDE w:val="0"/>
        <w:autoSpaceDN w:val="0"/>
        <w:adjustRightInd w:val="0"/>
        <w:spacing w:after="0" w:line="240" w:lineRule="auto"/>
        <w:rPr>
          <w:rFonts w:ascii="Times New Roman" w:hAnsi="Times New Roman"/>
          <w:bCs/>
          <w:lang w:val="it-IT" w:eastAsia="is-IS"/>
        </w:rPr>
      </w:pPr>
    </w:p>
    <w:p w14:paraId="43C3D086" w14:textId="7D3B3537" w:rsidR="009F3419" w:rsidRPr="00496684" w:rsidRDefault="009F3419" w:rsidP="009F3419">
      <w:pPr>
        <w:pStyle w:val="Endnotentext"/>
        <w:widowControl w:val="0"/>
        <w:tabs>
          <w:tab w:val="clear" w:pos="567"/>
        </w:tabs>
        <w:rPr>
          <w:szCs w:val="22"/>
          <w:lang w:val="it-IT"/>
        </w:rPr>
      </w:pPr>
      <w:r w:rsidRPr="00496684">
        <w:rPr>
          <w:szCs w:val="22"/>
          <w:lang w:val="it-IT"/>
        </w:rPr>
        <w:t xml:space="preserve">Quando </w:t>
      </w:r>
      <w:r w:rsidR="00437C70" w:rsidRPr="00496684">
        <w:rPr>
          <w:szCs w:val="22"/>
          <w:lang w:val="it-IT"/>
        </w:rPr>
        <w:t>i</w:t>
      </w:r>
      <w:r w:rsidR="00521ABE" w:rsidRPr="00496684">
        <w:rPr>
          <w:szCs w:val="22"/>
          <w:lang w:val="it-IT"/>
        </w:rPr>
        <w:t xml:space="preserve">matinib </w:t>
      </w:r>
      <w:r w:rsidRPr="00496684">
        <w:rPr>
          <w:szCs w:val="22"/>
          <w:lang w:val="it-IT"/>
        </w:rPr>
        <w:t xml:space="preserve">è somministrato insieme ad altri medicinali, sono possibili interazioni farmacologiche. Si deve prestare cautela quando si somministra </w:t>
      </w:r>
      <w:r w:rsidR="009339F7" w:rsidRPr="00496684">
        <w:rPr>
          <w:szCs w:val="22"/>
          <w:lang w:val="it-IT"/>
        </w:rPr>
        <w:t>i</w:t>
      </w:r>
      <w:r w:rsidR="00521ABE" w:rsidRPr="00496684">
        <w:rPr>
          <w:szCs w:val="22"/>
          <w:lang w:val="it-IT"/>
        </w:rPr>
        <w:t xml:space="preserve">matinib </w:t>
      </w:r>
      <w:r w:rsidRPr="00496684">
        <w:rPr>
          <w:szCs w:val="22"/>
          <w:lang w:val="it-IT"/>
        </w:rPr>
        <w:t>con inibitori delle proteasi, antifungini azolici</w:t>
      </w:r>
      <w:r w:rsidRPr="00496684">
        <w:rPr>
          <w:lang w:val="it-IT"/>
        </w:rPr>
        <w:t>,</w:t>
      </w:r>
      <w:r w:rsidRPr="00496684">
        <w:rPr>
          <w:szCs w:val="22"/>
          <w:lang w:val="it-IT"/>
        </w:rPr>
        <w:t xml:space="preserve"> alcuni macrolidi (vedere paragrafo</w:t>
      </w:r>
      <w:r w:rsidR="0086182F" w:rsidRPr="00496684">
        <w:rPr>
          <w:szCs w:val="22"/>
          <w:lang w:val="it-IT"/>
        </w:rPr>
        <w:t> </w:t>
      </w:r>
      <w:r w:rsidRPr="00496684">
        <w:rPr>
          <w:szCs w:val="22"/>
          <w:lang w:val="it-IT"/>
        </w:rPr>
        <w:t>4.5), substrati del CYP3A4 con una ristretta finestra terapeutica (es. ciclosporina, pimozide, tacrolimus, sirolimus, ergotamina, diergotamina, fentanil, alfentanil, terfenadina, bortezomib, docetaxel, chinidina) o warfarina e altri derivati cumarinici (vedere paragrafo 4.5).</w:t>
      </w:r>
    </w:p>
    <w:p w14:paraId="4A236A70" w14:textId="77777777" w:rsidR="009F3419" w:rsidRPr="00496684" w:rsidRDefault="009F3419" w:rsidP="009F3419">
      <w:pPr>
        <w:pStyle w:val="Endnotentext"/>
        <w:widowControl w:val="0"/>
        <w:tabs>
          <w:tab w:val="clear" w:pos="567"/>
        </w:tabs>
        <w:rPr>
          <w:szCs w:val="22"/>
          <w:lang w:val="it-IT"/>
        </w:rPr>
      </w:pPr>
    </w:p>
    <w:p w14:paraId="4BB728A6" w14:textId="77777777" w:rsidR="009F3419" w:rsidRPr="00496684" w:rsidRDefault="009F3419" w:rsidP="009F3419">
      <w:pPr>
        <w:pStyle w:val="Endnotentext"/>
        <w:widowControl w:val="0"/>
        <w:tabs>
          <w:tab w:val="clear" w:pos="567"/>
        </w:tabs>
        <w:rPr>
          <w:szCs w:val="22"/>
          <w:lang w:val="it-IT"/>
        </w:rPr>
      </w:pPr>
      <w:r w:rsidRPr="00496684">
        <w:rPr>
          <w:szCs w:val="22"/>
          <w:lang w:val="it-IT"/>
        </w:rPr>
        <w:t xml:space="preserve">L’uso concomitante di imatinib e di medicinali che inducono il CYP3A4 (es. desametasone, fenitoina, carbamazepina, rifampicina, fenobarbitale o </w:t>
      </w:r>
      <w:r w:rsidRPr="00496684">
        <w:rPr>
          <w:i/>
          <w:szCs w:val="22"/>
          <w:lang w:val="it-IT"/>
        </w:rPr>
        <w:t>Hypericum perforatum</w:t>
      </w:r>
      <w:r w:rsidRPr="00496684">
        <w:rPr>
          <w:szCs w:val="22"/>
          <w:lang w:val="it-IT"/>
        </w:rPr>
        <w:t xml:space="preserve">, anche noto come erba di San Giovanni) può ridurre significativamente l’esposizione a </w:t>
      </w:r>
      <w:r w:rsidR="00437C70" w:rsidRPr="00496684">
        <w:rPr>
          <w:szCs w:val="22"/>
          <w:lang w:val="it-IT"/>
        </w:rPr>
        <w:t>imatinib</w:t>
      </w:r>
      <w:r w:rsidRPr="00496684">
        <w:rPr>
          <w:szCs w:val="22"/>
          <w:lang w:val="it-IT"/>
        </w:rPr>
        <w:t>, aumentando potenzialmente il rischio di fallimento terapeutico. Pertanto l’uso concomitante di forti induttori del CYP3A4 e di imatinib deve essere evitato (vedere paragrafo 4.5).</w:t>
      </w:r>
    </w:p>
    <w:p w14:paraId="4C9F399A" w14:textId="77777777" w:rsidR="009F3419" w:rsidRPr="00496684" w:rsidRDefault="009F3419" w:rsidP="009F3419">
      <w:pPr>
        <w:autoSpaceDE w:val="0"/>
        <w:autoSpaceDN w:val="0"/>
        <w:adjustRightInd w:val="0"/>
        <w:spacing w:after="0" w:line="240" w:lineRule="auto"/>
        <w:rPr>
          <w:rFonts w:ascii="Times New Roman" w:hAnsi="Times New Roman"/>
          <w:bCs/>
          <w:lang w:val="it-IT" w:eastAsia="is-IS"/>
        </w:rPr>
      </w:pPr>
    </w:p>
    <w:p w14:paraId="1371A5DC" w14:textId="77777777" w:rsidR="009F3419" w:rsidRPr="00496684" w:rsidRDefault="009F3419" w:rsidP="009F3419">
      <w:pPr>
        <w:pStyle w:val="Endnotentext"/>
        <w:widowControl w:val="0"/>
        <w:tabs>
          <w:tab w:val="clear" w:pos="567"/>
        </w:tabs>
        <w:rPr>
          <w:szCs w:val="22"/>
          <w:lang w:val="it-IT"/>
        </w:rPr>
      </w:pPr>
      <w:r w:rsidRPr="00496684">
        <w:rPr>
          <w:szCs w:val="22"/>
          <w:u w:val="single"/>
          <w:lang w:val="it-IT"/>
        </w:rPr>
        <w:t>Ipotiroidismo</w:t>
      </w:r>
    </w:p>
    <w:p w14:paraId="09F4A565" w14:textId="77777777" w:rsidR="009F3419" w:rsidRPr="00496684" w:rsidRDefault="009F3419" w:rsidP="009F3419">
      <w:pPr>
        <w:pStyle w:val="Endnotentext"/>
        <w:widowControl w:val="0"/>
        <w:tabs>
          <w:tab w:val="clear" w:pos="567"/>
        </w:tabs>
        <w:rPr>
          <w:szCs w:val="22"/>
          <w:lang w:val="it-IT"/>
        </w:rPr>
      </w:pPr>
      <w:r w:rsidRPr="00496684">
        <w:rPr>
          <w:szCs w:val="22"/>
          <w:lang w:val="it-IT"/>
        </w:rPr>
        <w:t xml:space="preserve">Sono stati riportati casi clinici di ipotiroidismo in pazienti tiroidectomizzati in trattamento sostitutivo con levotiroxina durante la terapia con </w:t>
      </w:r>
      <w:r w:rsidR="00437C70" w:rsidRPr="00496684">
        <w:rPr>
          <w:szCs w:val="22"/>
          <w:lang w:val="it-IT"/>
        </w:rPr>
        <w:t>i</w:t>
      </w:r>
      <w:r w:rsidR="00521ABE" w:rsidRPr="00496684">
        <w:rPr>
          <w:szCs w:val="22"/>
          <w:lang w:val="it-IT"/>
        </w:rPr>
        <w:t xml:space="preserve">matinib </w:t>
      </w:r>
      <w:r w:rsidRPr="00496684">
        <w:rPr>
          <w:szCs w:val="22"/>
          <w:lang w:val="it-IT"/>
        </w:rPr>
        <w:t>(vedere paragrafo 4.5). In tali pazienti si devono monitorare attentamente i livelli dell’ormone tireostimolante (TSH).</w:t>
      </w:r>
    </w:p>
    <w:p w14:paraId="0979B736" w14:textId="77777777" w:rsidR="009F3419" w:rsidRPr="00496684" w:rsidRDefault="009F3419" w:rsidP="009F3419">
      <w:pPr>
        <w:pStyle w:val="Endnotentext"/>
        <w:widowControl w:val="0"/>
        <w:tabs>
          <w:tab w:val="clear" w:pos="567"/>
        </w:tabs>
        <w:rPr>
          <w:szCs w:val="22"/>
          <w:lang w:val="it-IT"/>
        </w:rPr>
      </w:pPr>
    </w:p>
    <w:p w14:paraId="1D7649D7" w14:textId="77777777" w:rsidR="009F3419" w:rsidRPr="00496684" w:rsidRDefault="009F3419" w:rsidP="009F3419">
      <w:pPr>
        <w:pStyle w:val="Endnotentext"/>
        <w:widowControl w:val="0"/>
        <w:tabs>
          <w:tab w:val="clear" w:pos="567"/>
        </w:tabs>
        <w:rPr>
          <w:szCs w:val="22"/>
          <w:lang w:val="it-IT"/>
        </w:rPr>
      </w:pPr>
      <w:r w:rsidRPr="00496684">
        <w:rPr>
          <w:szCs w:val="22"/>
          <w:u w:val="single"/>
          <w:lang w:val="it-IT"/>
        </w:rPr>
        <w:t>Epatotossicità</w:t>
      </w:r>
    </w:p>
    <w:p w14:paraId="5DFB91EC" w14:textId="71551E72" w:rsidR="009F3419" w:rsidRPr="00496684" w:rsidRDefault="009F3419" w:rsidP="009F3419">
      <w:pPr>
        <w:pStyle w:val="Endnotentext"/>
        <w:widowControl w:val="0"/>
        <w:tabs>
          <w:tab w:val="clear" w:pos="567"/>
        </w:tabs>
        <w:rPr>
          <w:szCs w:val="22"/>
          <w:lang w:val="it-IT"/>
        </w:rPr>
      </w:pPr>
      <w:r w:rsidRPr="00496684">
        <w:rPr>
          <w:szCs w:val="22"/>
          <w:lang w:val="it-IT"/>
        </w:rPr>
        <w:t xml:space="preserve">Il metabolismo di </w:t>
      </w:r>
      <w:r w:rsidR="00437C70" w:rsidRPr="00496684">
        <w:rPr>
          <w:szCs w:val="22"/>
          <w:lang w:val="it-IT"/>
        </w:rPr>
        <w:t>i</w:t>
      </w:r>
      <w:r w:rsidR="00521ABE" w:rsidRPr="00496684">
        <w:rPr>
          <w:szCs w:val="22"/>
          <w:lang w:val="it-IT"/>
        </w:rPr>
        <w:t xml:space="preserve">matinib </w:t>
      </w:r>
      <w:r w:rsidRPr="00496684">
        <w:rPr>
          <w:szCs w:val="22"/>
          <w:lang w:val="it-IT"/>
        </w:rPr>
        <w:t>è principalmente epatico, e solo il 13% dell'escrezione avviene attraverso i reni. Nei pazienti con disfunzione epatica (lieve, moderata o grave), l'esame del sangue periferico e gli enzimi epatici devono essere attentamente monitorati (vedere paragrafi 4.2, 4.8 e 5.2).</w:t>
      </w:r>
      <w:r w:rsidR="003A3302" w:rsidRPr="00496684">
        <w:rPr>
          <w:szCs w:val="22"/>
          <w:lang w:val="it-IT"/>
        </w:rPr>
        <w:t xml:space="preserve"> È stato rilevato che i pazienti con GIST possono avere metastasi epatiche che </w:t>
      </w:r>
      <w:r w:rsidR="00873FF3" w:rsidRPr="00496684">
        <w:rPr>
          <w:szCs w:val="22"/>
          <w:lang w:val="it-IT"/>
        </w:rPr>
        <w:t>possono</w:t>
      </w:r>
      <w:r w:rsidR="003A3302" w:rsidRPr="00496684">
        <w:rPr>
          <w:szCs w:val="22"/>
          <w:lang w:val="it-IT"/>
        </w:rPr>
        <w:t xml:space="preserve"> causare compromissione epatica.</w:t>
      </w:r>
    </w:p>
    <w:p w14:paraId="1719FC41" w14:textId="77777777" w:rsidR="009F3419" w:rsidRPr="00496684" w:rsidRDefault="009F3419" w:rsidP="009F3419">
      <w:pPr>
        <w:pStyle w:val="Endnotentext"/>
        <w:widowControl w:val="0"/>
        <w:tabs>
          <w:tab w:val="clear" w:pos="567"/>
        </w:tabs>
        <w:rPr>
          <w:szCs w:val="22"/>
          <w:lang w:val="it-IT"/>
        </w:rPr>
      </w:pPr>
    </w:p>
    <w:p w14:paraId="5AEF0435" w14:textId="77777777" w:rsidR="009F3419" w:rsidRPr="00496684" w:rsidRDefault="009F3419" w:rsidP="009F3419">
      <w:pPr>
        <w:pStyle w:val="Endnotentext"/>
        <w:widowControl w:val="0"/>
        <w:tabs>
          <w:tab w:val="clear" w:pos="567"/>
        </w:tabs>
        <w:rPr>
          <w:szCs w:val="22"/>
          <w:lang w:val="it-IT"/>
        </w:rPr>
      </w:pPr>
      <w:r w:rsidRPr="00496684">
        <w:rPr>
          <w:szCs w:val="22"/>
          <w:lang w:val="it-IT"/>
        </w:rPr>
        <w:t>Con imatinib sono stati osservati casi di danno epatico, comprendenti insufficienza epatica e necrosi epatica. Quando imatinib è associato a regimi di chemioterapia ad alte dosi, è stato riscontrato un aumento delle reazioni epatiche gravi. La funzione epatica deve essere attentamente monitorata in situazioni in cui imatinib è unito a regimi di chemioterapia, noti anche per essere associati a disfunzione epatica (vedere paragrafi 4.5 e 4.8).</w:t>
      </w:r>
    </w:p>
    <w:p w14:paraId="1E8140BE" w14:textId="77777777" w:rsidR="009F3419" w:rsidRPr="00496684" w:rsidRDefault="009F3419" w:rsidP="009F3419">
      <w:pPr>
        <w:pStyle w:val="Endnotentext"/>
        <w:widowControl w:val="0"/>
        <w:tabs>
          <w:tab w:val="clear" w:pos="567"/>
        </w:tabs>
        <w:rPr>
          <w:szCs w:val="22"/>
          <w:lang w:val="it-IT"/>
        </w:rPr>
      </w:pPr>
    </w:p>
    <w:p w14:paraId="5F9D8A8B" w14:textId="77777777" w:rsidR="009F3419" w:rsidRPr="00496684" w:rsidRDefault="009F3419" w:rsidP="009F3419">
      <w:pPr>
        <w:pStyle w:val="Endnotentext"/>
        <w:widowControl w:val="0"/>
        <w:tabs>
          <w:tab w:val="clear" w:pos="567"/>
        </w:tabs>
        <w:rPr>
          <w:szCs w:val="22"/>
          <w:lang w:val="it-IT"/>
        </w:rPr>
      </w:pPr>
      <w:r w:rsidRPr="00496684">
        <w:rPr>
          <w:szCs w:val="22"/>
          <w:u w:val="single"/>
          <w:lang w:val="it-IT"/>
        </w:rPr>
        <w:t xml:space="preserve">Ritenzione di </w:t>
      </w:r>
      <w:r w:rsidR="00E6675E" w:rsidRPr="00496684">
        <w:rPr>
          <w:szCs w:val="22"/>
          <w:u w:val="single"/>
          <w:lang w:val="it-IT"/>
        </w:rPr>
        <w:t>liquidi</w:t>
      </w:r>
    </w:p>
    <w:p w14:paraId="39D8E850" w14:textId="77777777" w:rsidR="009F3419" w:rsidRPr="00496684" w:rsidRDefault="009F3419" w:rsidP="009F341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Sono stati segnalati casi di grave ritenzione di </w:t>
      </w:r>
      <w:r w:rsidR="00E6675E" w:rsidRPr="00496684">
        <w:rPr>
          <w:rFonts w:ascii="Times New Roman" w:eastAsia="Times New Roman" w:hAnsi="Times New Roman"/>
          <w:lang w:val="it-IT" w:eastAsia="it-IT"/>
        </w:rPr>
        <w:t xml:space="preserve">liquidi </w:t>
      </w:r>
      <w:r w:rsidRPr="00496684">
        <w:rPr>
          <w:rFonts w:ascii="Times New Roman" w:eastAsia="Times New Roman" w:hAnsi="Times New Roman"/>
          <w:lang w:val="it-IT" w:eastAsia="it-IT"/>
        </w:rPr>
        <w:t xml:space="preserve">(effusione pleurica, edema, edema polmonare, ascite, edema superficiale) approssimativamente nel 2,5% dei pazienti con LMC di nuova diagnosi trattati con </w:t>
      </w:r>
      <w:r w:rsidR="00437C70" w:rsidRPr="00496684">
        <w:rPr>
          <w:rFonts w:ascii="Times New Roman" w:eastAsia="Times New Roman" w:hAnsi="Times New Roman"/>
          <w:lang w:val="it-IT" w:eastAsia="it-IT"/>
        </w:rPr>
        <w:t>imatinib</w:t>
      </w:r>
      <w:r w:rsidRPr="00496684">
        <w:rPr>
          <w:rFonts w:ascii="Times New Roman" w:eastAsia="Times New Roman" w:hAnsi="Times New Roman"/>
          <w:lang w:val="it-IT" w:eastAsia="it-IT"/>
        </w:rPr>
        <w:t>. Pertanto è altamente raccomandato di pesare regolarmente i pazienti. Un imprevisto rapido aumento di peso deve essere accuratamente esaminato e se necessario devono essere adottate appropriate cure di supporto e misure terapeutiche. Negli studi clinici, vi è un aumento dell'incidenza di questi eventi in pazienti anziani e in quelli con storia pregressa di malattie cardiache. Pertanto, si deve prestare attenzione nei pazienti con disfunzione cardiaca</w:t>
      </w:r>
    </w:p>
    <w:p w14:paraId="51551B87" w14:textId="77777777" w:rsidR="009F3419" w:rsidRPr="00496684" w:rsidRDefault="009F3419" w:rsidP="009F3419">
      <w:pPr>
        <w:autoSpaceDE w:val="0"/>
        <w:autoSpaceDN w:val="0"/>
        <w:adjustRightInd w:val="0"/>
        <w:spacing w:after="0" w:line="240" w:lineRule="auto"/>
        <w:rPr>
          <w:rFonts w:ascii="Times New Roman" w:hAnsi="Times New Roman"/>
          <w:lang w:val="it-IT" w:eastAsia="is-IS"/>
        </w:rPr>
      </w:pPr>
    </w:p>
    <w:p w14:paraId="490DFB69" w14:textId="77777777" w:rsidR="009F3419" w:rsidRPr="00496684" w:rsidRDefault="009F3419" w:rsidP="009F3419">
      <w:pPr>
        <w:pStyle w:val="Endnotentext"/>
        <w:widowControl w:val="0"/>
        <w:tabs>
          <w:tab w:val="clear" w:pos="567"/>
        </w:tabs>
        <w:rPr>
          <w:szCs w:val="22"/>
          <w:lang w:val="it-IT"/>
        </w:rPr>
      </w:pPr>
      <w:r w:rsidRPr="00496684">
        <w:rPr>
          <w:szCs w:val="22"/>
          <w:u w:val="single"/>
          <w:lang w:val="it-IT"/>
        </w:rPr>
        <w:t>Pazienti con malattia cardiaca</w:t>
      </w:r>
    </w:p>
    <w:p w14:paraId="3872BE2A" w14:textId="77777777" w:rsidR="009F3419" w:rsidRPr="00496684" w:rsidRDefault="009F3419" w:rsidP="009F3419">
      <w:pPr>
        <w:pStyle w:val="Endnotentext"/>
        <w:widowControl w:val="0"/>
        <w:tabs>
          <w:tab w:val="clear" w:pos="567"/>
        </w:tabs>
        <w:rPr>
          <w:szCs w:val="22"/>
          <w:lang w:val="it-IT"/>
        </w:rPr>
      </w:pPr>
      <w:r w:rsidRPr="00496684">
        <w:rPr>
          <w:szCs w:val="22"/>
          <w:lang w:val="it-IT"/>
        </w:rPr>
        <w:t>I pazienti con malattia cardiaca, con fattori di rischio per l’insufficienza cardiaca o storia di insufficienza renale devono essere monitorati attentamente e tutti i pazienti con segni o sintomi correlati</w:t>
      </w:r>
      <w:r w:rsidRPr="00496684">
        <w:rPr>
          <w:b/>
          <w:szCs w:val="22"/>
          <w:lang w:val="it-IT"/>
        </w:rPr>
        <w:t xml:space="preserve"> </w:t>
      </w:r>
      <w:r w:rsidRPr="00496684">
        <w:rPr>
          <w:szCs w:val="22"/>
          <w:lang w:val="it-IT"/>
        </w:rPr>
        <w:t>all’insufficienza cardiaca o renale devono essere valutati e trattati.</w:t>
      </w:r>
    </w:p>
    <w:p w14:paraId="24F634FD" w14:textId="77777777" w:rsidR="009F3419" w:rsidRPr="00496684" w:rsidRDefault="009F3419" w:rsidP="009F3419">
      <w:pPr>
        <w:autoSpaceDE w:val="0"/>
        <w:autoSpaceDN w:val="0"/>
        <w:adjustRightInd w:val="0"/>
        <w:spacing w:after="0" w:line="240" w:lineRule="auto"/>
        <w:rPr>
          <w:rFonts w:ascii="Times New Roman" w:hAnsi="Times New Roman"/>
          <w:lang w:val="it-IT" w:eastAsia="is-IS"/>
        </w:rPr>
      </w:pPr>
    </w:p>
    <w:p w14:paraId="145B9EB0" w14:textId="77777777" w:rsidR="009F3419" w:rsidRPr="00496684" w:rsidRDefault="009F3419" w:rsidP="009F3419">
      <w:pPr>
        <w:pStyle w:val="Endnotentext"/>
        <w:widowControl w:val="0"/>
        <w:tabs>
          <w:tab w:val="clear" w:pos="567"/>
        </w:tabs>
        <w:rPr>
          <w:szCs w:val="22"/>
          <w:lang w:val="it-IT"/>
        </w:rPr>
      </w:pPr>
      <w:r w:rsidRPr="00496684">
        <w:rPr>
          <w:szCs w:val="22"/>
          <w:lang w:val="it-IT"/>
        </w:rPr>
        <w:t>In pazienti con sindrome ipereosinofila (HES) con infiltrazione occulta delle cellule HES all’interno del miocardio, casi isolati di shock cardiogeno/disfunzione del ventricolo sinistro sono stati associati con degranulazione delle cellule HES subito dopo l’inizio della terapia con imatinib. La condizione è stata riportata come reversibile con la somministrazione di steroidi per via sistemica, di misure di supporto emodinamico e con la sospensione temporanea di imatinib. Poiché sono stati riportati non comunemente eventi avversi cardiaci con imatinib, si deve valutare con attenzione il rapporto beneficio/rischio della terapia con imatinib nella popolazione di pazienti con HES/LEC prima di iniziare il trattamento.</w:t>
      </w:r>
    </w:p>
    <w:p w14:paraId="19E37213" w14:textId="77777777" w:rsidR="009F3419" w:rsidRPr="00496684" w:rsidRDefault="009F3419" w:rsidP="009F3419">
      <w:pPr>
        <w:pStyle w:val="Endnotentext"/>
        <w:widowControl w:val="0"/>
        <w:tabs>
          <w:tab w:val="clear" w:pos="567"/>
        </w:tabs>
        <w:rPr>
          <w:szCs w:val="22"/>
          <w:lang w:val="it-IT"/>
        </w:rPr>
      </w:pPr>
    </w:p>
    <w:p w14:paraId="459BF5DB" w14:textId="697DEA15" w:rsidR="009F3419" w:rsidRPr="00496684" w:rsidRDefault="009F3419" w:rsidP="009F3419">
      <w:pPr>
        <w:pStyle w:val="Endnotentext"/>
        <w:widowControl w:val="0"/>
        <w:tabs>
          <w:tab w:val="clear" w:pos="567"/>
        </w:tabs>
        <w:rPr>
          <w:szCs w:val="22"/>
          <w:lang w:val="it-IT"/>
        </w:rPr>
      </w:pPr>
      <w:r w:rsidRPr="00496684">
        <w:rPr>
          <w:szCs w:val="22"/>
          <w:lang w:val="it-IT"/>
        </w:rPr>
        <w:t xml:space="preserve">Le malattie mielodisplastiche/mieloproliferative con riarrangiamenti del gene PDGFR </w:t>
      </w:r>
      <w:r w:rsidR="00873FF3" w:rsidRPr="00496684">
        <w:rPr>
          <w:szCs w:val="22"/>
          <w:lang w:val="it-IT"/>
        </w:rPr>
        <w:t>possono</w:t>
      </w:r>
      <w:r w:rsidRPr="00496684">
        <w:rPr>
          <w:szCs w:val="22"/>
          <w:lang w:val="it-IT"/>
        </w:rPr>
        <w:t xml:space="preserve"> essere associate a livelli elevati di eosinofili. Pertanto nei pazienti con HES/LEC e nei pazienti con </w:t>
      </w:r>
      <w:smartTag w:uri="urn:schemas-microsoft-com:office:smarttags" w:element="stockticker">
        <w:r w:rsidRPr="00496684">
          <w:rPr>
            <w:szCs w:val="22"/>
            <w:lang w:val="it-IT"/>
          </w:rPr>
          <w:t>MDS</w:t>
        </w:r>
      </w:smartTag>
      <w:r w:rsidRPr="00496684">
        <w:rPr>
          <w:szCs w:val="22"/>
          <w:lang w:val="it-IT"/>
        </w:rPr>
        <w:t>/MPD associate a livelli elevati di eosinofili, prima della somministrazione di imatinib, si deve considerare la valutazione di un cardiologo, l’esecuzione di un ecocardiogramma e la determinazione della troponina sierica. Se uno dei due è fuori dalla norma, si devono considerare, all’inizio della terapia, il controllo periodico di un cardiologo e l’uso profilattico di steroidi per via sistemica (1</w:t>
      </w:r>
      <w:r w:rsidRPr="00496684">
        <w:rPr>
          <w:szCs w:val="22"/>
          <w:lang w:val="it-IT"/>
        </w:rPr>
        <w:noBreakHyphen/>
        <w:t>2 mg/kg) da una a due settimane in concomitanza con l’inizio della terapia.</w:t>
      </w:r>
    </w:p>
    <w:p w14:paraId="0B3399D2" w14:textId="77777777" w:rsidR="009F3419" w:rsidRPr="00496684" w:rsidRDefault="009F3419" w:rsidP="009F3419">
      <w:pPr>
        <w:autoSpaceDE w:val="0"/>
        <w:autoSpaceDN w:val="0"/>
        <w:adjustRightInd w:val="0"/>
        <w:spacing w:after="0" w:line="240" w:lineRule="auto"/>
        <w:rPr>
          <w:rFonts w:ascii="Times New Roman" w:hAnsi="Times New Roman"/>
          <w:lang w:val="it-IT" w:eastAsia="is-IS"/>
        </w:rPr>
      </w:pPr>
    </w:p>
    <w:p w14:paraId="55A0B6CC" w14:textId="77777777" w:rsidR="009F3419" w:rsidRPr="00496684" w:rsidRDefault="009F3419" w:rsidP="009F3419">
      <w:pPr>
        <w:pStyle w:val="Endnotentext"/>
        <w:widowControl w:val="0"/>
        <w:tabs>
          <w:tab w:val="clear" w:pos="567"/>
        </w:tabs>
        <w:rPr>
          <w:szCs w:val="22"/>
          <w:lang w:val="it-IT"/>
        </w:rPr>
      </w:pPr>
      <w:r w:rsidRPr="00496684">
        <w:rPr>
          <w:szCs w:val="22"/>
          <w:u w:val="single"/>
          <w:lang w:val="it-IT"/>
        </w:rPr>
        <w:t>Emorragia gastrointestinale</w:t>
      </w:r>
    </w:p>
    <w:p w14:paraId="1191A214" w14:textId="77777777" w:rsidR="003A3302" w:rsidRPr="00496684" w:rsidRDefault="003A3302" w:rsidP="003A3302">
      <w:pPr>
        <w:pStyle w:val="Endnotentext"/>
        <w:widowControl w:val="0"/>
        <w:tabs>
          <w:tab w:val="clear" w:pos="567"/>
        </w:tabs>
        <w:rPr>
          <w:szCs w:val="22"/>
          <w:lang w:val="it-IT"/>
        </w:rPr>
      </w:pPr>
      <w:r w:rsidRPr="00496684">
        <w:rPr>
          <w:szCs w:val="22"/>
          <w:lang w:val="it-IT"/>
        </w:rPr>
        <w:t>Nello studio nei pazienti con GIST non operabile e/o metastatico, sono state riportate emorragie sia gastrointestinali sia intra-tumorali (vedere paragrafo 4.8). Sulla base dei dati disponibili, non sono stati identificati fattori predisponenti (esempio dimensione del tumore, localizzazione del tumore, alterazioni della coagulazione) che pongono i pazienti con GIST ad un rischio maggiore verso entrambi i tipi di emorragie. Poichè l'aumentata vascolarizzazione e la propensione al sanguinamento sono parte della natura e del decorso clinico dei GIST, per tutti i pazienti si devono adottare le comuni pratiche mediche e procedure per il monitoraggio ed il trattamento delle emorragie.</w:t>
      </w:r>
    </w:p>
    <w:p w14:paraId="1B03974F" w14:textId="637575BD" w:rsidR="00DF1DF3" w:rsidRPr="00496684" w:rsidRDefault="003A3302" w:rsidP="003A3302">
      <w:pPr>
        <w:pStyle w:val="Endnotentext"/>
        <w:widowControl w:val="0"/>
        <w:tabs>
          <w:tab w:val="clear" w:pos="567"/>
        </w:tabs>
        <w:rPr>
          <w:szCs w:val="22"/>
          <w:lang w:val="it-IT"/>
        </w:rPr>
      </w:pPr>
      <w:r w:rsidRPr="00496684">
        <w:rPr>
          <w:szCs w:val="22"/>
          <w:lang w:val="it-IT"/>
        </w:rPr>
        <w:t>Inoltre, e</w:t>
      </w:r>
      <w:r w:rsidR="00DF1DF3" w:rsidRPr="00496684">
        <w:rPr>
          <w:szCs w:val="22"/>
          <w:lang w:val="it-IT"/>
        </w:rPr>
        <w:t>ctasia vascolare gastrica antrale (GAVE), una causa rara di emorragia gastrointestinale, è stata riportata nell’esperienza post-marketing in pazienti con LMC, LLA e altre malattie (vedere paragrafo 4.8). Quando necessario, può essere considerata la sospensione del trattamento con imatinib.</w:t>
      </w:r>
    </w:p>
    <w:p w14:paraId="73D07475" w14:textId="77777777" w:rsidR="00DF1DF3" w:rsidRPr="00496684" w:rsidRDefault="00DF1DF3" w:rsidP="009F3419">
      <w:pPr>
        <w:pStyle w:val="Endnotentext"/>
        <w:widowControl w:val="0"/>
        <w:tabs>
          <w:tab w:val="clear" w:pos="567"/>
        </w:tabs>
        <w:rPr>
          <w:szCs w:val="22"/>
          <w:lang w:val="it-IT"/>
        </w:rPr>
      </w:pPr>
    </w:p>
    <w:p w14:paraId="1F10A6A4" w14:textId="77777777" w:rsidR="0027274D" w:rsidRPr="00496684" w:rsidRDefault="0027274D" w:rsidP="0027274D">
      <w:pPr>
        <w:pStyle w:val="Endnotentext"/>
        <w:widowControl w:val="0"/>
        <w:tabs>
          <w:tab w:val="clear" w:pos="567"/>
        </w:tabs>
        <w:rPr>
          <w:szCs w:val="22"/>
          <w:u w:val="single"/>
          <w:lang w:val="it-IT"/>
        </w:rPr>
      </w:pPr>
      <w:r w:rsidRPr="00496684">
        <w:rPr>
          <w:szCs w:val="22"/>
          <w:u w:val="single"/>
          <w:lang w:val="it-IT"/>
        </w:rPr>
        <w:t>Riattivazione della epatite B</w:t>
      </w:r>
    </w:p>
    <w:p w14:paraId="5CD5980D" w14:textId="77777777" w:rsidR="0027274D" w:rsidRPr="00496684" w:rsidRDefault="0027274D" w:rsidP="0027274D">
      <w:pPr>
        <w:pStyle w:val="Endnotentext"/>
        <w:widowControl w:val="0"/>
        <w:tabs>
          <w:tab w:val="clear" w:pos="567"/>
        </w:tabs>
        <w:rPr>
          <w:szCs w:val="22"/>
          <w:lang w:val="it-IT"/>
        </w:rPr>
      </w:pPr>
      <w:r w:rsidRPr="00496684">
        <w:rPr>
          <w:szCs w:val="22"/>
          <w:lang w:val="it-IT"/>
        </w:rPr>
        <w:t>La riattivazione della epatite B nei pazienti che sono portatori cronici di questo virus si è verificata dopo</w:t>
      </w:r>
    </w:p>
    <w:p w14:paraId="09370697" w14:textId="77777777" w:rsidR="0027274D" w:rsidRPr="00496684" w:rsidRDefault="0027274D" w:rsidP="0027274D">
      <w:pPr>
        <w:pStyle w:val="Endnotentext"/>
        <w:widowControl w:val="0"/>
        <w:tabs>
          <w:tab w:val="clear" w:pos="567"/>
        </w:tabs>
        <w:rPr>
          <w:szCs w:val="22"/>
          <w:lang w:val="it-IT"/>
        </w:rPr>
      </w:pPr>
      <w:r w:rsidRPr="00496684">
        <w:rPr>
          <w:szCs w:val="22"/>
          <w:lang w:val="it-IT"/>
        </w:rPr>
        <w:t>che questi pazienti hanno ricevuto gli inibitori della tirosina-chinasi Bcr-Abl. Alcuni casi hanno portato a</w:t>
      </w:r>
    </w:p>
    <w:p w14:paraId="1F04767F" w14:textId="77777777" w:rsidR="0027274D" w:rsidRPr="00496684" w:rsidRDefault="0027274D" w:rsidP="0027274D">
      <w:pPr>
        <w:pStyle w:val="Endnotentext"/>
        <w:widowControl w:val="0"/>
        <w:tabs>
          <w:tab w:val="clear" w:pos="567"/>
        </w:tabs>
        <w:rPr>
          <w:szCs w:val="22"/>
          <w:lang w:val="it-IT"/>
        </w:rPr>
      </w:pPr>
      <w:r w:rsidRPr="00496684">
        <w:rPr>
          <w:szCs w:val="22"/>
          <w:lang w:val="it-IT"/>
        </w:rPr>
        <w:t>insufficienza epatica acuta o epatite fulminante portando al trapianto del fegato o a un esito fatale.</w:t>
      </w:r>
    </w:p>
    <w:p w14:paraId="09429CFD" w14:textId="77777777" w:rsidR="0027274D" w:rsidRPr="00496684" w:rsidRDefault="0027274D" w:rsidP="0027274D">
      <w:pPr>
        <w:pStyle w:val="Endnotentext"/>
        <w:widowControl w:val="0"/>
        <w:tabs>
          <w:tab w:val="clear" w:pos="567"/>
        </w:tabs>
        <w:rPr>
          <w:szCs w:val="22"/>
          <w:lang w:val="it-IT"/>
        </w:rPr>
      </w:pPr>
      <w:r w:rsidRPr="00496684">
        <w:rPr>
          <w:szCs w:val="22"/>
          <w:lang w:val="it-IT"/>
        </w:rPr>
        <w:t>I pazienti devono essere testati per l’infezione da HBV prima di cominciare il trattamento con</w:t>
      </w:r>
    </w:p>
    <w:p w14:paraId="5B8D47E3" w14:textId="77777777" w:rsidR="0027274D" w:rsidRPr="00496684" w:rsidRDefault="0027274D" w:rsidP="0027274D">
      <w:pPr>
        <w:pStyle w:val="Endnotentext"/>
        <w:widowControl w:val="0"/>
        <w:tabs>
          <w:tab w:val="clear" w:pos="567"/>
        </w:tabs>
        <w:rPr>
          <w:szCs w:val="22"/>
          <w:lang w:val="it-IT"/>
        </w:rPr>
      </w:pPr>
      <w:r w:rsidRPr="00496684">
        <w:rPr>
          <w:szCs w:val="22"/>
          <w:lang w:val="it-IT"/>
        </w:rPr>
        <w:t>Imatinib Actavis. Gli esperti delle malattie epatiche e del trattamento dell’epatite B</w:t>
      </w:r>
    </w:p>
    <w:p w14:paraId="560BAF39" w14:textId="77777777" w:rsidR="0027274D" w:rsidRPr="00496684" w:rsidRDefault="0027274D" w:rsidP="0027274D">
      <w:pPr>
        <w:pStyle w:val="Endnotentext"/>
        <w:widowControl w:val="0"/>
        <w:tabs>
          <w:tab w:val="clear" w:pos="567"/>
        </w:tabs>
        <w:rPr>
          <w:szCs w:val="22"/>
          <w:lang w:val="it-IT"/>
        </w:rPr>
      </w:pPr>
      <w:r w:rsidRPr="00496684">
        <w:rPr>
          <w:szCs w:val="22"/>
          <w:lang w:val="it-IT"/>
        </w:rPr>
        <w:t>devono essere consultati prima che il trattamento venga iniziato in pazienti con sierologia positiva</w:t>
      </w:r>
    </w:p>
    <w:p w14:paraId="194DFCCB" w14:textId="77777777" w:rsidR="0027274D" w:rsidRPr="00496684" w:rsidRDefault="0027274D" w:rsidP="0027274D">
      <w:pPr>
        <w:pStyle w:val="Endnotentext"/>
        <w:widowControl w:val="0"/>
        <w:tabs>
          <w:tab w:val="clear" w:pos="567"/>
        </w:tabs>
        <w:rPr>
          <w:szCs w:val="22"/>
          <w:lang w:val="it-IT"/>
        </w:rPr>
      </w:pPr>
      <w:r w:rsidRPr="00496684">
        <w:rPr>
          <w:szCs w:val="22"/>
          <w:lang w:val="it-IT"/>
        </w:rPr>
        <w:t>all’epatite B (inclusi quelli con malattia attiva) e per pazienti che risultano positivi all’infezione da HBV</w:t>
      </w:r>
    </w:p>
    <w:p w14:paraId="5FE7BE7A" w14:textId="77777777" w:rsidR="0027274D" w:rsidRPr="00496684" w:rsidRDefault="0027274D" w:rsidP="0027274D">
      <w:pPr>
        <w:pStyle w:val="Endnotentext"/>
        <w:widowControl w:val="0"/>
        <w:tabs>
          <w:tab w:val="clear" w:pos="567"/>
        </w:tabs>
        <w:rPr>
          <w:szCs w:val="22"/>
          <w:lang w:val="it-IT"/>
        </w:rPr>
      </w:pPr>
      <w:r w:rsidRPr="00496684">
        <w:rPr>
          <w:szCs w:val="22"/>
          <w:lang w:val="it-IT"/>
        </w:rPr>
        <w:t>durante il trattamento. I portatori di HBV che richiedono il trattamento con Imatinib Actavis, devono essere monitorati attentamente per segni e sintomi dell’infezione attiva da HBV per tutto il</w:t>
      </w:r>
    </w:p>
    <w:p w14:paraId="58833A24" w14:textId="77777777" w:rsidR="0027274D" w:rsidRPr="00496684" w:rsidRDefault="0027274D" w:rsidP="0027274D">
      <w:pPr>
        <w:pStyle w:val="Endnotentext"/>
        <w:widowControl w:val="0"/>
        <w:tabs>
          <w:tab w:val="clear" w:pos="567"/>
        </w:tabs>
        <w:rPr>
          <w:szCs w:val="22"/>
          <w:lang w:val="it-IT"/>
        </w:rPr>
      </w:pPr>
      <w:r w:rsidRPr="00496684">
        <w:rPr>
          <w:szCs w:val="22"/>
          <w:lang w:val="it-IT"/>
        </w:rPr>
        <w:t>corso della terapia e per alcuni mesi dopo la fine della terapia (vedere paragrafo 4.8).</w:t>
      </w:r>
    </w:p>
    <w:p w14:paraId="3D5A5F87" w14:textId="77777777" w:rsidR="0027274D" w:rsidRPr="00496684" w:rsidRDefault="0027274D" w:rsidP="0027274D">
      <w:pPr>
        <w:pStyle w:val="Endnotentext"/>
        <w:widowControl w:val="0"/>
        <w:tabs>
          <w:tab w:val="clear" w:pos="567"/>
        </w:tabs>
        <w:rPr>
          <w:szCs w:val="22"/>
          <w:lang w:val="it-IT"/>
        </w:rPr>
      </w:pPr>
    </w:p>
    <w:p w14:paraId="4F0F9FD3" w14:textId="77777777" w:rsidR="009F3419" w:rsidRPr="00496684" w:rsidRDefault="009F3419" w:rsidP="009F3419">
      <w:pPr>
        <w:pStyle w:val="Endnotentext"/>
        <w:widowControl w:val="0"/>
        <w:tabs>
          <w:tab w:val="clear" w:pos="567"/>
        </w:tabs>
        <w:rPr>
          <w:szCs w:val="22"/>
          <w:lang w:val="it-IT"/>
        </w:rPr>
      </w:pPr>
    </w:p>
    <w:p w14:paraId="25733D11" w14:textId="77777777" w:rsidR="009F3419" w:rsidRPr="00496684" w:rsidRDefault="009F3419" w:rsidP="009F3419">
      <w:pPr>
        <w:pStyle w:val="Endnotentext"/>
        <w:widowControl w:val="0"/>
        <w:tabs>
          <w:tab w:val="clear" w:pos="567"/>
        </w:tabs>
        <w:rPr>
          <w:szCs w:val="22"/>
          <w:lang w:val="it-IT"/>
        </w:rPr>
      </w:pPr>
      <w:r w:rsidRPr="00496684">
        <w:rPr>
          <w:szCs w:val="22"/>
          <w:u w:val="single"/>
          <w:lang w:val="it-IT"/>
        </w:rPr>
        <w:t>Sindrome da lisi tumorale</w:t>
      </w:r>
    </w:p>
    <w:p w14:paraId="50FA7FBB" w14:textId="77777777" w:rsidR="009F3419" w:rsidRPr="00496684" w:rsidRDefault="009F3419" w:rsidP="009F3419">
      <w:pPr>
        <w:pStyle w:val="Endnotentext"/>
        <w:widowControl w:val="0"/>
        <w:tabs>
          <w:tab w:val="clear" w:pos="567"/>
        </w:tabs>
        <w:rPr>
          <w:szCs w:val="22"/>
          <w:lang w:val="it-IT"/>
        </w:rPr>
      </w:pPr>
      <w:r w:rsidRPr="00496684">
        <w:rPr>
          <w:szCs w:val="22"/>
          <w:lang w:val="it-IT"/>
        </w:rPr>
        <w:t xml:space="preserve">A causa del possibile verificarsi della sindrome da lisi tumorale (TLS), prima di iniziare </w:t>
      </w:r>
      <w:r w:rsidR="009339F7" w:rsidRPr="00496684">
        <w:rPr>
          <w:szCs w:val="22"/>
          <w:lang w:val="it-IT"/>
        </w:rPr>
        <w:t>i</w:t>
      </w:r>
      <w:r w:rsidR="00521ABE" w:rsidRPr="00496684">
        <w:rPr>
          <w:szCs w:val="22"/>
          <w:lang w:val="it-IT"/>
        </w:rPr>
        <w:t xml:space="preserve">matinib </w:t>
      </w:r>
      <w:r w:rsidRPr="00496684">
        <w:rPr>
          <w:szCs w:val="22"/>
          <w:lang w:val="it-IT"/>
        </w:rPr>
        <w:t>si raccomanda la correzione di una disidratazione clinicamente significativa e il trattamento di alti livelli di acido urico (vedere paragrafo 4.8).</w:t>
      </w:r>
    </w:p>
    <w:p w14:paraId="3502F882" w14:textId="77777777" w:rsidR="00AD5B18" w:rsidRPr="00496684" w:rsidRDefault="00AD5B18" w:rsidP="00AD5B18">
      <w:pPr>
        <w:pStyle w:val="Endnotentext"/>
        <w:widowControl w:val="0"/>
        <w:tabs>
          <w:tab w:val="clear" w:pos="567"/>
        </w:tabs>
        <w:rPr>
          <w:szCs w:val="22"/>
          <w:lang w:val="it-IT"/>
        </w:rPr>
      </w:pPr>
    </w:p>
    <w:p w14:paraId="4E046952" w14:textId="77777777" w:rsidR="00AD5B18" w:rsidRPr="00496684" w:rsidRDefault="00AD5B18" w:rsidP="00AD5B18">
      <w:pPr>
        <w:pStyle w:val="Endnotentext"/>
        <w:keepNext/>
        <w:widowControl w:val="0"/>
        <w:tabs>
          <w:tab w:val="clear" w:pos="567"/>
        </w:tabs>
        <w:rPr>
          <w:szCs w:val="22"/>
          <w:u w:val="single"/>
          <w:lang w:val="it-IT"/>
        </w:rPr>
      </w:pPr>
      <w:r w:rsidRPr="00496684">
        <w:rPr>
          <w:szCs w:val="22"/>
          <w:u w:val="single"/>
          <w:lang w:val="it-IT"/>
        </w:rPr>
        <w:t>Fototossicità</w:t>
      </w:r>
    </w:p>
    <w:p w14:paraId="1A493D51" w14:textId="77777777" w:rsidR="00AD5B18" w:rsidRPr="00496684" w:rsidRDefault="00AD5B18" w:rsidP="00AD5B18">
      <w:pPr>
        <w:pStyle w:val="Endnotentext"/>
        <w:widowControl w:val="0"/>
        <w:tabs>
          <w:tab w:val="clear" w:pos="567"/>
        </w:tabs>
        <w:rPr>
          <w:szCs w:val="22"/>
          <w:lang w:val="it-IT"/>
        </w:rPr>
      </w:pPr>
      <w:r w:rsidRPr="00496684">
        <w:rPr>
          <w:szCs w:val="22"/>
          <w:lang w:val="it-IT"/>
        </w:rPr>
        <w:t>L’esposizione alla luce solare diretta deve essere evitata o minimizzata a causa del rischio di fototossicità associato al trattamento con imatinib. I pazienti devono essere avvisati di utilizzare misure come indumenti protettivi e filtro solare con elevato fattore di protezione solare (sun protection factor, SPF).</w:t>
      </w:r>
    </w:p>
    <w:p w14:paraId="2571E2D8" w14:textId="77777777" w:rsidR="00873FF3" w:rsidRPr="00496684" w:rsidRDefault="00873FF3" w:rsidP="00AD5B18">
      <w:pPr>
        <w:pStyle w:val="Endnotentext"/>
        <w:widowControl w:val="0"/>
        <w:tabs>
          <w:tab w:val="clear" w:pos="567"/>
        </w:tabs>
        <w:rPr>
          <w:szCs w:val="22"/>
          <w:lang w:val="it-IT"/>
        </w:rPr>
      </w:pPr>
    </w:p>
    <w:p w14:paraId="453D9EDC" w14:textId="77777777" w:rsidR="00873FF3" w:rsidRPr="00496684" w:rsidRDefault="00873FF3" w:rsidP="00873FF3">
      <w:pPr>
        <w:pStyle w:val="Endnotentext"/>
        <w:tabs>
          <w:tab w:val="clear" w:pos="567"/>
        </w:tabs>
        <w:rPr>
          <w:u w:val="single"/>
          <w:lang w:val="it-IT"/>
        </w:rPr>
      </w:pPr>
      <w:r w:rsidRPr="00496684">
        <w:rPr>
          <w:u w:val="single"/>
          <w:lang w:val="it-IT"/>
        </w:rPr>
        <w:t>Microangiopatia trombotica</w:t>
      </w:r>
    </w:p>
    <w:p w14:paraId="1D183889" w14:textId="68043583" w:rsidR="00873FF3" w:rsidRPr="00496684" w:rsidRDefault="00873FF3" w:rsidP="00873FF3">
      <w:pPr>
        <w:pStyle w:val="Endnotentext"/>
        <w:widowControl w:val="0"/>
        <w:tabs>
          <w:tab w:val="clear" w:pos="567"/>
        </w:tabs>
        <w:rPr>
          <w:szCs w:val="22"/>
          <w:lang w:val="it-IT"/>
        </w:rPr>
      </w:pPr>
      <w:r w:rsidRPr="00496684">
        <w:rPr>
          <w:szCs w:val="22"/>
          <w:lang w:val="it-IT"/>
        </w:rPr>
        <w:t>Gli inibitori della tirosina-chinasi Bcr-Abl (TKI) sono stati associati alla microangiopatia trombotica (TMA), incluse segnalazioni di casi individuali per Imatinib Actavis (vedere paragrafo 4.8). Se evidenze di laboratorio o cliniche associate alla TMA si verificano in un paziente che riceve Imatinib Actavis, il trattamento deve essere interrotto e deve essere completata una valutazione approfondita della TMA, inclusa l’attività di ADAMTS13 e la determinazione dell’anticorpo anti-ADAMTS13. Se gli anticorpi anti-ADAMTS13 sono elevati in presenza di una bassa attività di ADAMTS13, il trattamento con Imatinib Actavis non deve essere ripreso.</w:t>
      </w:r>
    </w:p>
    <w:p w14:paraId="06C20DB1" w14:textId="77777777" w:rsidR="009F3419" w:rsidRPr="00496684" w:rsidRDefault="009F3419" w:rsidP="009F3419">
      <w:pPr>
        <w:pStyle w:val="Endnotentext"/>
        <w:widowControl w:val="0"/>
        <w:tabs>
          <w:tab w:val="clear" w:pos="567"/>
        </w:tabs>
        <w:rPr>
          <w:szCs w:val="22"/>
          <w:lang w:val="it-IT"/>
        </w:rPr>
      </w:pPr>
    </w:p>
    <w:p w14:paraId="5D93FACB" w14:textId="77777777" w:rsidR="009F3419" w:rsidRPr="00496684" w:rsidRDefault="009F3419" w:rsidP="009F3419">
      <w:pPr>
        <w:pStyle w:val="Endnotentext"/>
        <w:widowControl w:val="0"/>
        <w:tabs>
          <w:tab w:val="clear" w:pos="567"/>
        </w:tabs>
        <w:rPr>
          <w:szCs w:val="22"/>
          <w:lang w:val="it-IT"/>
        </w:rPr>
      </w:pPr>
      <w:r w:rsidRPr="00496684">
        <w:rPr>
          <w:szCs w:val="22"/>
          <w:u w:val="single"/>
          <w:lang w:val="it-IT"/>
        </w:rPr>
        <w:t>Analisi di laboratorio</w:t>
      </w:r>
    </w:p>
    <w:p w14:paraId="11092021" w14:textId="77777777" w:rsidR="009F3419" w:rsidRPr="00496684" w:rsidRDefault="009F3419" w:rsidP="009F3419">
      <w:pPr>
        <w:pStyle w:val="Endnotentext"/>
        <w:widowControl w:val="0"/>
        <w:tabs>
          <w:tab w:val="clear" w:pos="567"/>
        </w:tabs>
        <w:rPr>
          <w:szCs w:val="22"/>
          <w:lang w:val="it-IT"/>
        </w:rPr>
      </w:pPr>
      <w:r w:rsidRPr="00496684">
        <w:rPr>
          <w:szCs w:val="22"/>
          <w:lang w:val="it-IT"/>
        </w:rPr>
        <w:t xml:space="preserve">Durante la terapia con </w:t>
      </w:r>
      <w:r w:rsidR="009339F7" w:rsidRPr="00496684">
        <w:rPr>
          <w:szCs w:val="22"/>
          <w:lang w:val="it-IT"/>
        </w:rPr>
        <w:t>i</w:t>
      </w:r>
      <w:r w:rsidR="00521ABE" w:rsidRPr="00496684">
        <w:rPr>
          <w:szCs w:val="22"/>
          <w:lang w:val="it-IT"/>
        </w:rPr>
        <w:t xml:space="preserve">matinib </w:t>
      </w:r>
      <w:r w:rsidRPr="00496684">
        <w:rPr>
          <w:szCs w:val="22"/>
          <w:lang w:val="it-IT"/>
        </w:rPr>
        <w:t xml:space="preserve">effettuare regolarmente un conteggio ematico completo. Il trattamento con </w:t>
      </w:r>
      <w:r w:rsidR="009339F7" w:rsidRPr="00496684">
        <w:rPr>
          <w:szCs w:val="22"/>
          <w:lang w:val="it-IT"/>
        </w:rPr>
        <w:t>i</w:t>
      </w:r>
      <w:r w:rsidR="00521ABE" w:rsidRPr="00496684">
        <w:rPr>
          <w:szCs w:val="22"/>
          <w:lang w:val="it-IT"/>
        </w:rPr>
        <w:t xml:space="preserve">matinib </w:t>
      </w:r>
      <w:r w:rsidRPr="00496684">
        <w:rPr>
          <w:szCs w:val="22"/>
          <w:lang w:val="it-IT"/>
        </w:rPr>
        <w:t xml:space="preserve">di pazienti affetti da LMC è stato associato a neutropenia o trombocitopenia. Tuttavia il verificarsi di queste citopenie è probabilmente correlato allo stadio della malattia trattata ed è risultato più frequente nei pazienti con LMC in fase accelerata o crisi blastica rispetto ai pazienti con LMC in fase cronica. Il trattamento con </w:t>
      </w:r>
      <w:r w:rsidR="009339F7" w:rsidRPr="00496684">
        <w:rPr>
          <w:szCs w:val="22"/>
          <w:lang w:val="it-IT"/>
        </w:rPr>
        <w:t>i</w:t>
      </w:r>
      <w:r w:rsidR="00521ABE" w:rsidRPr="00496684">
        <w:rPr>
          <w:szCs w:val="22"/>
          <w:lang w:val="it-IT"/>
        </w:rPr>
        <w:t xml:space="preserve">matinib </w:t>
      </w:r>
      <w:r w:rsidRPr="00496684">
        <w:rPr>
          <w:szCs w:val="22"/>
          <w:lang w:val="it-IT"/>
        </w:rPr>
        <w:t>può essere interrotto o la dose può essere ridotta come raccomandato nel paragrafo 4.2.</w:t>
      </w:r>
    </w:p>
    <w:p w14:paraId="2622586C" w14:textId="77777777" w:rsidR="009F3419" w:rsidRPr="00496684" w:rsidRDefault="009F3419" w:rsidP="009F3419">
      <w:pPr>
        <w:pStyle w:val="Endnotentext"/>
        <w:widowControl w:val="0"/>
        <w:tabs>
          <w:tab w:val="clear" w:pos="567"/>
        </w:tabs>
        <w:rPr>
          <w:szCs w:val="22"/>
          <w:lang w:val="it-IT"/>
        </w:rPr>
      </w:pPr>
    </w:p>
    <w:p w14:paraId="0EA6F730" w14:textId="77777777" w:rsidR="009F3419" w:rsidRPr="00496684" w:rsidRDefault="009F3419" w:rsidP="009F3419">
      <w:pPr>
        <w:pStyle w:val="Endnotentext"/>
        <w:widowControl w:val="0"/>
        <w:tabs>
          <w:tab w:val="clear" w:pos="567"/>
        </w:tabs>
        <w:rPr>
          <w:szCs w:val="22"/>
          <w:lang w:val="it-IT"/>
        </w:rPr>
      </w:pPr>
      <w:r w:rsidRPr="00496684">
        <w:rPr>
          <w:szCs w:val="22"/>
          <w:lang w:val="it-IT"/>
        </w:rPr>
        <w:t xml:space="preserve">Nei pazienti trattati con </w:t>
      </w:r>
      <w:r w:rsidR="009339F7" w:rsidRPr="00496684">
        <w:rPr>
          <w:szCs w:val="22"/>
          <w:lang w:val="it-IT"/>
        </w:rPr>
        <w:t>i</w:t>
      </w:r>
      <w:r w:rsidR="00521ABE" w:rsidRPr="00496684">
        <w:rPr>
          <w:szCs w:val="22"/>
          <w:lang w:val="it-IT"/>
        </w:rPr>
        <w:t xml:space="preserve">matinib </w:t>
      </w:r>
      <w:r w:rsidRPr="00496684">
        <w:rPr>
          <w:szCs w:val="22"/>
          <w:lang w:val="it-IT"/>
        </w:rPr>
        <w:t>la funzione epatica (transaminasi, bilirubina, fosfatasi alcalina) deve essere monitorata regolarmente.</w:t>
      </w:r>
    </w:p>
    <w:p w14:paraId="366598A5" w14:textId="77777777" w:rsidR="009F3419" w:rsidRPr="00496684" w:rsidRDefault="009F3419" w:rsidP="009F3419">
      <w:pPr>
        <w:pStyle w:val="Endnotentext"/>
        <w:widowControl w:val="0"/>
        <w:tabs>
          <w:tab w:val="clear" w:pos="567"/>
        </w:tabs>
        <w:rPr>
          <w:szCs w:val="22"/>
          <w:lang w:val="it-IT"/>
        </w:rPr>
      </w:pPr>
    </w:p>
    <w:p w14:paraId="729DD239" w14:textId="77777777" w:rsidR="009F3419" w:rsidRPr="00496684" w:rsidRDefault="009F3419" w:rsidP="009F3419">
      <w:pPr>
        <w:pStyle w:val="Endnotentext"/>
        <w:widowControl w:val="0"/>
        <w:tabs>
          <w:tab w:val="clear" w:pos="567"/>
        </w:tabs>
        <w:rPr>
          <w:szCs w:val="22"/>
          <w:lang w:val="it-IT"/>
        </w:rPr>
      </w:pPr>
      <w:r w:rsidRPr="00496684">
        <w:rPr>
          <w:szCs w:val="22"/>
          <w:lang w:val="it-IT"/>
        </w:rPr>
        <w:t>Nei pazienti con funzionalità renale compromessa, l’esposizione plasmatica di imatinib sembra essere maggiore rispetto a quella osservata in pazienti con normale funzionalità renale, probabilmente a causa di elevati livelli plasmatici di alfa glicoproteina acida (AGP), proteina a cui si lega imatinib, in questi pazienti. Ai pazienti con compromissione renale deve essere somministrata la minima dose iniziale. I pazienti con grave compromissione renale devono essere trattati con cautela. La dose può essere ridotta se non tollerata (vedere paragrafi 4.2 e 5.2).</w:t>
      </w:r>
    </w:p>
    <w:p w14:paraId="2B96BE35" w14:textId="77777777" w:rsidR="00DF1DF3" w:rsidRPr="00496684" w:rsidRDefault="00DF1DF3" w:rsidP="00DF1DF3">
      <w:pPr>
        <w:pStyle w:val="Endnotentext"/>
        <w:widowControl w:val="0"/>
        <w:tabs>
          <w:tab w:val="clear" w:pos="567"/>
        </w:tabs>
        <w:rPr>
          <w:szCs w:val="22"/>
          <w:lang w:val="it-IT"/>
        </w:rPr>
      </w:pPr>
      <w:r w:rsidRPr="00496684">
        <w:rPr>
          <w:szCs w:val="22"/>
          <w:lang w:val="it-IT"/>
        </w:rPr>
        <w:br w:type="page"/>
        <w:t>Il trattamento a lungo termine con imatinib può essere associato ad una riduzione della funzione renale clinicamente significativa. Pertanto la funzionalità renale deve essere valutata prima dell’inizio della terapia con imatinib e strettamente monitorata durante la terapia, con particolare attenzione a quei pazienti che presentano fattori di rischio per disfunzione renale. Se si osserva disfunzione renale, deve essere appropriatamente gestita e trattata in conformità con le linee guida standard di trattamento.</w:t>
      </w:r>
    </w:p>
    <w:p w14:paraId="510BC780" w14:textId="77777777" w:rsidR="00DF1DF3" w:rsidRPr="00496684" w:rsidRDefault="00DF1DF3" w:rsidP="009F3419">
      <w:pPr>
        <w:pStyle w:val="Endnotentext"/>
        <w:widowControl w:val="0"/>
        <w:tabs>
          <w:tab w:val="clear" w:pos="567"/>
        </w:tabs>
        <w:rPr>
          <w:szCs w:val="22"/>
          <w:lang w:val="it-IT"/>
        </w:rPr>
      </w:pPr>
    </w:p>
    <w:p w14:paraId="4BF167F2" w14:textId="77777777" w:rsidR="009F3419" w:rsidRPr="00496684" w:rsidRDefault="009F3419" w:rsidP="009F3419">
      <w:pPr>
        <w:autoSpaceDE w:val="0"/>
        <w:autoSpaceDN w:val="0"/>
        <w:adjustRightInd w:val="0"/>
        <w:spacing w:after="0" w:line="240" w:lineRule="auto"/>
        <w:rPr>
          <w:rFonts w:ascii="Times New Roman" w:hAnsi="Times New Roman"/>
          <w:lang w:val="it-IT" w:eastAsia="is-IS"/>
        </w:rPr>
      </w:pPr>
    </w:p>
    <w:p w14:paraId="072D7EB7" w14:textId="77777777" w:rsidR="009F3419" w:rsidRPr="00496684" w:rsidRDefault="009F3419" w:rsidP="009F3419">
      <w:pPr>
        <w:pStyle w:val="Endnotentext"/>
        <w:widowControl w:val="0"/>
        <w:tabs>
          <w:tab w:val="clear" w:pos="567"/>
        </w:tabs>
        <w:rPr>
          <w:szCs w:val="22"/>
          <w:u w:val="single"/>
          <w:lang w:val="it-IT"/>
        </w:rPr>
      </w:pPr>
      <w:r w:rsidRPr="00496684">
        <w:rPr>
          <w:szCs w:val="22"/>
          <w:u w:val="single"/>
          <w:lang w:val="it-IT"/>
        </w:rPr>
        <w:t>Popolazione pediatrica</w:t>
      </w:r>
    </w:p>
    <w:p w14:paraId="7762F71D" w14:textId="3466DD6D" w:rsidR="009F3419" w:rsidRPr="00496684" w:rsidRDefault="009F3419" w:rsidP="009F3419">
      <w:pPr>
        <w:pStyle w:val="Endnotentext"/>
        <w:widowControl w:val="0"/>
        <w:tabs>
          <w:tab w:val="clear" w:pos="567"/>
        </w:tabs>
        <w:rPr>
          <w:szCs w:val="22"/>
          <w:lang w:val="it-IT"/>
        </w:rPr>
      </w:pPr>
      <w:r w:rsidRPr="00496684">
        <w:rPr>
          <w:szCs w:val="22"/>
          <w:lang w:val="it-IT"/>
        </w:rPr>
        <w:t xml:space="preserve">Casi di ritardo della crescita sono stati segnalati in bambini e pre-adolescenti in trattamento con imatinib. </w:t>
      </w:r>
      <w:r w:rsidR="000D6085" w:rsidRPr="00496684">
        <w:rPr>
          <w:szCs w:val="22"/>
          <w:lang w:val="it-IT"/>
        </w:rPr>
        <w:t>In uno studio osservazionale nella popolazione pediatrica con LMC, in due piccoli sottogruppi è stata riportata una diminuzione statisticamente significativa (ma di incerta rilevanza clinica) dei punteggi di deviazione standard dell’altezza mediana dopo 12 e 24 mesi di trattamento indipendentemente da stadio puberale o sesso.</w:t>
      </w:r>
      <w:r w:rsidRPr="00496684">
        <w:rPr>
          <w:szCs w:val="22"/>
          <w:lang w:val="it-IT"/>
        </w:rPr>
        <w:t xml:space="preserve"> </w:t>
      </w:r>
      <w:r w:rsidR="000D6085" w:rsidRPr="00496684">
        <w:rPr>
          <w:szCs w:val="22"/>
          <w:lang w:val="it-IT"/>
        </w:rPr>
        <w:t>S</w:t>
      </w:r>
      <w:r w:rsidRPr="00496684">
        <w:rPr>
          <w:szCs w:val="22"/>
          <w:lang w:val="it-IT"/>
        </w:rPr>
        <w:t>i raccomanda un attento monitoraggio della crescita nei bambini in trattamento con imatinib (vedere paragrafo</w:t>
      </w:r>
      <w:r w:rsidR="000D6085" w:rsidRPr="00496684">
        <w:rPr>
          <w:szCs w:val="22"/>
          <w:lang w:val="it-IT"/>
        </w:rPr>
        <w:t> </w:t>
      </w:r>
      <w:r w:rsidRPr="00496684">
        <w:rPr>
          <w:szCs w:val="22"/>
          <w:lang w:val="it-IT"/>
        </w:rPr>
        <w:t>4.8).</w:t>
      </w:r>
    </w:p>
    <w:p w14:paraId="2AAEFC10" w14:textId="77777777" w:rsidR="009F3419" w:rsidRPr="00496684" w:rsidRDefault="009F3419" w:rsidP="00CA176A">
      <w:pPr>
        <w:autoSpaceDE w:val="0"/>
        <w:autoSpaceDN w:val="0"/>
        <w:adjustRightInd w:val="0"/>
        <w:spacing w:after="0" w:line="240" w:lineRule="auto"/>
        <w:rPr>
          <w:rFonts w:ascii="Times New Roman" w:hAnsi="Times New Roman"/>
          <w:lang w:val="it-IT" w:eastAsia="is-IS"/>
        </w:rPr>
      </w:pPr>
    </w:p>
    <w:p w14:paraId="1608B447" w14:textId="77777777" w:rsidR="009F3419" w:rsidRPr="00496684" w:rsidRDefault="009F3419" w:rsidP="00CA176A">
      <w:pPr>
        <w:autoSpaceDE w:val="0"/>
        <w:autoSpaceDN w:val="0"/>
        <w:adjustRightInd w:val="0"/>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Eccipienti</w:t>
      </w:r>
    </w:p>
    <w:p w14:paraId="609A4453" w14:textId="77777777" w:rsidR="00873FF3" w:rsidRPr="00496684" w:rsidRDefault="00873FF3" w:rsidP="00CA176A">
      <w:pPr>
        <w:autoSpaceDE w:val="0"/>
        <w:autoSpaceDN w:val="0"/>
        <w:adjustRightInd w:val="0"/>
        <w:spacing w:after="0" w:line="240" w:lineRule="auto"/>
        <w:rPr>
          <w:rFonts w:ascii="Times New Roman" w:eastAsia="Times New Roman" w:hAnsi="Times New Roman"/>
          <w:lang w:val="it-IT" w:eastAsia="it-IT"/>
        </w:rPr>
      </w:pPr>
    </w:p>
    <w:p w14:paraId="0027A9B7" w14:textId="7941171A" w:rsidR="00873FF3" w:rsidRPr="00496684" w:rsidRDefault="00873FF3" w:rsidP="00CA176A">
      <w:pPr>
        <w:autoSpaceDE w:val="0"/>
        <w:autoSpaceDN w:val="0"/>
        <w:adjustRightInd w:val="0"/>
        <w:spacing w:after="0" w:line="240" w:lineRule="auto"/>
        <w:rPr>
          <w:rFonts w:ascii="Times New Roman" w:eastAsia="Times New Roman" w:hAnsi="Times New Roman"/>
          <w:i/>
          <w:lang w:val="it-IT" w:eastAsia="it-IT"/>
        </w:rPr>
      </w:pPr>
      <w:r w:rsidRPr="00496684">
        <w:rPr>
          <w:rFonts w:ascii="Times New Roman" w:eastAsia="Times New Roman" w:hAnsi="Times New Roman"/>
          <w:i/>
          <w:lang w:val="it-IT" w:eastAsia="it-IT"/>
        </w:rPr>
        <w:t>Lecitina di soia</w:t>
      </w:r>
    </w:p>
    <w:p w14:paraId="66F8BFB0" w14:textId="0CA67021" w:rsidR="009F3419" w:rsidRPr="00496684" w:rsidRDefault="009F3419" w:rsidP="00CA176A">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Questo medicinale contiene lecitina di soia. Pazienti, che sono allergici alle arachidi o alla soia, </w:t>
      </w:r>
      <w:r w:rsidR="00E95882" w:rsidRPr="00496684">
        <w:rPr>
          <w:rFonts w:ascii="Times New Roman" w:eastAsia="Times New Roman" w:hAnsi="Times New Roman"/>
          <w:lang w:val="it-IT" w:eastAsia="it-IT"/>
        </w:rPr>
        <w:t xml:space="preserve">non </w:t>
      </w:r>
      <w:r w:rsidR="003F6172" w:rsidRPr="00496684">
        <w:rPr>
          <w:rFonts w:ascii="Times New Roman" w:eastAsia="Times New Roman" w:hAnsi="Times New Roman"/>
          <w:lang w:val="it-IT" w:eastAsia="it-IT"/>
        </w:rPr>
        <w:t xml:space="preserve">possono </w:t>
      </w:r>
      <w:r w:rsidRPr="00496684">
        <w:rPr>
          <w:rFonts w:ascii="Times New Roman" w:eastAsia="Times New Roman" w:hAnsi="Times New Roman"/>
          <w:lang w:val="it-IT" w:eastAsia="it-IT"/>
        </w:rPr>
        <w:t>usare questo medicinale</w:t>
      </w:r>
    </w:p>
    <w:p w14:paraId="59BFDC47" w14:textId="77777777" w:rsidR="00134092" w:rsidRPr="00496684" w:rsidRDefault="00134092" w:rsidP="00CA176A">
      <w:pPr>
        <w:autoSpaceDE w:val="0"/>
        <w:autoSpaceDN w:val="0"/>
        <w:adjustRightInd w:val="0"/>
        <w:spacing w:after="0" w:line="240" w:lineRule="auto"/>
        <w:rPr>
          <w:rFonts w:ascii="Times New Roman" w:eastAsia="Times New Roman" w:hAnsi="Times New Roman"/>
          <w:lang w:val="it-IT" w:eastAsia="it-IT"/>
        </w:rPr>
      </w:pPr>
    </w:p>
    <w:p w14:paraId="532D557D" w14:textId="77777777" w:rsidR="00134092" w:rsidRPr="00496684" w:rsidRDefault="00134092" w:rsidP="00134092">
      <w:pPr>
        <w:widowControl w:val="0"/>
        <w:spacing w:after="0" w:line="240" w:lineRule="auto"/>
        <w:rPr>
          <w:rFonts w:ascii="Times New Roman" w:eastAsia="Times New Roman" w:hAnsi="Times New Roman"/>
          <w:i/>
          <w:lang w:val="it-IT"/>
        </w:rPr>
      </w:pPr>
      <w:r w:rsidRPr="00496684">
        <w:rPr>
          <w:rFonts w:ascii="Times New Roman" w:eastAsia="Times New Roman" w:hAnsi="Times New Roman"/>
          <w:i/>
          <w:lang w:val="it-IT"/>
        </w:rPr>
        <w:t>Sodio</w:t>
      </w:r>
    </w:p>
    <w:p w14:paraId="30727F10" w14:textId="749CB97F" w:rsidR="00134092" w:rsidRPr="00496684" w:rsidRDefault="00134092" w:rsidP="00134092">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rPr>
        <w:t>Questo medicinale contiene meno di 1 mmol (23 mg) di sodio per compressa rivestita con film, cioè essenzialmente ‘senza sodio’.</w:t>
      </w:r>
    </w:p>
    <w:p w14:paraId="6FDEB01B"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4D16EE99" w14:textId="77777777" w:rsidR="00CA176A" w:rsidRPr="00496684" w:rsidRDefault="00CA176A" w:rsidP="00CA176A">
      <w:pPr>
        <w:autoSpaceDE w:val="0"/>
        <w:autoSpaceDN w:val="0"/>
        <w:adjustRightInd w:val="0"/>
        <w:spacing w:after="0" w:line="240" w:lineRule="auto"/>
        <w:rPr>
          <w:rFonts w:ascii="Times New Roman" w:hAnsi="Times New Roman"/>
          <w:b/>
          <w:lang w:val="it-IT"/>
        </w:rPr>
      </w:pPr>
      <w:r w:rsidRPr="00496684">
        <w:rPr>
          <w:rFonts w:ascii="Times New Roman" w:hAnsi="Times New Roman"/>
          <w:b/>
          <w:bCs/>
          <w:lang w:val="it-IT" w:eastAsia="is-IS"/>
        </w:rPr>
        <w:t>4.5</w:t>
      </w:r>
      <w:r w:rsidRPr="00496684">
        <w:rPr>
          <w:rFonts w:ascii="Times New Roman" w:hAnsi="Times New Roman"/>
          <w:b/>
          <w:bCs/>
          <w:lang w:val="it-IT" w:eastAsia="is-IS"/>
        </w:rPr>
        <w:tab/>
      </w:r>
      <w:r w:rsidR="009F3419" w:rsidRPr="00496684">
        <w:rPr>
          <w:rFonts w:ascii="Times New Roman" w:hAnsi="Times New Roman"/>
          <w:b/>
          <w:lang w:val="it-IT"/>
        </w:rPr>
        <w:t>Interazioni con altri medicinali ed altre forme di interazione</w:t>
      </w:r>
    </w:p>
    <w:p w14:paraId="03CC47EA" w14:textId="77777777" w:rsidR="00B20FFF" w:rsidRPr="00496684" w:rsidRDefault="00B20FFF" w:rsidP="00CA176A">
      <w:pPr>
        <w:autoSpaceDE w:val="0"/>
        <w:autoSpaceDN w:val="0"/>
        <w:adjustRightInd w:val="0"/>
        <w:spacing w:after="0" w:line="240" w:lineRule="auto"/>
        <w:rPr>
          <w:rFonts w:ascii="Times New Roman" w:hAnsi="Times New Roman"/>
          <w:b/>
          <w:lang w:val="it-IT"/>
        </w:rPr>
      </w:pPr>
    </w:p>
    <w:p w14:paraId="4EEF97CD" w14:textId="1E8A0C69" w:rsidR="00B20FFF" w:rsidRPr="00496684" w:rsidRDefault="00B20FFF" w:rsidP="00B20FFF">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 xml:space="preserve">Principi attivi che </w:t>
      </w:r>
      <w:r w:rsidR="00761BB3" w:rsidRPr="00496684">
        <w:rPr>
          <w:rFonts w:ascii="Times New Roman" w:eastAsia="Times New Roman" w:hAnsi="Times New Roman"/>
          <w:u w:val="single"/>
          <w:lang w:val="it-IT" w:eastAsia="it-IT"/>
        </w:rPr>
        <w:t>possono</w:t>
      </w:r>
      <w:r w:rsidRPr="00496684">
        <w:rPr>
          <w:rFonts w:ascii="Times New Roman" w:eastAsia="Times New Roman" w:hAnsi="Times New Roman"/>
          <w:u w:val="single"/>
          <w:lang w:val="it-IT" w:eastAsia="it-IT"/>
        </w:rPr>
        <w:t xml:space="preserve"> </w:t>
      </w:r>
      <w:r w:rsidRPr="00496684">
        <w:rPr>
          <w:rFonts w:ascii="Times New Roman" w:eastAsia="Times New Roman" w:hAnsi="Times New Roman"/>
          <w:b/>
          <w:u w:val="single"/>
          <w:lang w:val="it-IT" w:eastAsia="it-IT"/>
        </w:rPr>
        <w:t>aumentare</w:t>
      </w:r>
      <w:r w:rsidRPr="00496684">
        <w:rPr>
          <w:rFonts w:ascii="Times New Roman" w:eastAsia="Times New Roman" w:hAnsi="Times New Roman"/>
          <w:u w:val="single"/>
          <w:lang w:val="it-IT" w:eastAsia="it-IT"/>
        </w:rPr>
        <w:t xml:space="preserve"> le concentrazioni plasmatiche di imatinib:</w:t>
      </w:r>
    </w:p>
    <w:p w14:paraId="589F6B5D" w14:textId="310AD763" w:rsidR="00B20FFF" w:rsidRPr="00496684" w:rsidRDefault="00B20FFF" w:rsidP="00B20FFF">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Le sostanze che inibiscono l’attività dell’isoenzima CYP3A4 del citocromo P450 (es. inibitori delle proteasi quali indinavir, lopinavir/ritonavir, ritonavir, saquinavir, telaprevir, nelfinavir, boceprevir; antifungini azolici incluso ketoconazolo, itraconazolo, posaconazolo, voriconazolo; alcuni macrolidi come eritromicina, claritromicina e telitromicina) </w:t>
      </w:r>
      <w:r w:rsidR="00761BB3" w:rsidRPr="00496684">
        <w:rPr>
          <w:rFonts w:ascii="Times New Roman" w:eastAsia="Times New Roman" w:hAnsi="Times New Roman"/>
          <w:lang w:val="it-IT" w:eastAsia="it-IT"/>
        </w:rPr>
        <w:t>possono</w:t>
      </w:r>
      <w:r w:rsidRPr="00496684">
        <w:rPr>
          <w:rFonts w:ascii="Times New Roman" w:eastAsia="Times New Roman" w:hAnsi="Times New Roman"/>
          <w:lang w:val="it-IT" w:eastAsia="it-IT"/>
        </w:rPr>
        <w:t xml:space="preserve"> ridurre il metabolismo ed aumentare le concentrazioni di imatinib. E’ stato riscontrato un significativo aumento dell’esposizione a imatinib (i valori medi di Cmax e di AUC di imatinib sono aumentati rispettivamente del 26% e del 40%) nei soggetti sani in caso di somministrazione contemporanea di una singola dose di chetoconazolo (un inibitore del CYP3A4). E' necessaria cautela nella somministrazione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con la famiglia di inibitori CYP3A4</w:t>
      </w:r>
    </w:p>
    <w:p w14:paraId="76E6AB18" w14:textId="77777777" w:rsidR="00B20FFF" w:rsidRPr="00496684" w:rsidRDefault="00B20FFF" w:rsidP="00CA176A">
      <w:pPr>
        <w:autoSpaceDE w:val="0"/>
        <w:autoSpaceDN w:val="0"/>
        <w:adjustRightInd w:val="0"/>
        <w:spacing w:after="0" w:line="240" w:lineRule="auto"/>
        <w:rPr>
          <w:rFonts w:ascii="Times New Roman" w:hAnsi="Times New Roman"/>
          <w:b/>
          <w:bCs/>
          <w:lang w:val="it-IT" w:eastAsia="is-IS"/>
        </w:rPr>
      </w:pPr>
    </w:p>
    <w:p w14:paraId="0A3EAF88" w14:textId="07F5B022" w:rsidR="00B20FFF" w:rsidRPr="00496684" w:rsidRDefault="00B20FFF" w:rsidP="00B20FFF">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 xml:space="preserve">Principi attivi che </w:t>
      </w:r>
      <w:r w:rsidR="00761BB3" w:rsidRPr="00496684">
        <w:rPr>
          <w:rFonts w:ascii="Times New Roman" w:eastAsia="Times New Roman" w:hAnsi="Times New Roman"/>
          <w:u w:val="single"/>
          <w:lang w:val="it-IT" w:eastAsia="it-IT"/>
        </w:rPr>
        <w:t>possono</w:t>
      </w:r>
      <w:r w:rsidRPr="00496684">
        <w:rPr>
          <w:rFonts w:ascii="Times New Roman" w:eastAsia="Times New Roman" w:hAnsi="Times New Roman"/>
          <w:u w:val="single"/>
          <w:lang w:val="it-IT" w:eastAsia="it-IT"/>
        </w:rPr>
        <w:t xml:space="preserve"> </w:t>
      </w:r>
      <w:r w:rsidRPr="00496684">
        <w:rPr>
          <w:rFonts w:ascii="Times New Roman" w:eastAsia="Times New Roman" w:hAnsi="Times New Roman"/>
          <w:b/>
          <w:u w:val="single"/>
          <w:lang w:val="it-IT" w:eastAsia="it-IT"/>
        </w:rPr>
        <w:t>ridurre</w:t>
      </w:r>
      <w:r w:rsidRPr="00496684">
        <w:rPr>
          <w:rFonts w:ascii="Times New Roman" w:eastAsia="Times New Roman" w:hAnsi="Times New Roman"/>
          <w:u w:val="single"/>
          <w:lang w:val="it-IT" w:eastAsia="it-IT"/>
        </w:rPr>
        <w:t xml:space="preserve"> le concentrazioni plasmatiche di imatinib:</w:t>
      </w:r>
    </w:p>
    <w:p w14:paraId="21E0B8F8" w14:textId="77777777" w:rsidR="00B20FFF" w:rsidRPr="00496684" w:rsidRDefault="00B20FFF" w:rsidP="00B20FFF">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Le sostanze che stimolano l’attività del CYP3A4 (es. desametasone, fenitoina, carbamazepina, rifampicina, fenobarbitale, fosfenitoina, primidone o Hypericum perforatum, anche noto come erba di San Giovanni) possono ridurre significativamente l’esposizione a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matinib</w:t>
      </w:r>
      <w:r w:rsidRPr="00496684">
        <w:rPr>
          <w:rFonts w:ascii="Times New Roman" w:eastAsia="Times New Roman" w:hAnsi="Times New Roman"/>
          <w:lang w:val="it-IT" w:eastAsia="it-IT"/>
        </w:rPr>
        <w:t xml:space="preserve">, aumentando potenzialmente il rischio di fallimento terapeutico. Il pretrattamento con dosi multiple di rifampicina 600 mg seguite da una dose singola di 400 mg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matinib</w:t>
      </w:r>
      <w:r w:rsidRPr="00496684">
        <w:rPr>
          <w:rFonts w:ascii="Times New Roman" w:eastAsia="Times New Roman" w:hAnsi="Times New Roman"/>
          <w:lang w:val="it-IT" w:eastAsia="it-IT"/>
        </w:rPr>
        <w:t xml:space="preserve">, ha determinato una diminuzione di Cmax, e di AUC (0-∞) di almeno il 54% e il 74% rispetto ai relativi valori senza trattamento con rifampicina. Risultati simili sono stati osservati in pazienti con gliomi maligni trattati con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mentre assumevano </w:t>
      </w:r>
      <w:r w:rsidR="00EA609F" w:rsidRPr="00496684">
        <w:rPr>
          <w:rFonts w:ascii="Times New Roman" w:eastAsia="Times New Roman" w:hAnsi="Times New Roman"/>
          <w:lang w:val="it-IT" w:eastAsia="it-IT"/>
        </w:rPr>
        <w:t xml:space="preserve">medicinali </w:t>
      </w:r>
      <w:r w:rsidRPr="00496684">
        <w:rPr>
          <w:rFonts w:ascii="Times New Roman" w:eastAsia="Times New Roman" w:hAnsi="Times New Roman"/>
          <w:lang w:val="it-IT" w:eastAsia="it-IT"/>
        </w:rPr>
        <w:t>antiepilettici induttori enzimatici (EIAED) quali carbamazepina, oxcarbazepina e fenitoina. L’AUC plasmatica di imatinib è stata ridotta del 73% rispetto ai pazienti non trattati con EIAED. L’uso concomitante di rifampicina o di forti induttori del CYP3A4 e di imatinib deve essere evitato.</w:t>
      </w:r>
    </w:p>
    <w:p w14:paraId="4524BD4A" w14:textId="77777777" w:rsidR="00CA176A" w:rsidRPr="00496684" w:rsidRDefault="00CA176A" w:rsidP="00CA176A">
      <w:pPr>
        <w:autoSpaceDE w:val="0"/>
        <w:autoSpaceDN w:val="0"/>
        <w:adjustRightInd w:val="0"/>
        <w:spacing w:after="0" w:line="240" w:lineRule="auto"/>
        <w:rPr>
          <w:rFonts w:ascii="Times New Roman" w:hAnsi="Times New Roman"/>
          <w:lang w:val="it-IT" w:eastAsia="is-IS"/>
        </w:rPr>
      </w:pPr>
    </w:p>
    <w:p w14:paraId="2D7E8664" w14:textId="77777777" w:rsidR="00B20FFF" w:rsidRPr="00496684" w:rsidRDefault="00B20FFF" w:rsidP="00B20FFF">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 xml:space="preserve">Principi attivi la cui concentrazione plasmatica può essere alterata da </w:t>
      </w:r>
      <w:r w:rsidR="00996082" w:rsidRPr="00496684">
        <w:rPr>
          <w:rFonts w:ascii="Times New Roman" w:eastAsia="Times New Roman" w:hAnsi="Times New Roman"/>
          <w:u w:val="single"/>
          <w:lang w:val="it-IT" w:eastAsia="it-IT"/>
        </w:rPr>
        <w:t>imatinib</w:t>
      </w:r>
      <w:r w:rsidR="0086182F" w:rsidRPr="00496684">
        <w:rPr>
          <w:rFonts w:ascii="Times New Roman" w:eastAsia="Times New Roman" w:hAnsi="Times New Roman"/>
          <w:u w:val="single"/>
          <w:lang w:val="it-IT" w:eastAsia="it-IT"/>
        </w:rPr>
        <w:t>:</w:t>
      </w:r>
    </w:p>
    <w:p w14:paraId="69F6813E" w14:textId="7772C08B" w:rsidR="00B20FFF" w:rsidRPr="00496684" w:rsidRDefault="00B20FFF" w:rsidP="00996082">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Imatinib aumenta i valori medi Cmax e AUC della simvastatina (substrato del CYP3A4) rispettivamente di 2 e 3,5 volte, indicando un'inibizione del CYP3A4 da parte di imatinib. Si raccomanda quindi cautela nella somministrazione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con substrati del CYP3A4 con una stretta finestra terapeutica (es. ciclosporina, pimozide, tacrolimus, sirolimus, ergotamina, diergotamina, fentanil, alfentanil, terfenadina, bortezomib, docetaxel e chinidina).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00761BB3" w:rsidRPr="00496684">
        <w:rPr>
          <w:rFonts w:ascii="Times New Roman" w:eastAsia="Times New Roman" w:hAnsi="Times New Roman"/>
          <w:lang w:val="it-IT" w:eastAsia="it-IT"/>
        </w:rPr>
        <w:t>può</w:t>
      </w:r>
      <w:r w:rsidRPr="00496684">
        <w:rPr>
          <w:rFonts w:ascii="Times New Roman" w:eastAsia="Times New Roman" w:hAnsi="Times New Roman"/>
          <w:lang w:val="it-IT" w:eastAsia="it-IT"/>
        </w:rPr>
        <w:t xml:space="preserve"> aumentare le concentrazioni plasmatiche di altri farmaci metabolizzati dal CYP3A4 (es. triazolo-benzodiazepina, diidropiridina, bloccanti dei canali del calcio, alcuni inibitori della </w:t>
      </w:r>
      <w:smartTag w:uri="urn:schemas-microsoft-com:office:smarttags" w:element="stockticker">
        <w:r w:rsidRPr="00496684">
          <w:rPr>
            <w:rFonts w:ascii="Times New Roman" w:eastAsia="Times New Roman" w:hAnsi="Times New Roman"/>
            <w:lang w:val="it-IT" w:eastAsia="it-IT"/>
          </w:rPr>
          <w:t>HMG</w:t>
        </w:r>
      </w:smartTag>
      <w:r w:rsidRPr="00496684">
        <w:rPr>
          <w:rFonts w:ascii="Times New Roman" w:eastAsia="Times New Roman" w:hAnsi="Times New Roman"/>
          <w:lang w:val="it-IT" w:eastAsia="it-IT"/>
        </w:rPr>
        <w:t>-CoA reduttasi, es. statine etc.).</w:t>
      </w:r>
    </w:p>
    <w:p w14:paraId="30C91C57" w14:textId="77777777" w:rsidR="00B20FFF" w:rsidRPr="00496684" w:rsidRDefault="00B20FFF" w:rsidP="00996082">
      <w:pPr>
        <w:spacing w:after="0" w:line="240" w:lineRule="auto"/>
        <w:rPr>
          <w:rFonts w:ascii="Times New Roman" w:eastAsia="Times New Roman" w:hAnsi="Times New Roman"/>
          <w:lang w:val="it-IT" w:eastAsia="it-IT"/>
        </w:rPr>
      </w:pPr>
    </w:p>
    <w:p w14:paraId="2E50EFE7" w14:textId="77777777" w:rsidR="00B20FFF" w:rsidRPr="00496684" w:rsidRDefault="00B20FFF" w:rsidP="00996082">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 causa del noto aumento dei rischi di sanguinamento in concomitanza con l’uso di imatinib (es. emorragia), i pazienti che richiedono anticoagulanti dovrebbero ricevere eparina standard o di basso peso molecolare, invece di derivati cumarinici come la warfarina</w:t>
      </w:r>
    </w:p>
    <w:p w14:paraId="72103088" w14:textId="77777777" w:rsidR="00B20FFF" w:rsidRPr="00496684" w:rsidRDefault="00B20FFF" w:rsidP="00B20FFF">
      <w:pPr>
        <w:spacing w:after="0" w:line="240" w:lineRule="auto"/>
        <w:rPr>
          <w:rFonts w:ascii="Times New Roman" w:eastAsia="Times New Roman" w:hAnsi="Times New Roman"/>
          <w:lang w:val="it-IT" w:eastAsia="it-IT"/>
        </w:rPr>
      </w:pPr>
    </w:p>
    <w:p w14:paraId="7222B369" w14:textId="77777777" w:rsidR="00B20FFF" w:rsidRPr="00496684" w:rsidRDefault="00B20FFF" w:rsidP="00B20FFF">
      <w:pPr>
        <w:spacing w:after="0" w:line="240" w:lineRule="auto"/>
        <w:rPr>
          <w:rFonts w:ascii="Times New Roman" w:eastAsia="Times New Roman" w:hAnsi="Times New Roman"/>
          <w:lang w:val="it-IT" w:eastAsia="it-IT"/>
        </w:rPr>
      </w:pPr>
      <w:r w:rsidRPr="00496684">
        <w:rPr>
          <w:rFonts w:ascii="Times New Roman" w:eastAsia="Times New Roman" w:hAnsi="Times New Roman"/>
          <w:i/>
          <w:lang w:val="it-IT" w:eastAsia="it-IT"/>
        </w:rPr>
        <w:t>In vitro</w:t>
      </w:r>
      <w:r w:rsidRPr="00496684">
        <w:rPr>
          <w:rFonts w:ascii="Times New Roman" w:eastAsia="Times New Roman" w:hAnsi="Times New Roman"/>
          <w:lang w:val="it-IT" w:eastAsia="it-IT"/>
        </w:rPr>
        <w:t xml:space="preserve"> </w:t>
      </w:r>
      <w:r w:rsidR="00996082"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inibisce l’attività dell’isoenzima CYP2D6 del citocromo P450 a concentrazioni simili a quelle che influiscono sull’attività del CYP3A4. Imatinib 400 mg due volte al giorno ha avuto un effetto inibitorio sul metabolismo del metoprololo mediato da CYP2D6, con un aumento della Cmax e dell’AUC di circa il 23% (90%IC [1,16</w:t>
      </w:r>
      <w:r w:rsidRPr="00496684">
        <w:rPr>
          <w:rFonts w:ascii="Times New Roman" w:eastAsia="Times New Roman" w:hAnsi="Times New Roman"/>
          <w:lang w:val="it-IT" w:eastAsia="it-IT"/>
        </w:rPr>
        <w:noBreakHyphen/>
        <w:t>1,30]). Aggiustamenti della dose non sembrano essere necessari quando imatinib è somministrato in concomitanza con substrati del CYP2D6, tuttavia si consiglia cautela per i substrati del CYP2D6 con una stretta finestra terapeutica come il metoprololo. In pazienti trattati con metoprololo deve essere preso in considerazione il monitoraggio clinico.</w:t>
      </w:r>
    </w:p>
    <w:p w14:paraId="3849B376" w14:textId="77777777" w:rsidR="00B20FFF" w:rsidRPr="00496684" w:rsidRDefault="00B20FFF" w:rsidP="00B20FFF">
      <w:pPr>
        <w:spacing w:after="0" w:line="240" w:lineRule="auto"/>
        <w:rPr>
          <w:rFonts w:ascii="Times New Roman" w:eastAsia="Times New Roman" w:hAnsi="Times New Roman"/>
          <w:lang w:val="it-IT" w:eastAsia="it-IT"/>
        </w:rPr>
      </w:pPr>
    </w:p>
    <w:p w14:paraId="7E769A7E" w14:textId="77777777" w:rsidR="00B20FFF" w:rsidRPr="00496684" w:rsidRDefault="00B20FFF" w:rsidP="00B20FFF">
      <w:pPr>
        <w:spacing w:after="0" w:line="240" w:lineRule="auto"/>
        <w:rPr>
          <w:rFonts w:ascii="Times New Roman" w:eastAsia="Times New Roman" w:hAnsi="Times New Roman"/>
          <w:lang w:val="it-IT" w:eastAsia="it-IT"/>
        </w:rPr>
      </w:pPr>
      <w:r w:rsidRPr="00496684">
        <w:rPr>
          <w:rFonts w:ascii="Times New Roman" w:eastAsia="Times New Roman" w:hAnsi="Times New Roman"/>
          <w:i/>
          <w:lang w:val="it-IT" w:eastAsia="it-IT"/>
        </w:rPr>
        <w:t>In vitro</w:t>
      </w:r>
      <w:r w:rsidRPr="00496684">
        <w:rPr>
          <w:rFonts w:ascii="Times New Roman" w:eastAsia="Times New Roman" w:hAnsi="Times New Roman"/>
          <w:lang w:val="it-IT" w:eastAsia="it-IT"/>
        </w:rPr>
        <w:t xml:space="preserve">, </w:t>
      </w:r>
      <w:r w:rsidR="00521ABE" w:rsidRPr="00496684">
        <w:rPr>
          <w:rFonts w:ascii="Times New Roman" w:eastAsia="Times New Roman" w:hAnsi="Times New Roman"/>
          <w:lang w:val="it-IT" w:eastAsia="it-IT"/>
        </w:rPr>
        <w:t xml:space="preserve">Imatinib </w:t>
      </w:r>
      <w:r w:rsidRPr="00496684">
        <w:rPr>
          <w:rFonts w:ascii="Times New Roman" w:eastAsia="Times New Roman" w:hAnsi="Times New Roman"/>
          <w:lang w:val="it-IT" w:eastAsia="it-IT"/>
        </w:rPr>
        <w:t>inibisce la O-glucuronidazione del paracetamolo con un valore Ki di 58,5 micromoli/</w:t>
      </w:r>
      <w:r w:rsidR="00EA609F" w:rsidRPr="00496684">
        <w:rPr>
          <w:rFonts w:ascii="Times New Roman" w:eastAsia="Times New Roman" w:hAnsi="Times New Roman"/>
          <w:lang w:val="it-IT" w:eastAsia="it-IT"/>
        </w:rPr>
        <w:t>L</w:t>
      </w:r>
      <w:r w:rsidRPr="00496684">
        <w:rPr>
          <w:rFonts w:ascii="Times New Roman" w:eastAsia="Times New Roman" w:hAnsi="Times New Roman"/>
          <w:lang w:val="it-IT" w:eastAsia="it-IT"/>
        </w:rPr>
        <w:t xml:space="preserve">. Questa inibizione non è stata osservata in vivo dopo la somministrazione di 400 mg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e di 1000 mg di paracetamolo. Dosi più elevate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e paracetamolo non sono state studiate.</w:t>
      </w:r>
    </w:p>
    <w:p w14:paraId="2711D1CE" w14:textId="77777777" w:rsidR="00B20FFF" w:rsidRPr="00496684" w:rsidRDefault="00B20FFF" w:rsidP="00B20FFF">
      <w:pPr>
        <w:spacing w:after="0" w:line="240" w:lineRule="auto"/>
        <w:rPr>
          <w:rFonts w:ascii="Times New Roman" w:eastAsia="Times New Roman" w:hAnsi="Times New Roman"/>
          <w:lang w:val="it-IT" w:eastAsia="it-IT"/>
        </w:rPr>
      </w:pPr>
    </w:p>
    <w:p w14:paraId="71AA9364" w14:textId="77777777" w:rsidR="00B20FFF" w:rsidRPr="00496684" w:rsidRDefault="00B20FFF" w:rsidP="00B20FFF">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Deve essere pertanto prestata attenzione quando si usano in modo concomitante dosi elevate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e paracetamolo.</w:t>
      </w:r>
    </w:p>
    <w:p w14:paraId="37E54F13" w14:textId="77777777" w:rsidR="00B20FFF" w:rsidRPr="00496684" w:rsidRDefault="00B20FFF" w:rsidP="00B20FFF">
      <w:pPr>
        <w:spacing w:after="0" w:line="240" w:lineRule="auto"/>
        <w:rPr>
          <w:rFonts w:ascii="Times New Roman" w:eastAsia="Times New Roman" w:hAnsi="Times New Roman"/>
          <w:lang w:val="it-IT" w:eastAsia="it-IT"/>
        </w:rPr>
      </w:pPr>
    </w:p>
    <w:p w14:paraId="73176D88" w14:textId="77777777" w:rsidR="00B20FFF" w:rsidRPr="00496684" w:rsidRDefault="00B20FFF" w:rsidP="00B20FFF">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Nei pazienti tiroidectomizzati in trattamento con levotiroxina, può essere diminuita l’esposizione plasmatica alla levotiroxina in caso di somministrazione concomitante di </w:t>
      </w:r>
      <w:r w:rsidR="009339F7" w:rsidRPr="00496684">
        <w:rPr>
          <w:rFonts w:ascii="Times New Roman" w:eastAsia="Times New Roman" w:hAnsi="Times New Roman"/>
          <w:lang w:val="it-IT" w:eastAsia="it-IT"/>
        </w:rPr>
        <w:t>im</w:t>
      </w:r>
      <w:r w:rsidR="00521ABE" w:rsidRPr="00496684">
        <w:rPr>
          <w:rFonts w:ascii="Times New Roman" w:eastAsia="Times New Roman" w:hAnsi="Times New Roman"/>
          <w:lang w:val="it-IT" w:eastAsia="it-IT"/>
        </w:rPr>
        <w:t xml:space="preserve">atinib </w:t>
      </w:r>
      <w:r w:rsidRPr="00496684">
        <w:rPr>
          <w:rFonts w:ascii="Times New Roman" w:eastAsia="Times New Roman" w:hAnsi="Times New Roman"/>
          <w:lang w:val="it-IT" w:eastAsia="it-IT"/>
        </w:rPr>
        <w:t>(vedere paragrafo 4.4). Si raccomanda pertanto cautela. Il meccanismo dell’interazione osservata è, comunque, al momento non noto.</w:t>
      </w:r>
    </w:p>
    <w:p w14:paraId="64D1EE3E" w14:textId="77777777" w:rsidR="00B20FFF" w:rsidRPr="00496684" w:rsidRDefault="00B20FFF" w:rsidP="00B20FFF">
      <w:pPr>
        <w:spacing w:after="0" w:line="240" w:lineRule="auto"/>
        <w:rPr>
          <w:rFonts w:ascii="Times New Roman" w:eastAsia="Times New Roman" w:hAnsi="Times New Roman"/>
          <w:lang w:val="it-IT" w:eastAsia="it-IT"/>
        </w:rPr>
      </w:pPr>
    </w:p>
    <w:p w14:paraId="64ADB9D5" w14:textId="08519D8B" w:rsidR="00B20FFF" w:rsidRPr="00496684" w:rsidRDefault="00B20FFF" w:rsidP="00B20FFF">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Nei pazienti con LLA Ph+ ci sono esperienze cliniche di </w:t>
      </w:r>
      <w:r w:rsidR="00996082"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somministrato in concomitanza alla chemioterapia (vedere paragrafo 5.1), ma non sono state completamente caratterizzate le interazioni farmacologiche tra imatinib e regimi chemioterapici. Gli eventi avversi di imatinib, come epatotossicità, mielosoppressione o altri, </w:t>
      </w:r>
      <w:r w:rsidR="00761BB3" w:rsidRPr="00496684">
        <w:rPr>
          <w:rFonts w:ascii="Times New Roman" w:eastAsia="Times New Roman" w:hAnsi="Times New Roman"/>
          <w:lang w:val="it-IT" w:eastAsia="it-IT"/>
        </w:rPr>
        <w:t>possono</w:t>
      </w:r>
      <w:r w:rsidRPr="00496684">
        <w:rPr>
          <w:rFonts w:ascii="Times New Roman" w:eastAsia="Times New Roman" w:hAnsi="Times New Roman"/>
          <w:lang w:val="it-IT" w:eastAsia="it-IT"/>
        </w:rPr>
        <w:t xml:space="preserve"> aumentare ed è stato riportato che l’uso concomitante con L-asparaginasi può essere associato ad un’aumentata epatotossicità (vedere paragrafo 4.8). Pertanto l’uso di </w:t>
      </w:r>
      <w:r w:rsidR="009339F7" w:rsidRPr="00496684">
        <w:rPr>
          <w:rFonts w:ascii="Times New Roman" w:eastAsia="Times New Roman" w:hAnsi="Times New Roman"/>
          <w:lang w:val="it-IT" w:eastAsia="it-IT"/>
        </w:rPr>
        <w:t>i</w:t>
      </w:r>
      <w:r w:rsidR="00521ABE" w:rsidRPr="00496684">
        <w:rPr>
          <w:rFonts w:ascii="Times New Roman" w:eastAsia="Times New Roman" w:hAnsi="Times New Roman"/>
          <w:lang w:val="it-IT" w:eastAsia="it-IT"/>
        </w:rPr>
        <w:t xml:space="preserve">matinib </w:t>
      </w:r>
      <w:r w:rsidRPr="00496684">
        <w:rPr>
          <w:rFonts w:ascii="Times New Roman" w:eastAsia="Times New Roman" w:hAnsi="Times New Roman"/>
          <w:lang w:val="it-IT" w:eastAsia="it-IT"/>
        </w:rPr>
        <w:t xml:space="preserve">in </w:t>
      </w:r>
      <w:r w:rsidR="00E6675E" w:rsidRPr="00496684">
        <w:rPr>
          <w:rFonts w:ascii="Times New Roman" w:eastAsia="Times New Roman" w:hAnsi="Times New Roman"/>
          <w:lang w:val="it-IT" w:eastAsia="it-IT"/>
        </w:rPr>
        <w:t xml:space="preserve">associazione con altri chemioterapici </w:t>
      </w:r>
      <w:r w:rsidRPr="00496684">
        <w:rPr>
          <w:rFonts w:ascii="Times New Roman" w:eastAsia="Times New Roman" w:hAnsi="Times New Roman"/>
          <w:lang w:val="it-IT" w:eastAsia="it-IT"/>
        </w:rPr>
        <w:t>richiede una speciale precauzione.</w:t>
      </w:r>
    </w:p>
    <w:p w14:paraId="77BEFD23"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750222F8"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4.6</w:t>
      </w:r>
      <w:r w:rsidRPr="00496684">
        <w:rPr>
          <w:rFonts w:ascii="Times New Roman" w:hAnsi="Times New Roman"/>
          <w:b/>
          <w:bCs/>
          <w:lang w:val="it-IT"/>
        </w:rPr>
        <w:tab/>
      </w:r>
      <w:r w:rsidR="00B20FFF" w:rsidRPr="00496684">
        <w:rPr>
          <w:rFonts w:ascii="Times New Roman" w:hAnsi="Times New Roman"/>
          <w:b/>
          <w:lang w:val="it-IT"/>
        </w:rPr>
        <w:t>Fertilità, gravidanza e allattamento</w:t>
      </w:r>
    </w:p>
    <w:p w14:paraId="6E047CA7" w14:textId="77777777" w:rsidR="00B20FFF" w:rsidRPr="00496684" w:rsidRDefault="00B20FFF" w:rsidP="00B20FFF">
      <w:pPr>
        <w:autoSpaceDE w:val="0"/>
        <w:autoSpaceDN w:val="0"/>
        <w:adjustRightInd w:val="0"/>
        <w:spacing w:after="0" w:line="240" w:lineRule="auto"/>
        <w:rPr>
          <w:rFonts w:ascii="Times New Roman" w:hAnsi="Times New Roman"/>
          <w:bCs/>
          <w:lang w:val="it-IT"/>
        </w:rPr>
      </w:pPr>
    </w:p>
    <w:p w14:paraId="3D2EF68C" w14:textId="77777777" w:rsidR="00EC74C4" w:rsidRPr="00496684" w:rsidRDefault="00EC74C4" w:rsidP="00EC74C4">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Donne potenzialmente fertili </w:t>
      </w:r>
    </w:p>
    <w:p w14:paraId="4DB537A5" w14:textId="4B084599" w:rsidR="00EC74C4" w:rsidRPr="00496684" w:rsidRDefault="00EC74C4" w:rsidP="00EC74C4">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hAnsi="Times New Roman"/>
          <w:color w:val="000000"/>
          <w:lang w:val="it-IT"/>
        </w:rPr>
        <w:t>Alle donne in età fertile deve essere segnalata la necessità di utilizzare misure contraccettive efficaci durante il trattamento</w:t>
      </w:r>
      <w:r w:rsidR="00D32294">
        <w:rPr>
          <w:rFonts w:ascii="Times New Roman" w:hAnsi="Times New Roman"/>
          <w:color w:val="000000"/>
          <w:lang w:val="it-IT"/>
        </w:rPr>
        <w:t xml:space="preserve"> e per almeno 15 </w:t>
      </w:r>
      <w:r w:rsidR="00DB017C">
        <w:rPr>
          <w:rFonts w:ascii="Times New Roman" w:hAnsi="Times New Roman"/>
          <w:color w:val="000000"/>
          <w:lang w:val="it-IT"/>
        </w:rPr>
        <w:t>giorni dopo l’interruzione del trattamento con Imatinib Actavis</w:t>
      </w:r>
      <w:r w:rsidRPr="00496684">
        <w:rPr>
          <w:rFonts w:ascii="Times New Roman" w:hAnsi="Times New Roman"/>
          <w:color w:val="000000"/>
          <w:lang w:val="it-IT"/>
        </w:rPr>
        <w:t>.</w:t>
      </w:r>
    </w:p>
    <w:p w14:paraId="3C24862A" w14:textId="77777777" w:rsidR="00EC74C4" w:rsidRPr="00496684" w:rsidRDefault="00EC74C4" w:rsidP="00B20FFF">
      <w:pPr>
        <w:autoSpaceDE w:val="0"/>
        <w:autoSpaceDN w:val="0"/>
        <w:adjustRightInd w:val="0"/>
        <w:spacing w:after="0" w:line="240" w:lineRule="auto"/>
        <w:rPr>
          <w:rFonts w:ascii="Times New Roman" w:hAnsi="Times New Roman"/>
          <w:bCs/>
          <w:lang w:val="it-IT"/>
        </w:rPr>
      </w:pPr>
    </w:p>
    <w:p w14:paraId="603BCF33" w14:textId="77777777" w:rsidR="00B20FFF" w:rsidRPr="00496684" w:rsidRDefault="00B20FFF" w:rsidP="00B20FFF">
      <w:pPr>
        <w:pStyle w:val="Endnotentext"/>
        <w:widowControl w:val="0"/>
        <w:tabs>
          <w:tab w:val="clear" w:pos="567"/>
        </w:tabs>
        <w:rPr>
          <w:szCs w:val="22"/>
          <w:u w:val="single"/>
          <w:lang w:val="it-IT"/>
        </w:rPr>
      </w:pPr>
      <w:r w:rsidRPr="00496684">
        <w:rPr>
          <w:szCs w:val="22"/>
          <w:u w:val="single"/>
          <w:lang w:val="it-IT"/>
        </w:rPr>
        <w:t>Gravidanza</w:t>
      </w:r>
    </w:p>
    <w:p w14:paraId="7188BE7A" w14:textId="77777777" w:rsidR="00B20FFF" w:rsidRPr="00496684" w:rsidRDefault="00B20FFF" w:rsidP="00B20FFF">
      <w:pPr>
        <w:pStyle w:val="Endnotentext"/>
        <w:widowControl w:val="0"/>
        <w:tabs>
          <w:tab w:val="clear" w:pos="567"/>
        </w:tabs>
        <w:rPr>
          <w:szCs w:val="22"/>
          <w:lang w:val="it-IT"/>
        </w:rPr>
      </w:pPr>
      <w:r w:rsidRPr="00496684">
        <w:rPr>
          <w:szCs w:val="22"/>
          <w:lang w:val="it-IT"/>
        </w:rPr>
        <w:t xml:space="preserve">Vi sono dati limitati riguardanti l’uso di imatinib in donne in gravidanza. </w:t>
      </w:r>
      <w:r w:rsidR="00D96DEE" w:rsidRPr="00496684">
        <w:rPr>
          <w:lang w:val="it-IT"/>
        </w:rPr>
        <w:t xml:space="preserve">Vi sono state segnalazioni post-marketing di aborti spontanei e malformazioni congenite infantili da parte di donne che hanno assunto imatinib. </w:t>
      </w:r>
      <w:r w:rsidRPr="00496684">
        <w:rPr>
          <w:szCs w:val="22"/>
          <w:lang w:val="it-IT"/>
        </w:rPr>
        <w:t xml:space="preserve">Tuttavia, gli studi sugli animali hanno mostrato una tossicità riproduttiva (vedere paragrafo 5.3) e il rischio potenziale per il feto non è noto. </w:t>
      </w:r>
      <w:r w:rsidR="00521ABE" w:rsidRPr="00496684">
        <w:rPr>
          <w:szCs w:val="22"/>
          <w:lang w:val="it-IT"/>
        </w:rPr>
        <w:t xml:space="preserve">Imatinib </w:t>
      </w:r>
      <w:r w:rsidRPr="00496684">
        <w:rPr>
          <w:szCs w:val="22"/>
          <w:lang w:val="it-IT"/>
        </w:rPr>
        <w:t xml:space="preserve">non deve essere usato durante la gravidanza, se non in caso di assoluta necessità. In caso di somministrazione in gravidanza, la paziente </w:t>
      </w:r>
      <w:r w:rsidR="00E6675E" w:rsidRPr="00496684">
        <w:rPr>
          <w:szCs w:val="22"/>
          <w:lang w:val="it-IT"/>
        </w:rPr>
        <w:t xml:space="preserve">deve essere informata </w:t>
      </w:r>
      <w:r w:rsidRPr="00496684">
        <w:rPr>
          <w:szCs w:val="22"/>
          <w:lang w:val="it-IT"/>
        </w:rPr>
        <w:t>circa il potenziale rischio per il feto.</w:t>
      </w:r>
    </w:p>
    <w:p w14:paraId="26003E31" w14:textId="77777777" w:rsidR="00B20FFF" w:rsidRPr="00496684" w:rsidRDefault="00B20FFF" w:rsidP="00B20FFF">
      <w:pPr>
        <w:pStyle w:val="Endnotentext"/>
        <w:widowControl w:val="0"/>
        <w:tabs>
          <w:tab w:val="clear" w:pos="567"/>
        </w:tabs>
        <w:rPr>
          <w:szCs w:val="22"/>
          <w:lang w:val="it-IT"/>
        </w:rPr>
      </w:pPr>
      <w:r w:rsidRPr="00496684">
        <w:rPr>
          <w:szCs w:val="22"/>
          <w:lang w:val="it-IT"/>
        </w:rPr>
        <w:t>.</w:t>
      </w:r>
    </w:p>
    <w:p w14:paraId="725E989E" w14:textId="77777777" w:rsidR="00B20FFF" w:rsidRPr="00496684" w:rsidRDefault="00B20FFF" w:rsidP="00B20FFF">
      <w:pPr>
        <w:autoSpaceDE w:val="0"/>
        <w:autoSpaceDN w:val="0"/>
        <w:adjustRightInd w:val="0"/>
        <w:spacing w:after="0" w:line="240" w:lineRule="auto"/>
        <w:rPr>
          <w:rFonts w:ascii="Times New Roman" w:hAnsi="Times New Roman"/>
          <w:bCs/>
          <w:lang w:val="it-IT"/>
        </w:rPr>
      </w:pPr>
    </w:p>
    <w:p w14:paraId="3211D5CB"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Allattamento</w:t>
      </w:r>
    </w:p>
    <w:p w14:paraId="714391E7" w14:textId="56004B3A" w:rsidR="00B20FFF" w:rsidRPr="00496684" w:rsidRDefault="00B20FFF" w:rsidP="00B20FFF">
      <w:pPr>
        <w:pStyle w:val="Endnotentext"/>
        <w:widowControl w:val="0"/>
        <w:tabs>
          <w:tab w:val="clear" w:pos="567"/>
        </w:tabs>
        <w:rPr>
          <w:szCs w:val="22"/>
          <w:lang w:val="it-IT"/>
        </w:rPr>
      </w:pPr>
      <w:r w:rsidRPr="00496684">
        <w:rPr>
          <w:szCs w:val="22"/>
          <w:lang w:val="it-IT"/>
        </w:rPr>
        <w:t xml:space="preserve">Ci sono informazioni limitate riguardanti la distribuzione di imatinib nel latte materno. Valutazioni in due donne che allattavano hanno mostrato che sia imatinib sia il suo metabolita attivo possono essere distribuiti nel latte materno. Il rapporto latte/plasma, valutato in una singola paziente, è stato determinato essere 0,5 per imatinib e 0,9 per il metabolita, suggerendo una maggiore distribuzione del metabolita nel latte. Tenendo in considerazione la concentrazione combinata di imatinib e del metabolita e la massima assunzione giornaliera di latte dei neonati, l’esposizione totale sembrerebbe essere bassa (circa il 10% di una dose terapeutica). Tuttavia, poiché gli effetti di un’esposizione a basse dosi </w:t>
      </w:r>
      <w:r w:rsidR="00D32294" w:rsidRPr="00D35BA8">
        <w:rPr>
          <w:lang w:val="it-IT"/>
        </w:rPr>
        <w:t>di imatinib</w:t>
      </w:r>
      <w:r w:rsidR="00D32294" w:rsidRPr="001B184F">
        <w:rPr>
          <w:spacing w:val="1"/>
          <w:lang w:val="it-IT"/>
        </w:rPr>
        <w:t xml:space="preserve"> </w:t>
      </w:r>
      <w:r w:rsidRPr="00496684">
        <w:rPr>
          <w:szCs w:val="22"/>
          <w:lang w:val="it-IT"/>
        </w:rPr>
        <w:t>nei neonati non sono noti, le donne non devono allattare</w:t>
      </w:r>
      <w:r w:rsidR="00DB017C">
        <w:rPr>
          <w:szCs w:val="22"/>
          <w:lang w:val="it-IT"/>
        </w:rPr>
        <w:t xml:space="preserve"> durante</w:t>
      </w:r>
      <w:r w:rsidR="00D32294">
        <w:rPr>
          <w:szCs w:val="22"/>
          <w:lang w:val="it-IT"/>
        </w:rPr>
        <w:t xml:space="preserve"> il trattamento e per almeno 15 </w:t>
      </w:r>
      <w:r w:rsidR="00DB017C">
        <w:rPr>
          <w:szCs w:val="22"/>
          <w:lang w:val="it-IT"/>
        </w:rPr>
        <w:t>giorni dopo l’interruzione del trattamento con Imatinib Actavis</w:t>
      </w:r>
      <w:r w:rsidRPr="00496684">
        <w:rPr>
          <w:szCs w:val="22"/>
          <w:lang w:val="it-IT"/>
        </w:rPr>
        <w:t>.</w:t>
      </w:r>
    </w:p>
    <w:p w14:paraId="48413DDC" w14:textId="77777777" w:rsidR="00B20FFF" w:rsidRPr="00496684" w:rsidRDefault="00B20FFF" w:rsidP="00B20FFF">
      <w:pPr>
        <w:autoSpaceDE w:val="0"/>
        <w:autoSpaceDN w:val="0"/>
        <w:adjustRightInd w:val="0"/>
        <w:spacing w:after="0" w:line="240" w:lineRule="auto"/>
        <w:rPr>
          <w:rFonts w:ascii="Times New Roman" w:hAnsi="Times New Roman"/>
          <w:bCs/>
          <w:lang w:val="it-IT"/>
        </w:rPr>
      </w:pPr>
    </w:p>
    <w:p w14:paraId="09EEECFA" w14:textId="77777777" w:rsidR="00B20FFF" w:rsidRPr="00496684" w:rsidRDefault="00B20FFF" w:rsidP="00B20FFF">
      <w:pPr>
        <w:pStyle w:val="Endnotentext"/>
        <w:widowControl w:val="0"/>
        <w:tabs>
          <w:tab w:val="clear" w:pos="567"/>
        </w:tabs>
        <w:rPr>
          <w:szCs w:val="22"/>
          <w:u w:val="single"/>
          <w:lang w:val="it-IT"/>
        </w:rPr>
      </w:pPr>
      <w:r w:rsidRPr="00496684">
        <w:rPr>
          <w:szCs w:val="22"/>
          <w:u w:val="single"/>
          <w:lang w:val="it-IT"/>
        </w:rPr>
        <w:t>Fertilità</w:t>
      </w:r>
    </w:p>
    <w:p w14:paraId="2E05F44F" w14:textId="508798E0" w:rsidR="00B20FFF" w:rsidRPr="00496684" w:rsidRDefault="00B20FFF" w:rsidP="00A81163">
      <w:pPr>
        <w:pStyle w:val="Endnotentext"/>
        <w:widowControl w:val="0"/>
        <w:tabs>
          <w:tab w:val="clear" w:pos="567"/>
        </w:tabs>
        <w:rPr>
          <w:szCs w:val="22"/>
          <w:lang w:val="it-IT"/>
        </w:rPr>
      </w:pPr>
      <w:r w:rsidRPr="00496684">
        <w:rPr>
          <w:szCs w:val="22"/>
          <w:lang w:val="it-IT"/>
        </w:rPr>
        <w:t>In studi non clinici, la fertilità dei ratti di sesso maschile e femminile non è stata influenzata</w:t>
      </w:r>
      <w:r w:rsidR="00DB017C">
        <w:rPr>
          <w:szCs w:val="22"/>
          <w:lang w:val="it-IT"/>
        </w:rPr>
        <w:t xml:space="preserve">, </w:t>
      </w:r>
      <w:r w:rsidR="00A81163" w:rsidRPr="00D35BA8">
        <w:rPr>
          <w:lang w:val="it-IT"/>
        </w:rPr>
        <w:t>sebbene</w:t>
      </w:r>
      <w:r w:rsidR="00DB017C">
        <w:rPr>
          <w:szCs w:val="22"/>
          <w:lang w:val="it-IT"/>
        </w:rPr>
        <w:t xml:space="preserve"> siano stati osservati effetti sui parametri riproduttivi</w:t>
      </w:r>
      <w:r w:rsidRPr="00496684">
        <w:rPr>
          <w:szCs w:val="22"/>
          <w:lang w:val="it-IT"/>
        </w:rPr>
        <w:t xml:space="preserve"> (vedere paragrafo 5.3). Non sono stati condotti studi in pazienti trattati con </w:t>
      </w:r>
      <w:r w:rsidR="009339F7" w:rsidRPr="00496684">
        <w:rPr>
          <w:szCs w:val="22"/>
          <w:lang w:val="it-IT"/>
        </w:rPr>
        <w:t>i</w:t>
      </w:r>
      <w:r w:rsidR="00521ABE" w:rsidRPr="00496684">
        <w:rPr>
          <w:szCs w:val="22"/>
          <w:lang w:val="it-IT"/>
        </w:rPr>
        <w:t xml:space="preserve">matinib </w:t>
      </w:r>
      <w:r w:rsidRPr="00496684">
        <w:rPr>
          <w:szCs w:val="22"/>
          <w:lang w:val="it-IT"/>
        </w:rPr>
        <w:t xml:space="preserve">per valutarne l’effetto sulla fertilità e la spermatogenesi. I pazienti che sono preoccupati per la loro fertilità durante il trattamento con </w:t>
      </w:r>
      <w:r w:rsidR="009339F7" w:rsidRPr="00496684">
        <w:rPr>
          <w:szCs w:val="22"/>
          <w:lang w:val="it-IT"/>
        </w:rPr>
        <w:t>i</w:t>
      </w:r>
      <w:r w:rsidR="00521ABE" w:rsidRPr="00496684">
        <w:rPr>
          <w:szCs w:val="22"/>
          <w:lang w:val="it-IT"/>
        </w:rPr>
        <w:t xml:space="preserve">matinib </w:t>
      </w:r>
      <w:r w:rsidRPr="00496684">
        <w:rPr>
          <w:szCs w:val="22"/>
          <w:lang w:val="it-IT"/>
        </w:rPr>
        <w:t>devono consultare il medico.</w:t>
      </w:r>
    </w:p>
    <w:p w14:paraId="357A4B19"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2F9FD41A" w14:textId="77777777" w:rsidR="00B20FFF" w:rsidRPr="00496684" w:rsidRDefault="00CA176A" w:rsidP="00B20FF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4.7</w:t>
      </w:r>
      <w:r w:rsidRPr="00496684">
        <w:rPr>
          <w:rFonts w:ascii="Times New Roman" w:hAnsi="Times New Roman"/>
          <w:b/>
          <w:bCs/>
          <w:lang w:val="it-IT"/>
        </w:rPr>
        <w:tab/>
      </w:r>
      <w:r w:rsidR="00B20FFF" w:rsidRPr="00496684">
        <w:rPr>
          <w:rFonts w:ascii="Times New Roman" w:hAnsi="Times New Roman"/>
          <w:b/>
          <w:lang w:val="it-IT"/>
        </w:rPr>
        <w:t>Effetti sulla capacità di guidare veicoli e sull’uso di macchinari</w:t>
      </w:r>
    </w:p>
    <w:p w14:paraId="2198B101" w14:textId="77777777" w:rsidR="00B20FFF" w:rsidRPr="00496684" w:rsidRDefault="00B20FFF" w:rsidP="00B20FFF">
      <w:pPr>
        <w:autoSpaceDE w:val="0"/>
        <w:autoSpaceDN w:val="0"/>
        <w:adjustRightInd w:val="0"/>
        <w:spacing w:after="0" w:line="240" w:lineRule="auto"/>
        <w:rPr>
          <w:rFonts w:ascii="Times New Roman" w:hAnsi="Times New Roman"/>
          <w:bCs/>
          <w:lang w:val="it-IT"/>
        </w:rPr>
      </w:pPr>
    </w:p>
    <w:p w14:paraId="79CB38BE" w14:textId="3E159984" w:rsidR="00B20FFF" w:rsidRPr="00496684" w:rsidRDefault="00B20FFF" w:rsidP="00B20FFF">
      <w:pPr>
        <w:pStyle w:val="Endnotentext"/>
        <w:widowControl w:val="0"/>
        <w:tabs>
          <w:tab w:val="clear" w:pos="567"/>
        </w:tabs>
        <w:rPr>
          <w:snapToGrid w:val="0"/>
          <w:szCs w:val="22"/>
          <w:lang w:val="it-IT"/>
        </w:rPr>
      </w:pPr>
      <w:r w:rsidRPr="00496684">
        <w:rPr>
          <w:snapToGrid w:val="0"/>
          <w:szCs w:val="22"/>
          <w:lang w:val="it-IT"/>
        </w:rPr>
        <w:t xml:space="preserve">I pazienti devono essere avvisati che </w:t>
      </w:r>
      <w:r w:rsidR="00761BB3" w:rsidRPr="00496684">
        <w:rPr>
          <w:snapToGrid w:val="0"/>
          <w:szCs w:val="22"/>
          <w:lang w:val="it-IT"/>
        </w:rPr>
        <w:t>possono</w:t>
      </w:r>
      <w:r w:rsidRPr="00496684">
        <w:rPr>
          <w:snapToGrid w:val="0"/>
          <w:szCs w:val="22"/>
          <w:lang w:val="it-IT"/>
        </w:rPr>
        <w:t xml:space="preserve"> comparire effetti indesiderati come capogiri, offuscamento della vista o sonnolenza durante il trattamento con imatinib. Perciò si raccomanda attenzione durante la guida di veicoli e durante l'uso di macchinari.</w:t>
      </w:r>
    </w:p>
    <w:p w14:paraId="044CD8DF"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1328A2A1"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4.8</w:t>
      </w:r>
      <w:r w:rsidRPr="00496684">
        <w:rPr>
          <w:rFonts w:ascii="Times New Roman" w:hAnsi="Times New Roman"/>
          <w:b/>
          <w:bCs/>
          <w:lang w:val="it-IT"/>
        </w:rPr>
        <w:tab/>
      </w:r>
      <w:r w:rsidR="00B20FFF" w:rsidRPr="00496684">
        <w:rPr>
          <w:rFonts w:ascii="Times New Roman" w:hAnsi="Times New Roman"/>
          <w:b/>
          <w:lang w:val="it-IT"/>
        </w:rPr>
        <w:t>Effetti indesiderati</w:t>
      </w:r>
    </w:p>
    <w:p w14:paraId="18F3B622"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589F004E" w14:textId="77777777" w:rsidR="007154B5" w:rsidRPr="00496684" w:rsidRDefault="007154B5" w:rsidP="007154B5">
      <w:pPr>
        <w:pStyle w:val="Text"/>
        <w:widowControl w:val="0"/>
        <w:spacing w:before="0"/>
        <w:jc w:val="left"/>
        <w:rPr>
          <w:sz w:val="22"/>
          <w:szCs w:val="22"/>
          <w:u w:val="single"/>
          <w:lang w:val="it-IT"/>
        </w:rPr>
      </w:pPr>
      <w:r w:rsidRPr="00496684">
        <w:rPr>
          <w:sz w:val="22"/>
          <w:szCs w:val="22"/>
          <w:u w:val="single"/>
          <w:lang w:val="it-IT"/>
        </w:rPr>
        <w:t>Sintesi del profilo di sicurezza</w:t>
      </w:r>
    </w:p>
    <w:p w14:paraId="66DB94E3" w14:textId="5DAF2362"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I pazienti con tumori in stadi avanzati </w:t>
      </w:r>
      <w:r w:rsidR="00761BB3" w:rsidRPr="00496684">
        <w:rPr>
          <w:sz w:val="22"/>
          <w:szCs w:val="22"/>
          <w:lang w:val="it-IT"/>
        </w:rPr>
        <w:t>possono</w:t>
      </w:r>
      <w:r w:rsidRPr="00496684">
        <w:rPr>
          <w:sz w:val="22"/>
          <w:szCs w:val="22"/>
          <w:lang w:val="it-IT"/>
        </w:rPr>
        <w:t xml:space="preserve"> presentare numerose condizioni cliniche </w:t>
      </w:r>
      <w:r w:rsidR="000D6085" w:rsidRPr="00496684">
        <w:rPr>
          <w:sz w:val="22"/>
          <w:szCs w:val="22"/>
          <w:lang w:val="it-IT"/>
        </w:rPr>
        <w:t>confondenti</w:t>
      </w:r>
      <w:r w:rsidRPr="00496684">
        <w:rPr>
          <w:sz w:val="22"/>
          <w:szCs w:val="22"/>
          <w:lang w:val="it-IT"/>
        </w:rPr>
        <w:t xml:space="preserve"> che rendono difficile valutare la causa delle reazioni avverse data la varietà di sintomi correlati alla malattia di base, alla sua progressione e alla somministrazione contemporanea di numerosi medicinali.</w:t>
      </w:r>
    </w:p>
    <w:p w14:paraId="10EBBF87" w14:textId="77777777" w:rsidR="00B20FFF" w:rsidRPr="00496684" w:rsidRDefault="00B20FFF" w:rsidP="00B20FFF">
      <w:pPr>
        <w:pStyle w:val="Text"/>
        <w:widowControl w:val="0"/>
        <w:spacing w:before="0"/>
        <w:jc w:val="left"/>
        <w:rPr>
          <w:sz w:val="22"/>
          <w:szCs w:val="22"/>
          <w:lang w:val="it-IT"/>
        </w:rPr>
      </w:pPr>
    </w:p>
    <w:p w14:paraId="3F1F6992"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Negli studi clinici sulla LMC la sospensione del farmaco per reazioni avverse associate al farmaco stesso è stata osservata nel 2,4% dei pazienti di nuova diagnosi, nel 4% dei pazienti in fase cronica </w:t>
      </w:r>
      <w:r w:rsidR="004D049F" w:rsidRPr="00496684">
        <w:rPr>
          <w:sz w:val="22"/>
          <w:szCs w:val="22"/>
          <w:lang w:val="it-IT"/>
        </w:rPr>
        <w:t xml:space="preserve">accelerata </w:t>
      </w:r>
      <w:r w:rsidRPr="00496684">
        <w:rPr>
          <w:sz w:val="22"/>
          <w:szCs w:val="22"/>
          <w:lang w:val="it-IT"/>
        </w:rPr>
        <w:t>dopo fallimento della terapia con interferone, nel 4% dei pazienti in fase accelerata dopo fallimento della terapia con interferone e nel 5% dei pazienti con crisi blastica dopo fallimento della terapia con interferone. Negli studi sui GIST la somministrazione del farmaco è stata interrotta nel 4% dei pazienti a causa di reazioni avverse correlate al farmaco.</w:t>
      </w:r>
    </w:p>
    <w:p w14:paraId="3321E37A"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36208634" w14:textId="07124F95"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Le reazioni avverse erano simili in tutte le indicazioni, con due eccezioni. Vi è stata maggiore mielosoppressione osservata nei pazienti con LMC rispetto ai pazienti con GIST, che probabilmente è dovuta alla malattia di base. Nello studio nei pazienti con GIST non operabile e/o metastatico, in 7 pazienti (5%) si sono verificati sanguinamenti GI di grado 3/4 </w:t>
      </w:r>
      <w:smartTag w:uri="urn:schemas-microsoft-com:office:smarttags" w:element="stockticker">
        <w:r w:rsidRPr="00496684">
          <w:rPr>
            <w:sz w:val="22"/>
            <w:szCs w:val="22"/>
            <w:lang w:val="it-IT"/>
          </w:rPr>
          <w:t>CTC</w:t>
        </w:r>
      </w:smartTag>
      <w:r w:rsidRPr="00496684">
        <w:rPr>
          <w:sz w:val="22"/>
          <w:szCs w:val="22"/>
          <w:lang w:val="it-IT"/>
        </w:rPr>
        <w:t xml:space="preserve"> (3 pazienti), sanguinamenti intra-tumorali (3 pazienti) o entrambi (1 paziente). La localizzazione dei tumori GI </w:t>
      </w:r>
      <w:r w:rsidR="00761BB3" w:rsidRPr="00496684">
        <w:rPr>
          <w:sz w:val="22"/>
          <w:szCs w:val="22"/>
          <w:lang w:val="it-IT"/>
        </w:rPr>
        <w:t>può</w:t>
      </w:r>
      <w:r w:rsidRPr="00496684">
        <w:rPr>
          <w:sz w:val="22"/>
          <w:szCs w:val="22"/>
          <w:lang w:val="it-IT"/>
        </w:rPr>
        <w:t xml:space="preserve"> essere stata la causa dei sanguinamenti GI (vedere paragrafo 4.4). Il sanguinamento GI ed il sanguinamento tumorale </w:t>
      </w:r>
      <w:r w:rsidR="00761BB3" w:rsidRPr="00496684">
        <w:rPr>
          <w:sz w:val="22"/>
          <w:szCs w:val="22"/>
          <w:lang w:val="it-IT"/>
        </w:rPr>
        <w:t>possono</w:t>
      </w:r>
      <w:r w:rsidRPr="00496684">
        <w:rPr>
          <w:sz w:val="22"/>
          <w:szCs w:val="22"/>
          <w:lang w:val="it-IT"/>
        </w:rPr>
        <w:t xml:space="preserve"> essere seri e alcune volte fatali. Le reazioni avverse associate al farmaco segnalate più comunemente (</w:t>
      </w:r>
      <w:r w:rsidRPr="00496684">
        <w:rPr>
          <w:sz w:val="22"/>
          <w:szCs w:val="22"/>
          <w:lang w:val="it-IT"/>
        </w:rPr>
        <w:sym w:font="Symbol" w:char="F0B3"/>
      </w:r>
      <w:r w:rsidRPr="00496684">
        <w:rPr>
          <w:sz w:val="22"/>
          <w:szCs w:val="22"/>
          <w:lang w:val="it-IT"/>
        </w:rPr>
        <w:t xml:space="preserve">10%) in entrambe le patologie sono state nausea lieve, vomito, diarrea, dolori addominali, fatica, mialgia, crampi muscolari ed eruzioni cutanee. In tutti gli studi sono stati comunemente riscontrati edemi superficiali, descritti primariamente come edemi periorbitali o agli arti inferiori. Tuttavia raramente questi edemi sono risultati gravi e possono essere gestiti con diuretici, altre misure di supporto o riducendo la dose di </w:t>
      </w:r>
      <w:r w:rsidR="00996082" w:rsidRPr="00496684">
        <w:rPr>
          <w:sz w:val="22"/>
          <w:szCs w:val="22"/>
          <w:lang w:val="it-IT"/>
        </w:rPr>
        <w:t>i</w:t>
      </w:r>
      <w:r w:rsidR="00521ABE" w:rsidRPr="00496684">
        <w:rPr>
          <w:sz w:val="22"/>
          <w:szCs w:val="22"/>
          <w:lang w:val="it-IT"/>
        </w:rPr>
        <w:t>matinib</w:t>
      </w:r>
      <w:r w:rsidRPr="00496684">
        <w:rPr>
          <w:sz w:val="22"/>
          <w:szCs w:val="22"/>
          <w:lang w:val="it-IT"/>
        </w:rPr>
        <w:t>.</w:t>
      </w:r>
    </w:p>
    <w:p w14:paraId="18C94C4A"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7D806CB9"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Quando imatinib è stato associato a chemioterapia ad alte dosi nei pazienti con LLA Ph+, si è osservata tossicità epatica transitoria in termini di aumento delle transaminasi ed iperbilirubinemia.</w:t>
      </w:r>
      <w:r w:rsidR="00D860E1" w:rsidRPr="00496684">
        <w:rPr>
          <w:sz w:val="22"/>
          <w:szCs w:val="22"/>
          <w:lang w:val="it-IT"/>
        </w:rPr>
        <w:t xml:space="preserve"> Considerando le limitate informazioni di sicurezza, gli eventi avversi finora riportati nei bambini sono coerenti con il profilo di sicurezza definito nei pazienti adulti con LLA Ph+. Le informazioni di sicurezza per i bambini con LLA Ph+ sono molto limitate, in ogni caso non sono state identificate nuove problematiche di sicurezza.</w:t>
      </w:r>
    </w:p>
    <w:p w14:paraId="42D7FE1A" w14:textId="77777777" w:rsidR="00B20FFF" w:rsidRPr="00496684" w:rsidRDefault="00B20FFF" w:rsidP="00B20FFF">
      <w:pPr>
        <w:pStyle w:val="Text"/>
        <w:widowControl w:val="0"/>
        <w:spacing w:before="0"/>
        <w:jc w:val="left"/>
        <w:rPr>
          <w:sz w:val="22"/>
          <w:szCs w:val="22"/>
          <w:lang w:val="it-IT"/>
        </w:rPr>
      </w:pPr>
    </w:p>
    <w:p w14:paraId="733BFFE3"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Varie reazioni avverse come effusione pleurica, ascite, edemi polmonari e rapido aumento del peso corporeo con o senza edemi superficiali possono essere descritte collettivamente come “ritenzione di fluidi”. Queste reazioni possono essere gestite generalmente sospendendo temporaneamente il trattamento con </w:t>
      </w:r>
      <w:r w:rsidR="009339F7" w:rsidRPr="00496684">
        <w:rPr>
          <w:sz w:val="22"/>
          <w:szCs w:val="22"/>
          <w:lang w:val="it-IT"/>
        </w:rPr>
        <w:t>i</w:t>
      </w:r>
      <w:r w:rsidR="00521ABE" w:rsidRPr="00496684">
        <w:rPr>
          <w:sz w:val="22"/>
          <w:szCs w:val="22"/>
          <w:lang w:val="it-IT"/>
        </w:rPr>
        <w:t xml:space="preserve">matinib </w:t>
      </w:r>
      <w:r w:rsidRPr="00496684">
        <w:rPr>
          <w:sz w:val="22"/>
          <w:szCs w:val="22"/>
          <w:lang w:val="it-IT"/>
        </w:rPr>
        <w:t>e con diuretici e altre misure terapeutiche di supporto adeguate. Alcune di queste reazioni, tuttavia, possono essere gravi o rischiose per la vita dei soggetti e diversi pazienti con crisi blastica sono deceduti con un complesso quadro clinico di effusione pleurica, insufficienza cardiaca congestizia e insufficienza renale. Nessun particolare aspetto di safety è emerso dagli studi clinici condotti in pazienti pediatrici.</w:t>
      </w:r>
    </w:p>
    <w:p w14:paraId="5FD49C80"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7A84D036" w14:textId="77777777" w:rsidR="00B20FFF" w:rsidRPr="00496684" w:rsidRDefault="00B20FFF" w:rsidP="00B20FFF">
      <w:pPr>
        <w:pStyle w:val="Text"/>
        <w:widowControl w:val="0"/>
        <w:spacing w:before="0"/>
        <w:jc w:val="left"/>
        <w:rPr>
          <w:sz w:val="22"/>
          <w:szCs w:val="22"/>
          <w:u w:val="single"/>
          <w:lang w:val="it-IT"/>
        </w:rPr>
      </w:pPr>
      <w:r w:rsidRPr="00496684">
        <w:rPr>
          <w:sz w:val="22"/>
          <w:szCs w:val="22"/>
          <w:u w:val="single"/>
          <w:lang w:val="it-IT"/>
        </w:rPr>
        <w:t>Reazioni avverse</w:t>
      </w:r>
    </w:p>
    <w:p w14:paraId="54348F2B"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Le reazioni avverse riportate come più di un caso isolato, sono elencate di seguito, secondo classificazione sistemica organica e frequenza. Le categorie di frequenza sono definite utilizzando la seguente convenzione: molto comune (</w:t>
      </w:r>
      <w:r w:rsidRPr="00496684">
        <w:rPr>
          <w:noProof/>
          <w:sz w:val="22"/>
          <w:szCs w:val="22"/>
          <w:lang w:val="it-IT"/>
        </w:rPr>
        <w:sym w:font="Symbol" w:char="F0B3"/>
      </w:r>
      <w:r w:rsidRPr="00496684">
        <w:rPr>
          <w:sz w:val="22"/>
          <w:szCs w:val="22"/>
          <w:lang w:val="it-IT"/>
        </w:rPr>
        <w:t>1/10), comune (</w:t>
      </w:r>
      <w:r w:rsidRPr="00496684">
        <w:rPr>
          <w:noProof/>
          <w:sz w:val="22"/>
          <w:szCs w:val="22"/>
          <w:lang w:val="it-IT"/>
        </w:rPr>
        <w:sym w:font="Symbol" w:char="F0B3"/>
      </w:r>
      <w:r w:rsidRPr="00496684">
        <w:rPr>
          <w:sz w:val="22"/>
          <w:szCs w:val="22"/>
          <w:lang w:val="it-IT"/>
        </w:rPr>
        <w:t>1/100, &lt;1/10), non comune (</w:t>
      </w:r>
      <w:r w:rsidRPr="00496684">
        <w:rPr>
          <w:noProof/>
          <w:sz w:val="22"/>
          <w:szCs w:val="22"/>
          <w:lang w:val="it-IT"/>
        </w:rPr>
        <w:sym w:font="Symbol" w:char="F0B3"/>
      </w:r>
      <w:r w:rsidRPr="00496684">
        <w:rPr>
          <w:sz w:val="22"/>
          <w:szCs w:val="22"/>
          <w:lang w:val="it-IT"/>
        </w:rPr>
        <w:t>1/1.000, &lt;1/100), raro (</w:t>
      </w:r>
      <w:r w:rsidRPr="00496684">
        <w:rPr>
          <w:noProof/>
          <w:sz w:val="22"/>
          <w:szCs w:val="22"/>
          <w:lang w:val="it-IT"/>
        </w:rPr>
        <w:sym w:font="Symbol" w:char="F0B3"/>
      </w:r>
      <w:r w:rsidRPr="00496684">
        <w:rPr>
          <w:noProof/>
          <w:sz w:val="22"/>
          <w:szCs w:val="22"/>
          <w:lang w:val="it-IT"/>
        </w:rPr>
        <w:t>1/10.000, &lt;</w:t>
      </w:r>
      <w:r w:rsidRPr="00496684">
        <w:rPr>
          <w:sz w:val="22"/>
          <w:szCs w:val="22"/>
          <w:lang w:val="it-IT"/>
        </w:rPr>
        <w:t>1/1.000), molto raro (&lt;1/10.000), non nota (la frequenza non può essere definita sulla base dei dati disponibili).</w:t>
      </w:r>
    </w:p>
    <w:p w14:paraId="7F653FA8" w14:textId="77777777" w:rsidR="00B20FFF" w:rsidRPr="00496684" w:rsidRDefault="00B20FFF" w:rsidP="00B20FFF">
      <w:pPr>
        <w:pStyle w:val="Text"/>
        <w:widowControl w:val="0"/>
        <w:spacing w:before="0"/>
        <w:jc w:val="left"/>
        <w:rPr>
          <w:sz w:val="22"/>
          <w:szCs w:val="22"/>
          <w:lang w:val="it-IT"/>
        </w:rPr>
      </w:pPr>
    </w:p>
    <w:p w14:paraId="6A480478"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All’interno di ciascuna classe di frequenza, gli effetti indesiderati sono riportati in ordine di frequenza, il più frequente per primo.</w:t>
      </w:r>
    </w:p>
    <w:p w14:paraId="67E053EC" w14:textId="77777777" w:rsidR="00B20FFF" w:rsidRPr="00496684" w:rsidRDefault="00B20FFF" w:rsidP="00B20FFF">
      <w:pPr>
        <w:pStyle w:val="Text"/>
        <w:widowControl w:val="0"/>
        <w:spacing w:before="0"/>
        <w:jc w:val="left"/>
        <w:rPr>
          <w:sz w:val="22"/>
          <w:szCs w:val="22"/>
          <w:lang w:val="it-IT"/>
        </w:rPr>
      </w:pPr>
    </w:p>
    <w:p w14:paraId="240066E4"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Le reazioni avverse e le loro frequenze </w:t>
      </w:r>
      <w:r w:rsidR="00DF1DF3" w:rsidRPr="00496684">
        <w:rPr>
          <w:sz w:val="22"/>
          <w:szCs w:val="22"/>
          <w:lang w:val="it-IT"/>
        </w:rPr>
        <w:t xml:space="preserve">sono </w:t>
      </w:r>
      <w:r w:rsidRPr="00496684">
        <w:rPr>
          <w:sz w:val="22"/>
          <w:szCs w:val="22"/>
          <w:lang w:val="it-IT"/>
        </w:rPr>
        <w:t>riportate nella Tabella 1.</w:t>
      </w:r>
    </w:p>
    <w:p w14:paraId="3E7810B8"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1F263F28" w14:textId="77777777" w:rsidR="00B20FFF" w:rsidRPr="00496684" w:rsidRDefault="00B20FFF" w:rsidP="00B20FFF">
      <w:pPr>
        <w:pStyle w:val="Text"/>
        <w:widowControl w:val="0"/>
        <w:spacing w:before="0"/>
        <w:jc w:val="left"/>
        <w:rPr>
          <w:b/>
          <w:sz w:val="22"/>
          <w:szCs w:val="22"/>
          <w:lang w:val="it-IT"/>
        </w:rPr>
      </w:pPr>
      <w:r w:rsidRPr="00496684">
        <w:rPr>
          <w:b/>
          <w:sz w:val="22"/>
          <w:szCs w:val="22"/>
          <w:lang w:val="it-IT"/>
        </w:rPr>
        <w:t>Tabella 1</w:t>
      </w:r>
      <w:r w:rsidRPr="00496684">
        <w:rPr>
          <w:b/>
          <w:sz w:val="22"/>
          <w:szCs w:val="22"/>
          <w:lang w:val="it-IT"/>
        </w:rPr>
        <w:tab/>
      </w:r>
      <w:r w:rsidR="00DF1DF3" w:rsidRPr="00496684">
        <w:rPr>
          <w:b/>
          <w:sz w:val="22"/>
          <w:szCs w:val="22"/>
          <w:lang w:val="it-IT"/>
        </w:rPr>
        <w:t>Tabella riepilogativa delle r</w:t>
      </w:r>
      <w:r w:rsidRPr="00496684">
        <w:rPr>
          <w:b/>
          <w:sz w:val="22"/>
          <w:szCs w:val="22"/>
          <w:lang w:val="it-IT"/>
        </w:rPr>
        <w:t>eazioni avverse</w:t>
      </w:r>
    </w:p>
    <w:p w14:paraId="1951B2FB" w14:textId="77777777" w:rsidR="00B20FFF" w:rsidRPr="00496684" w:rsidRDefault="00B20FFF" w:rsidP="00B20FFF">
      <w:pPr>
        <w:autoSpaceDE w:val="0"/>
        <w:autoSpaceDN w:val="0"/>
        <w:adjustRightInd w:val="0"/>
        <w:spacing w:after="0" w:line="240" w:lineRule="auto"/>
        <w:rPr>
          <w:rFonts w:ascii="Times New Roman" w:hAnsi="Times New Roman"/>
          <w:lang w:val="it-IT"/>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B20FFF" w:rsidRPr="00496684" w14:paraId="766879B5" w14:textId="77777777" w:rsidTr="00BE3648">
        <w:tc>
          <w:tcPr>
            <w:tcW w:w="9322" w:type="dxa"/>
            <w:gridSpan w:val="2"/>
          </w:tcPr>
          <w:p w14:paraId="6E4C0BAA" w14:textId="77777777" w:rsidR="00B20FFF" w:rsidRPr="00496684" w:rsidRDefault="00B20FFF" w:rsidP="00BE3648">
            <w:pPr>
              <w:spacing w:after="0" w:line="240" w:lineRule="auto"/>
              <w:rPr>
                <w:rFonts w:ascii="Times New Roman" w:hAnsi="Times New Roman"/>
                <w:lang w:val="it-IT"/>
              </w:rPr>
            </w:pPr>
            <w:r w:rsidRPr="00496684">
              <w:rPr>
                <w:rFonts w:ascii="Times New Roman" w:hAnsi="Times New Roman"/>
                <w:b/>
                <w:lang w:val="it-IT"/>
              </w:rPr>
              <w:t>Infezioni e infestazioni</w:t>
            </w:r>
          </w:p>
        </w:tc>
      </w:tr>
      <w:tr w:rsidR="00B20FFF" w:rsidRPr="00496684" w14:paraId="0EBE3432" w14:textId="77777777" w:rsidTr="00BE3648">
        <w:tc>
          <w:tcPr>
            <w:tcW w:w="2235" w:type="dxa"/>
          </w:tcPr>
          <w:p w14:paraId="211205D3" w14:textId="77777777" w:rsidR="00B20FFF" w:rsidRPr="00496684" w:rsidRDefault="00B20FFF"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4B7626E0" w14:textId="77777777" w:rsidR="00B20FFF" w:rsidRPr="00496684" w:rsidRDefault="00B20FFF" w:rsidP="00BE3648">
            <w:pPr>
              <w:spacing w:after="0" w:line="240" w:lineRule="auto"/>
              <w:rPr>
                <w:rFonts w:ascii="Times New Roman" w:hAnsi="Times New Roman"/>
                <w:lang w:val="it-IT"/>
              </w:rPr>
            </w:pPr>
            <w:r w:rsidRPr="00496684">
              <w:rPr>
                <w:rFonts w:ascii="Times New Roman" w:hAnsi="Times New Roman"/>
                <w:lang w:val="it-IT"/>
              </w:rPr>
              <w:t>Herpes zoster, herpes simplex, rinofaringite, polmonite</w:t>
            </w:r>
            <w:r w:rsidRPr="00496684">
              <w:rPr>
                <w:rFonts w:ascii="Times New Roman" w:hAnsi="Times New Roman"/>
                <w:vertAlign w:val="superscript"/>
                <w:lang w:val="it-IT"/>
              </w:rPr>
              <w:t>1</w:t>
            </w:r>
            <w:r w:rsidRPr="00496684">
              <w:rPr>
                <w:rFonts w:ascii="Times New Roman" w:hAnsi="Times New Roman"/>
                <w:lang w:val="it-IT"/>
              </w:rPr>
              <w:t>, sinusite, cellulite, infezione delle vie respiratorie superiori, influenza, infezione del tratto urinario, gastroenterite, sepsi</w:t>
            </w:r>
          </w:p>
        </w:tc>
      </w:tr>
      <w:tr w:rsidR="00B20FFF" w:rsidRPr="00496684" w14:paraId="1BF35417" w14:textId="77777777" w:rsidTr="00BE3648">
        <w:tc>
          <w:tcPr>
            <w:tcW w:w="2235" w:type="dxa"/>
          </w:tcPr>
          <w:p w14:paraId="31E52D51" w14:textId="77777777" w:rsidR="00B20FFF" w:rsidRPr="00496684" w:rsidRDefault="00B20FFF"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40085D62" w14:textId="77777777" w:rsidR="00B20FFF" w:rsidRPr="00496684" w:rsidRDefault="00B20FFF" w:rsidP="00BE3648">
            <w:pPr>
              <w:spacing w:after="0" w:line="240" w:lineRule="auto"/>
              <w:rPr>
                <w:rFonts w:ascii="Times New Roman" w:hAnsi="Times New Roman"/>
                <w:lang w:val="it-IT"/>
              </w:rPr>
            </w:pPr>
            <w:r w:rsidRPr="00496684">
              <w:rPr>
                <w:rFonts w:ascii="Times New Roman" w:hAnsi="Times New Roman"/>
                <w:lang w:val="it-IT"/>
              </w:rPr>
              <w:t>Infezione micotica</w:t>
            </w:r>
          </w:p>
        </w:tc>
      </w:tr>
      <w:tr w:rsidR="0027274D" w:rsidRPr="00496684" w14:paraId="02080446" w14:textId="77777777" w:rsidTr="00BE3648">
        <w:tc>
          <w:tcPr>
            <w:tcW w:w="2235" w:type="dxa"/>
          </w:tcPr>
          <w:p w14:paraId="60EDC7E0"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nota</w:t>
            </w:r>
          </w:p>
        </w:tc>
        <w:tc>
          <w:tcPr>
            <w:tcW w:w="7087" w:type="dxa"/>
          </w:tcPr>
          <w:p w14:paraId="1D19CE3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 xml:space="preserve">Riattivazione della epatite B </w:t>
            </w:r>
            <w:r w:rsidR="00C41C1C" w:rsidRPr="00496684">
              <w:rPr>
                <w:rFonts w:ascii="Times New Roman" w:hAnsi="Times New Roman"/>
                <w:vertAlign w:val="superscript"/>
                <w:lang w:val="it-IT"/>
              </w:rPr>
              <w:t>*</w:t>
            </w:r>
          </w:p>
        </w:tc>
      </w:tr>
      <w:tr w:rsidR="0027274D" w:rsidRPr="00496684" w14:paraId="60C2038F" w14:textId="77777777" w:rsidTr="00BE3648">
        <w:tc>
          <w:tcPr>
            <w:tcW w:w="9322" w:type="dxa"/>
            <w:gridSpan w:val="2"/>
          </w:tcPr>
          <w:p w14:paraId="08989613" w14:textId="77777777" w:rsidR="0027274D" w:rsidRPr="00496684" w:rsidRDefault="0027274D" w:rsidP="00BE3648">
            <w:pPr>
              <w:spacing w:after="0" w:line="240" w:lineRule="auto"/>
              <w:rPr>
                <w:rFonts w:ascii="Times New Roman" w:hAnsi="Times New Roman"/>
                <w:b/>
                <w:lang w:val="it-IT"/>
              </w:rPr>
            </w:pPr>
            <w:r w:rsidRPr="00496684">
              <w:rPr>
                <w:rFonts w:ascii="Times New Roman" w:hAnsi="Times New Roman"/>
                <w:b/>
                <w:noProof/>
                <w:lang w:val="it-IT"/>
              </w:rPr>
              <w:t>Tumori benigni, maligni e non specificati (cisti e polipi compresi)</w:t>
            </w:r>
          </w:p>
        </w:tc>
      </w:tr>
      <w:tr w:rsidR="0027274D" w:rsidRPr="00496684" w14:paraId="708CD049" w14:textId="77777777" w:rsidTr="00BE3648">
        <w:tc>
          <w:tcPr>
            <w:tcW w:w="2235" w:type="dxa"/>
          </w:tcPr>
          <w:p w14:paraId="0E0F7FAD"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03A1C84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Sindrome da lisi tumorale</w:t>
            </w:r>
          </w:p>
        </w:tc>
      </w:tr>
      <w:tr w:rsidR="0027274D" w:rsidRPr="00496684" w14:paraId="3E5590AF" w14:textId="77777777" w:rsidTr="00BE3648">
        <w:tc>
          <w:tcPr>
            <w:tcW w:w="2235" w:type="dxa"/>
          </w:tcPr>
          <w:p w14:paraId="651F7CD3"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040491AF"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Emorragia tumorale/necrosi tumorale*</w:t>
            </w:r>
          </w:p>
        </w:tc>
      </w:tr>
      <w:tr w:rsidR="0027274D" w:rsidRPr="00496684" w14:paraId="521765BF" w14:textId="77777777" w:rsidTr="00BE3648">
        <w:tc>
          <w:tcPr>
            <w:tcW w:w="9322" w:type="dxa"/>
            <w:gridSpan w:val="2"/>
          </w:tcPr>
          <w:p w14:paraId="739C668F" w14:textId="77777777" w:rsidR="0027274D" w:rsidRPr="00496684" w:rsidRDefault="0027274D" w:rsidP="00BE3648">
            <w:pPr>
              <w:spacing w:after="0" w:line="240" w:lineRule="auto"/>
              <w:rPr>
                <w:rFonts w:ascii="Times New Roman" w:hAnsi="Times New Roman"/>
                <w:b/>
                <w:lang w:val="it-IT"/>
              </w:rPr>
            </w:pPr>
            <w:r w:rsidRPr="00496684">
              <w:rPr>
                <w:rFonts w:ascii="Times New Roman" w:hAnsi="Times New Roman"/>
                <w:b/>
                <w:lang w:val="it-IT"/>
              </w:rPr>
              <w:t>Disturbi del sistema immunitario</w:t>
            </w:r>
          </w:p>
        </w:tc>
      </w:tr>
      <w:tr w:rsidR="0027274D" w:rsidRPr="00496684" w14:paraId="17A473BD" w14:textId="77777777" w:rsidTr="00DF1DF3">
        <w:tc>
          <w:tcPr>
            <w:tcW w:w="2235" w:type="dxa"/>
          </w:tcPr>
          <w:p w14:paraId="66A73C82" w14:textId="77777777" w:rsidR="0027274D" w:rsidRPr="00496684" w:rsidRDefault="0027274D" w:rsidP="00DF1DF3">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38C92530" w14:textId="77777777" w:rsidR="0027274D" w:rsidRPr="00496684" w:rsidRDefault="0027274D" w:rsidP="00DF1DF3">
            <w:pPr>
              <w:spacing w:after="0" w:line="240" w:lineRule="auto"/>
              <w:rPr>
                <w:rFonts w:ascii="Times New Roman" w:hAnsi="Times New Roman"/>
                <w:lang w:val="it-IT"/>
              </w:rPr>
            </w:pPr>
            <w:r w:rsidRPr="00496684">
              <w:rPr>
                <w:rFonts w:ascii="Times New Roman" w:hAnsi="Times New Roman"/>
                <w:lang w:val="it-IT"/>
              </w:rPr>
              <w:t>Shock anafilattico*</w:t>
            </w:r>
          </w:p>
        </w:tc>
      </w:tr>
      <w:tr w:rsidR="0027274D" w:rsidRPr="00496684" w14:paraId="56586415" w14:textId="77777777" w:rsidTr="00BE3648">
        <w:tc>
          <w:tcPr>
            <w:tcW w:w="9322" w:type="dxa"/>
            <w:gridSpan w:val="2"/>
          </w:tcPr>
          <w:p w14:paraId="1AF8D03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del sistema emolinfopoietico</w:t>
            </w:r>
          </w:p>
        </w:tc>
      </w:tr>
      <w:tr w:rsidR="0027274D" w:rsidRPr="00496684" w14:paraId="4D9F5B66" w14:textId="77777777" w:rsidTr="00BE3648">
        <w:tc>
          <w:tcPr>
            <w:tcW w:w="2235" w:type="dxa"/>
          </w:tcPr>
          <w:p w14:paraId="180469E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7C5E6D98"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Neutropenia, trombocitopenia, anemia</w:t>
            </w:r>
          </w:p>
        </w:tc>
      </w:tr>
      <w:tr w:rsidR="0027274D" w:rsidRPr="00496684" w14:paraId="09A98047" w14:textId="77777777" w:rsidTr="00BE3648">
        <w:tc>
          <w:tcPr>
            <w:tcW w:w="2235" w:type="dxa"/>
          </w:tcPr>
          <w:p w14:paraId="75824991"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224D470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Pancitopenia, neutropenia febbrile</w:t>
            </w:r>
          </w:p>
        </w:tc>
      </w:tr>
      <w:tr w:rsidR="0027274D" w:rsidRPr="00496684" w14:paraId="370188DA" w14:textId="77777777" w:rsidTr="00BE3648">
        <w:tc>
          <w:tcPr>
            <w:tcW w:w="2235" w:type="dxa"/>
          </w:tcPr>
          <w:p w14:paraId="46AADCE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23E8DA0A"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Trombocitemia, linfopenia, depressione midollare, eosinofilia, linfoadenopatia</w:t>
            </w:r>
          </w:p>
        </w:tc>
      </w:tr>
      <w:tr w:rsidR="0027274D" w:rsidRPr="00496684" w14:paraId="4B7785DE" w14:textId="77777777" w:rsidTr="00BE3648">
        <w:tc>
          <w:tcPr>
            <w:tcW w:w="2235" w:type="dxa"/>
          </w:tcPr>
          <w:p w14:paraId="50EBD728"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02A9E9B5" w14:textId="31F3055F"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Anemia emolitica</w:t>
            </w:r>
            <w:r w:rsidR="00761BB3" w:rsidRPr="00496684">
              <w:rPr>
                <w:rFonts w:ascii="Times New Roman" w:hAnsi="Times New Roman"/>
                <w:lang w:val="it-IT"/>
              </w:rPr>
              <w:t>, microangiopatia trombotica</w:t>
            </w:r>
          </w:p>
        </w:tc>
      </w:tr>
      <w:tr w:rsidR="0027274D" w:rsidRPr="00496684" w14:paraId="0B79E14E" w14:textId="77777777" w:rsidTr="00BE3648">
        <w:tc>
          <w:tcPr>
            <w:tcW w:w="9322" w:type="dxa"/>
            <w:gridSpan w:val="2"/>
          </w:tcPr>
          <w:p w14:paraId="4357699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Disturbi del metabolismo e della nutrizione</w:t>
            </w:r>
          </w:p>
        </w:tc>
      </w:tr>
      <w:tr w:rsidR="0027274D" w:rsidRPr="00496684" w14:paraId="179356DA" w14:textId="77777777" w:rsidTr="00BE3648">
        <w:tc>
          <w:tcPr>
            <w:tcW w:w="2235" w:type="dxa"/>
          </w:tcPr>
          <w:p w14:paraId="5DC529F4"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6FE74D74"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Anoressia</w:t>
            </w:r>
          </w:p>
        </w:tc>
      </w:tr>
      <w:tr w:rsidR="0027274D" w:rsidRPr="00496684" w14:paraId="7D56620A" w14:textId="77777777" w:rsidTr="00BE3648">
        <w:tc>
          <w:tcPr>
            <w:tcW w:w="2235" w:type="dxa"/>
          </w:tcPr>
          <w:p w14:paraId="0A77987B"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29214B6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Ipokaliemia, aumento dell’appetito, ipofosfatemia, diminuzione dell’appetito, disidratazione, gotta, iperuricemia, ipercalcemia, iperglicemia, iponatriemia</w:t>
            </w:r>
          </w:p>
        </w:tc>
      </w:tr>
      <w:tr w:rsidR="0027274D" w:rsidRPr="00496684" w14:paraId="37AFAD8E" w14:textId="77777777" w:rsidTr="00BE3648">
        <w:tc>
          <w:tcPr>
            <w:tcW w:w="2235" w:type="dxa"/>
          </w:tcPr>
          <w:p w14:paraId="75FC1F9A"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64554E74"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Iperkaliemia, ipomagnesiemia</w:t>
            </w:r>
          </w:p>
        </w:tc>
      </w:tr>
      <w:tr w:rsidR="0027274D" w:rsidRPr="00496684" w14:paraId="03F1B1B7" w14:textId="77777777" w:rsidTr="00BE3648">
        <w:tc>
          <w:tcPr>
            <w:tcW w:w="9322" w:type="dxa"/>
            <w:gridSpan w:val="2"/>
          </w:tcPr>
          <w:p w14:paraId="69A1EC4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Disturbi psichiatrici</w:t>
            </w:r>
          </w:p>
        </w:tc>
      </w:tr>
      <w:tr w:rsidR="0027274D" w:rsidRPr="00496684" w14:paraId="60B49BF2" w14:textId="77777777" w:rsidTr="00BE3648">
        <w:tc>
          <w:tcPr>
            <w:tcW w:w="2235" w:type="dxa"/>
          </w:tcPr>
          <w:p w14:paraId="6A3B781E"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067C1169"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Insonnia</w:t>
            </w:r>
          </w:p>
        </w:tc>
      </w:tr>
      <w:tr w:rsidR="0027274D" w:rsidRPr="00496684" w14:paraId="416EB0E2" w14:textId="77777777" w:rsidTr="00BE3648">
        <w:tc>
          <w:tcPr>
            <w:tcW w:w="2235" w:type="dxa"/>
          </w:tcPr>
          <w:p w14:paraId="0BCF729A"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306C2FB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Depressione, riduzione della libido, ansia</w:t>
            </w:r>
          </w:p>
        </w:tc>
      </w:tr>
      <w:tr w:rsidR="0027274D" w:rsidRPr="00496684" w14:paraId="1B97C263" w14:textId="77777777" w:rsidTr="00BE3648">
        <w:tc>
          <w:tcPr>
            <w:tcW w:w="2235" w:type="dxa"/>
          </w:tcPr>
          <w:p w14:paraId="4E84932F"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4F0F5E0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Stato confusionale</w:t>
            </w:r>
          </w:p>
        </w:tc>
      </w:tr>
      <w:tr w:rsidR="0027274D" w:rsidRPr="00496684" w14:paraId="7CCA583D" w14:textId="77777777" w:rsidTr="00BE3648">
        <w:tc>
          <w:tcPr>
            <w:tcW w:w="9322" w:type="dxa"/>
            <w:gridSpan w:val="2"/>
          </w:tcPr>
          <w:p w14:paraId="28090325"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del sistema nervoso</w:t>
            </w:r>
          </w:p>
        </w:tc>
      </w:tr>
      <w:tr w:rsidR="0027274D" w:rsidRPr="00496684" w14:paraId="1432176D" w14:textId="77777777" w:rsidTr="00BE3648">
        <w:tc>
          <w:tcPr>
            <w:tcW w:w="2235" w:type="dxa"/>
          </w:tcPr>
          <w:p w14:paraId="79A80608"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3DFC541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Cefalea</w:t>
            </w:r>
            <w:r w:rsidRPr="00496684">
              <w:rPr>
                <w:rFonts w:ascii="Times New Roman" w:hAnsi="Times New Roman"/>
                <w:vertAlign w:val="superscript"/>
                <w:lang w:val="it-IT"/>
              </w:rPr>
              <w:t>2</w:t>
            </w:r>
          </w:p>
        </w:tc>
      </w:tr>
      <w:tr w:rsidR="0027274D" w:rsidRPr="00496684" w14:paraId="19EBC88F" w14:textId="77777777" w:rsidTr="00BE3648">
        <w:tc>
          <w:tcPr>
            <w:tcW w:w="2235" w:type="dxa"/>
          </w:tcPr>
          <w:p w14:paraId="60B95EC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4274E7C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Capogiri, parestesia, alterazioni del gusto, ipoestesia</w:t>
            </w:r>
          </w:p>
        </w:tc>
      </w:tr>
      <w:tr w:rsidR="0027274D" w:rsidRPr="00496684" w14:paraId="5209003D" w14:textId="77777777" w:rsidTr="00BE3648">
        <w:tc>
          <w:tcPr>
            <w:tcW w:w="2235" w:type="dxa"/>
          </w:tcPr>
          <w:p w14:paraId="0579C994"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2C36EC0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Emicrania, sonnolenza, sincope, neuropatia periferica, indebolimento della memoria, sciatalgia, sindrome delle gambe senza riposo, tremore, emorragia cerebrale</w:t>
            </w:r>
          </w:p>
        </w:tc>
      </w:tr>
      <w:tr w:rsidR="0027274D" w:rsidRPr="00496684" w14:paraId="04EA00BB" w14:textId="77777777" w:rsidTr="00BE3648">
        <w:tc>
          <w:tcPr>
            <w:tcW w:w="2235" w:type="dxa"/>
          </w:tcPr>
          <w:p w14:paraId="3E5AF32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422E4A6D"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Aumento della pressione intracranica, convulsioni, neurite ottica</w:t>
            </w:r>
          </w:p>
        </w:tc>
      </w:tr>
      <w:tr w:rsidR="0027274D" w:rsidRPr="00496684" w14:paraId="0C353593" w14:textId="77777777" w:rsidTr="00BE3648">
        <w:tc>
          <w:tcPr>
            <w:tcW w:w="2235" w:type="dxa"/>
          </w:tcPr>
          <w:p w14:paraId="202AC434"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23B5B03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Edema cerebrale*</w:t>
            </w:r>
          </w:p>
        </w:tc>
      </w:tr>
      <w:tr w:rsidR="0027274D" w:rsidRPr="00496684" w14:paraId="07E8118F" w14:textId="77777777" w:rsidTr="00BE3648">
        <w:tc>
          <w:tcPr>
            <w:tcW w:w="9322" w:type="dxa"/>
            <w:gridSpan w:val="2"/>
          </w:tcPr>
          <w:p w14:paraId="7054FFD9"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dell'occhio</w:t>
            </w:r>
          </w:p>
        </w:tc>
      </w:tr>
      <w:tr w:rsidR="0027274D" w:rsidRPr="00496684" w14:paraId="594078FC" w14:textId="77777777" w:rsidTr="00BE3648">
        <w:tc>
          <w:tcPr>
            <w:tcW w:w="2235" w:type="dxa"/>
          </w:tcPr>
          <w:p w14:paraId="6CF659D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41E0699D"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Edema delle palpebre, aumento della lacrimazione, emorragia congiuntivale, congiuntivite, secchezza oculare, offuscamento della visione</w:t>
            </w:r>
          </w:p>
        </w:tc>
      </w:tr>
      <w:tr w:rsidR="0027274D" w:rsidRPr="00496684" w14:paraId="1D60F61A" w14:textId="77777777" w:rsidTr="00BE3648">
        <w:tc>
          <w:tcPr>
            <w:tcW w:w="2235" w:type="dxa"/>
          </w:tcPr>
          <w:p w14:paraId="196E4A4B"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3724E48E"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Irritazione oculare, dolore oculare, edema orbitale, emorragia della sclera, emorragia retinica, blefarite, edema maculare</w:t>
            </w:r>
          </w:p>
        </w:tc>
      </w:tr>
      <w:tr w:rsidR="0027274D" w:rsidRPr="00496684" w14:paraId="2B55008E" w14:textId="77777777" w:rsidTr="00BE3648">
        <w:tc>
          <w:tcPr>
            <w:tcW w:w="2235" w:type="dxa"/>
          </w:tcPr>
          <w:p w14:paraId="2BCE071B"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19F37179"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Cataratta, glaucoma, papilledema</w:t>
            </w:r>
          </w:p>
        </w:tc>
      </w:tr>
      <w:tr w:rsidR="0027274D" w:rsidRPr="00496684" w14:paraId="030F515C" w14:textId="77777777" w:rsidTr="00BE3648">
        <w:tc>
          <w:tcPr>
            <w:tcW w:w="2235" w:type="dxa"/>
          </w:tcPr>
          <w:p w14:paraId="77031A01"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4D09911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Emorragia del corpo vitreo*</w:t>
            </w:r>
          </w:p>
        </w:tc>
      </w:tr>
      <w:tr w:rsidR="0027274D" w:rsidRPr="00496684" w14:paraId="0688940D" w14:textId="77777777" w:rsidTr="00BE3648">
        <w:tc>
          <w:tcPr>
            <w:tcW w:w="9322" w:type="dxa"/>
            <w:gridSpan w:val="2"/>
          </w:tcPr>
          <w:p w14:paraId="7DB0E68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dell'orecchio e del labirinto</w:t>
            </w:r>
          </w:p>
        </w:tc>
      </w:tr>
      <w:tr w:rsidR="0027274D" w:rsidRPr="00496684" w14:paraId="3FC9EE4D" w14:textId="77777777" w:rsidTr="00BE3648">
        <w:tc>
          <w:tcPr>
            <w:tcW w:w="2235" w:type="dxa"/>
          </w:tcPr>
          <w:p w14:paraId="40A47A6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00F7DC45"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Vertigini, acufeni, perdita di udito</w:t>
            </w:r>
          </w:p>
        </w:tc>
      </w:tr>
      <w:tr w:rsidR="0027274D" w:rsidRPr="00496684" w14:paraId="4CDF4A80" w14:textId="77777777" w:rsidTr="00BE3648">
        <w:tc>
          <w:tcPr>
            <w:tcW w:w="9322" w:type="dxa"/>
            <w:gridSpan w:val="2"/>
          </w:tcPr>
          <w:p w14:paraId="40C7D265"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cardiache</w:t>
            </w:r>
          </w:p>
        </w:tc>
      </w:tr>
      <w:tr w:rsidR="0027274D" w:rsidRPr="00496684" w14:paraId="76887700" w14:textId="77777777" w:rsidTr="00BE3648">
        <w:tc>
          <w:tcPr>
            <w:tcW w:w="2235" w:type="dxa"/>
          </w:tcPr>
          <w:p w14:paraId="2D39FA3A"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244141DD"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Palpitazioni, tachicardia, scompenso cardiaco congestizio</w:t>
            </w:r>
            <w:r w:rsidRPr="00496684">
              <w:rPr>
                <w:rFonts w:ascii="Times New Roman" w:hAnsi="Times New Roman"/>
                <w:vertAlign w:val="superscript"/>
                <w:lang w:val="it-IT"/>
              </w:rPr>
              <w:t>3</w:t>
            </w:r>
            <w:r w:rsidRPr="00496684">
              <w:rPr>
                <w:rFonts w:ascii="Times New Roman" w:hAnsi="Times New Roman"/>
                <w:lang w:val="it-IT"/>
              </w:rPr>
              <w:t>, edema polmonare</w:t>
            </w:r>
          </w:p>
        </w:tc>
      </w:tr>
      <w:tr w:rsidR="0027274D" w:rsidRPr="00496684" w14:paraId="16E333CA" w14:textId="77777777" w:rsidTr="00BE3648">
        <w:tc>
          <w:tcPr>
            <w:tcW w:w="2235" w:type="dxa"/>
          </w:tcPr>
          <w:p w14:paraId="6C4A3249"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7577FAF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Aritmia, fibrillazione atriale, arresto cardiaco, infarto miocardico, angina pectoris, effusione pericardica</w:t>
            </w:r>
          </w:p>
        </w:tc>
      </w:tr>
      <w:tr w:rsidR="0027274D" w:rsidRPr="00496684" w14:paraId="5CF0945F" w14:textId="77777777" w:rsidTr="00BE3648">
        <w:tc>
          <w:tcPr>
            <w:tcW w:w="2235" w:type="dxa"/>
          </w:tcPr>
          <w:p w14:paraId="25469B6F"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20C5BD01"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Pericardite*, tamponamento cardiaco*</w:t>
            </w:r>
          </w:p>
        </w:tc>
      </w:tr>
      <w:tr w:rsidR="0027274D" w:rsidRPr="00496684" w14:paraId="7D09CD18" w14:textId="77777777" w:rsidTr="00BE3648">
        <w:tc>
          <w:tcPr>
            <w:tcW w:w="9322" w:type="dxa"/>
            <w:gridSpan w:val="2"/>
          </w:tcPr>
          <w:p w14:paraId="1478E585"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vascolari</w:t>
            </w:r>
            <w:r w:rsidRPr="00496684">
              <w:rPr>
                <w:rFonts w:ascii="Times New Roman" w:hAnsi="Times New Roman"/>
                <w:b/>
                <w:vertAlign w:val="superscript"/>
                <w:lang w:val="it-IT"/>
              </w:rPr>
              <w:t>4</w:t>
            </w:r>
          </w:p>
        </w:tc>
      </w:tr>
      <w:tr w:rsidR="0027274D" w:rsidRPr="00496684" w14:paraId="3ABBE1F9" w14:textId="77777777" w:rsidTr="00BE3648">
        <w:tc>
          <w:tcPr>
            <w:tcW w:w="2235" w:type="dxa"/>
          </w:tcPr>
          <w:p w14:paraId="7C0E113E"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42B87DB8"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Vampate, emorragia</w:t>
            </w:r>
          </w:p>
        </w:tc>
      </w:tr>
      <w:tr w:rsidR="0027274D" w:rsidRPr="00496684" w14:paraId="2AE98146" w14:textId="77777777" w:rsidTr="00BE3648">
        <w:tc>
          <w:tcPr>
            <w:tcW w:w="2235" w:type="dxa"/>
          </w:tcPr>
          <w:p w14:paraId="54D8D709"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1DBE5C59"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Ipertensione, ematoma, ematoma subdurale, raffreddamento delle estremità, ipotensione, fenomeno di Raynaud</w:t>
            </w:r>
          </w:p>
        </w:tc>
      </w:tr>
      <w:tr w:rsidR="0027274D" w:rsidRPr="00496684" w14:paraId="56FF2FAA" w14:textId="77777777" w:rsidTr="00BE3648">
        <w:tc>
          <w:tcPr>
            <w:tcW w:w="2235" w:type="dxa"/>
          </w:tcPr>
          <w:p w14:paraId="5B112415"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3BA228A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Trombosi/embolia*</w:t>
            </w:r>
          </w:p>
        </w:tc>
      </w:tr>
      <w:tr w:rsidR="0027274D" w:rsidRPr="00496684" w14:paraId="70D20653" w14:textId="77777777" w:rsidTr="00BE3648">
        <w:tc>
          <w:tcPr>
            <w:tcW w:w="9322" w:type="dxa"/>
            <w:gridSpan w:val="2"/>
          </w:tcPr>
          <w:p w14:paraId="16D47D27"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respiratorie, toraciche e mediastiniche</w:t>
            </w:r>
          </w:p>
        </w:tc>
      </w:tr>
      <w:tr w:rsidR="0027274D" w:rsidRPr="00496684" w14:paraId="7BC69A6A" w14:textId="77777777" w:rsidTr="00BE3648">
        <w:tc>
          <w:tcPr>
            <w:tcW w:w="2235" w:type="dxa"/>
          </w:tcPr>
          <w:p w14:paraId="44499118"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555011C5"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Dispnea, epistassi, tosse</w:t>
            </w:r>
          </w:p>
        </w:tc>
      </w:tr>
      <w:tr w:rsidR="0027274D" w:rsidRPr="00496684" w14:paraId="6138AF6B" w14:textId="77777777" w:rsidTr="00BE3648">
        <w:tc>
          <w:tcPr>
            <w:tcW w:w="2235" w:type="dxa"/>
          </w:tcPr>
          <w:p w14:paraId="0D1ECB4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7168EC28"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Effusione pleurica</w:t>
            </w:r>
            <w:r w:rsidRPr="00496684">
              <w:rPr>
                <w:rFonts w:ascii="Times New Roman" w:hAnsi="Times New Roman"/>
                <w:vertAlign w:val="superscript"/>
                <w:lang w:val="it-IT"/>
              </w:rPr>
              <w:t>5</w:t>
            </w:r>
            <w:r w:rsidRPr="00496684">
              <w:rPr>
                <w:rFonts w:ascii="Times New Roman" w:hAnsi="Times New Roman"/>
                <w:lang w:val="it-IT"/>
              </w:rPr>
              <w:t>, dolore faringolaringeo, faringite</w:t>
            </w:r>
          </w:p>
        </w:tc>
      </w:tr>
      <w:tr w:rsidR="0027274D" w:rsidRPr="00496684" w14:paraId="551C72A7" w14:textId="77777777" w:rsidTr="00BE3648">
        <w:tc>
          <w:tcPr>
            <w:tcW w:w="2235" w:type="dxa"/>
          </w:tcPr>
          <w:p w14:paraId="56AE837F"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7FF780FD"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Dolore pleuritico, fibrosi polmonare, ipertensione polmonare, emorragia polmonare</w:t>
            </w:r>
          </w:p>
        </w:tc>
      </w:tr>
      <w:tr w:rsidR="0027274D" w:rsidRPr="00496684" w14:paraId="6ACB172C" w14:textId="77777777" w:rsidTr="00BE3648">
        <w:tc>
          <w:tcPr>
            <w:tcW w:w="2235" w:type="dxa"/>
          </w:tcPr>
          <w:p w14:paraId="3F675D8A"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7B7C4E0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Insufficienza respiratoria acuta</w:t>
            </w:r>
            <w:r w:rsidRPr="00496684">
              <w:rPr>
                <w:rFonts w:ascii="Times New Roman" w:hAnsi="Times New Roman"/>
                <w:vertAlign w:val="superscript"/>
                <w:lang w:val="it-IT"/>
              </w:rPr>
              <w:t>1</w:t>
            </w:r>
            <w:r w:rsidR="00900934" w:rsidRPr="00496684">
              <w:rPr>
                <w:rFonts w:ascii="Times New Roman" w:hAnsi="Times New Roman"/>
                <w:vertAlign w:val="superscript"/>
                <w:lang w:val="it-IT"/>
              </w:rPr>
              <w:t>1</w:t>
            </w:r>
            <w:r w:rsidRPr="00496684">
              <w:rPr>
                <w:rFonts w:ascii="Times New Roman" w:hAnsi="Times New Roman"/>
                <w:lang w:val="it-IT"/>
              </w:rPr>
              <w:t>*, malattia polmonare interstiziale*</w:t>
            </w:r>
          </w:p>
        </w:tc>
      </w:tr>
      <w:tr w:rsidR="0027274D" w:rsidRPr="00496684" w14:paraId="477B0080" w14:textId="77777777" w:rsidTr="00BE3648">
        <w:tc>
          <w:tcPr>
            <w:tcW w:w="9322" w:type="dxa"/>
            <w:gridSpan w:val="2"/>
          </w:tcPr>
          <w:p w14:paraId="0C44D3B8"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gastrointestinali</w:t>
            </w:r>
          </w:p>
        </w:tc>
      </w:tr>
      <w:tr w:rsidR="0027274D" w:rsidRPr="00496684" w14:paraId="03E2221D" w14:textId="77777777" w:rsidTr="00BE3648">
        <w:tc>
          <w:tcPr>
            <w:tcW w:w="2235" w:type="dxa"/>
          </w:tcPr>
          <w:p w14:paraId="54CF135A"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27265045"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Nausea, diarrea, vomito, dispepsia, dolori addominali</w:t>
            </w:r>
            <w:r w:rsidRPr="00496684">
              <w:rPr>
                <w:rFonts w:ascii="Times New Roman" w:hAnsi="Times New Roman"/>
                <w:vertAlign w:val="superscript"/>
                <w:lang w:val="it-IT"/>
              </w:rPr>
              <w:t>6</w:t>
            </w:r>
          </w:p>
        </w:tc>
      </w:tr>
      <w:tr w:rsidR="0027274D" w:rsidRPr="00496684" w14:paraId="4000FCCB" w14:textId="77777777" w:rsidTr="00BE3648">
        <w:tc>
          <w:tcPr>
            <w:tcW w:w="2235" w:type="dxa"/>
          </w:tcPr>
          <w:p w14:paraId="15436B1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5670C9F7"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Flatulenza, distensione addominale, reflusso gastroesofageo, stipsi, secchezza delle fauci, gastrite</w:t>
            </w:r>
          </w:p>
        </w:tc>
      </w:tr>
      <w:tr w:rsidR="0027274D" w:rsidRPr="00496684" w14:paraId="5FDF5F6B" w14:textId="77777777" w:rsidTr="00BE3648">
        <w:tc>
          <w:tcPr>
            <w:tcW w:w="2235" w:type="dxa"/>
          </w:tcPr>
          <w:p w14:paraId="00EEDF7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66FF013D"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Stomatite, ulcerazione della bocca, emorragia gastrointestinale</w:t>
            </w:r>
            <w:r w:rsidRPr="00496684">
              <w:rPr>
                <w:rFonts w:ascii="Times New Roman" w:hAnsi="Times New Roman"/>
                <w:vertAlign w:val="superscript"/>
                <w:lang w:val="it-IT"/>
              </w:rPr>
              <w:t>7</w:t>
            </w:r>
            <w:r w:rsidRPr="00496684">
              <w:rPr>
                <w:rFonts w:ascii="Times New Roman" w:hAnsi="Times New Roman"/>
                <w:lang w:val="it-IT"/>
              </w:rPr>
              <w:t>, eruttazione, melena, esofagite, ascite, ulcera gastrica, ematemesi, cheilite, disfagia, pancreatite</w:t>
            </w:r>
          </w:p>
        </w:tc>
      </w:tr>
      <w:tr w:rsidR="0027274D" w:rsidRPr="00496684" w14:paraId="604DC7D5" w14:textId="77777777" w:rsidTr="00BE3648">
        <w:tc>
          <w:tcPr>
            <w:tcW w:w="2235" w:type="dxa"/>
          </w:tcPr>
          <w:p w14:paraId="175C848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535433A3" w14:textId="77777777" w:rsidR="0027274D" w:rsidRPr="00496684" w:rsidRDefault="0027274D" w:rsidP="00BE3648">
            <w:pPr>
              <w:spacing w:after="0" w:line="240" w:lineRule="auto"/>
              <w:rPr>
                <w:rFonts w:ascii="Times New Roman" w:hAnsi="Times New Roman"/>
                <w:snapToGrid w:val="0"/>
                <w:lang w:val="it-IT"/>
              </w:rPr>
            </w:pPr>
            <w:r w:rsidRPr="00496684">
              <w:rPr>
                <w:rFonts w:ascii="Times New Roman" w:hAnsi="Times New Roman"/>
                <w:lang w:val="it-IT"/>
              </w:rPr>
              <w:t>Colite, ileo, malattia infiammatoria intestinale</w:t>
            </w:r>
          </w:p>
        </w:tc>
      </w:tr>
      <w:tr w:rsidR="0027274D" w:rsidRPr="00496684" w14:paraId="6C79310B" w14:textId="77777777" w:rsidTr="00BE3648">
        <w:tc>
          <w:tcPr>
            <w:tcW w:w="2235" w:type="dxa"/>
          </w:tcPr>
          <w:p w14:paraId="22F82B7E"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25A956F1"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Ostruzione ileo/intestinale*, perforazione gastrointestinale*, diverticolite*, ectasia vascolare gastrica antrale (GAVE)*</w:t>
            </w:r>
          </w:p>
        </w:tc>
      </w:tr>
      <w:tr w:rsidR="0027274D" w:rsidRPr="00496684" w14:paraId="4B124EBB" w14:textId="77777777" w:rsidTr="00BE3648">
        <w:tc>
          <w:tcPr>
            <w:tcW w:w="9322" w:type="dxa"/>
            <w:gridSpan w:val="2"/>
          </w:tcPr>
          <w:p w14:paraId="005B5681" w14:textId="77777777" w:rsidR="0027274D" w:rsidRPr="00496684" w:rsidRDefault="0027274D" w:rsidP="00BE3648">
            <w:pPr>
              <w:spacing w:after="0" w:line="240" w:lineRule="auto"/>
              <w:rPr>
                <w:rFonts w:ascii="Times New Roman" w:hAnsi="Times New Roman"/>
                <w:snapToGrid w:val="0"/>
                <w:lang w:val="it-IT"/>
              </w:rPr>
            </w:pPr>
            <w:r w:rsidRPr="00496684">
              <w:rPr>
                <w:rFonts w:ascii="Times New Roman" w:hAnsi="Times New Roman"/>
                <w:b/>
                <w:lang w:val="it-IT"/>
              </w:rPr>
              <w:t>Patologie epatobiliari</w:t>
            </w:r>
          </w:p>
        </w:tc>
      </w:tr>
      <w:tr w:rsidR="0027274D" w:rsidRPr="00496684" w14:paraId="15BC912E" w14:textId="77777777" w:rsidTr="00BE3648">
        <w:tc>
          <w:tcPr>
            <w:tcW w:w="2235" w:type="dxa"/>
          </w:tcPr>
          <w:p w14:paraId="18633ACC"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31D3645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Aumento degli enzimi epatici</w:t>
            </w:r>
          </w:p>
        </w:tc>
      </w:tr>
      <w:tr w:rsidR="0027274D" w:rsidRPr="00496684" w14:paraId="0AAB2F0B" w14:textId="77777777" w:rsidTr="00BE3648">
        <w:tc>
          <w:tcPr>
            <w:tcW w:w="2235" w:type="dxa"/>
          </w:tcPr>
          <w:p w14:paraId="7E1A610E"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550A640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Iperbilirubinemia, epatite, ittero</w:t>
            </w:r>
          </w:p>
        </w:tc>
      </w:tr>
      <w:tr w:rsidR="0027274D" w:rsidRPr="00496684" w14:paraId="584F1C0B" w14:textId="77777777" w:rsidTr="00BE3648">
        <w:tc>
          <w:tcPr>
            <w:tcW w:w="2235" w:type="dxa"/>
          </w:tcPr>
          <w:p w14:paraId="643860B5"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61E2E3EE"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Insufficienza epatica</w:t>
            </w:r>
            <w:r w:rsidRPr="00496684">
              <w:rPr>
                <w:rFonts w:ascii="Times New Roman" w:hAnsi="Times New Roman"/>
                <w:vertAlign w:val="superscript"/>
                <w:lang w:val="it-IT"/>
              </w:rPr>
              <w:t>8</w:t>
            </w:r>
            <w:r w:rsidRPr="00496684">
              <w:rPr>
                <w:rFonts w:ascii="Times New Roman" w:hAnsi="Times New Roman"/>
                <w:lang w:val="it-IT"/>
              </w:rPr>
              <w:t>, necrosi epatica</w:t>
            </w:r>
          </w:p>
        </w:tc>
      </w:tr>
      <w:tr w:rsidR="0027274D" w:rsidRPr="00496684" w14:paraId="3905778D" w14:textId="77777777" w:rsidTr="00BE3648">
        <w:tc>
          <w:tcPr>
            <w:tcW w:w="9322" w:type="dxa"/>
            <w:gridSpan w:val="2"/>
          </w:tcPr>
          <w:p w14:paraId="6DF3B22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della cute e del tessuto sottocutaneo</w:t>
            </w:r>
          </w:p>
        </w:tc>
      </w:tr>
      <w:tr w:rsidR="0027274D" w:rsidRPr="00496684" w14:paraId="6D7A312F" w14:textId="77777777" w:rsidTr="00BE3648">
        <w:tc>
          <w:tcPr>
            <w:tcW w:w="2235" w:type="dxa"/>
          </w:tcPr>
          <w:p w14:paraId="21C834DD"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18A0D78E"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Edema periorbitale, dermatite/eczema/eruzione cutanea</w:t>
            </w:r>
          </w:p>
        </w:tc>
      </w:tr>
      <w:tr w:rsidR="0027274D" w:rsidRPr="00496684" w14:paraId="73E59350" w14:textId="77777777" w:rsidTr="00BE3648">
        <w:tc>
          <w:tcPr>
            <w:tcW w:w="2235" w:type="dxa"/>
          </w:tcPr>
          <w:p w14:paraId="03BDC6A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227B6BD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Prurito, edema facciale, secchezza della cute, eritema, alopecia, sudorazione notturna, reazioni di fotosensibilità</w:t>
            </w:r>
          </w:p>
        </w:tc>
      </w:tr>
      <w:tr w:rsidR="0027274D" w:rsidRPr="00496684" w14:paraId="5056C797" w14:textId="77777777" w:rsidTr="00BE3648">
        <w:tc>
          <w:tcPr>
            <w:tcW w:w="2235" w:type="dxa"/>
          </w:tcPr>
          <w:p w14:paraId="49514D5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4F10BE0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Eruzione cutanea pustolosa, contusioni, aumento della sudorazione, orticaria, ecchimosi, aumento della tendenza a sviluppare lividi, ipotricosi, ipopigmentazione cutanea, dermatite esfoliativa, onicoclasia, follicolite, petecchie, psoriasi, porpora, iperpigmentazione cutanea, eruzioni bollose</w:t>
            </w:r>
          </w:p>
        </w:tc>
      </w:tr>
      <w:tr w:rsidR="0027274D" w:rsidRPr="00496684" w14:paraId="69F495F4" w14:textId="77777777" w:rsidTr="00BE3648">
        <w:tc>
          <w:tcPr>
            <w:tcW w:w="2235" w:type="dxa"/>
          </w:tcPr>
          <w:p w14:paraId="2C33DCC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Raro</w:t>
            </w:r>
          </w:p>
        </w:tc>
        <w:tc>
          <w:tcPr>
            <w:tcW w:w="7087" w:type="dxa"/>
          </w:tcPr>
          <w:p w14:paraId="5CA96781"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Dermatosi neutrofila febbrile acuta (sindrome di Sweet), alterazione del colore delle unghie, edema angioneurotico, eruzione cutanea vescicolare, eritema multiforme, vasculite leucocitoclastica, sindrome di Stevens-Johnson, pustolosi esantematosa generalizzata acuta (AGEP)</w:t>
            </w:r>
          </w:p>
        </w:tc>
      </w:tr>
      <w:tr w:rsidR="0027274D" w:rsidRPr="00496684" w14:paraId="7A7D31F9" w14:textId="77777777" w:rsidTr="00BE3648">
        <w:tc>
          <w:tcPr>
            <w:tcW w:w="2235" w:type="dxa"/>
          </w:tcPr>
          <w:p w14:paraId="6729A687"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43E670AB"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Sindrome da eritrodisestesia palmo-plantare*, cheratosi lichenoide*, lichen planus*, necrolisi epidermica tossica*, reazione cutanea da farmaco con eosinofilia e sintomi sistemici (DRESS)*</w:t>
            </w:r>
            <w:r w:rsidR="00AD5B18" w:rsidRPr="00496684">
              <w:rPr>
                <w:rFonts w:ascii="Times New Roman" w:hAnsi="Times New Roman"/>
                <w:lang w:val="it-IT"/>
              </w:rPr>
              <w:t>, pseudoporfiria*</w:t>
            </w:r>
          </w:p>
        </w:tc>
      </w:tr>
      <w:tr w:rsidR="0027274D" w:rsidRPr="00496684" w14:paraId="1E0D5F67" w14:textId="77777777" w:rsidTr="00BE3648">
        <w:tc>
          <w:tcPr>
            <w:tcW w:w="9322" w:type="dxa"/>
            <w:gridSpan w:val="2"/>
          </w:tcPr>
          <w:p w14:paraId="2FF32634"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del sistema muscoloscheletrico e del tessuto connettivo</w:t>
            </w:r>
          </w:p>
        </w:tc>
      </w:tr>
      <w:tr w:rsidR="0027274D" w:rsidRPr="00496684" w14:paraId="6F4ABCF0" w14:textId="77777777" w:rsidTr="00BE3648">
        <w:tc>
          <w:tcPr>
            <w:tcW w:w="2235" w:type="dxa"/>
          </w:tcPr>
          <w:p w14:paraId="0211A2FA"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Molto comune</w:t>
            </w:r>
          </w:p>
        </w:tc>
        <w:tc>
          <w:tcPr>
            <w:tcW w:w="7087" w:type="dxa"/>
          </w:tcPr>
          <w:p w14:paraId="79A5F8E7"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Spasmi e crampi muscolari, dolore muscoloscheletrico incluso mialgia</w:t>
            </w:r>
            <w:r w:rsidR="00C015B6" w:rsidRPr="00496684">
              <w:rPr>
                <w:rFonts w:ascii="Times New Roman" w:hAnsi="Times New Roman"/>
                <w:vertAlign w:val="superscript"/>
                <w:lang w:val="it-IT"/>
              </w:rPr>
              <w:t>9</w:t>
            </w:r>
            <w:r w:rsidRPr="00496684">
              <w:rPr>
                <w:rFonts w:ascii="Times New Roman" w:hAnsi="Times New Roman"/>
                <w:lang w:val="it-IT"/>
              </w:rPr>
              <w:t>, artralgia, dolore osseo</w:t>
            </w:r>
            <w:r w:rsidR="00C015B6" w:rsidRPr="00496684">
              <w:rPr>
                <w:rFonts w:ascii="Times New Roman" w:hAnsi="Times New Roman"/>
                <w:vertAlign w:val="superscript"/>
                <w:lang w:val="it-IT"/>
              </w:rPr>
              <w:t>10</w:t>
            </w:r>
          </w:p>
        </w:tc>
      </w:tr>
      <w:tr w:rsidR="0027274D" w:rsidRPr="00496684" w14:paraId="4952CADA" w14:textId="77777777" w:rsidTr="00BE3648">
        <w:tc>
          <w:tcPr>
            <w:tcW w:w="2235" w:type="dxa"/>
          </w:tcPr>
          <w:p w14:paraId="213F403F"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12906A82"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Gonfiore articolare</w:t>
            </w:r>
          </w:p>
        </w:tc>
      </w:tr>
      <w:tr w:rsidR="0027274D" w:rsidRPr="00496684" w14:paraId="723CA5E1" w14:textId="77777777" w:rsidTr="00BE3648">
        <w:tc>
          <w:tcPr>
            <w:tcW w:w="2235" w:type="dxa"/>
          </w:tcPr>
          <w:p w14:paraId="083CEDEE"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24808A0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Rigidità articolare e muscolare</w:t>
            </w:r>
          </w:p>
        </w:tc>
      </w:tr>
      <w:tr w:rsidR="0027274D" w:rsidRPr="00496684" w14:paraId="0D467FBC" w14:textId="77777777" w:rsidTr="00BE3648">
        <w:tc>
          <w:tcPr>
            <w:tcW w:w="2235" w:type="dxa"/>
          </w:tcPr>
          <w:p w14:paraId="1BB4996F"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7A6EF1FD"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Debolezza muscolare, artrite, rabdomiolisi/miopatia</w:t>
            </w:r>
          </w:p>
        </w:tc>
      </w:tr>
      <w:tr w:rsidR="0027274D" w:rsidRPr="00496684" w14:paraId="06581245" w14:textId="77777777" w:rsidTr="00BE3648">
        <w:tc>
          <w:tcPr>
            <w:tcW w:w="2235" w:type="dxa"/>
          </w:tcPr>
          <w:p w14:paraId="649EF67C"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4162CCD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Necrosi avascolare/necrosi dell’anca*, ritardo della crescita nei bambini*</w:t>
            </w:r>
          </w:p>
        </w:tc>
      </w:tr>
      <w:tr w:rsidR="0027274D" w:rsidRPr="00496684" w14:paraId="4CF943D5" w14:textId="77777777" w:rsidTr="00BE3648">
        <w:tc>
          <w:tcPr>
            <w:tcW w:w="9322" w:type="dxa"/>
            <w:gridSpan w:val="2"/>
          </w:tcPr>
          <w:p w14:paraId="7BC19836" w14:textId="77777777" w:rsidR="0027274D" w:rsidRPr="00496684" w:rsidRDefault="0027274D" w:rsidP="00BE3648">
            <w:pPr>
              <w:spacing w:after="0" w:line="240" w:lineRule="auto"/>
              <w:rPr>
                <w:rFonts w:ascii="Times New Roman" w:hAnsi="Times New Roman"/>
                <w:b/>
                <w:lang w:val="it-IT"/>
              </w:rPr>
            </w:pPr>
            <w:r w:rsidRPr="00496684">
              <w:rPr>
                <w:rFonts w:ascii="Times New Roman" w:hAnsi="Times New Roman"/>
                <w:b/>
                <w:lang w:val="it-IT"/>
              </w:rPr>
              <w:t>Patologie renali e urinarie</w:t>
            </w:r>
          </w:p>
        </w:tc>
      </w:tr>
      <w:tr w:rsidR="0027274D" w:rsidRPr="00496684" w14:paraId="1E122427" w14:textId="77777777" w:rsidTr="00BE3648">
        <w:tc>
          <w:tcPr>
            <w:tcW w:w="2235" w:type="dxa"/>
          </w:tcPr>
          <w:p w14:paraId="11AC11BB"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1130F420"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Dolore renale, ematuria, insufficienza renale acuta, pollachiuria</w:t>
            </w:r>
          </w:p>
        </w:tc>
      </w:tr>
      <w:tr w:rsidR="0027274D" w:rsidRPr="00496684" w14:paraId="6C8E9DF2" w14:textId="77777777" w:rsidTr="00BE3648">
        <w:tc>
          <w:tcPr>
            <w:tcW w:w="2235" w:type="dxa"/>
          </w:tcPr>
          <w:p w14:paraId="3901AC4F"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noto:</w:t>
            </w:r>
          </w:p>
        </w:tc>
        <w:tc>
          <w:tcPr>
            <w:tcW w:w="7087" w:type="dxa"/>
          </w:tcPr>
          <w:p w14:paraId="103C18C3"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Insufficienza renale cronica</w:t>
            </w:r>
          </w:p>
        </w:tc>
      </w:tr>
      <w:tr w:rsidR="0027274D" w:rsidRPr="00496684" w14:paraId="713134D6" w14:textId="77777777" w:rsidTr="00BE3648">
        <w:tc>
          <w:tcPr>
            <w:tcW w:w="9322" w:type="dxa"/>
            <w:gridSpan w:val="2"/>
          </w:tcPr>
          <w:p w14:paraId="364E3417"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dell'apparato riproduttivo e della mammella</w:t>
            </w:r>
          </w:p>
        </w:tc>
      </w:tr>
      <w:tr w:rsidR="0027274D" w:rsidRPr="00496684" w14:paraId="577BA926" w14:textId="77777777" w:rsidTr="00BE3648">
        <w:tc>
          <w:tcPr>
            <w:tcW w:w="2235" w:type="dxa"/>
          </w:tcPr>
          <w:p w14:paraId="07C4F7D2"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2A63F35B"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Ginecomastia, disfunzione erettile, menorragia, mestruazioni irregolari, disfunzione sessuale, dolore al capezzolo, ingrossamento della mammella, edema scrotale</w:t>
            </w:r>
          </w:p>
        </w:tc>
      </w:tr>
      <w:tr w:rsidR="0027274D" w:rsidRPr="00496684" w14:paraId="61C9E6B4" w14:textId="77777777" w:rsidTr="00BE3648">
        <w:tc>
          <w:tcPr>
            <w:tcW w:w="2235" w:type="dxa"/>
          </w:tcPr>
          <w:p w14:paraId="3E14EE65"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440A7F7E"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Corpo luteo emorragico/cisti ovarica emorragica</w:t>
            </w:r>
          </w:p>
        </w:tc>
      </w:tr>
      <w:tr w:rsidR="0027274D" w:rsidRPr="00496684" w14:paraId="5485EB56" w14:textId="77777777" w:rsidTr="00BE3648">
        <w:tc>
          <w:tcPr>
            <w:tcW w:w="9322" w:type="dxa"/>
            <w:gridSpan w:val="2"/>
          </w:tcPr>
          <w:p w14:paraId="19A470BE"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Patologie sistemiche e condizioni relative alla sede di somministrazione</w:t>
            </w:r>
          </w:p>
        </w:tc>
      </w:tr>
      <w:tr w:rsidR="0027274D" w:rsidRPr="00496684" w14:paraId="5B94923F" w14:textId="77777777" w:rsidTr="00BE3648">
        <w:tc>
          <w:tcPr>
            <w:tcW w:w="2235" w:type="dxa"/>
          </w:tcPr>
          <w:p w14:paraId="30A21291"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Molto comune</w:t>
            </w:r>
          </w:p>
        </w:tc>
        <w:tc>
          <w:tcPr>
            <w:tcW w:w="7087" w:type="dxa"/>
          </w:tcPr>
          <w:p w14:paraId="54AF13B9"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Ritenzione idrica ed edema, affaticamento</w:t>
            </w:r>
          </w:p>
        </w:tc>
      </w:tr>
      <w:tr w:rsidR="0027274D" w:rsidRPr="00496684" w14:paraId="709A2F53" w14:textId="77777777" w:rsidTr="00BE3648">
        <w:tc>
          <w:tcPr>
            <w:tcW w:w="2235" w:type="dxa"/>
          </w:tcPr>
          <w:p w14:paraId="6DBB6642"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Comune</w:t>
            </w:r>
          </w:p>
        </w:tc>
        <w:tc>
          <w:tcPr>
            <w:tcW w:w="7087" w:type="dxa"/>
          </w:tcPr>
          <w:p w14:paraId="494ED6FB"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Debolezza, febbre, anasarca, brividi, tremore</w:t>
            </w:r>
          </w:p>
        </w:tc>
      </w:tr>
      <w:tr w:rsidR="0027274D" w:rsidRPr="00496684" w14:paraId="03ECE50D" w14:textId="77777777" w:rsidTr="00BE3648">
        <w:tc>
          <w:tcPr>
            <w:tcW w:w="2235" w:type="dxa"/>
          </w:tcPr>
          <w:p w14:paraId="661682AE"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Non comune</w:t>
            </w:r>
          </w:p>
        </w:tc>
        <w:tc>
          <w:tcPr>
            <w:tcW w:w="7087" w:type="dxa"/>
          </w:tcPr>
          <w:p w14:paraId="08A02D0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Dolore toracico, malessere</w:t>
            </w:r>
          </w:p>
        </w:tc>
      </w:tr>
      <w:tr w:rsidR="0027274D" w:rsidRPr="00496684" w14:paraId="73603713" w14:textId="77777777" w:rsidTr="00BE3648">
        <w:tc>
          <w:tcPr>
            <w:tcW w:w="9322" w:type="dxa"/>
            <w:gridSpan w:val="2"/>
          </w:tcPr>
          <w:p w14:paraId="321BE65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b/>
                <w:lang w:val="it-IT"/>
              </w:rPr>
              <w:t>Esami diagnostici</w:t>
            </w:r>
          </w:p>
        </w:tc>
      </w:tr>
      <w:tr w:rsidR="0027274D" w:rsidRPr="00496684" w14:paraId="3F7154BE" w14:textId="77777777" w:rsidTr="00BE3648">
        <w:tc>
          <w:tcPr>
            <w:tcW w:w="2235" w:type="dxa"/>
          </w:tcPr>
          <w:p w14:paraId="4D2DB8D5"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Molto comune</w:t>
            </w:r>
          </w:p>
        </w:tc>
        <w:tc>
          <w:tcPr>
            <w:tcW w:w="7087" w:type="dxa"/>
          </w:tcPr>
          <w:p w14:paraId="6E1890A1"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Aumento di peso</w:t>
            </w:r>
          </w:p>
        </w:tc>
      </w:tr>
      <w:tr w:rsidR="0027274D" w:rsidRPr="00496684" w14:paraId="6FADAF5B" w14:textId="77777777" w:rsidTr="00BE3648">
        <w:tc>
          <w:tcPr>
            <w:tcW w:w="2235" w:type="dxa"/>
          </w:tcPr>
          <w:p w14:paraId="79CCD85C"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Comune</w:t>
            </w:r>
          </w:p>
        </w:tc>
        <w:tc>
          <w:tcPr>
            <w:tcW w:w="7087" w:type="dxa"/>
          </w:tcPr>
          <w:p w14:paraId="42952B5F"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Diminuzione di peso</w:t>
            </w:r>
          </w:p>
        </w:tc>
      </w:tr>
      <w:tr w:rsidR="0027274D" w:rsidRPr="00496684" w14:paraId="639AC5F3" w14:textId="77777777" w:rsidTr="00BE3648">
        <w:tc>
          <w:tcPr>
            <w:tcW w:w="2235" w:type="dxa"/>
          </w:tcPr>
          <w:p w14:paraId="752D19B6"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i/>
                <w:lang w:val="it-IT"/>
              </w:rPr>
              <w:t>Non comune</w:t>
            </w:r>
          </w:p>
        </w:tc>
        <w:tc>
          <w:tcPr>
            <w:tcW w:w="7087" w:type="dxa"/>
          </w:tcPr>
          <w:p w14:paraId="5E404B6F"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Aumento della creatinina ematica, aumento della creatinfosfochinasi ematica, aumento della lattato deidrogenasi ematica, aumento della fosfatasi alcalina ematica</w:t>
            </w:r>
          </w:p>
        </w:tc>
      </w:tr>
      <w:tr w:rsidR="0027274D" w:rsidRPr="00496684" w14:paraId="40F6D09E" w14:textId="77777777" w:rsidTr="00BE3648">
        <w:tc>
          <w:tcPr>
            <w:tcW w:w="2235" w:type="dxa"/>
          </w:tcPr>
          <w:p w14:paraId="43A8F94F" w14:textId="77777777" w:rsidR="0027274D" w:rsidRPr="00496684" w:rsidRDefault="0027274D" w:rsidP="00BE3648">
            <w:pPr>
              <w:spacing w:after="0" w:line="240" w:lineRule="auto"/>
              <w:rPr>
                <w:rFonts w:ascii="Times New Roman" w:hAnsi="Times New Roman"/>
                <w:i/>
                <w:lang w:val="it-IT"/>
              </w:rPr>
            </w:pPr>
            <w:r w:rsidRPr="00496684">
              <w:rPr>
                <w:rFonts w:ascii="Times New Roman" w:hAnsi="Times New Roman"/>
                <w:i/>
                <w:lang w:val="it-IT"/>
              </w:rPr>
              <w:t>Raro</w:t>
            </w:r>
          </w:p>
        </w:tc>
        <w:tc>
          <w:tcPr>
            <w:tcW w:w="7087" w:type="dxa"/>
          </w:tcPr>
          <w:p w14:paraId="4471131B" w14:textId="77777777" w:rsidR="0027274D" w:rsidRPr="00496684" w:rsidRDefault="0027274D" w:rsidP="00BE3648">
            <w:pPr>
              <w:spacing w:after="0" w:line="240" w:lineRule="auto"/>
              <w:rPr>
                <w:rFonts w:ascii="Times New Roman" w:hAnsi="Times New Roman"/>
                <w:lang w:val="it-IT"/>
              </w:rPr>
            </w:pPr>
            <w:r w:rsidRPr="00496684">
              <w:rPr>
                <w:rFonts w:ascii="Times New Roman" w:hAnsi="Times New Roman"/>
                <w:lang w:val="it-IT"/>
              </w:rPr>
              <w:t>Aumento dell’amilasi ematica</w:t>
            </w:r>
          </w:p>
        </w:tc>
      </w:tr>
    </w:tbl>
    <w:p w14:paraId="57AE271F"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4F1FB56A" w14:textId="77777777" w:rsidR="002F7364" w:rsidRPr="00496684" w:rsidRDefault="002F7364" w:rsidP="00AE2366">
      <w:pPr>
        <w:widowControl w:val="0"/>
        <w:ind w:left="567" w:hanging="567"/>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 xml:space="preserve">Questi tipi di reazioni sono stati segnalati principalmente dall’esperienza post-marketing con </w:t>
      </w:r>
      <w:r w:rsidR="00816EFD" w:rsidRPr="00496684">
        <w:rPr>
          <w:rFonts w:ascii="Times New Roman" w:hAnsi="Times New Roman"/>
          <w:lang w:val="it-IT"/>
        </w:rPr>
        <w:t>imatinib</w:t>
      </w:r>
      <w:r w:rsidRPr="00496684">
        <w:rPr>
          <w:rFonts w:ascii="Times New Roman" w:hAnsi="Times New Roman"/>
          <w:lang w:val="it-IT"/>
        </w:rPr>
        <w:t>. Comprendono segnalazioni spontanee ed eventi avversi gravi riportati in studi in corso, programmi di accesso allargato, studi di farmacologia clinica e studi esplorativi nelle indicazioni non approvate. Poiché tali reazioni sono segnalate in una popolazione di dimensioni sconosciute, non è sempre possibile stimarne in modo affidabile la frequenza o stabilire una relazione causale con l’esposizione ad imatinib.</w:t>
      </w:r>
    </w:p>
    <w:p w14:paraId="0E7F8598" w14:textId="77777777" w:rsidR="00B20FFF" w:rsidRPr="00496684" w:rsidRDefault="00B20FFF" w:rsidP="00AE2366">
      <w:pPr>
        <w:widowControl w:val="0"/>
        <w:ind w:left="567" w:hanging="567"/>
        <w:rPr>
          <w:rFonts w:ascii="Times New Roman" w:hAnsi="Times New Roman"/>
          <w:lang w:val="it-IT"/>
        </w:rPr>
      </w:pPr>
      <w:r w:rsidRPr="00496684">
        <w:rPr>
          <w:rFonts w:ascii="Times New Roman" w:hAnsi="Times New Roman"/>
          <w:lang w:val="it-IT"/>
        </w:rPr>
        <w:t>1</w:t>
      </w:r>
      <w:r w:rsidRPr="00496684">
        <w:rPr>
          <w:rFonts w:ascii="Times New Roman" w:hAnsi="Times New Roman"/>
          <w:lang w:val="it-IT"/>
        </w:rPr>
        <w:tab/>
        <w:t xml:space="preserve">Polmonite è stata segnalata più comunemente nei pazienti con LMC </w:t>
      </w:r>
      <w:r w:rsidR="004D049F" w:rsidRPr="00496684">
        <w:rPr>
          <w:rFonts w:ascii="Times New Roman" w:hAnsi="Times New Roman"/>
          <w:lang w:val="it-IT"/>
        </w:rPr>
        <w:t xml:space="preserve">accelerata </w:t>
      </w:r>
      <w:r w:rsidRPr="00496684">
        <w:rPr>
          <w:rFonts w:ascii="Times New Roman" w:hAnsi="Times New Roman"/>
          <w:lang w:val="it-IT"/>
        </w:rPr>
        <w:t>e nei pazienti con GIST.</w:t>
      </w:r>
    </w:p>
    <w:p w14:paraId="4D34C2C7" w14:textId="77777777" w:rsidR="00B20FFF" w:rsidRPr="00496684" w:rsidRDefault="00B20FFF" w:rsidP="00B20FFF">
      <w:pPr>
        <w:widowControl w:val="0"/>
        <w:spacing w:after="0" w:line="240" w:lineRule="auto"/>
        <w:ind w:left="567" w:hanging="567"/>
        <w:rPr>
          <w:rFonts w:ascii="Times New Roman" w:hAnsi="Times New Roman"/>
          <w:lang w:val="it-IT"/>
        </w:rPr>
      </w:pPr>
      <w:r w:rsidRPr="00496684">
        <w:rPr>
          <w:rFonts w:ascii="Times New Roman" w:hAnsi="Times New Roman"/>
          <w:lang w:val="it-IT"/>
        </w:rPr>
        <w:t>2</w:t>
      </w:r>
      <w:r w:rsidRPr="00496684">
        <w:rPr>
          <w:rFonts w:ascii="Times New Roman" w:hAnsi="Times New Roman"/>
          <w:lang w:val="it-IT"/>
        </w:rPr>
        <w:tab/>
        <w:t>La cefalea è stata più comune nei pazienti con GIST.</w:t>
      </w:r>
    </w:p>
    <w:p w14:paraId="7C212CB9" w14:textId="77777777" w:rsidR="00B20FFF" w:rsidRPr="00496684" w:rsidRDefault="00B20FFF" w:rsidP="00B20FFF">
      <w:pPr>
        <w:widowControl w:val="0"/>
        <w:spacing w:after="0" w:line="240" w:lineRule="auto"/>
        <w:ind w:left="567" w:hanging="567"/>
        <w:rPr>
          <w:rFonts w:ascii="Times New Roman" w:hAnsi="Times New Roman"/>
          <w:lang w:val="it-IT"/>
        </w:rPr>
      </w:pPr>
      <w:r w:rsidRPr="00496684">
        <w:rPr>
          <w:rFonts w:ascii="Times New Roman" w:hAnsi="Times New Roman"/>
          <w:lang w:val="it-IT"/>
        </w:rPr>
        <w:t>3</w:t>
      </w:r>
      <w:r w:rsidRPr="00496684">
        <w:rPr>
          <w:rFonts w:ascii="Times New Roman" w:hAnsi="Times New Roman"/>
          <w:lang w:val="it-IT"/>
        </w:rPr>
        <w:tab/>
        <w:t xml:space="preserve">Su base paziente-anno, gli eventi cardiaci incluso lo scompenso cardiaco congestizio sono stati osservati più comunemente nei pazienti con LMC </w:t>
      </w:r>
      <w:r w:rsidR="004D049F" w:rsidRPr="00496684">
        <w:rPr>
          <w:rFonts w:ascii="Times New Roman" w:hAnsi="Times New Roman"/>
          <w:lang w:val="it-IT"/>
        </w:rPr>
        <w:t xml:space="preserve">accelerata </w:t>
      </w:r>
      <w:r w:rsidRPr="00496684">
        <w:rPr>
          <w:rFonts w:ascii="Times New Roman" w:hAnsi="Times New Roman"/>
          <w:lang w:val="it-IT"/>
        </w:rPr>
        <w:t>rispetto ai pazienti con LMC cronica.</w:t>
      </w:r>
    </w:p>
    <w:p w14:paraId="1FBDACA5" w14:textId="77777777" w:rsidR="00B20FFF" w:rsidRPr="00496684" w:rsidRDefault="00B20FFF" w:rsidP="00B20FFF">
      <w:pPr>
        <w:widowControl w:val="0"/>
        <w:spacing w:after="0" w:line="240" w:lineRule="auto"/>
        <w:ind w:left="567" w:hanging="567"/>
        <w:rPr>
          <w:rFonts w:ascii="Times New Roman" w:hAnsi="Times New Roman"/>
          <w:lang w:val="it-IT"/>
        </w:rPr>
      </w:pPr>
      <w:r w:rsidRPr="00496684">
        <w:rPr>
          <w:rFonts w:ascii="Times New Roman" w:hAnsi="Times New Roman"/>
          <w:lang w:val="it-IT"/>
        </w:rPr>
        <w:t>4</w:t>
      </w:r>
      <w:r w:rsidRPr="00496684">
        <w:rPr>
          <w:rFonts w:ascii="Times New Roman" w:hAnsi="Times New Roman"/>
          <w:lang w:val="it-IT"/>
        </w:rPr>
        <w:tab/>
        <w:t xml:space="preserve">Le vampate sono state più comuni nei pazienti con GIST ed il sanguinamento (ematoma, emorragia) è stato più comune nei pazienti con GIST e con LMC </w:t>
      </w:r>
      <w:r w:rsidR="004D049F" w:rsidRPr="00496684">
        <w:rPr>
          <w:rFonts w:ascii="Times New Roman" w:hAnsi="Times New Roman"/>
          <w:lang w:val="it-IT"/>
        </w:rPr>
        <w:t xml:space="preserve">accelerata </w:t>
      </w:r>
      <w:r w:rsidRPr="00496684">
        <w:rPr>
          <w:rFonts w:ascii="Times New Roman" w:hAnsi="Times New Roman"/>
          <w:lang w:val="it-IT"/>
        </w:rPr>
        <w:t>(LMC-AP e LMC-BC).</w:t>
      </w:r>
    </w:p>
    <w:p w14:paraId="4A94FE19" w14:textId="77777777" w:rsidR="00B20FFF" w:rsidRPr="00496684" w:rsidRDefault="00B20FFF" w:rsidP="00B20FFF">
      <w:pPr>
        <w:widowControl w:val="0"/>
        <w:spacing w:after="0" w:line="240" w:lineRule="auto"/>
        <w:ind w:left="567" w:hanging="567"/>
        <w:rPr>
          <w:rFonts w:ascii="Times New Roman" w:hAnsi="Times New Roman"/>
          <w:lang w:val="it-IT"/>
        </w:rPr>
      </w:pPr>
      <w:r w:rsidRPr="00496684">
        <w:rPr>
          <w:rFonts w:ascii="Times New Roman" w:hAnsi="Times New Roman"/>
          <w:lang w:val="it-IT"/>
        </w:rPr>
        <w:t>5</w:t>
      </w:r>
      <w:r w:rsidRPr="00496684">
        <w:rPr>
          <w:rFonts w:ascii="Times New Roman" w:hAnsi="Times New Roman"/>
          <w:lang w:val="it-IT"/>
        </w:rPr>
        <w:tab/>
        <w:t xml:space="preserve">Effusione pleurica è stata segnalata più comunemente nei pazienti con GIST e nei pazienti con LMC </w:t>
      </w:r>
      <w:r w:rsidR="004D049F" w:rsidRPr="00496684">
        <w:rPr>
          <w:rFonts w:ascii="Times New Roman" w:hAnsi="Times New Roman"/>
          <w:lang w:val="it-IT"/>
        </w:rPr>
        <w:t xml:space="preserve">accelerata </w:t>
      </w:r>
      <w:r w:rsidRPr="00496684">
        <w:rPr>
          <w:rFonts w:ascii="Times New Roman" w:hAnsi="Times New Roman"/>
          <w:lang w:val="it-IT"/>
        </w:rPr>
        <w:t>(LMC-AP e LMC-BC) rispetto ai pazienti con LMC cronica.</w:t>
      </w:r>
    </w:p>
    <w:p w14:paraId="50E4DBD9" w14:textId="77777777" w:rsidR="00B20FFF" w:rsidRPr="00496684" w:rsidRDefault="00B20FFF" w:rsidP="00C015B6">
      <w:pPr>
        <w:widowControl w:val="0"/>
        <w:spacing w:after="0" w:line="240" w:lineRule="auto"/>
        <w:ind w:left="567" w:hanging="567"/>
        <w:rPr>
          <w:rFonts w:ascii="Times New Roman" w:hAnsi="Times New Roman"/>
          <w:lang w:val="it-IT"/>
        </w:rPr>
      </w:pPr>
      <w:r w:rsidRPr="00496684">
        <w:rPr>
          <w:rFonts w:ascii="Times New Roman" w:hAnsi="Times New Roman"/>
          <w:lang w:val="it-IT"/>
        </w:rPr>
        <w:t>6+7</w:t>
      </w:r>
      <w:r w:rsidRPr="00496684">
        <w:rPr>
          <w:rFonts w:ascii="Times New Roman" w:hAnsi="Times New Roman"/>
          <w:lang w:val="it-IT"/>
        </w:rPr>
        <w:tab/>
        <w:t>Dolore addominale ed emorragia gastrointestinale sono stati osservati più comunemente nei pazienti con GIST.</w:t>
      </w:r>
    </w:p>
    <w:p w14:paraId="76D2FAB5" w14:textId="77777777" w:rsidR="00B20FFF" w:rsidRPr="00496684" w:rsidRDefault="00B20FFF" w:rsidP="00C015B6">
      <w:pPr>
        <w:widowControl w:val="0"/>
        <w:spacing w:after="0" w:line="240" w:lineRule="auto"/>
        <w:ind w:left="567" w:hanging="567"/>
        <w:rPr>
          <w:rFonts w:ascii="Times New Roman" w:hAnsi="Times New Roman"/>
          <w:lang w:val="it-IT"/>
        </w:rPr>
      </w:pPr>
      <w:r w:rsidRPr="00496684">
        <w:rPr>
          <w:rFonts w:ascii="Times New Roman" w:hAnsi="Times New Roman"/>
          <w:lang w:val="it-IT"/>
        </w:rPr>
        <w:t>8</w:t>
      </w:r>
      <w:r w:rsidRPr="00496684">
        <w:rPr>
          <w:rFonts w:ascii="Times New Roman" w:hAnsi="Times New Roman"/>
          <w:lang w:val="it-IT"/>
        </w:rPr>
        <w:tab/>
        <w:t>Sono stati segnalati alcuni casi fatali di insufficienza epatica e di necrosi epatica.</w:t>
      </w:r>
    </w:p>
    <w:p w14:paraId="16E8DAA8" w14:textId="77777777" w:rsidR="00B20FFF" w:rsidRPr="00496684" w:rsidRDefault="00C015B6" w:rsidP="00C015B6">
      <w:pPr>
        <w:widowControl w:val="0"/>
        <w:spacing w:after="0" w:line="240" w:lineRule="auto"/>
        <w:ind w:left="567" w:hanging="567"/>
        <w:rPr>
          <w:rFonts w:ascii="Times New Roman" w:hAnsi="Times New Roman"/>
          <w:lang w:val="it-IT"/>
        </w:rPr>
      </w:pPr>
      <w:r w:rsidRPr="00496684">
        <w:rPr>
          <w:rFonts w:ascii="Times New Roman" w:hAnsi="Times New Roman"/>
          <w:lang w:val="it-IT"/>
        </w:rPr>
        <w:t>9</w:t>
      </w:r>
      <w:r w:rsidRPr="00496684">
        <w:rPr>
          <w:rFonts w:ascii="Times New Roman" w:hAnsi="Times New Roman"/>
          <w:lang w:val="it-IT"/>
        </w:rPr>
        <w:tab/>
        <w:t>Dolore muscoloscheletrico è stato osservato, dopo la commercializzazione, durante il trattamento con imatinib o dopo l’interruzione del trattamento.10</w:t>
      </w:r>
      <w:r w:rsidR="00B20FFF" w:rsidRPr="00496684">
        <w:rPr>
          <w:rFonts w:ascii="Times New Roman" w:hAnsi="Times New Roman"/>
          <w:lang w:val="it-IT"/>
        </w:rPr>
        <w:tab/>
        <w:t>Dolore muscoloscheletrico ed eventi correlati sono stati osservati più comunemente nei pazienti con LMC che nei pazienti con GIST.</w:t>
      </w:r>
    </w:p>
    <w:p w14:paraId="7E191DE5" w14:textId="77777777" w:rsidR="002F7364" w:rsidRPr="00496684" w:rsidRDefault="002F7364" w:rsidP="00143957">
      <w:pPr>
        <w:widowControl w:val="0"/>
        <w:spacing w:after="0" w:line="240" w:lineRule="auto"/>
        <w:ind w:left="567" w:hanging="567"/>
        <w:rPr>
          <w:rFonts w:ascii="Times New Roman" w:hAnsi="Times New Roman"/>
          <w:lang w:val="it-IT"/>
        </w:rPr>
      </w:pPr>
      <w:r w:rsidRPr="00496684">
        <w:rPr>
          <w:rFonts w:ascii="Times New Roman" w:hAnsi="Times New Roman"/>
          <w:lang w:val="it-IT"/>
        </w:rPr>
        <w:t>1</w:t>
      </w:r>
      <w:r w:rsidR="00C44A82" w:rsidRPr="00496684">
        <w:rPr>
          <w:rFonts w:ascii="Times New Roman" w:hAnsi="Times New Roman"/>
          <w:lang w:val="it-IT"/>
        </w:rPr>
        <w:t>1</w:t>
      </w:r>
      <w:r w:rsidRPr="00496684">
        <w:rPr>
          <w:rFonts w:ascii="Times New Roman" w:hAnsi="Times New Roman"/>
          <w:lang w:val="it-IT"/>
        </w:rPr>
        <w:tab/>
        <w:t>Sono stati riportati casi fatali in pazienti con malattia avanzata, gravi infezioni, grave neutropenia ed altre gravi condizioni concomitanti.</w:t>
      </w:r>
    </w:p>
    <w:p w14:paraId="5A386A8B" w14:textId="77777777" w:rsidR="00945646" w:rsidRPr="00496684" w:rsidRDefault="00945646" w:rsidP="00B20FFF">
      <w:pPr>
        <w:pStyle w:val="berschrift4"/>
        <w:keepNext w:val="0"/>
        <w:widowControl w:val="0"/>
        <w:tabs>
          <w:tab w:val="clear" w:pos="567"/>
        </w:tabs>
        <w:spacing w:line="240" w:lineRule="auto"/>
        <w:jc w:val="left"/>
        <w:rPr>
          <w:b w:val="0"/>
          <w:noProof w:val="0"/>
          <w:szCs w:val="22"/>
          <w:u w:val="single"/>
          <w:lang w:val="it-IT"/>
        </w:rPr>
      </w:pPr>
    </w:p>
    <w:p w14:paraId="249CC33E" w14:textId="77777777" w:rsidR="00B20FFF" w:rsidRPr="00496684" w:rsidRDefault="00B20FFF" w:rsidP="00B20FFF">
      <w:pPr>
        <w:pStyle w:val="berschrift4"/>
        <w:keepNext w:val="0"/>
        <w:widowControl w:val="0"/>
        <w:tabs>
          <w:tab w:val="clear" w:pos="567"/>
        </w:tabs>
        <w:spacing w:line="240" w:lineRule="auto"/>
        <w:jc w:val="left"/>
        <w:rPr>
          <w:b w:val="0"/>
          <w:noProof w:val="0"/>
          <w:szCs w:val="22"/>
          <w:u w:val="single"/>
          <w:lang w:val="it-IT"/>
        </w:rPr>
      </w:pPr>
      <w:r w:rsidRPr="00496684">
        <w:rPr>
          <w:b w:val="0"/>
          <w:noProof w:val="0"/>
          <w:szCs w:val="22"/>
          <w:u w:val="single"/>
          <w:lang w:val="it-IT"/>
        </w:rPr>
        <w:t>Anomalie nelle analisi di laboratorio:</w:t>
      </w:r>
    </w:p>
    <w:p w14:paraId="2CFAEE7A" w14:textId="77777777" w:rsidR="00B20FFF" w:rsidRPr="00496684" w:rsidRDefault="00B20FFF" w:rsidP="00B20FFF">
      <w:pPr>
        <w:pStyle w:val="Text"/>
        <w:widowControl w:val="0"/>
        <w:spacing w:before="0"/>
        <w:jc w:val="left"/>
        <w:rPr>
          <w:i/>
          <w:sz w:val="22"/>
          <w:szCs w:val="22"/>
          <w:lang w:val="it-IT"/>
        </w:rPr>
      </w:pPr>
      <w:r w:rsidRPr="00496684">
        <w:rPr>
          <w:i/>
          <w:sz w:val="22"/>
          <w:szCs w:val="22"/>
          <w:lang w:val="it-IT"/>
        </w:rPr>
        <w:t>Ematologia</w:t>
      </w:r>
    </w:p>
    <w:p w14:paraId="319B86B4"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Nella LMC, le citopenie, ed in particolare la neutropenia e la trombocitopenia, sono state di riscontro comune in tutti gli studi, con l’indicazione di una maggiore frequenza ad alte dosi </w:t>
      </w:r>
      <w:r w:rsidRPr="00496684">
        <w:rPr>
          <w:sz w:val="22"/>
          <w:szCs w:val="22"/>
          <w:lang w:val="it-IT"/>
        </w:rPr>
        <w:sym w:font="Symbol" w:char="F0B3"/>
      </w:r>
      <w:r w:rsidRPr="00496684">
        <w:rPr>
          <w:sz w:val="22"/>
          <w:szCs w:val="22"/>
          <w:lang w:val="it-IT"/>
        </w:rPr>
        <w:t>750 mg (studio fase I). Tuttavia la comparsa di citopenia è risultata dipendere chiaramente anche dallo stadio della malattia, la frequenza di neutropenia (ANC &lt;1,0 x 10</w:t>
      </w:r>
      <w:r w:rsidRPr="00496684">
        <w:rPr>
          <w:sz w:val="22"/>
          <w:szCs w:val="22"/>
          <w:vertAlign w:val="superscript"/>
          <w:lang w:val="it-IT"/>
        </w:rPr>
        <w:t>9</w:t>
      </w:r>
      <w:r w:rsidRPr="00496684">
        <w:rPr>
          <w:sz w:val="22"/>
          <w:szCs w:val="22"/>
          <w:lang w:val="it-IT"/>
        </w:rPr>
        <w:t>/</w:t>
      </w:r>
      <w:r w:rsidR="007E35E1" w:rsidRPr="00496684">
        <w:rPr>
          <w:sz w:val="22"/>
          <w:szCs w:val="22"/>
          <w:lang w:val="it-IT"/>
        </w:rPr>
        <w:t>L</w:t>
      </w:r>
      <w:r w:rsidRPr="00496684">
        <w:rPr>
          <w:sz w:val="22"/>
          <w:szCs w:val="22"/>
          <w:lang w:val="it-IT"/>
        </w:rPr>
        <w:t>) e trombocitopenia (conteggio delle piastrine &lt;50 x 10</w:t>
      </w:r>
      <w:r w:rsidRPr="00496684">
        <w:rPr>
          <w:sz w:val="22"/>
          <w:szCs w:val="22"/>
          <w:vertAlign w:val="superscript"/>
          <w:lang w:val="it-IT"/>
        </w:rPr>
        <w:t>9</w:t>
      </w:r>
      <w:r w:rsidRPr="00496684">
        <w:rPr>
          <w:sz w:val="22"/>
          <w:szCs w:val="22"/>
          <w:lang w:val="it-IT"/>
        </w:rPr>
        <w:t>/</w:t>
      </w:r>
      <w:r w:rsidR="007E35E1" w:rsidRPr="00496684">
        <w:rPr>
          <w:sz w:val="22"/>
          <w:szCs w:val="22"/>
          <w:lang w:val="it-IT"/>
        </w:rPr>
        <w:t>L</w:t>
      </w:r>
      <w:r w:rsidRPr="00496684">
        <w:rPr>
          <w:sz w:val="22"/>
          <w:szCs w:val="22"/>
          <w:lang w:val="it-IT"/>
        </w:rPr>
        <w:t>) di grado 3 o 4 è risultata di 4 e 6 volte superiore nei pazienti in crisi blastica e in fase accelerata (59–64% e 44–63% rispettivamente per la neutropenia e la trombocitopenia) rispetto ai pazienti con LMC di nuova diagnosi in fase cronica (16,7% neutropenia e 8,9% trombocitopenia). Nella LMC di nuova diagnosi in fase cronica, la neutropenia (ANC &lt;0,5 x 10</w:t>
      </w:r>
      <w:r w:rsidRPr="00496684">
        <w:rPr>
          <w:sz w:val="22"/>
          <w:szCs w:val="22"/>
          <w:vertAlign w:val="superscript"/>
          <w:lang w:val="it-IT"/>
        </w:rPr>
        <w:t>9</w:t>
      </w:r>
      <w:r w:rsidRPr="00496684">
        <w:rPr>
          <w:sz w:val="22"/>
          <w:szCs w:val="22"/>
          <w:lang w:val="it-IT"/>
        </w:rPr>
        <w:t>/</w:t>
      </w:r>
      <w:r w:rsidR="007E35E1" w:rsidRPr="00496684">
        <w:rPr>
          <w:sz w:val="22"/>
          <w:szCs w:val="22"/>
          <w:lang w:val="it-IT"/>
        </w:rPr>
        <w:t>L</w:t>
      </w:r>
      <w:r w:rsidRPr="00496684">
        <w:rPr>
          <w:sz w:val="22"/>
          <w:szCs w:val="22"/>
          <w:lang w:val="it-IT"/>
        </w:rPr>
        <w:t>) e la trombocitopenia (conteggio delle piastrine &lt;10 x 10</w:t>
      </w:r>
      <w:r w:rsidRPr="00496684">
        <w:rPr>
          <w:sz w:val="22"/>
          <w:szCs w:val="22"/>
          <w:vertAlign w:val="superscript"/>
          <w:lang w:val="it-IT"/>
        </w:rPr>
        <w:t>9</w:t>
      </w:r>
      <w:r w:rsidRPr="00496684">
        <w:rPr>
          <w:sz w:val="22"/>
          <w:szCs w:val="22"/>
          <w:lang w:val="it-IT"/>
        </w:rPr>
        <w:t>/</w:t>
      </w:r>
      <w:r w:rsidR="007E35E1" w:rsidRPr="00496684">
        <w:rPr>
          <w:sz w:val="22"/>
          <w:szCs w:val="22"/>
          <w:lang w:val="it-IT"/>
        </w:rPr>
        <w:t>L</w:t>
      </w:r>
      <w:r w:rsidRPr="00496684">
        <w:rPr>
          <w:sz w:val="22"/>
          <w:szCs w:val="22"/>
          <w:lang w:val="it-IT"/>
        </w:rPr>
        <w:t xml:space="preserve">) di grado 4 sono state osservate rispettivamente nel 3,6% e in meno dell’1% dei pazienti. La durata media degli episodi neutropenici e trombocitopenici variava in genere rispettivamente da </w:t>
      </w:r>
      <w:smartTag w:uri="urn:schemas-microsoft-com:office:smarttags" w:element="metricconverter">
        <w:smartTagPr>
          <w:attr w:name="ProductID" w:val="2 a"/>
        </w:smartTagPr>
        <w:r w:rsidRPr="00496684">
          <w:rPr>
            <w:sz w:val="22"/>
            <w:szCs w:val="22"/>
            <w:lang w:val="it-IT"/>
          </w:rPr>
          <w:t>2 a</w:t>
        </w:r>
      </w:smartTag>
      <w:r w:rsidRPr="00496684">
        <w:rPr>
          <w:sz w:val="22"/>
          <w:szCs w:val="22"/>
          <w:lang w:val="it-IT"/>
        </w:rPr>
        <w:t xml:space="preserve"> 3 settimane e da </w:t>
      </w:r>
      <w:smartTag w:uri="urn:schemas-microsoft-com:office:smarttags" w:element="metricconverter">
        <w:smartTagPr>
          <w:attr w:name="ProductID" w:val="3 a"/>
        </w:smartTagPr>
        <w:r w:rsidRPr="00496684">
          <w:rPr>
            <w:sz w:val="22"/>
            <w:szCs w:val="22"/>
            <w:lang w:val="it-IT"/>
          </w:rPr>
          <w:t>3 a</w:t>
        </w:r>
      </w:smartTag>
      <w:r w:rsidRPr="00496684">
        <w:rPr>
          <w:sz w:val="22"/>
          <w:szCs w:val="22"/>
          <w:lang w:val="it-IT"/>
        </w:rPr>
        <w:t xml:space="preserve"> 4 settimane. Questi eventi possono essere gestiti generalmente sia con una riduzione della dose sia con l'interruzione del trattamento con </w:t>
      </w:r>
      <w:r w:rsidR="00945073" w:rsidRPr="00496684">
        <w:rPr>
          <w:sz w:val="22"/>
          <w:szCs w:val="22"/>
          <w:lang w:val="it-IT"/>
        </w:rPr>
        <w:t>imatinib.</w:t>
      </w:r>
      <w:r w:rsidRPr="00496684">
        <w:rPr>
          <w:sz w:val="22"/>
          <w:szCs w:val="22"/>
          <w:lang w:val="it-IT"/>
        </w:rPr>
        <w:t xml:space="preserve"> Tuttavia in casi rari possono portare ad una sospensione permanente del trattamento. Nei pazienti pediatrici con LMC le tossicità osservate con maggiore frequenza sono state citopenie di grado 3 o 4 comprendenti neutropenia, trombocitopenia ed anemia. Di solito si manifestavano entro i primi mesi di terapia.</w:t>
      </w:r>
    </w:p>
    <w:p w14:paraId="368B6CB3" w14:textId="77777777" w:rsidR="00B20FFF" w:rsidRPr="00496684" w:rsidRDefault="00B20FFF" w:rsidP="00B20FFF">
      <w:pPr>
        <w:pStyle w:val="Text"/>
        <w:widowControl w:val="0"/>
        <w:spacing w:before="0"/>
        <w:jc w:val="left"/>
        <w:rPr>
          <w:sz w:val="22"/>
          <w:szCs w:val="22"/>
          <w:lang w:val="it-IT"/>
        </w:rPr>
      </w:pPr>
    </w:p>
    <w:p w14:paraId="1DD5E98B" w14:textId="6483C10C"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Nello studio nei pazienti con GIST non operabile e/o metastatico, è stata riportata anemia di grado 3 e 4 rispettivamente nel 5,4% e nello 0,7% dei pazienti, che </w:t>
      </w:r>
      <w:r w:rsidR="00761BB3" w:rsidRPr="00496684">
        <w:rPr>
          <w:sz w:val="22"/>
          <w:szCs w:val="22"/>
          <w:lang w:val="it-IT"/>
        </w:rPr>
        <w:t>può</w:t>
      </w:r>
      <w:r w:rsidRPr="00496684">
        <w:rPr>
          <w:sz w:val="22"/>
          <w:szCs w:val="22"/>
          <w:lang w:val="it-IT"/>
        </w:rPr>
        <w:t xml:space="preserve"> essere correlata al sanguinamento gastrointestinale o intra-tumorale almeno in alcuni di questi pazienti. E' stata osservata neutropenia di grado 3 e 4 rispettivamente nel 7,5% e nel 2,7% dei pazienti, e trombocitopenia di grado 3 nello 0,7% dei pazienti. Nessun paziente ha sviluppato trombocitopenia di grado 4. La diminuzione dei leucociti (WBC) e della conta dei neutrofili si è verificata per lo più durante le prime sei settimane di terapia, con valori che si sono mantenuti relativamente stabili successivamente.</w:t>
      </w:r>
    </w:p>
    <w:p w14:paraId="326D3D28" w14:textId="77777777" w:rsidR="00B20FFF" w:rsidRPr="00496684" w:rsidRDefault="00B20FFF" w:rsidP="00B20FFF">
      <w:pPr>
        <w:pStyle w:val="Text"/>
        <w:widowControl w:val="0"/>
        <w:spacing w:before="0"/>
        <w:jc w:val="left"/>
        <w:rPr>
          <w:sz w:val="22"/>
          <w:szCs w:val="22"/>
          <w:lang w:val="it-IT"/>
        </w:rPr>
      </w:pPr>
    </w:p>
    <w:p w14:paraId="23D00232" w14:textId="77777777" w:rsidR="00B20FFF" w:rsidRPr="00496684" w:rsidRDefault="00B20FFF" w:rsidP="00B20FFF">
      <w:pPr>
        <w:pStyle w:val="Text"/>
        <w:widowControl w:val="0"/>
        <w:spacing w:before="0"/>
        <w:jc w:val="left"/>
        <w:rPr>
          <w:i/>
          <w:sz w:val="22"/>
          <w:szCs w:val="22"/>
          <w:lang w:val="it-IT"/>
        </w:rPr>
      </w:pPr>
      <w:r w:rsidRPr="00496684">
        <w:rPr>
          <w:i/>
          <w:sz w:val="22"/>
          <w:szCs w:val="22"/>
          <w:lang w:val="it-IT"/>
        </w:rPr>
        <w:t>Biochimica</w:t>
      </w:r>
    </w:p>
    <w:p w14:paraId="7DF109C2"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 xml:space="preserve">Nei pazienti con LMC è stato osservato un grave innalzamento delle transaminasi (&lt;5%) o della bilirubina (&lt;1%) e generalmente è stato gestito con una riduzione della dose o con una interruzione del trattamento (la durata media di questi episodi è stata approssimativamente di una settimana). Il trattamento è stato sospeso permanentemente in meno dell’1% dei pazienti con LMC a causa di anomalie nelle analisi epatiche di laboratorio. Nei pazienti con GIST (studio B2222) è stato osservato nel 6,8% un aumento della </w:t>
      </w:r>
      <w:smartTag w:uri="urn:schemas-microsoft-com:office:smarttags" w:element="stockticker">
        <w:r w:rsidRPr="00496684">
          <w:rPr>
            <w:sz w:val="22"/>
            <w:szCs w:val="22"/>
            <w:lang w:val="it-IT"/>
          </w:rPr>
          <w:t>ALT</w:t>
        </w:r>
      </w:smartTag>
      <w:r w:rsidRPr="00496684">
        <w:rPr>
          <w:sz w:val="22"/>
          <w:szCs w:val="22"/>
          <w:lang w:val="it-IT"/>
        </w:rPr>
        <w:t xml:space="preserve"> (alanina aminotrasferasi) di grado 3 o 4 e nel 4,8% un aumento della AST (aspartato aminotrasferasi) di grado 3 o 4. L’aumento della bilirubina è stato inferiore al 3%.</w:t>
      </w:r>
    </w:p>
    <w:p w14:paraId="23105043" w14:textId="77777777" w:rsidR="00B20FFF" w:rsidRPr="00496684" w:rsidRDefault="00B20FFF" w:rsidP="00B20FFF">
      <w:pPr>
        <w:pStyle w:val="Text"/>
        <w:widowControl w:val="0"/>
        <w:spacing w:before="0"/>
        <w:jc w:val="left"/>
        <w:rPr>
          <w:sz w:val="22"/>
          <w:szCs w:val="22"/>
          <w:lang w:val="it-IT"/>
        </w:rPr>
      </w:pPr>
      <w:r w:rsidRPr="00496684">
        <w:rPr>
          <w:sz w:val="22"/>
          <w:szCs w:val="22"/>
          <w:lang w:val="it-IT"/>
        </w:rPr>
        <w:t>Ci sono stati casi di epatite citolitica e colestatica e di insufficienza epatica; in alcuni dei quali l’esito è stato fatale, incluso un paziente in trattamento con dosi elevate di paracetamolo.</w:t>
      </w:r>
    </w:p>
    <w:p w14:paraId="43E3ECB0" w14:textId="77777777" w:rsidR="00C015B6" w:rsidRPr="00496684" w:rsidRDefault="00C015B6" w:rsidP="00B20FFF">
      <w:pPr>
        <w:pStyle w:val="Text"/>
        <w:widowControl w:val="0"/>
        <w:spacing w:before="0"/>
        <w:jc w:val="left"/>
        <w:rPr>
          <w:sz w:val="22"/>
          <w:szCs w:val="22"/>
          <w:lang w:val="it-IT"/>
        </w:rPr>
      </w:pPr>
    </w:p>
    <w:p w14:paraId="19FBE751" w14:textId="77777777" w:rsidR="00C015B6" w:rsidRPr="00496684" w:rsidRDefault="00C015B6" w:rsidP="00B2027E">
      <w:pPr>
        <w:keepNext/>
        <w:spacing w:after="0"/>
        <w:rPr>
          <w:rFonts w:ascii="Times New Roman" w:hAnsi="Times New Roman"/>
          <w:noProof/>
          <w:color w:val="000000"/>
          <w:u w:val="single"/>
          <w:lang w:val="it-IT"/>
        </w:rPr>
      </w:pPr>
      <w:r w:rsidRPr="00496684">
        <w:rPr>
          <w:rFonts w:ascii="Times New Roman" w:hAnsi="Times New Roman"/>
          <w:noProof/>
          <w:color w:val="000000"/>
          <w:u w:val="single"/>
          <w:lang w:val="it-IT"/>
        </w:rPr>
        <w:t>Descrizione di reazioni avverse selezionate</w:t>
      </w:r>
    </w:p>
    <w:p w14:paraId="6FE5DDEC" w14:textId="77777777" w:rsidR="00C015B6" w:rsidRPr="00496684" w:rsidRDefault="00C015B6" w:rsidP="00B2027E">
      <w:pPr>
        <w:keepNext/>
        <w:spacing w:after="0"/>
        <w:rPr>
          <w:rFonts w:ascii="Times New Roman" w:hAnsi="Times New Roman"/>
          <w:i/>
          <w:noProof/>
          <w:color w:val="000000"/>
          <w:lang w:val="it-IT"/>
        </w:rPr>
      </w:pPr>
      <w:r w:rsidRPr="00496684">
        <w:rPr>
          <w:rFonts w:ascii="Times New Roman" w:hAnsi="Times New Roman"/>
          <w:i/>
          <w:noProof/>
          <w:color w:val="000000"/>
          <w:u w:val="single"/>
          <w:lang w:val="it-IT"/>
        </w:rPr>
        <w:t>Riattivazione della epatite B</w:t>
      </w:r>
    </w:p>
    <w:p w14:paraId="607F9C38" w14:textId="77777777" w:rsidR="00C015B6" w:rsidRPr="00496684" w:rsidRDefault="00C015B6" w:rsidP="00C015B6">
      <w:pPr>
        <w:pStyle w:val="Text"/>
        <w:widowControl w:val="0"/>
        <w:spacing w:before="0"/>
        <w:jc w:val="left"/>
        <w:rPr>
          <w:sz w:val="22"/>
          <w:szCs w:val="22"/>
          <w:lang w:val="it-IT"/>
        </w:rPr>
      </w:pPr>
      <w:r w:rsidRPr="00496684">
        <w:rPr>
          <w:noProof/>
          <w:color w:val="000000"/>
          <w:sz w:val="22"/>
          <w:szCs w:val="22"/>
          <w:lang w:val="it-IT"/>
        </w:rPr>
        <w:t>La riattivazione dell’epatite B è stata riportata in associazione con Bcr-Abl TKIs. Alcuni casi hanno avuto come conseguenza insufficienza epatica acuta o epatite fulminante portando al trapianto del fegato o a un esito fatale (vedere paragrafo 4.4).</w:t>
      </w:r>
    </w:p>
    <w:p w14:paraId="415C3355" w14:textId="77777777" w:rsidR="00945646" w:rsidRPr="00496684" w:rsidRDefault="00945646" w:rsidP="00B1511D">
      <w:pPr>
        <w:spacing w:after="0" w:line="240" w:lineRule="auto"/>
        <w:rPr>
          <w:rFonts w:ascii="Times New Roman" w:eastAsia="Times New Roman" w:hAnsi="Times New Roman"/>
          <w:lang w:val="it-IT" w:eastAsia="it-IT"/>
        </w:rPr>
      </w:pPr>
    </w:p>
    <w:p w14:paraId="1A99095B" w14:textId="77777777" w:rsidR="00B1511D" w:rsidRPr="00496684" w:rsidRDefault="00B1511D" w:rsidP="00B1511D">
      <w:pPr>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Segnalazione delle reazioni avverse sospette</w:t>
      </w:r>
    </w:p>
    <w:p w14:paraId="7C08A8F1" w14:textId="77777777" w:rsidR="00B1511D" w:rsidRPr="00496684" w:rsidRDefault="00B1511D" w:rsidP="00B1511D">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496684">
        <w:rPr>
          <w:rFonts w:ascii="Times New Roman" w:eastAsia="Times New Roman" w:hAnsi="Times New Roman"/>
          <w:highlight w:val="lightGray"/>
          <w:lang w:val="it-IT" w:eastAsia="it-IT"/>
        </w:rPr>
        <w:t>il sistema nazionale di segnalazione riportato nell’</w:t>
      </w:r>
      <w:hyperlink r:id="rId15" w:history="1">
        <w:r w:rsidR="00A23E54" w:rsidRPr="00496684">
          <w:rPr>
            <w:rStyle w:val="Hyperlink"/>
            <w:rFonts w:ascii="Times New Roman" w:hAnsi="Times New Roman"/>
            <w:noProof/>
            <w:highlight w:val="lightGray"/>
            <w:lang w:val="it-IT"/>
          </w:rPr>
          <w:t>Allegato V</w:t>
        </w:r>
      </w:hyperlink>
      <w:r w:rsidRPr="00496684">
        <w:rPr>
          <w:rFonts w:ascii="Times New Roman" w:eastAsia="Times New Roman" w:hAnsi="Times New Roman"/>
          <w:highlight w:val="lightGray"/>
          <w:lang w:val="it-IT" w:eastAsia="it-IT"/>
        </w:rPr>
        <w:t>.</w:t>
      </w:r>
    </w:p>
    <w:p w14:paraId="7346314A" w14:textId="77777777" w:rsidR="00B1511D" w:rsidRPr="00496684" w:rsidRDefault="00B1511D" w:rsidP="00CA176A">
      <w:pPr>
        <w:autoSpaceDE w:val="0"/>
        <w:autoSpaceDN w:val="0"/>
        <w:adjustRightInd w:val="0"/>
        <w:spacing w:after="0" w:line="240" w:lineRule="auto"/>
        <w:rPr>
          <w:rFonts w:ascii="Times New Roman" w:hAnsi="Times New Roman"/>
          <w:lang w:val="it-IT"/>
        </w:rPr>
      </w:pPr>
    </w:p>
    <w:p w14:paraId="66DDDAF1"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4.9</w:t>
      </w:r>
      <w:r w:rsidRPr="00496684">
        <w:rPr>
          <w:rFonts w:ascii="Times New Roman" w:hAnsi="Times New Roman"/>
          <w:b/>
          <w:bCs/>
          <w:lang w:val="it-IT"/>
        </w:rPr>
        <w:tab/>
      </w:r>
      <w:r w:rsidR="00B20FFF" w:rsidRPr="00496684">
        <w:rPr>
          <w:rFonts w:ascii="Times New Roman" w:hAnsi="Times New Roman"/>
          <w:b/>
          <w:lang w:val="it-IT"/>
        </w:rPr>
        <w:t>Sovradosaggio</w:t>
      </w:r>
    </w:p>
    <w:p w14:paraId="68254184"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784F495B" w14:textId="77777777" w:rsidR="00B20FFF" w:rsidRPr="00496684" w:rsidRDefault="00B20FFF" w:rsidP="00B20FFF">
      <w:pPr>
        <w:widowControl w:val="0"/>
        <w:spacing w:after="0" w:line="240" w:lineRule="auto"/>
        <w:rPr>
          <w:rFonts w:ascii="Times New Roman" w:hAnsi="Times New Roman"/>
          <w:lang w:val="it-IT"/>
        </w:rPr>
      </w:pPr>
      <w:r w:rsidRPr="00496684">
        <w:rPr>
          <w:rFonts w:ascii="Times New Roman" w:hAnsi="Times New Roman"/>
          <w:lang w:val="it-IT"/>
        </w:rPr>
        <w:t xml:space="preserve">L’esperienza con dosi più alte della dose terapeutica raccomandata è limitata. Casi isolati di sovradosaggio con </w:t>
      </w:r>
      <w:r w:rsidR="009339F7" w:rsidRPr="00496684">
        <w:rPr>
          <w:rFonts w:ascii="Times New Roman" w:hAnsi="Times New Roman"/>
          <w:lang w:val="it-IT"/>
        </w:rPr>
        <w:t>i</w:t>
      </w:r>
      <w:r w:rsidR="00521ABE" w:rsidRPr="00496684">
        <w:rPr>
          <w:rFonts w:ascii="Times New Roman" w:hAnsi="Times New Roman"/>
          <w:lang w:val="it-IT"/>
        </w:rPr>
        <w:t xml:space="preserve">matinib </w:t>
      </w:r>
      <w:r w:rsidRPr="00496684">
        <w:rPr>
          <w:rFonts w:ascii="Times New Roman" w:hAnsi="Times New Roman"/>
          <w:lang w:val="it-IT"/>
        </w:rPr>
        <w:t>sono stati riportati a seguito di segnalazione spontanea e in letteratura. Nel caso di sovradosaggio il paziente deve essere tenuto in osservazione e sottoposto ad un adeguato trattamento sintomatico. In genere l’esito riportato in questi casi è stato “migliorato” o “risolto”. A diversi intervalli di dose sono stati riportati i seguenti eventi:</w:t>
      </w:r>
    </w:p>
    <w:p w14:paraId="14BE1130" w14:textId="77777777" w:rsidR="00B20FFF" w:rsidRPr="00496684" w:rsidRDefault="00B20FFF" w:rsidP="00B20FFF">
      <w:pPr>
        <w:widowControl w:val="0"/>
        <w:spacing w:after="0" w:line="240" w:lineRule="auto"/>
        <w:rPr>
          <w:rFonts w:ascii="Times New Roman" w:hAnsi="Times New Roman"/>
          <w:lang w:val="it-IT"/>
        </w:rPr>
      </w:pPr>
    </w:p>
    <w:p w14:paraId="5AA60BEB" w14:textId="77777777" w:rsidR="00B20FFF" w:rsidRPr="00496684" w:rsidRDefault="00B20FFF" w:rsidP="00B20FFF">
      <w:pPr>
        <w:widowControl w:val="0"/>
        <w:spacing w:after="0" w:line="240" w:lineRule="auto"/>
        <w:rPr>
          <w:rFonts w:ascii="Times New Roman" w:hAnsi="Times New Roman"/>
          <w:u w:val="single"/>
          <w:lang w:val="it-IT"/>
        </w:rPr>
      </w:pPr>
      <w:r w:rsidRPr="00496684">
        <w:rPr>
          <w:rFonts w:ascii="Times New Roman" w:hAnsi="Times New Roman"/>
          <w:u w:val="single"/>
          <w:lang w:val="it-IT"/>
        </w:rPr>
        <w:t>Popolazione adulta</w:t>
      </w:r>
    </w:p>
    <w:p w14:paraId="2F241A07" w14:textId="77777777" w:rsidR="00B20FFF" w:rsidRPr="00496684" w:rsidRDefault="00B20FFF" w:rsidP="00B20FFF">
      <w:pPr>
        <w:widowControl w:val="0"/>
        <w:spacing w:after="0" w:line="240" w:lineRule="auto"/>
        <w:rPr>
          <w:rFonts w:ascii="Times New Roman" w:hAnsi="Times New Roman"/>
          <w:lang w:val="it-IT"/>
        </w:rPr>
      </w:pPr>
      <w:r w:rsidRPr="00496684">
        <w:rPr>
          <w:rFonts w:ascii="Times New Roman" w:hAnsi="Times New Roman"/>
          <w:lang w:val="it-IT"/>
        </w:rPr>
        <w:t>1200</w:t>
      </w:r>
      <w:r w:rsidRPr="00496684">
        <w:rPr>
          <w:rFonts w:ascii="Times New Roman" w:hAnsi="Times New Roman"/>
          <w:lang w:val="it-IT"/>
        </w:rPr>
        <w:noBreakHyphen/>
        <w:t xml:space="preserve">1600 mg (durata del trattamento variabile da </w:t>
      </w:r>
      <w:smartTag w:uri="urn:schemas-microsoft-com:office:smarttags" w:element="metricconverter">
        <w:smartTagPr>
          <w:attr w:name="ProductID" w:val="1 a"/>
        </w:smartTagPr>
        <w:r w:rsidRPr="00496684">
          <w:rPr>
            <w:rFonts w:ascii="Times New Roman" w:hAnsi="Times New Roman"/>
            <w:lang w:val="it-IT"/>
          </w:rPr>
          <w:t>1 a</w:t>
        </w:r>
      </w:smartTag>
      <w:r w:rsidRPr="00496684">
        <w:rPr>
          <w:rFonts w:ascii="Times New Roman" w:hAnsi="Times New Roman"/>
          <w:lang w:val="it-IT"/>
        </w:rPr>
        <w:t xml:space="preserve"> 10 giorni): Nausea, vomito, diarrea, eruzione cutanea, eritema, edema, gonfiore, affaticamento, spasmi muscolari, trombocitopenia, pancitopenia, dolore addominale, cefalea, diminuzione dell’appetito.</w:t>
      </w:r>
    </w:p>
    <w:p w14:paraId="1707485A" w14:textId="77777777" w:rsidR="00B20FFF" w:rsidRPr="00496684" w:rsidRDefault="00B20FFF" w:rsidP="00B20FFF">
      <w:pPr>
        <w:widowControl w:val="0"/>
        <w:spacing w:after="0" w:line="240" w:lineRule="auto"/>
        <w:rPr>
          <w:rFonts w:ascii="Times New Roman" w:hAnsi="Times New Roman"/>
          <w:lang w:val="it-IT"/>
        </w:rPr>
      </w:pPr>
      <w:r w:rsidRPr="00496684">
        <w:rPr>
          <w:rFonts w:ascii="Times New Roman" w:hAnsi="Times New Roman"/>
          <w:lang w:val="it-IT"/>
        </w:rPr>
        <w:t>1800</w:t>
      </w:r>
      <w:r w:rsidRPr="00496684">
        <w:rPr>
          <w:rFonts w:ascii="Times New Roman" w:hAnsi="Times New Roman"/>
          <w:lang w:val="it-IT"/>
        </w:rPr>
        <w:noBreakHyphen/>
        <w:t>3200 mg (fino a 3200 mg al giorno per 6 giorni): Debolezza, mialgia, aumento della creatinfosfochinasi, aumento della bilirubina, dolore gastrointestinale.</w:t>
      </w:r>
    </w:p>
    <w:p w14:paraId="0D6F54F4" w14:textId="77777777" w:rsidR="00B20FFF" w:rsidRPr="00496684" w:rsidRDefault="00B20FFF" w:rsidP="00B20FFF">
      <w:pPr>
        <w:widowControl w:val="0"/>
        <w:spacing w:after="0" w:line="240" w:lineRule="auto"/>
        <w:rPr>
          <w:rFonts w:ascii="Times New Roman" w:hAnsi="Times New Roman"/>
          <w:lang w:val="it-IT"/>
        </w:rPr>
      </w:pPr>
      <w:r w:rsidRPr="00496684">
        <w:rPr>
          <w:rFonts w:ascii="Times New Roman" w:hAnsi="Times New Roman"/>
          <w:lang w:val="it-IT"/>
        </w:rPr>
        <w:t>6400 mg (dose singola): In letteratura è stato riportato un caso di un paziente che ha presentato nausea, vomito, dolore addominale, febbre, gonfiore del viso, diminuzione della conta dei neutrofili, aumento delle transaminasi.</w:t>
      </w:r>
    </w:p>
    <w:p w14:paraId="031AC739" w14:textId="77777777" w:rsidR="00B20FFF" w:rsidRPr="00496684" w:rsidRDefault="00B20FFF" w:rsidP="00B20FFF">
      <w:pPr>
        <w:widowControl w:val="0"/>
        <w:spacing w:after="0" w:line="240" w:lineRule="auto"/>
        <w:rPr>
          <w:rFonts w:ascii="Times New Roman" w:hAnsi="Times New Roman"/>
          <w:lang w:val="it-IT"/>
        </w:rPr>
      </w:pPr>
      <w:r w:rsidRPr="00496684">
        <w:rPr>
          <w:rFonts w:ascii="Times New Roman" w:hAnsi="Times New Roman"/>
          <w:lang w:val="it-IT"/>
        </w:rPr>
        <w:t>8</w:t>
      </w:r>
      <w:r w:rsidRPr="00496684">
        <w:rPr>
          <w:rFonts w:ascii="Times New Roman" w:hAnsi="Times New Roman"/>
          <w:lang w:val="it-IT"/>
        </w:rPr>
        <w:noBreakHyphen/>
        <w:t>10 g (dose singola): Sono stati riportati vomito e dolore gastrointestinale.</w:t>
      </w:r>
    </w:p>
    <w:p w14:paraId="35597A20" w14:textId="77777777" w:rsidR="00B20FFF" w:rsidRPr="00496684" w:rsidRDefault="00B20FFF" w:rsidP="00B20FFF">
      <w:pPr>
        <w:widowControl w:val="0"/>
        <w:spacing w:after="0" w:line="240" w:lineRule="auto"/>
        <w:rPr>
          <w:rFonts w:ascii="Times New Roman" w:hAnsi="Times New Roman"/>
          <w:lang w:val="it-IT"/>
        </w:rPr>
      </w:pPr>
    </w:p>
    <w:p w14:paraId="44AEDBBE" w14:textId="77777777" w:rsidR="00B20FFF" w:rsidRPr="00496684" w:rsidRDefault="00B20FFF" w:rsidP="00B20FFF">
      <w:pPr>
        <w:widowControl w:val="0"/>
        <w:spacing w:after="0" w:line="240" w:lineRule="auto"/>
        <w:rPr>
          <w:rFonts w:ascii="Times New Roman" w:hAnsi="Times New Roman"/>
          <w:u w:val="single"/>
          <w:lang w:val="it-IT"/>
        </w:rPr>
      </w:pPr>
      <w:r w:rsidRPr="00496684">
        <w:rPr>
          <w:rFonts w:ascii="Times New Roman" w:hAnsi="Times New Roman"/>
          <w:u w:val="single"/>
          <w:lang w:val="it-IT"/>
        </w:rPr>
        <w:t>Popolazione pediatrica</w:t>
      </w:r>
    </w:p>
    <w:p w14:paraId="0330E8C3" w14:textId="77777777" w:rsidR="00B20FFF" w:rsidRPr="00496684" w:rsidRDefault="00B20FFF" w:rsidP="00B20FFF">
      <w:pPr>
        <w:widowControl w:val="0"/>
        <w:spacing w:after="0" w:line="240" w:lineRule="auto"/>
        <w:rPr>
          <w:rFonts w:ascii="Times New Roman" w:hAnsi="Times New Roman"/>
          <w:lang w:val="it-IT"/>
        </w:rPr>
      </w:pPr>
      <w:r w:rsidRPr="00496684">
        <w:rPr>
          <w:rFonts w:ascii="Times New Roman" w:hAnsi="Times New Roman"/>
          <w:lang w:val="it-IT"/>
        </w:rPr>
        <w:t>Un bambino di 3 anni esposto ad una dose singola di 400 mg ha presentato vomito, diarrea e anoressia e un altro bambino di 3 anni esposto ad una dose singola di 980 mg ha presentato diminuzione della conta dei leucociti e diarrea.</w:t>
      </w:r>
    </w:p>
    <w:p w14:paraId="065E2110" w14:textId="77777777" w:rsidR="00B20FFF" w:rsidRPr="00496684" w:rsidRDefault="00B20FFF" w:rsidP="00B20FFF">
      <w:pPr>
        <w:widowControl w:val="0"/>
        <w:spacing w:after="0" w:line="240" w:lineRule="auto"/>
        <w:rPr>
          <w:rFonts w:ascii="Times New Roman" w:hAnsi="Times New Roman"/>
          <w:lang w:val="it-IT"/>
        </w:rPr>
      </w:pPr>
    </w:p>
    <w:p w14:paraId="64271A56" w14:textId="77777777" w:rsidR="00B20FFF" w:rsidRPr="00496684" w:rsidRDefault="00B20FFF" w:rsidP="00B20FFF">
      <w:pPr>
        <w:widowControl w:val="0"/>
        <w:spacing w:after="0" w:line="240" w:lineRule="auto"/>
        <w:rPr>
          <w:rFonts w:ascii="Times New Roman" w:hAnsi="Times New Roman"/>
          <w:lang w:val="it-IT"/>
        </w:rPr>
      </w:pPr>
      <w:r w:rsidRPr="00496684">
        <w:rPr>
          <w:rFonts w:ascii="Times New Roman" w:hAnsi="Times New Roman"/>
          <w:lang w:val="it-IT"/>
        </w:rPr>
        <w:t>Nel caso di sovradosaggio, il paziente deve essere tenuto in osservazione e sottoposto ad un adeguato trattamento di supporto.</w:t>
      </w:r>
    </w:p>
    <w:p w14:paraId="4B2A3690"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2D7C215C"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0E18813E"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00B20FFF" w:rsidRPr="00496684">
        <w:rPr>
          <w:rFonts w:ascii="Times New Roman" w:hAnsi="Times New Roman"/>
          <w:b/>
          <w:lang w:val="it-IT"/>
        </w:rPr>
        <w:t>PROPRIETÀ FARMACOLOGICHE</w:t>
      </w:r>
    </w:p>
    <w:p w14:paraId="5D22F18D"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209999BF"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5.1</w:t>
      </w:r>
      <w:r w:rsidRPr="00496684">
        <w:rPr>
          <w:rFonts w:ascii="Times New Roman" w:hAnsi="Times New Roman"/>
          <w:b/>
          <w:bCs/>
          <w:lang w:val="it-IT"/>
        </w:rPr>
        <w:tab/>
      </w:r>
      <w:r w:rsidR="00B20FFF" w:rsidRPr="00496684">
        <w:rPr>
          <w:rFonts w:ascii="Times New Roman" w:hAnsi="Times New Roman"/>
          <w:b/>
          <w:lang w:val="it-IT"/>
        </w:rPr>
        <w:t>Proprietà farmacodinamiche</w:t>
      </w:r>
    </w:p>
    <w:p w14:paraId="3FAC00F7"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44ADCFA2" w14:textId="77777777" w:rsidR="00B20FFF" w:rsidRPr="00496684" w:rsidRDefault="00B20FFF" w:rsidP="00B20FFF">
      <w:pPr>
        <w:widowControl w:val="0"/>
        <w:rPr>
          <w:rFonts w:ascii="Times New Roman" w:hAnsi="Times New Roman"/>
          <w:lang w:val="it-IT"/>
        </w:rPr>
      </w:pPr>
      <w:r w:rsidRPr="00496684">
        <w:rPr>
          <w:rFonts w:ascii="Times New Roman" w:hAnsi="Times New Roman"/>
          <w:lang w:val="it-IT"/>
        </w:rPr>
        <w:t>Categoria farmacoterapeutica: inibitore della protein-tirosin chinasi, codice ATC: L01XE01</w:t>
      </w:r>
    </w:p>
    <w:p w14:paraId="5B0353C4" w14:textId="77777777" w:rsidR="00B20FFF" w:rsidRPr="00496684" w:rsidRDefault="00B20FFF" w:rsidP="00B20FFF">
      <w:pPr>
        <w:pStyle w:val="Endnotentext"/>
        <w:widowControl w:val="0"/>
        <w:tabs>
          <w:tab w:val="clear" w:pos="567"/>
        </w:tabs>
        <w:rPr>
          <w:szCs w:val="22"/>
          <w:u w:val="single"/>
          <w:lang w:val="it-IT"/>
        </w:rPr>
      </w:pPr>
      <w:r w:rsidRPr="00496684">
        <w:rPr>
          <w:szCs w:val="22"/>
          <w:u w:val="single"/>
          <w:lang w:val="it-IT"/>
        </w:rPr>
        <w:t>Meccanismo d’azione</w:t>
      </w:r>
    </w:p>
    <w:p w14:paraId="29B15ED8" w14:textId="69495FDC" w:rsidR="00B20FFF" w:rsidRPr="00496684" w:rsidRDefault="00B20FFF" w:rsidP="00B20FFF">
      <w:pPr>
        <w:pStyle w:val="Endnotentext"/>
        <w:widowControl w:val="0"/>
        <w:tabs>
          <w:tab w:val="clear" w:pos="567"/>
        </w:tabs>
        <w:rPr>
          <w:szCs w:val="22"/>
          <w:lang w:val="it-IT"/>
        </w:rPr>
      </w:pPr>
      <w:r w:rsidRPr="00496684">
        <w:rPr>
          <w:szCs w:val="22"/>
          <w:lang w:val="it-IT"/>
        </w:rPr>
        <w:t>Imatinib è una piccola molecola inibitrice della protein-tirosin chinasi che inibisce potentemente l’attività della tirosin-chinasi Bcr</w:t>
      </w:r>
      <w:r w:rsidR="00D860E1" w:rsidRPr="00496684">
        <w:rPr>
          <w:lang w:val="it-IT"/>
        </w:rPr>
        <w:noBreakHyphen/>
      </w:r>
      <w:r w:rsidRPr="00496684">
        <w:rPr>
          <w:szCs w:val="22"/>
          <w:lang w:val="it-IT"/>
        </w:rPr>
        <w:t>Abl, così come diversi recettori delle tirosin-chinasi: Kit, il recettore per il fattore della cellula staminale (SCF) codificato dal proto-oncogene c-Kit, i recettori per il dominio discoidina (DDR1 e DDR2), il recettore per il fattore stimolante le colonie (CSF-1R) e i recettori alfa e beta per il fattore di crescita derivato dalle piastrine (PDGFR-alfa e PDGFR-beta). Imatinib può anche inibire gli eventi cellulari mediati dall’attivazione di questi recettori chinasici.</w:t>
      </w:r>
    </w:p>
    <w:p w14:paraId="149059BD"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00CF7644"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Effetti farmacodinamici</w:t>
      </w:r>
    </w:p>
    <w:p w14:paraId="31F8B092" w14:textId="3EEF5CC7" w:rsidR="00B20FFF" w:rsidRPr="00496684" w:rsidRDefault="00B20FFF" w:rsidP="00B20FFF">
      <w:pPr>
        <w:pStyle w:val="Endnotentext"/>
        <w:widowControl w:val="0"/>
        <w:tabs>
          <w:tab w:val="clear" w:pos="567"/>
        </w:tabs>
        <w:rPr>
          <w:szCs w:val="22"/>
          <w:lang w:val="it-IT"/>
        </w:rPr>
      </w:pPr>
      <w:r w:rsidRPr="00496684">
        <w:rPr>
          <w:szCs w:val="22"/>
          <w:lang w:val="it-IT"/>
        </w:rPr>
        <w:t xml:space="preserve">Imatinib è un inibitore della protein-tirosin chinasi che inibisce potentemente la tirosin-chinasi Bcr-Abl ai livelli </w:t>
      </w:r>
      <w:r w:rsidRPr="00496684">
        <w:rPr>
          <w:i/>
          <w:szCs w:val="22"/>
          <w:lang w:val="it-IT"/>
        </w:rPr>
        <w:t>in</w:t>
      </w:r>
      <w:r w:rsidR="0086182F" w:rsidRPr="00496684">
        <w:rPr>
          <w:i/>
          <w:szCs w:val="22"/>
          <w:lang w:val="it-IT"/>
        </w:rPr>
        <w:t> </w:t>
      </w:r>
      <w:r w:rsidRPr="00496684">
        <w:rPr>
          <w:i/>
          <w:szCs w:val="22"/>
          <w:lang w:val="it-IT"/>
        </w:rPr>
        <w:t>vitro</w:t>
      </w:r>
      <w:r w:rsidRPr="00496684">
        <w:rPr>
          <w:szCs w:val="22"/>
          <w:lang w:val="it-IT"/>
        </w:rPr>
        <w:t xml:space="preserve">, a livello cellulare e </w:t>
      </w:r>
      <w:r w:rsidRPr="00496684">
        <w:rPr>
          <w:i/>
          <w:szCs w:val="22"/>
          <w:lang w:val="it-IT"/>
        </w:rPr>
        <w:t>in vivo</w:t>
      </w:r>
      <w:r w:rsidRPr="00496684">
        <w:rPr>
          <w:szCs w:val="22"/>
          <w:lang w:val="it-IT"/>
        </w:rPr>
        <w:t>. Il composto inibisce selettivamente la proliferazione e induce l'apoptosi nelle linee cellulari positive Bcr-Abl e nelle cellule leucemiche fresche prelevate da pazienti affetti da LMC positiva al cromosoma Philadelphia e da leucemia linfoblastica acuta (</w:t>
      </w:r>
      <w:smartTag w:uri="urn:schemas-microsoft-com:office:smarttags" w:element="stockticker">
        <w:r w:rsidRPr="00496684">
          <w:rPr>
            <w:szCs w:val="22"/>
            <w:lang w:val="it-IT"/>
          </w:rPr>
          <w:t>ALL</w:t>
        </w:r>
      </w:smartTag>
      <w:r w:rsidRPr="00496684">
        <w:rPr>
          <w:szCs w:val="22"/>
          <w:lang w:val="it-IT"/>
        </w:rPr>
        <w:t>).</w:t>
      </w:r>
    </w:p>
    <w:p w14:paraId="2C9AAEC7" w14:textId="77777777" w:rsidR="00B20FFF" w:rsidRPr="00496684" w:rsidRDefault="00B20FFF" w:rsidP="00B20FFF">
      <w:pPr>
        <w:pStyle w:val="Endnotentext"/>
        <w:widowControl w:val="0"/>
        <w:tabs>
          <w:tab w:val="clear" w:pos="567"/>
        </w:tabs>
        <w:rPr>
          <w:szCs w:val="22"/>
          <w:lang w:val="it-IT"/>
        </w:rPr>
      </w:pPr>
    </w:p>
    <w:p w14:paraId="452FD030" w14:textId="77777777" w:rsidR="00B20FFF" w:rsidRPr="00496684" w:rsidRDefault="00B20FFF" w:rsidP="00B20FFF">
      <w:pPr>
        <w:pStyle w:val="Endnotentext"/>
        <w:widowControl w:val="0"/>
        <w:tabs>
          <w:tab w:val="clear" w:pos="567"/>
        </w:tabs>
        <w:rPr>
          <w:szCs w:val="22"/>
          <w:lang w:val="it-IT"/>
        </w:rPr>
      </w:pPr>
      <w:r w:rsidRPr="00496684">
        <w:rPr>
          <w:i/>
          <w:szCs w:val="22"/>
          <w:lang w:val="it-IT"/>
        </w:rPr>
        <w:t>In vivo</w:t>
      </w:r>
      <w:r w:rsidRPr="00496684">
        <w:rPr>
          <w:szCs w:val="22"/>
          <w:lang w:val="it-IT"/>
        </w:rPr>
        <w:t xml:space="preserve"> il composto evidenzia una attività antitumorale come agente singolo nei modelli animali con cellule tumorali positive a Bcr-Abl.</w:t>
      </w:r>
    </w:p>
    <w:p w14:paraId="565292FF" w14:textId="77777777" w:rsidR="007154B5" w:rsidRPr="00496684" w:rsidRDefault="007154B5" w:rsidP="00B20FFF">
      <w:pPr>
        <w:pStyle w:val="Endnotentext"/>
        <w:widowControl w:val="0"/>
        <w:tabs>
          <w:tab w:val="clear" w:pos="567"/>
        </w:tabs>
        <w:rPr>
          <w:szCs w:val="22"/>
          <w:lang w:val="it-IT"/>
        </w:rPr>
      </w:pPr>
    </w:p>
    <w:p w14:paraId="38DE22CB" w14:textId="77777777" w:rsidR="007154B5" w:rsidRPr="00496684" w:rsidRDefault="007154B5" w:rsidP="007154B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è anche un inibitore del recettore delle tirosin chinasi per il fattore di crescita derivato dalle piastrine (PDGF), PDGF-R, e inibisce gli eventi cellulari mediati da PDGF. Nella patogenesi delle MDS/MPD, della HES/LEC e del DFSP sono state coinvolte l’attivazione costitutiva del recettore del PDGF o delle proteine tirosin chinasi Abl come conseguenza della fusione di diverse proteine partners o della produzione costitutiva di PDGF. Imatinib inibisce il segnale e la proliferazione di cellule guidate dalla deregolazione del PDGFR e dall’attività chinasica di Abl.</w:t>
      </w:r>
    </w:p>
    <w:p w14:paraId="3CE99DA3"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69515286" w14:textId="77777777" w:rsidR="00945073" w:rsidRPr="00496684" w:rsidRDefault="00945073" w:rsidP="00945073">
      <w:pPr>
        <w:pStyle w:val="Endnotentext"/>
        <w:widowControl w:val="0"/>
        <w:tabs>
          <w:tab w:val="clear" w:pos="567"/>
        </w:tabs>
        <w:rPr>
          <w:szCs w:val="22"/>
          <w:lang w:val="it-IT"/>
        </w:rPr>
      </w:pPr>
      <w:r w:rsidRPr="00496684">
        <w:rPr>
          <w:szCs w:val="22"/>
          <w:u w:val="single"/>
          <w:lang w:val="it-IT"/>
        </w:rPr>
        <w:t>Studi clinici nella leucemia mieloide cronica</w:t>
      </w:r>
    </w:p>
    <w:p w14:paraId="6FD7D67D" w14:textId="18BD98F3" w:rsidR="00945073" w:rsidRPr="00496684" w:rsidRDefault="00945073" w:rsidP="00945073">
      <w:pPr>
        <w:pStyle w:val="Endnotentext"/>
        <w:widowControl w:val="0"/>
        <w:tabs>
          <w:tab w:val="clear" w:pos="567"/>
        </w:tabs>
        <w:rPr>
          <w:szCs w:val="22"/>
          <w:lang w:val="it-IT"/>
        </w:rPr>
      </w:pPr>
      <w:r w:rsidRPr="00496684">
        <w:rPr>
          <w:szCs w:val="22"/>
          <w:lang w:val="it-IT"/>
        </w:rPr>
        <w:t xml:space="preserve">L'efficacia di </w:t>
      </w:r>
      <w:r w:rsidR="006429EA" w:rsidRPr="00496684">
        <w:rPr>
          <w:szCs w:val="22"/>
          <w:lang w:val="it-IT"/>
        </w:rPr>
        <w:t>i</w:t>
      </w:r>
      <w:r w:rsidRPr="00496684">
        <w:rPr>
          <w:szCs w:val="22"/>
          <w:lang w:val="it-IT"/>
        </w:rPr>
        <w:t>matinib si basa sui valori globali di risposta ematologica e citogenetica e sopravvivenza libera da progressione della malattia. Non ci sono sperimentazioni cliniche controllate che dimostrino un beneficio clinico, inteso come miglioramento dei sintomi correlati alla malattia o un aumento della sopravvivenza.</w:t>
      </w:r>
    </w:p>
    <w:p w14:paraId="464C6442" w14:textId="77777777" w:rsidR="00945073" w:rsidRPr="00496684" w:rsidRDefault="00945073" w:rsidP="00945073">
      <w:pPr>
        <w:autoSpaceDE w:val="0"/>
        <w:autoSpaceDN w:val="0"/>
        <w:adjustRightInd w:val="0"/>
        <w:spacing w:after="0" w:line="240" w:lineRule="auto"/>
        <w:rPr>
          <w:rFonts w:ascii="Times New Roman" w:hAnsi="Times New Roman"/>
          <w:lang w:val="it-IT"/>
        </w:rPr>
      </w:pPr>
    </w:p>
    <w:p w14:paraId="3DACCDCF" w14:textId="7FC720AC" w:rsidR="00945073" w:rsidRPr="00496684" w:rsidRDefault="00945073">
      <w:pPr>
        <w:pStyle w:val="Endnotentext"/>
        <w:widowControl w:val="0"/>
        <w:tabs>
          <w:tab w:val="clear" w:pos="567"/>
        </w:tabs>
        <w:rPr>
          <w:szCs w:val="22"/>
          <w:lang w:val="it-IT"/>
        </w:rPr>
      </w:pPr>
      <w:r w:rsidRPr="00496684">
        <w:rPr>
          <w:szCs w:val="22"/>
          <w:lang w:val="it-IT"/>
        </w:rPr>
        <w:t>E’ stato condotto un grande studio internazionale di fase II, apert</w:t>
      </w:r>
      <w:r w:rsidRPr="00496684">
        <w:rPr>
          <w:lang w:val="it-IT"/>
        </w:rPr>
        <w:t>o, non controllato</w:t>
      </w:r>
      <w:r w:rsidRPr="00496684">
        <w:rPr>
          <w:szCs w:val="22"/>
          <w:lang w:val="it-IT"/>
        </w:rPr>
        <w:t>, in pazienti con LMC positiva al cromosoma Philadelphia (Ph+) con la malattia in crisi blastica</w:t>
      </w:r>
      <w:r w:rsidRPr="00496684">
        <w:rPr>
          <w:lang w:val="it-IT"/>
        </w:rPr>
        <w:t xml:space="preserve">. </w:t>
      </w:r>
      <w:r w:rsidRPr="00496684">
        <w:rPr>
          <w:szCs w:val="22"/>
          <w:lang w:val="it-IT"/>
        </w:rPr>
        <w:t xml:space="preserve">Inoltre, </w:t>
      </w:r>
      <w:r w:rsidR="007E35E1" w:rsidRPr="00496684">
        <w:rPr>
          <w:szCs w:val="22"/>
          <w:lang w:val="it-IT"/>
        </w:rPr>
        <w:t xml:space="preserve">bambini sono stati trattati </w:t>
      </w:r>
      <w:r w:rsidRPr="00496684">
        <w:rPr>
          <w:szCs w:val="22"/>
          <w:lang w:val="it-IT"/>
        </w:rPr>
        <w:t xml:space="preserve">in due studi di fase I </w:t>
      </w:r>
      <w:r w:rsidR="007E35E1" w:rsidRPr="00496684">
        <w:rPr>
          <w:szCs w:val="22"/>
          <w:lang w:val="it-IT"/>
        </w:rPr>
        <w:t xml:space="preserve">(con LMC o leucemia acuta Ph+) </w:t>
      </w:r>
      <w:r w:rsidRPr="00496684">
        <w:rPr>
          <w:szCs w:val="22"/>
          <w:lang w:val="it-IT"/>
        </w:rPr>
        <w:t>ed uno di fase II</w:t>
      </w:r>
      <w:r w:rsidR="007E35E1" w:rsidRPr="00496684">
        <w:rPr>
          <w:szCs w:val="22"/>
          <w:lang w:val="it-IT"/>
        </w:rPr>
        <w:t>.</w:t>
      </w:r>
    </w:p>
    <w:p w14:paraId="29605EDC" w14:textId="77777777" w:rsidR="00945073" w:rsidRPr="00496684" w:rsidRDefault="00945073" w:rsidP="00EA4BCE">
      <w:pPr>
        <w:pStyle w:val="Endnotentext"/>
        <w:widowControl w:val="0"/>
        <w:tabs>
          <w:tab w:val="clear" w:pos="567"/>
        </w:tabs>
        <w:rPr>
          <w:u w:val="single"/>
          <w:lang w:val="it-IT"/>
        </w:rPr>
      </w:pPr>
    </w:p>
    <w:p w14:paraId="7123DD89" w14:textId="5FE55D28" w:rsidR="00945073" w:rsidRPr="00496684" w:rsidRDefault="00945073" w:rsidP="00D860E1">
      <w:pPr>
        <w:pStyle w:val="Endnotentext"/>
        <w:widowControl w:val="0"/>
        <w:tabs>
          <w:tab w:val="clear" w:pos="567"/>
        </w:tabs>
        <w:rPr>
          <w:szCs w:val="22"/>
          <w:lang w:val="it-IT"/>
        </w:rPr>
      </w:pPr>
      <w:r w:rsidRPr="00496684">
        <w:rPr>
          <w:szCs w:val="22"/>
          <w:lang w:val="it-IT"/>
        </w:rPr>
        <w:t>Nello studio clinic</w:t>
      </w:r>
      <w:r w:rsidR="007E35E1" w:rsidRPr="00496684">
        <w:rPr>
          <w:szCs w:val="22"/>
          <w:lang w:val="it-IT"/>
        </w:rPr>
        <w:t>o</w:t>
      </w:r>
      <w:r w:rsidRPr="00496684">
        <w:rPr>
          <w:szCs w:val="22"/>
          <w:lang w:val="it-IT"/>
        </w:rPr>
        <w:t xml:space="preserve"> il 38% dei pazienti era di età </w:t>
      </w:r>
      <w:r w:rsidRPr="00496684">
        <w:rPr>
          <w:szCs w:val="22"/>
          <w:lang w:val="it-IT"/>
        </w:rPr>
        <w:sym w:font="Symbol" w:char="F0B3"/>
      </w:r>
      <w:r w:rsidR="00E50772" w:rsidRPr="00496684">
        <w:rPr>
          <w:szCs w:val="22"/>
          <w:lang w:val="it-IT"/>
        </w:rPr>
        <w:t xml:space="preserve"> </w:t>
      </w:r>
      <w:r w:rsidRPr="00496684">
        <w:rPr>
          <w:szCs w:val="22"/>
          <w:lang w:val="it-IT"/>
        </w:rPr>
        <w:t xml:space="preserve">60 anni e il 12% dei pazienti era di età </w:t>
      </w:r>
      <w:r w:rsidRPr="00496684">
        <w:rPr>
          <w:szCs w:val="22"/>
          <w:lang w:val="it-IT"/>
        </w:rPr>
        <w:sym w:font="Symbol" w:char="F0B3"/>
      </w:r>
      <w:r w:rsidR="00E50772" w:rsidRPr="00496684">
        <w:rPr>
          <w:szCs w:val="22"/>
          <w:lang w:val="it-IT"/>
        </w:rPr>
        <w:t xml:space="preserve"> </w:t>
      </w:r>
      <w:r w:rsidRPr="00496684">
        <w:rPr>
          <w:szCs w:val="22"/>
          <w:lang w:val="it-IT"/>
        </w:rPr>
        <w:t>70 anni.</w:t>
      </w:r>
    </w:p>
    <w:p w14:paraId="07F6B2C8" w14:textId="77777777" w:rsidR="00945073" w:rsidRPr="00496684" w:rsidRDefault="00945073" w:rsidP="00945073">
      <w:pPr>
        <w:autoSpaceDE w:val="0"/>
        <w:autoSpaceDN w:val="0"/>
        <w:adjustRightInd w:val="0"/>
        <w:spacing w:after="0" w:line="240" w:lineRule="auto"/>
        <w:rPr>
          <w:rFonts w:ascii="Times New Roman" w:hAnsi="Times New Roman"/>
          <w:u w:val="single"/>
          <w:lang w:val="it-IT"/>
        </w:rPr>
      </w:pPr>
    </w:p>
    <w:p w14:paraId="4D60F251" w14:textId="77777777" w:rsidR="00945073" w:rsidRPr="00496684" w:rsidRDefault="00945073" w:rsidP="00945073">
      <w:pPr>
        <w:pStyle w:val="Endnotentext"/>
        <w:widowControl w:val="0"/>
        <w:tabs>
          <w:tab w:val="clear" w:pos="567"/>
        </w:tabs>
        <w:rPr>
          <w:szCs w:val="22"/>
          <w:lang w:val="it-IT"/>
        </w:rPr>
      </w:pPr>
      <w:r w:rsidRPr="00496684">
        <w:rPr>
          <w:i/>
          <w:szCs w:val="22"/>
          <w:lang w:val="it-IT"/>
        </w:rPr>
        <w:t>Crisi blastica mieloide:</w:t>
      </w:r>
      <w:r w:rsidRPr="00496684">
        <w:rPr>
          <w:szCs w:val="22"/>
          <w:lang w:val="it-IT"/>
        </w:rPr>
        <w:t xml:space="preserve"> Sono stati arruolati 260 pazienti con crisi blastica mieloide. 95 (37%) erano stati precedentemente sottoposti a chemioterapia per il trattamento della malattia in fase accelerata o crisi blastica (“pazienti pretrattati”), mentre 165 (63%) non era stato trattato (“pazienti non trattati”). I primi 37 pazienti hanno iniziato il trattamento con 400 mg, in seguito il protocollo è stato corretto per permettere dosi superiori ed i restanti 223 pazienti hanno iniziato il trattamento con 600 mg.</w:t>
      </w:r>
    </w:p>
    <w:p w14:paraId="1B3CFCEC" w14:textId="77777777" w:rsidR="00945073" w:rsidRPr="00496684" w:rsidRDefault="00945073" w:rsidP="00945073">
      <w:pPr>
        <w:autoSpaceDE w:val="0"/>
        <w:autoSpaceDN w:val="0"/>
        <w:adjustRightInd w:val="0"/>
        <w:spacing w:after="0" w:line="240" w:lineRule="auto"/>
        <w:rPr>
          <w:rFonts w:ascii="Times New Roman" w:hAnsi="Times New Roman"/>
          <w:lang w:val="it-IT"/>
        </w:rPr>
      </w:pPr>
    </w:p>
    <w:p w14:paraId="0DBFB5A4" w14:textId="77777777" w:rsidR="00945073" w:rsidRPr="00496684" w:rsidRDefault="00945073">
      <w:pPr>
        <w:autoSpaceDE w:val="0"/>
        <w:autoSpaceDN w:val="0"/>
        <w:adjustRightInd w:val="0"/>
        <w:spacing w:after="0" w:line="240" w:lineRule="auto"/>
        <w:rPr>
          <w:rFonts w:ascii="Times New Roman" w:hAnsi="Times New Roman"/>
          <w:lang w:val="it-IT" w:eastAsia="it-IT"/>
        </w:rPr>
      </w:pPr>
      <w:r w:rsidRPr="00496684">
        <w:rPr>
          <w:rFonts w:ascii="Times New Roman" w:eastAsia="Times New Roman" w:hAnsi="Times New Roman"/>
          <w:lang w:val="it-IT" w:eastAsia="it-IT"/>
        </w:rPr>
        <w:t xml:space="preserve">La variabile primaria di efficacia era il tasso di risposta ematologica, riportato come risposta ematologica completa, nessuna evidenza di leucemia </w:t>
      </w:r>
      <w:r w:rsidRPr="00496684">
        <w:rPr>
          <w:rFonts w:ascii="Times New Roman" w:hAnsi="Times New Roman"/>
          <w:lang w:val="it-IT" w:eastAsia="it-IT"/>
        </w:rPr>
        <w:t>(vale a dire clearance dei blasti dal midollo e dal</w:t>
      </w:r>
    </w:p>
    <w:p w14:paraId="0EA80822" w14:textId="179FF19E" w:rsidR="00945073" w:rsidRPr="00496684" w:rsidRDefault="00945073" w:rsidP="00D860E1">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hAnsi="Times New Roman"/>
          <w:lang w:val="it-IT" w:eastAsia="it-IT"/>
        </w:rPr>
        <w:t>sangue ma senza un pieno recupero ematico periferico come si ha invece per le risposte complete)</w:t>
      </w:r>
      <w:r w:rsidRPr="00496684">
        <w:rPr>
          <w:rFonts w:ascii="Times New Roman" w:eastAsia="Times New Roman" w:hAnsi="Times New Roman"/>
          <w:lang w:val="it-IT" w:eastAsia="it-IT"/>
        </w:rPr>
        <w:t xml:space="preserve"> o ritorno alla LMC in fase cronica. In questo studio il 31% dei pazienti ha raggiunto una risposta ematologica (36% nei pazienti precedentemente non trattati e 22% nei pazienti precedentemente trattati) (Tabella </w:t>
      </w:r>
      <w:r w:rsidR="007F2073" w:rsidRPr="00496684">
        <w:rPr>
          <w:rFonts w:ascii="Times New Roman" w:eastAsia="Times New Roman" w:hAnsi="Times New Roman"/>
          <w:lang w:val="it-IT" w:eastAsia="it-IT"/>
        </w:rPr>
        <w:t>2</w:t>
      </w:r>
      <w:r w:rsidRPr="00496684">
        <w:rPr>
          <w:rFonts w:ascii="Times New Roman" w:eastAsia="Times New Roman" w:hAnsi="Times New Roman"/>
          <w:lang w:val="it-IT" w:eastAsia="it-IT"/>
        </w:rPr>
        <w:t>). Il tasso di risposta è risultato quindi più elevato nei pazienti trattati con 600 mg (33%) rispetto ai pazienti trattati con 400 mg (16%, p=0,0220). La stima della sopravvivenza media dei pazienti precedentemente non trattati e di quelli trattati era rispettivamente di 7,7 e 4,7 mesi.</w:t>
      </w:r>
    </w:p>
    <w:p w14:paraId="5F4CB2A0" w14:textId="77777777" w:rsidR="00945073" w:rsidRPr="00496684" w:rsidRDefault="00945073" w:rsidP="00945073">
      <w:pPr>
        <w:autoSpaceDE w:val="0"/>
        <w:autoSpaceDN w:val="0"/>
        <w:adjustRightInd w:val="0"/>
        <w:spacing w:after="0" w:line="240" w:lineRule="auto"/>
        <w:rPr>
          <w:rFonts w:ascii="Times New Roman" w:hAnsi="Times New Roman"/>
          <w:lang w:val="it-IT"/>
        </w:rPr>
      </w:pPr>
    </w:p>
    <w:p w14:paraId="1C6D9FC2" w14:textId="77777777" w:rsidR="00945073" w:rsidRPr="00496684" w:rsidRDefault="00945073" w:rsidP="00945073">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i/>
          <w:lang w:val="it-IT" w:eastAsia="it-IT"/>
        </w:rPr>
        <w:t>Crisi blastica linfoide:</w:t>
      </w:r>
      <w:r w:rsidRPr="00496684">
        <w:rPr>
          <w:rFonts w:ascii="Times New Roman" w:eastAsia="Times New Roman" w:hAnsi="Times New Roman"/>
          <w:lang w:val="it-IT" w:eastAsia="it-IT"/>
        </w:rPr>
        <w:t xml:space="preserve"> un numero limitato di pazienti sono stati arruolati negli studi di fasi I (n=10). Il valore della risposta ematologica era del 70%, con una durata di 2–3 mesi.</w:t>
      </w:r>
    </w:p>
    <w:p w14:paraId="3496A414" w14:textId="77777777" w:rsidR="00945073" w:rsidRPr="00496684" w:rsidRDefault="00945073" w:rsidP="00945073">
      <w:pPr>
        <w:autoSpaceDE w:val="0"/>
        <w:autoSpaceDN w:val="0"/>
        <w:adjustRightInd w:val="0"/>
        <w:spacing w:after="0" w:line="240" w:lineRule="auto"/>
        <w:rPr>
          <w:rFonts w:ascii="Times New Roman" w:hAnsi="Times New Roman"/>
          <w:lang w:val="it-IT"/>
        </w:rPr>
      </w:pPr>
    </w:p>
    <w:p w14:paraId="12215B80" w14:textId="6E04F6B7" w:rsidR="00945073" w:rsidRPr="00496684" w:rsidRDefault="00945073" w:rsidP="009165A1">
      <w:pPr>
        <w:keepNext/>
        <w:keepLines/>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Tabella </w:t>
      </w:r>
      <w:r w:rsidR="007F2073" w:rsidRPr="00496684">
        <w:rPr>
          <w:rFonts w:ascii="Times New Roman" w:hAnsi="Times New Roman"/>
          <w:b/>
          <w:bCs/>
          <w:lang w:val="it-IT"/>
        </w:rPr>
        <w:t xml:space="preserve">2 </w:t>
      </w:r>
      <w:r w:rsidR="007E35E1" w:rsidRPr="00496684">
        <w:rPr>
          <w:rFonts w:ascii="Times New Roman" w:hAnsi="Times New Roman"/>
          <w:b/>
          <w:bCs/>
          <w:lang w:val="it-IT"/>
        </w:rPr>
        <w:tab/>
      </w:r>
      <w:r w:rsidRPr="00496684">
        <w:rPr>
          <w:rFonts w:ascii="Times New Roman" w:hAnsi="Times New Roman"/>
          <w:b/>
          <w:bCs/>
          <w:lang w:val="it-IT"/>
        </w:rPr>
        <w:t>Risposta in studi su LMC nell’adulto</w:t>
      </w:r>
    </w:p>
    <w:p w14:paraId="572564FF" w14:textId="3A8B2705" w:rsidR="00945073" w:rsidRPr="00496684" w:rsidRDefault="00945073" w:rsidP="00945073">
      <w:pPr>
        <w:autoSpaceDE w:val="0"/>
        <w:autoSpaceDN w:val="0"/>
        <w:adjustRightInd w:val="0"/>
        <w:spacing w:after="0" w:line="240" w:lineRule="auto"/>
        <w:rPr>
          <w:rFonts w:ascii="Times New Roman" w:hAnsi="Times New Roman"/>
          <w:b/>
          <w:bCs/>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6"/>
        <w:gridCol w:w="4253"/>
      </w:tblGrid>
      <w:tr w:rsidR="00D860E1" w:rsidRPr="00496684" w14:paraId="6100066A" w14:textId="3653374B" w:rsidTr="00D008F2">
        <w:tc>
          <w:tcPr>
            <w:tcW w:w="4786" w:type="dxa"/>
            <w:tcBorders>
              <w:bottom w:val="nil"/>
            </w:tcBorders>
          </w:tcPr>
          <w:p w14:paraId="50A0600E" w14:textId="1178EC69" w:rsidR="00D860E1" w:rsidRPr="00496684" w:rsidRDefault="00D860E1" w:rsidP="00945073">
            <w:pPr>
              <w:pStyle w:val="Endnotentext"/>
              <w:widowControl w:val="0"/>
              <w:tabs>
                <w:tab w:val="clear" w:pos="567"/>
              </w:tabs>
              <w:rPr>
                <w:szCs w:val="22"/>
                <w:lang w:val="it-IT" w:eastAsia="it-IT"/>
              </w:rPr>
            </w:pPr>
          </w:p>
        </w:tc>
        <w:tc>
          <w:tcPr>
            <w:tcW w:w="4253" w:type="dxa"/>
            <w:tcBorders>
              <w:bottom w:val="nil"/>
            </w:tcBorders>
          </w:tcPr>
          <w:p w14:paraId="3391D5A0" w14:textId="3FCCBCAD"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Studio 0102</w:t>
            </w:r>
          </w:p>
          <w:p w14:paraId="7CBD1B1C" w14:textId="398C19DF"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dati a 38 mesi</w:t>
            </w:r>
          </w:p>
          <w:p w14:paraId="7DC60604" w14:textId="1E40C998"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Crisi blastica mieloide</w:t>
            </w:r>
          </w:p>
          <w:p w14:paraId="30E1C99B" w14:textId="481059D6"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(n=260)</w:t>
            </w:r>
          </w:p>
        </w:tc>
      </w:tr>
      <w:tr w:rsidR="00D860E1" w:rsidRPr="00496684" w14:paraId="189F16A7" w14:textId="49C953A5" w:rsidTr="00D008F2">
        <w:tc>
          <w:tcPr>
            <w:tcW w:w="4786" w:type="dxa"/>
            <w:tcBorders>
              <w:bottom w:val="nil"/>
            </w:tcBorders>
          </w:tcPr>
          <w:p w14:paraId="5902F8CF" w14:textId="317CF5D7" w:rsidR="00D860E1" w:rsidRPr="00496684" w:rsidRDefault="00D860E1" w:rsidP="00945073">
            <w:pPr>
              <w:pStyle w:val="Endnotentext"/>
              <w:widowControl w:val="0"/>
              <w:tabs>
                <w:tab w:val="clear" w:pos="567"/>
              </w:tabs>
              <w:rPr>
                <w:szCs w:val="22"/>
                <w:lang w:val="it-IT" w:eastAsia="it-IT"/>
              </w:rPr>
            </w:pPr>
          </w:p>
        </w:tc>
        <w:tc>
          <w:tcPr>
            <w:tcW w:w="4253" w:type="dxa"/>
            <w:tcBorders>
              <w:bottom w:val="nil"/>
            </w:tcBorders>
          </w:tcPr>
          <w:p w14:paraId="620FF10B" w14:textId="7499C28B" w:rsidR="00D860E1" w:rsidRPr="00496684" w:rsidRDefault="00D860E1" w:rsidP="00945073">
            <w:pPr>
              <w:pStyle w:val="Default"/>
              <w:jc w:val="center"/>
              <w:rPr>
                <w:sz w:val="22"/>
                <w:szCs w:val="22"/>
                <w:lang w:val="it-IT"/>
              </w:rPr>
            </w:pPr>
            <w:r w:rsidRPr="00496684">
              <w:rPr>
                <w:sz w:val="22"/>
                <w:szCs w:val="22"/>
                <w:lang w:val="it-IT"/>
              </w:rPr>
              <w:t>% di pazienti (IC</w:t>
            </w:r>
            <w:r w:rsidRPr="00496684">
              <w:rPr>
                <w:sz w:val="14"/>
                <w:szCs w:val="14"/>
                <w:lang w:val="it-IT"/>
              </w:rPr>
              <w:t>95%</w:t>
            </w:r>
            <w:r w:rsidRPr="00496684">
              <w:rPr>
                <w:sz w:val="22"/>
                <w:szCs w:val="22"/>
                <w:lang w:val="it-IT"/>
              </w:rPr>
              <w:t xml:space="preserve">) </w:t>
            </w:r>
          </w:p>
        </w:tc>
      </w:tr>
      <w:tr w:rsidR="00D860E1" w:rsidRPr="00496684" w14:paraId="74D5FE99" w14:textId="6D9A5A39" w:rsidTr="00D008F2">
        <w:tc>
          <w:tcPr>
            <w:tcW w:w="4786" w:type="dxa"/>
            <w:tcBorders>
              <w:bottom w:val="nil"/>
            </w:tcBorders>
          </w:tcPr>
          <w:p w14:paraId="2A34CE79" w14:textId="1613B45F" w:rsidR="00D860E1" w:rsidRPr="00496684" w:rsidRDefault="00D860E1" w:rsidP="00945073">
            <w:pPr>
              <w:pStyle w:val="Endnotentext"/>
              <w:widowControl w:val="0"/>
              <w:tabs>
                <w:tab w:val="clear" w:pos="567"/>
              </w:tabs>
              <w:rPr>
                <w:szCs w:val="22"/>
                <w:lang w:val="it-IT" w:eastAsia="it-IT"/>
              </w:rPr>
            </w:pPr>
            <w:r w:rsidRPr="00496684">
              <w:rPr>
                <w:szCs w:val="22"/>
                <w:lang w:val="it-IT" w:eastAsia="it-IT"/>
              </w:rPr>
              <w:t>Risposta ematologica</w:t>
            </w:r>
            <w:r w:rsidRPr="00496684">
              <w:rPr>
                <w:szCs w:val="22"/>
                <w:vertAlign w:val="superscript"/>
                <w:lang w:val="it-IT" w:eastAsia="it-IT"/>
              </w:rPr>
              <w:t>1</w:t>
            </w:r>
          </w:p>
        </w:tc>
        <w:tc>
          <w:tcPr>
            <w:tcW w:w="4253" w:type="dxa"/>
            <w:vMerge w:val="restart"/>
          </w:tcPr>
          <w:p w14:paraId="46E1CE93" w14:textId="605C342B"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31% (25,2–36,8)</w:t>
            </w:r>
          </w:p>
          <w:p w14:paraId="5FBEB657" w14:textId="561F871F"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8%</w:t>
            </w:r>
          </w:p>
          <w:p w14:paraId="326618C0" w14:textId="128FA407" w:rsidR="00D860E1" w:rsidRPr="00496684" w:rsidRDefault="00D860E1" w:rsidP="00945073">
            <w:pPr>
              <w:pStyle w:val="Endnotentext"/>
              <w:widowControl w:val="0"/>
              <w:tabs>
                <w:tab w:val="clear" w:pos="567"/>
              </w:tabs>
              <w:jc w:val="center"/>
              <w:rPr>
                <w:szCs w:val="22"/>
                <w:lang w:val="it-IT" w:eastAsia="it-IT"/>
              </w:rPr>
            </w:pPr>
          </w:p>
          <w:p w14:paraId="11D03BDE" w14:textId="780E4B74"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5%</w:t>
            </w:r>
          </w:p>
          <w:p w14:paraId="7C957D60" w14:textId="5771A444" w:rsidR="00D860E1" w:rsidRPr="00496684" w:rsidRDefault="00D860E1" w:rsidP="00945073">
            <w:pPr>
              <w:pStyle w:val="Endnotentext"/>
              <w:widowControl w:val="0"/>
              <w:jc w:val="center"/>
              <w:rPr>
                <w:szCs w:val="22"/>
                <w:lang w:val="it-IT" w:eastAsia="it-IT"/>
              </w:rPr>
            </w:pPr>
          </w:p>
          <w:p w14:paraId="0DF7C1E4" w14:textId="478C54B4" w:rsidR="00D860E1" w:rsidRPr="00496684" w:rsidRDefault="00D860E1" w:rsidP="00945073">
            <w:pPr>
              <w:pStyle w:val="Endnotentext"/>
              <w:widowControl w:val="0"/>
              <w:jc w:val="center"/>
              <w:rPr>
                <w:szCs w:val="22"/>
                <w:lang w:val="it-IT" w:eastAsia="it-IT"/>
              </w:rPr>
            </w:pPr>
            <w:r w:rsidRPr="00496684">
              <w:rPr>
                <w:szCs w:val="22"/>
                <w:lang w:val="it-IT" w:eastAsia="it-IT"/>
              </w:rPr>
              <w:t>18%</w:t>
            </w:r>
          </w:p>
        </w:tc>
      </w:tr>
      <w:tr w:rsidR="00D860E1" w:rsidRPr="00496684" w14:paraId="7C14B364" w14:textId="42627EE2" w:rsidTr="00D008F2">
        <w:tc>
          <w:tcPr>
            <w:tcW w:w="4786" w:type="dxa"/>
            <w:tcBorders>
              <w:top w:val="nil"/>
              <w:bottom w:val="nil"/>
            </w:tcBorders>
          </w:tcPr>
          <w:p w14:paraId="50952B51" w14:textId="4D6F24D3" w:rsidR="00D860E1" w:rsidRPr="00496684" w:rsidRDefault="00D860E1" w:rsidP="00945073">
            <w:pPr>
              <w:pStyle w:val="Endnotentext"/>
              <w:widowControl w:val="0"/>
              <w:tabs>
                <w:tab w:val="clear" w:pos="567"/>
              </w:tabs>
              <w:ind w:left="284"/>
              <w:rPr>
                <w:szCs w:val="22"/>
                <w:lang w:val="it-IT" w:eastAsia="it-IT"/>
              </w:rPr>
            </w:pPr>
            <w:r w:rsidRPr="00496684">
              <w:rPr>
                <w:szCs w:val="22"/>
                <w:lang w:val="it-IT" w:eastAsia="it-IT"/>
              </w:rPr>
              <w:t>Risposta ematologica completa (REC)</w:t>
            </w:r>
          </w:p>
          <w:p w14:paraId="05ABA675" w14:textId="3BE48FDD" w:rsidR="00D860E1" w:rsidRPr="00496684" w:rsidRDefault="00D860E1" w:rsidP="00945073">
            <w:pPr>
              <w:pStyle w:val="Endnotentext"/>
              <w:widowControl w:val="0"/>
              <w:tabs>
                <w:tab w:val="clear" w:pos="567"/>
              </w:tabs>
              <w:ind w:left="284"/>
              <w:rPr>
                <w:szCs w:val="22"/>
                <w:lang w:val="it-IT" w:eastAsia="it-IT"/>
              </w:rPr>
            </w:pPr>
          </w:p>
        </w:tc>
        <w:tc>
          <w:tcPr>
            <w:tcW w:w="4253" w:type="dxa"/>
            <w:vMerge/>
          </w:tcPr>
          <w:p w14:paraId="251D9CCA" w14:textId="4A6FE9A0" w:rsidR="00D860E1" w:rsidRPr="00496684" w:rsidRDefault="00D860E1" w:rsidP="00945073">
            <w:pPr>
              <w:pStyle w:val="Endnotentext"/>
              <w:widowControl w:val="0"/>
              <w:jc w:val="center"/>
              <w:rPr>
                <w:szCs w:val="22"/>
                <w:lang w:val="it-IT" w:eastAsia="it-IT"/>
              </w:rPr>
            </w:pPr>
          </w:p>
        </w:tc>
      </w:tr>
      <w:tr w:rsidR="00D860E1" w:rsidRPr="00496684" w14:paraId="6AE69FE4" w14:textId="69CBFB47" w:rsidTr="00D008F2">
        <w:tc>
          <w:tcPr>
            <w:tcW w:w="4786" w:type="dxa"/>
            <w:tcBorders>
              <w:top w:val="nil"/>
              <w:bottom w:val="nil"/>
            </w:tcBorders>
          </w:tcPr>
          <w:p w14:paraId="41330481" w14:textId="43778F2C" w:rsidR="00D860E1" w:rsidRPr="00496684" w:rsidRDefault="00D860E1" w:rsidP="00945073">
            <w:pPr>
              <w:pStyle w:val="Endnotentext"/>
              <w:widowControl w:val="0"/>
              <w:tabs>
                <w:tab w:val="clear" w:pos="567"/>
              </w:tabs>
              <w:ind w:left="284"/>
              <w:rPr>
                <w:szCs w:val="22"/>
                <w:lang w:val="it-IT" w:eastAsia="it-IT"/>
              </w:rPr>
            </w:pPr>
            <w:r w:rsidRPr="00496684">
              <w:rPr>
                <w:szCs w:val="22"/>
                <w:lang w:val="it-IT" w:eastAsia="it-IT"/>
              </w:rPr>
              <w:t>Nessuna evidenza di leucemia (NEL)</w:t>
            </w:r>
          </w:p>
          <w:p w14:paraId="5D40A865" w14:textId="5CBC5071" w:rsidR="00D860E1" w:rsidRPr="00496684" w:rsidRDefault="00D860E1" w:rsidP="00945073">
            <w:pPr>
              <w:pStyle w:val="Endnotentext"/>
              <w:widowControl w:val="0"/>
              <w:tabs>
                <w:tab w:val="clear" w:pos="567"/>
              </w:tabs>
              <w:ind w:left="284"/>
              <w:rPr>
                <w:szCs w:val="22"/>
                <w:lang w:val="it-IT" w:eastAsia="it-IT"/>
              </w:rPr>
            </w:pPr>
          </w:p>
        </w:tc>
        <w:tc>
          <w:tcPr>
            <w:tcW w:w="4253" w:type="dxa"/>
            <w:vMerge/>
          </w:tcPr>
          <w:p w14:paraId="14891B3D" w14:textId="3F66E780" w:rsidR="00D860E1" w:rsidRPr="00496684" w:rsidRDefault="00D860E1" w:rsidP="00945073">
            <w:pPr>
              <w:pStyle w:val="Endnotentext"/>
              <w:widowControl w:val="0"/>
              <w:jc w:val="center"/>
              <w:rPr>
                <w:szCs w:val="22"/>
                <w:lang w:val="it-IT" w:eastAsia="it-IT"/>
              </w:rPr>
            </w:pPr>
          </w:p>
        </w:tc>
      </w:tr>
      <w:tr w:rsidR="00D860E1" w:rsidRPr="00496684" w14:paraId="7262A288" w14:textId="0BB726D8" w:rsidTr="00D008F2">
        <w:tc>
          <w:tcPr>
            <w:tcW w:w="4786" w:type="dxa"/>
            <w:tcBorders>
              <w:top w:val="nil"/>
              <w:bottom w:val="nil"/>
            </w:tcBorders>
          </w:tcPr>
          <w:p w14:paraId="2C90D887" w14:textId="63AEAF97" w:rsidR="00D860E1" w:rsidRPr="00496684" w:rsidRDefault="00D860E1" w:rsidP="00945073">
            <w:pPr>
              <w:pStyle w:val="Endnotentext"/>
              <w:widowControl w:val="0"/>
              <w:tabs>
                <w:tab w:val="clear" w:pos="567"/>
              </w:tabs>
              <w:ind w:left="284"/>
              <w:rPr>
                <w:szCs w:val="22"/>
                <w:lang w:val="it-IT" w:eastAsia="it-IT"/>
              </w:rPr>
            </w:pPr>
            <w:r w:rsidRPr="00496684">
              <w:rPr>
                <w:szCs w:val="22"/>
                <w:lang w:val="it-IT" w:eastAsia="it-IT"/>
              </w:rPr>
              <w:t>Ritorno alla fase cronica (RFC)</w:t>
            </w:r>
          </w:p>
        </w:tc>
        <w:tc>
          <w:tcPr>
            <w:tcW w:w="4253" w:type="dxa"/>
            <w:vMerge/>
            <w:tcBorders>
              <w:bottom w:val="nil"/>
            </w:tcBorders>
          </w:tcPr>
          <w:p w14:paraId="4BCF7FB2" w14:textId="3F9329CB" w:rsidR="00D860E1" w:rsidRPr="00496684" w:rsidRDefault="00D860E1" w:rsidP="00945073">
            <w:pPr>
              <w:pStyle w:val="Endnotentext"/>
              <w:widowControl w:val="0"/>
              <w:tabs>
                <w:tab w:val="clear" w:pos="567"/>
              </w:tabs>
              <w:jc w:val="center"/>
              <w:rPr>
                <w:szCs w:val="22"/>
                <w:lang w:val="it-IT" w:eastAsia="it-IT"/>
              </w:rPr>
            </w:pPr>
          </w:p>
        </w:tc>
      </w:tr>
      <w:tr w:rsidR="00D860E1" w:rsidRPr="00496684" w14:paraId="4B4A7B82" w14:textId="1E8A14AD" w:rsidTr="00D008F2">
        <w:tc>
          <w:tcPr>
            <w:tcW w:w="4786" w:type="dxa"/>
            <w:tcBorders>
              <w:bottom w:val="nil"/>
            </w:tcBorders>
          </w:tcPr>
          <w:p w14:paraId="4D023790" w14:textId="45565CB5" w:rsidR="00D860E1" w:rsidRPr="00496684" w:rsidRDefault="00D860E1" w:rsidP="00945073">
            <w:pPr>
              <w:pStyle w:val="Endnotentext"/>
              <w:widowControl w:val="0"/>
              <w:tabs>
                <w:tab w:val="clear" w:pos="567"/>
              </w:tabs>
              <w:rPr>
                <w:szCs w:val="22"/>
                <w:vertAlign w:val="superscript"/>
                <w:lang w:val="it-IT" w:eastAsia="it-IT"/>
              </w:rPr>
            </w:pPr>
            <w:r w:rsidRPr="00496684">
              <w:rPr>
                <w:szCs w:val="22"/>
                <w:lang w:val="it-IT" w:eastAsia="it-IT"/>
              </w:rPr>
              <w:t>Risposta citogenetica maggiore</w:t>
            </w:r>
            <w:r w:rsidRPr="00496684">
              <w:rPr>
                <w:szCs w:val="22"/>
                <w:vertAlign w:val="superscript"/>
                <w:lang w:val="it-IT" w:eastAsia="it-IT"/>
              </w:rPr>
              <w:t>2</w:t>
            </w:r>
          </w:p>
          <w:p w14:paraId="691A6866" w14:textId="1D2F788D" w:rsidR="00D860E1" w:rsidRPr="00496684" w:rsidRDefault="00D860E1" w:rsidP="00945073">
            <w:pPr>
              <w:pStyle w:val="Endnotentext"/>
              <w:widowControl w:val="0"/>
              <w:tabs>
                <w:tab w:val="clear" w:pos="567"/>
              </w:tabs>
              <w:rPr>
                <w:szCs w:val="22"/>
                <w:lang w:val="it-IT" w:eastAsia="it-IT"/>
              </w:rPr>
            </w:pPr>
          </w:p>
        </w:tc>
        <w:tc>
          <w:tcPr>
            <w:tcW w:w="4253" w:type="dxa"/>
            <w:vMerge w:val="restart"/>
          </w:tcPr>
          <w:p w14:paraId="35241022" w14:textId="51DB4039"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15% (11,2–20,4)</w:t>
            </w:r>
          </w:p>
          <w:p w14:paraId="438BC497" w14:textId="633BA1EC" w:rsidR="00D860E1" w:rsidRPr="00496684" w:rsidRDefault="00D860E1" w:rsidP="00945073">
            <w:pPr>
              <w:pStyle w:val="Endnotentext"/>
              <w:widowControl w:val="0"/>
              <w:tabs>
                <w:tab w:val="clear" w:pos="567"/>
              </w:tabs>
              <w:jc w:val="center"/>
              <w:rPr>
                <w:szCs w:val="22"/>
                <w:lang w:val="it-IT" w:eastAsia="it-IT"/>
              </w:rPr>
            </w:pPr>
          </w:p>
          <w:p w14:paraId="64019F55" w14:textId="34F7A0A0"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7%</w:t>
            </w:r>
          </w:p>
          <w:p w14:paraId="2D4A6ED9" w14:textId="49AE90F2" w:rsidR="00D860E1" w:rsidRPr="00496684" w:rsidRDefault="00D860E1" w:rsidP="00945073">
            <w:pPr>
              <w:pStyle w:val="Endnotentext"/>
              <w:widowControl w:val="0"/>
              <w:tabs>
                <w:tab w:val="clear" w:pos="567"/>
              </w:tabs>
              <w:jc w:val="center"/>
              <w:rPr>
                <w:szCs w:val="22"/>
                <w:lang w:val="it-IT" w:eastAsia="it-IT"/>
              </w:rPr>
            </w:pPr>
            <w:r w:rsidRPr="00496684">
              <w:rPr>
                <w:szCs w:val="22"/>
                <w:lang w:val="it-IT" w:eastAsia="it-IT"/>
              </w:rPr>
              <w:t>(2%) [0,6–4,4]</w:t>
            </w:r>
          </w:p>
          <w:p w14:paraId="1B8B550C" w14:textId="703E3BD4" w:rsidR="00D860E1" w:rsidRPr="00496684" w:rsidRDefault="00D860E1" w:rsidP="00945073">
            <w:pPr>
              <w:pStyle w:val="Endnotentext"/>
              <w:widowControl w:val="0"/>
              <w:jc w:val="center"/>
              <w:rPr>
                <w:szCs w:val="22"/>
                <w:lang w:val="it-IT" w:eastAsia="it-IT"/>
              </w:rPr>
            </w:pPr>
            <w:r w:rsidRPr="00496684">
              <w:rPr>
                <w:szCs w:val="22"/>
                <w:lang w:val="it-IT" w:eastAsia="it-IT"/>
              </w:rPr>
              <w:t>8%</w:t>
            </w:r>
          </w:p>
        </w:tc>
      </w:tr>
      <w:tr w:rsidR="00D860E1" w:rsidRPr="00496684" w14:paraId="05FDCDD2" w14:textId="32C792A0" w:rsidTr="00D008F2">
        <w:tc>
          <w:tcPr>
            <w:tcW w:w="4786" w:type="dxa"/>
            <w:tcBorders>
              <w:top w:val="nil"/>
              <w:bottom w:val="nil"/>
            </w:tcBorders>
          </w:tcPr>
          <w:p w14:paraId="244DD3FA" w14:textId="0E8BCFE0" w:rsidR="00D860E1" w:rsidRPr="00496684" w:rsidRDefault="00D860E1" w:rsidP="00945073">
            <w:pPr>
              <w:pStyle w:val="Endnotentext"/>
              <w:widowControl w:val="0"/>
              <w:tabs>
                <w:tab w:val="clear" w:pos="567"/>
              </w:tabs>
              <w:ind w:left="284"/>
              <w:rPr>
                <w:szCs w:val="22"/>
                <w:lang w:val="it-IT" w:eastAsia="it-IT"/>
              </w:rPr>
            </w:pPr>
            <w:r w:rsidRPr="00496684">
              <w:rPr>
                <w:szCs w:val="22"/>
                <w:lang w:val="it-IT" w:eastAsia="it-IT"/>
              </w:rPr>
              <w:t>Completa</w:t>
            </w:r>
          </w:p>
          <w:p w14:paraId="58C9D7F7" w14:textId="40B938DF" w:rsidR="00D860E1" w:rsidRPr="00496684" w:rsidRDefault="00D860E1" w:rsidP="00945073">
            <w:pPr>
              <w:pStyle w:val="Endnotentext"/>
              <w:widowControl w:val="0"/>
              <w:tabs>
                <w:tab w:val="clear" w:pos="567"/>
              </w:tabs>
              <w:ind w:left="284"/>
              <w:rPr>
                <w:szCs w:val="22"/>
                <w:lang w:val="it-IT" w:eastAsia="it-IT"/>
              </w:rPr>
            </w:pPr>
            <w:r w:rsidRPr="00496684">
              <w:rPr>
                <w:szCs w:val="22"/>
                <w:lang w:val="it-IT" w:eastAsia="it-IT"/>
              </w:rPr>
              <w:t>(Confermato</w:t>
            </w:r>
            <w:r w:rsidRPr="00496684">
              <w:rPr>
                <w:szCs w:val="22"/>
                <w:vertAlign w:val="superscript"/>
                <w:lang w:val="it-IT" w:eastAsia="it-IT"/>
              </w:rPr>
              <w:t>3</w:t>
            </w:r>
            <w:r w:rsidRPr="00496684">
              <w:rPr>
                <w:szCs w:val="22"/>
                <w:lang w:val="it-IT" w:eastAsia="it-IT"/>
              </w:rPr>
              <w:t>)</w:t>
            </w:r>
            <w:r w:rsidRPr="00496684">
              <w:rPr>
                <w:b/>
                <w:szCs w:val="22"/>
                <w:lang w:val="it-IT" w:eastAsia="it-IT"/>
              </w:rPr>
              <w:t xml:space="preserve"> </w:t>
            </w:r>
            <w:r w:rsidRPr="00496684">
              <w:rPr>
                <w:szCs w:val="22"/>
                <w:lang w:val="it-IT" w:eastAsia="it-IT"/>
              </w:rPr>
              <w:t>[95% IC]</w:t>
            </w:r>
          </w:p>
        </w:tc>
        <w:tc>
          <w:tcPr>
            <w:tcW w:w="4253" w:type="dxa"/>
            <w:vMerge/>
          </w:tcPr>
          <w:p w14:paraId="526EF6C5" w14:textId="1CC7A9BE" w:rsidR="00D860E1" w:rsidRPr="00496684" w:rsidRDefault="00D860E1" w:rsidP="00945073">
            <w:pPr>
              <w:pStyle w:val="Endnotentext"/>
              <w:widowControl w:val="0"/>
              <w:jc w:val="center"/>
              <w:rPr>
                <w:szCs w:val="22"/>
                <w:lang w:val="it-IT" w:eastAsia="it-IT"/>
              </w:rPr>
            </w:pPr>
          </w:p>
        </w:tc>
      </w:tr>
      <w:tr w:rsidR="00D860E1" w:rsidRPr="00496684" w14:paraId="7F1BCB09" w14:textId="11F5941B" w:rsidTr="00D008F2">
        <w:tc>
          <w:tcPr>
            <w:tcW w:w="4786" w:type="dxa"/>
            <w:tcBorders>
              <w:top w:val="nil"/>
              <w:bottom w:val="nil"/>
            </w:tcBorders>
          </w:tcPr>
          <w:p w14:paraId="74CD9421" w14:textId="5BB7C624" w:rsidR="00D860E1" w:rsidRPr="00496684" w:rsidRDefault="00D860E1" w:rsidP="00945073">
            <w:pPr>
              <w:pStyle w:val="Endnotentext"/>
              <w:widowControl w:val="0"/>
              <w:tabs>
                <w:tab w:val="clear" w:pos="567"/>
              </w:tabs>
              <w:ind w:left="284"/>
              <w:rPr>
                <w:szCs w:val="22"/>
                <w:lang w:val="it-IT" w:eastAsia="it-IT"/>
              </w:rPr>
            </w:pPr>
            <w:r w:rsidRPr="00496684">
              <w:rPr>
                <w:szCs w:val="22"/>
                <w:lang w:val="it-IT" w:eastAsia="it-IT"/>
              </w:rPr>
              <w:t>Parziale</w:t>
            </w:r>
          </w:p>
        </w:tc>
        <w:tc>
          <w:tcPr>
            <w:tcW w:w="4253" w:type="dxa"/>
            <w:vMerge/>
            <w:tcBorders>
              <w:bottom w:val="nil"/>
            </w:tcBorders>
          </w:tcPr>
          <w:p w14:paraId="0DB8A197" w14:textId="343936BC" w:rsidR="00D860E1" w:rsidRPr="00496684" w:rsidRDefault="00D860E1" w:rsidP="00945073">
            <w:pPr>
              <w:pStyle w:val="Endnotentext"/>
              <w:widowControl w:val="0"/>
              <w:tabs>
                <w:tab w:val="clear" w:pos="567"/>
              </w:tabs>
              <w:jc w:val="center"/>
              <w:rPr>
                <w:szCs w:val="22"/>
                <w:lang w:val="it-IT" w:eastAsia="it-IT"/>
              </w:rPr>
            </w:pPr>
          </w:p>
        </w:tc>
      </w:tr>
      <w:tr w:rsidR="00D860E1" w:rsidRPr="00496684" w14:paraId="07061C77" w14:textId="4633341B" w:rsidTr="00945073">
        <w:tc>
          <w:tcPr>
            <w:tcW w:w="9039" w:type="dxa"/>
            <w:gridSpan w:val="2"/>
            <w:tcBorders>
              <w:top w:val="single" w:sz="4" w:space="0" w:color="auto"/>
            </w:tcBorders>
          </w:tcPr>
          <w:p w14:paraId="68490669" w14:textId="4F9CAF6E" w:rsidR="00D860E1" w:rsidRPr="00496684" w:rsidRDefault="00D860E1" w:rsidP="00945073">
            <w:pPr>
              <w:pStyle w:val="Table"/>
              <w:keepNext w:val="0"/>
              <w:keepLines w:val="0"/>
              <w:widowControl w:val="0"/>
              <w:tabs>
                <w:tab w:val="clear" w:pos="284"/>
              </w:tabs>
              <w:spacing w:before="0"/>
              <w:rPr>
                <w:rFonts w:ascii="Times New Roman" w:hAnsi="Times New Roman"/>
                <w:b/>
                <w:sz w:val="22"/>
                <w:szCs w:val="22"/>
                <w:lang w:val="it-IT" w:eastAsia="it-IT"/>
              </w:rPr>
            </w:pPr>
            <w:r w:rsidRPr="00496684">
              <w:rPr>
                <w:rFonts w:ascii="Times New Roman" w:hAnsi="Times New Roman"/>
                <w:b/>
                <w:sz w:val="22"/>
                <w:szCs w:val="22"/>
                <w:vertAlign w:val="superscript"/>
                <w:lang w:val="it-IT" w:eastAsia="it-IT"/>
              </w:rPr>
              <w:t>1</w:t>
            </w:r>
            <w:r w:rsidRPr="00496684">
              <w:rPr>
                <w:rFonts w:ascii="Times New Roman" w:hAnsi="Times New Roman"/>
                <w:b/>
                <w:sz w:val="22"/>
                <w:szCs w:val="22"/>
                <w:lang w:val="it-IT" w:eastAsia="it-IT"/>
              </w:rPr>
              <w:t xml:space="preserve">Criteri della risposta ematologica (tutte le risposte devono essere confermate dopo </w:t>
            </w:r>
            <w:r w:rsidRPr="00496684">
              <w:rPr>
                <w:rFonts w:ascii="Times New Roman" w:hAnsi="Times New Roman"/>
                <w:b/>
                <w:sz w:val="22"/>
                <w:szCs w:val="22"/>
                <w:lang w:val="it-IT" w:eastAsia="it-IT"/>
              </w:rPr>
              <w:sym w:font="Symbol" w:char="F0B3"/>
            </w:r>
            <w:r w:rsidRPr="00496684">
              <w:rPr>
                <w:rFonts w:ascii="Times New Roman" w:hAnsi="Times New Roman"/>
                <w:b/>
                <w:sz w:val="22"/>
                <w:szCs w:val="22"/>
                <w:lang w:val="it-IT" w:eastAsia="it-IT"/>
              </w:rPr>
              <w:t>4 settimane):</w:t>
            </w:r>
          </w:p>
          <w:p w14:paraId="5487EAF2" w14:textId="6F0864FB" w:rsidR="00D860E1" w:rsidRPr="00496684" w:rsidRDefault="00D860E1" w:rsidP="00945073">
            <w:pPr>
              <w:pStyle w:val="Table"/>
              <w:keepNext w:val="0"/>
              <w:keepLines w:val="0"/>
              <w:widowControl w:val="0"/>
              <w:tabs>
                <w:tab w:val="clear" w:pos="284"/>
              </w:tabs>
              <w:spacing w:before="0"/>
              <w:ind w:left="567" w:hanging="567"/>
              <w:rPr>
                <w:rFonts w:ascii="Times New Roman" w:hAnsi="Times New Roman"/>
                <w:sz w:val="22"/>
                <w:szCs w:val="22"/>
                <w:lang w:val="it-IT" w:eastAsia="it-IT"/>
              </w:rPr>
            </w:pPr>
            <w:r w:rsidRPr="00496684">
              <w:rPr>
                <w:rFonts w:ascii="Times New Roman" w:hAnsi="Times New Roman"/>
                <w:sz w:val="22"/>
                <w:szCs w:val="22"/>
                <w:lang w:val="it-IT" w:eastAsia="it-IT"/>
              </w:rPr>
              <w:t>REC</w:t>
            </w:r>
            <w:r w:rsidRPr="00496684">
              <w:rPr>
                <w:rFonts w:ascii="Times New Roman" w:hAnsi="Times New Roman"/>
                <w:sz w:val="22"/>
                <w:szCs w:val="22"/>
                <w:lang w:val="it-IT" w:eastAsia="it-IT"/>
              </w:rPr>
              <w:tab/>
              <w:t xml:space="preserve">Nello studio 0102 [ANC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1,5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 xml:space="preserve">/L, piastrine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100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/L, assenza di blasti nel sangue, blasti midollari &lt;5% e nessuna malattia extramidollare]</w:t>
            </w:r>
          </w:p>
          <w:p w14:paraId="7D4D28F7" w14:textId="598BF328" w:rsidR="00D860E1" w:rsidRPr="00496684" w:rsidRDefault="00D860E1" w:rsidP="00945073">
            <w:pPr>
              <w:pStyle w:val="Table"/>
              <w:keepNext w:val="0"/>
              <w:keepLines w:val="0"/>
              <w:widowControl w:val="0"/>
              <w:tabs>
                <w:tab w:val="clear" w:pos="284"/>
              </w:tabs>
              <w:spacing w:before="0"/>
              <w:ind w:left="284" w:hanging="284"/>
              <w:rPr>
                <w:rFonts w:ascii="Times New Roman" w:hAnsi="Times New Roman"/>
                <w:sz w:val="22"/>
                <w:szCs w:val="22"/>
                <w:lang w:val="it-IT" w:eastAsia="it-IT"/>
              </w:rPr>
            </w:pPr>
            <w:r w:rsidRPr="00496684">
              <w:rPr>
                <w:rFonts w:ascii="Times New Roman" w:hAnsi="Times New Roman"/>
                <w:sz w:val="22"/>
                <w:szCs w:val="22"/>
                <w:lang w:val="it-IT" w:eastAsia="it-IT"/>
              </w:rPr>
              <w:t>NEL</w:t>
            </w:r>
            <w:r w:rsidRPr="00496684">
              <w:rPr>
                <w:rFonts w:ascii="Times New Roman" w:hAnsi="Times New Roman"/>
                <w:sz w:val="22"/>
                <w:szCs w:val="22"/>
                <w:lang w:val="it-IT" w:eastAsia="it-IT"/>
              </w:rPr>
              <w:tab/>
              <w:t xml:space="preserve">Stessi criteri di REC ma ANC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1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 xml:space="preserve">/L e piastrine </w:t>
            </w:r>
            <w:r w:rsidRPr="00496684">
              <w:rPr>
                <w:rFonts w:ascii="Times New Roman" w:hAnsi="Times New Roman"/>
                <w:sz w:val="22"/>
                <w:szCs w:val="22"/>
                <w:lang w:val="it-IT" w:eastAsia="it-IT"/>
              </w:rPr>
              <w:sym w:font="Symbol" w:char="F0B3"/>
            </w:r>
            <w:r w:rsidRPr="00496684">
              <w:rPr>
                <w:rFonts w:ascii="Times New Roman" w:hAnsi="Times New Roman"/>
                <w:sz w:val="22"/>
                <w:szCs w:val="22"/>
                <w:lang w:val="it-IT" w:eastAsia="it-IT"/>
              </w:rPr>
              <w:t>20 x 10</w:t>
            </w:r>
            <w:r w:rsidRPr="00496684">
              <w:rPr>
                <w:rFonts w:ascii="Times New Roman" w:hAnsi="Times New Roman"/>
                <w:sz w:val="22"/>
                <w:szCs w:val="22"/>
                <w:vertAlign w:val="superscript"/>
                <w:lang w:val="it-IT" w:eastAsia="it-IT"/>
              </w:rPr>
              <w:t>9</w:t>
            </w:r>
            <w:r w:rsidRPr="00496684">
              <w:rPr>
                <w:rFonts w:ascii="Times New Roman" w:hAnsi="Times New Roman"/>
                <w:sz w:val="22"/>
                <w:szCs w:val="22"/>
                <w:lang w:val="it-IT" w:eastAsia="it-IT"/>
              </w:rPr>
              <w:t xml:space="preserve">/L </w:t>
            </w:r>
          </w:p>
          <w:p w14:paraId="142990E2" w14:textId="0BF9CED2" w:rsidR="00D860E1" w:rsidRPr="00496684" w:rsidRDefault="00D860E1" w:rsidP="00945073">
            <w:pPr>
              <w:pStyle w:val="Table"/>
              <w:keepNext w:val="0"/>
              <w:keepLines w:val="0"/>
              <w:widowControl w:val="0"/>
              <w:tabs>
                <w:tab w:val="clear" w:pos="284"/>
              </w:tabs>
              <w:spacing w:before="0"/>
              <w:ind w:left="567" w:hanging="567"/>
              <w:rPr>
                <w:rFonts w:ascii="Times New Roman" w:hAnsi="Times New Roman"/>
                <w:sz w:val="22"/>
                <w:szCs w:val="22"/>
                <w:lang w:val="it-IT" w:eastAsia="it-IT"/>
              </w:rPr>
            </w:pPr>
            <w:r w:rsidRPr="00496684">
              <w:rPr>
                <w:rFonts w:ascii="Times New Roman" w:hAnsi="Times New Roman"/>
                <w:sz w:val="22"/>
                <w:szCs w:val="22"/>
                <w:lang w:val="it-IT" w:eastAsia="it-IT"/>
              </w:rPr>
              <w:t>RFC</w:t>
            </w:r>
            <w:r w:rsidRPr="00496684">
              <w:rPr>
                <w:rFonts w:ascii="Times New Roman" w:hAnsi="Times New Roman"/>
                <w:sz w:val="22"/>
                <w:szCs w:val="22"/>
                <w:lang w:val="it-IT" w:eastAsia="it-IT"/>
              </w:rPr>
              <w:tab/>
              <w:t>&lt;15% blasti nel MO e nel SP, &lt;30% blasti+promielociti nel MO e nel SP, &lt;20% basofili nel SP, nessuna malattia extramidollare se non milza e fegato</w:t>
            </w:r>
          </w:p>
          <w:p w14:paraId="19A7D90A" w14:textId="0CA00719" w:rsidR="00D860E1" w:rsidRPr="00496684" w:rsidRDefault="00D860E1" w:rsidP="00945073">
            <w:pPr>
              <w:pStyle w:val="Table"/>
              <w:keepNext w:val="0"/>
              <w:keepLines w:val="0"/>
              <w:widowControl w:val="0"/>
              <w:tabs>
                <w:tab w:val="clear" w:pos="284"/>
              </w:tabs>
              <w:spacing w:before="0"/>
              <w:ind w:left="567" w:hanging="567"/>
              <w:rPr>
                <w:rFonts w:ascii="Times New Roman" w:hAnsi="Times New Roman"/>
                <w:sz w:val="22"/>
                <w:szCs w:val="22"/>
                <w:lang w:val="it-IT" w:eastAsia="it-IT"/>
              </w:rPr>
            </w:pPr>
            <w:r w:rsidRPr="00496684">
              <w:rPr>
                <w:rFonts w:ascii="Times New Roman" w:hAnsi="Times New Roman"/>
                <w:sz w:val="22"/>
                <w:szCs w:val="22"/>
                <w:lang w:val="it-IT" w:eastAsia="it-IT"/>
              </w:rPr>
              <w:t>MO = midollo osseo, SP = sangue periferico</w:t>
            </w:r>
          </w:p>
          <w:p w14:paraId="573E0B2E" w14:textId="50878ED5" w:rsidR="00D860E1" w:rsidRPr="00496684" w:rsidRDefault="00D860E1" w:rsidP="00945073">
            <w:pPr>
              <w:pStyle w:val="Table"/>
              <w:keepNext w:val="0"/>
              <w:keepLines w:val="0"/>
              <w:widowControl w:val="0"/>
              <w:tabs>
                <w:tab w:val="clear" w:pos="284"/>
              </w:tabs>
              <w:spacing w:before="0"/>
              <w:rPr>
                <w:rFonts w:ascii="Times New Roman" w:hAnsi="Times New Roman"/>
                <w:sz w:val="22"/>
                <w:szCs w:val="22"/>
                <w:lang w:val="it-IT" w:eastAsia="it-IT"/>
              </w:rPr>
            </w:pPr>
            <w:r w:rsidRPr="00496684">
              <w:rPr>
                <w:rFonts w:ascii="Times New Roman" w:hAnsi="Times New Roman"/>
                <w:b/>
                <w:sz w:val="22"/>
                <w:szCs w:val="22"/>
                <w:vertAlign w:val="superscript"/>
                <w:lang w:val="it-IT" w:eastAsia="it-IT"/>
              </w:rPr>
              <w:t>2</w:t>
            </w:r>
            <w:r w:rsidRPr="00496684">
              <w:rPr>
                <w:rFonts w:ascii="Times New Roman" w:hAnsi="Times New Roman"/>
                <w:b/>
                <w:sz w:val="22"/>
                <w:szCs w:val="22"/>
                <w:lang w:val="it-IT" w:eastAsia="it-IT"/>
              </w:rPr>
              <w:t>Criteri della risposta citogenetica:</w:t>
            </w:r>
          </w:p>
          <w:p w14:paraId="023FC68C" w14:textId="3E5766C2" w:rsidR="00D860E1" w:rsidRPr="00496684" w:rsidRDefault="00D860E1" w:rsidP="00945073">
            <w:pPr>
              <w:pStyle w:val="Endnotentext"/>
              <w:widowControl w:val="0"/>
              <w:tabs>
                <w:tab w:val="clear" w:pos="567"/>
              </w:tabs>
              <w:rPr>
                <w:szCs w:val="22"/>
                <w:lang w:val="it-IT" w:eastAsia="it-IT"/>
              </w:rPr>
            </w:pPr>
            <w:r w:rsidRPr="00496684">
              <w:rPr>
                <w:szCs w:val="22"/>
                <w:lang w:val="it-IT" w:eastAsia="it-IT"/>
              </w:rPr>
              <w:t>Una risposta rilevante combina sia le risposte complete che parziali: completa (0% P metafasi Ph+), parziale (1–35%).</w:t>
            </w:r>
          </w:p>
          <w:p w14:paraId="63B08C60" w14:textId="0E755464" w:rsidR="00D860E1" w:rsidRPr="00496684" w:rsidRDefault="00D860E1" w:rsidP="00945073">
            <w:pPr>
              <w:pStyle w:val="Endnotentext"/>
              <w:widowControl w:val="0"/>
              <w:tabs>
                <w:tab w:val="clear" w:pos="567"/>
              </w:tabs>
              <w:rPr>
                <w:szCs w:val="22"/>
                <w:lang w:val="it-IT" w:eastAsia="it-IT"/>
              </w:rPr>
            </w:pPr>
            <w:r w:rsidRPr="00496684">
              <w:rPr>
                <w:szCs w:val="22"/>
                <w:vertAlign w:val="superscript"/>
                <w:lang w:val="it-IT" w:eastAsia="it-IT"/>
              </w:rPr>
              <w:t>3</w:t>
            </w:r>
            <w:r w:rsidRPr="00496684">
              <w:rPr>
                <w:szCs w:val="22"/>
                <w:lang w:val="it-IT" w:eastAsia="it-IT"/>
              </w:rPr>
              <w:t xml:space="preserve"> Risposta citogenetica completa confermata da un secondo esame citogenetico del midollo osseo eseguito almeno una volta al mese dopo l'indagine iniziale del midollo osseo.</w:t>
            </w:r>
          </w:p>
        </w:tc>
      </w:tr>
    </w:tbl>
    <w:p w14:paraId="107EC6B1" w14:textId="77777777" w:rsidR="00945073" w:rsidRPr="00496684" w:rsidRDefault="00945073" w:rsidP="00945073">
      <w:pPr>
        <w:autoSpaceDE w:val="0"/>
        <w:autoSpaceDN w:val="0"/>
        <w:adjustRightInd w:val="0"/>
        <w:spacing w:after="0" w:line="240" w:lineRule="auto"/>
        <w:rPr>
          <w:rFonts w:ascii="Times New Roman" w:hAnsi="Times New Roman"/>
          <w:b/>
          <w:bCs/>
          <w:lang w:val="it-IT"/>
        </w:rPr>
      </w:pPr>
    </w:p>
    <w:p w14:paraId="6A993663" w14:textId="77777777" w:rsidR="00945073" w:rsidRPr="00496684" w:rsidRDefault="00945073" w:rsidP="00945073">
      <w:pPr>
        <w:pStyle w:val="Endnotentext"/>
        <w:widowControl w:val="0"/>
        <w:tabs>
          <w:tab w:val="clear" w:pos="567"/>
        </w:tabs>
        <w:rPr>
          <w:szCs w:val="22"/>
          <w:lang w:val="it-IT"/>
        </w:rPr>
      </w:pPr>
      <w:r w:rsidRPr="00496684">
        <w:rPr>
          <w:i/>
          <w:szCs w:val="22"/>
          <w:lang w:val="it-IT"/>
        </w:rPr>
        <w:t xml:space="preserve">Pazienti pediatrici: </w:t>
      </w:r>
      <w:r w:rsidRPr="00496684">
        <w:rPr>
          <w:szCs w:val="22"/>
          <w:lang w:val="it-IT"/>
        </w:rPr>
        <w:t>Un totale di 26 pazienti pediatrici di età &lt;18 anni sia con LMC in fase cronica (n=11) o con LMC in fase blastica o con leucemia acuta Ph+ (n=15) sono stati arruolati in uno studio di fase I ad incremento di dose. Questi pazienti erano stati pesantemente pretrattati, poichè il 46% avevano subito in precedenza il trapianto di midollo osseo e il 73% una precedente polichemioterapia. I pazienti erano trattati alle dosi di imatinib di 260 mg/m</w:t>
      </w:r>
      <w:r w:rsidRPr="00496684">
        <w:rPr>
          <w:szCs w:val="22"/>
          <w:vertAlign w:val="superscript"/>
          <w:lang w:val="it-IT"/>
        </w:rPr>
        <w:t>2</w:t>
      </w:r>
      <w:r w:rsidRPr="00496684">
        <w:rPr>
          <w:szCs w:val="22"/>
          <w:lang w:val="it-IT"/>
        </w:rPr>
        <w:t>/die (n=5), 340 mg/ m</w:t>
      </w:r>
      <w:r w:rsidRPr="00496684">
        <w:rPr>
          <w:szCs w:val="22"/>
          <w:vertAlign w:val="superscript"/>
          <w:lang w:val="it-IT"/>
        </w:rPr>
        <w:t>2</w:t>
      </w:r>
      <w:r w:rsidRPr="00496684">
        <w:rPr>
          <w:szCs w:val="22"/>
          <w:lang w:val="it-IT"/>
        </w:rPr>
        <w:t>/die (n=9), 440 mg/m</w:t>
      </w:r>
      <w:r w:rsidRPr="00496684">
        <w:rPr>
          <w:szCs w:val="22"/>
          <w:vertAlign w:val="superscript"/>
          <w:lang w:val="it-IT"/>
        </w:rPr>
        <w:t>2</w:t>
      </w:r>
      <w:r w:rsidRPr="00496684">
        <w:rPr>
          <w:szCs w:val="22"/>
          <w:lang w:val="it-IT"/>
        </w:rPr>
        <w:t>/die (n=7) e 570 mg/m</w:t>
      </w:r>
      <w:r w:rsidRPr="00496684">
        <w:rPr>
          <w:szCs w:val="22"/>
          <w:vertAlign w:val="superscript"/>
          <w:lang w:val="it-IT"/>
        </w:rPr>
        <w:t>2</w:t>
      </w:r>
      <w:r w:rsidRPr="00496684">
        <w:rPr>
          <w:szCs w:val="22"/>
          <w:lang w:val="it-IT"/>
        </w:rPr>
        <w:t>/die (n=5). Tra i 9 pazienti con LMC in fase cronica per i quali erano disponibili i dati citogenetici, 4 (44%) e 3 (33%) avevano raggiunto rispettivamente una risposta citogenetica completa e parziale, per una frequenza di risposta citogenetica maggiore (MCR) del 77%.</w:t>
      </w:r>
    </w:p>
    <w:p w14:paraId="12C855C0" w14:textId="77777777" w:rsidR="00945073" w:rsidRPr="00496684" w:rsidRDefault="00945073" w:rsidP="00945073">
      <w:pPr>
        <w:pStyle w:val="Endnotentext"/>
        <w:widowControl w:val="0"/>
        <w:tabs>
          <w:tab w:val="clear" w:pos="567"/>
        </w:tabs>
        <w:rPr>
          <w:szCs w:val="22"/>
          <w:lang w:val="it-IT"/>
        </w:rPr>
      </w:pPr>
    </w:p>
    <w:p w14:paraId="2A8E5BCD" w14:textId="77777777" w:rsidR="00945073" w:rsidRPr="00496684" w:rsidRDefault="00945073" w:rsidP="00945073">
      <w:pPr>
        <w:pStyle w:val="Endnotentext"/>
        <w:widowControl w:val="0"/>
        <w:tabs>
          <w:tab w:val="clear" w:pos="567"/>
        </w:tabs>
        <w:rPr>
          <w:szCs w:val="22"/>
          <w:lang w:val="it-IT"/>
        </w:rPr>
      </w:pPr>
      <w:r w:rsidRPr="00496684">
        <w:rPr>
          <w:szCs w:val="22"/>
          <w:lang w:val="it-IT"/>
        </w:rPr>
        <w:t xml:space="preserve">Un totale di 51 pazienti pediatrici con LMC in fase cronica di nuova diagnosi e non trattati sono stati arruolati in uno studio di fase II, a braccio singolo, multicentrico, in aperto. I pazienti erano stati trattati con </w:t>
      </w:r>
      <w:r w:rsidR="009339F7" w:rsidRPr="00496684">
        <w:rPr>
          <w:szCs w:val="22"/>
          <w:lang w:val="it-IT"/>
        </w:rPr>
        <w:t>i</w:t>
      </w:r>
      <w:r w:rsidRPr="00496684">
        <w:rPr>
          <w:szCs w:val="22"/>
          <w:lang w:val="it-IT"/>
        </w:rPr>
        <w:t>matinib 340 mg/m</w:t>
      </w:r>
      <w:r w:rsidRPr="00496684">
        <w:rPr>
          <w:szCs w:val="22"/>
          <w:vertAlign w:val="superscript"/>
          <w:lang w:val="it-IT"/>
        </w:rPr>
        <w:t>2</w:t>
      </w:r>
      <w:r w:rsidRPr="00496684">
        <w:rPr>
          <w:szCs w:val="22"/>
          <w:lang w:val="it-IT"/>
        </w:rPr>
        <w:t>/die, senza alcuna interruzione in assenza di tossicità dose-limitante. Nei pazienti pediatrici con LMC di nuova diagnosi, il trattamento con imatinib ha indotto una rapida risposta con una risposta ematologica completa (REC) del 78% dopo 8 settimane di terapia. L’alto tasso di REC è risultato associato allo sviluppo di una risposta citogenetica completa (CCyR) del 65%, valore paragonabile ai risultati osservati negli adulti. Inoltre è stata osservata una risposta citogenetica parziale (PCyR) nel 16% dei casi per una risposta maggiore (MCyR) dell’81%. Nella maggioranza dei pazienti che aveva raggiunto una risposta citogenetica completa (CCyR), la CCyR si era manifestata tra il mese 3 ed il mese 10 con un tempo mediano di risposta, basato sulla stima Kaplan-Meier, di 5,6 mesi.</w:t>
      </w:r>
    </w:p>
    <w:p w14:paraId="32649207" w14:textId="77777777" w:rsidR="00945073" w:rsidRPr="00496684" w:rsidRDefault="00945073" w:rsidP="00945073">
      <w:pPr>
        <w:autoSpaceDE w:val="0"/>
        <w:autoSpaceDN w:val="0"/>
        <w:adjustRightInd w:val="0"/>
        <w:spacing w:after="0" w:line="240" w:lineRule="auto"/>
        <w:rPr>
          <w:rFonts w:ascii="Times New Roman" w:hAnsi="Times New Roman"/>
          <w:b/>
          <w:bCs/>
          <w:lang w:val="it-IT"/>
        </w:rPr>
      </w:pPr>
    </w:p>
    <w:p w14:paraId="5742E61E" w14:textId="77777777" w:rsidR="00945073" w:rsidRPr="00496684" w:rsidRDefault="00945073" w:rsidP="00945073">
      <w:pPr>
        <w:pStyle w:val="Endnotentext"/>
        <w:widowControl w:val="0"/>
        <w:tabs>
          <w:tab w:val="clear" w:pos="567"/>
        </w:tabs>
        <w:rPr>
          <w:szCs w:val="22"/>
          <w:lang w:val="it-IT"/>
        </w:rPr>
      </w:pPr>
      <w:r w:rsidRPr="00496684">
        <w:rPr>
          <w:szCs w:val="22"/>
          <w:lang w:val="it-IT"/>
        </w:rPr>
        <w:t xml:space="preserve">L’Agenzia europea dei medicinali ha previsto l’esonero dall’obbligo di presentare i risultati degli studi con </w:t>
      </w:r>
      <w:r w:rsidR="009339F7" w:rsidRPr="00496684">
        <w:rPr>
          <w:szCs w:val="22"/>
          <w:lang w:val="it-IT"/>
        </w:rPr>
        <w:t>i</w:t>
      </w:r>
      <w:r w:rsidRPr="00496684">
        <w:rPr>
          <w:szCs w:val="22"/>
          <w:lang w:val="it-IT"/>
        </w:rPr>
        <w:t>matinib in tutti i sottogruppi della popolazione pediatrica per la leucemia mieloide cronica con cromosoma Philadelphia positivo (traslocazione bcr-abl) (vedere paragrafo 4.2 per informazioni sull’uso pediatrico).</w:t>
      </w:r>
    </w:p>
    <w:p w14:paraId="3C82E2FE" w14:textId="77777777" w:rsidR="007154B5" w:rsidRPr="00496684" w:rsidRDefault="007154B5" w:rsidP="00945073">
      <w:pPr>
        <w:pStyle w:val="Endnotentext"/>
        <w:widowControl w:val="0"/>
        <w:tabs>
          <w:tab w:val="clear" w:pos="567"/>
        </w:tabs>
        <w:rPr>
          <w:szCs w:val="22"/>
          <w:lang w:val="it-IT"/>
        </w:rPr>
      </w:pPr>
    </w:p>
    <w:p w14:paraId="044AF8CD" w14:textId="77777777" w:rsidR="007154B5" w:rsidRPr="00496684" w:rsidRDefault="007154B5" w:rsidP="007154B5">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Studi clinici nella LLA Ph+ </w:t>
      </w:r>
    </w:p>
    <w:p w14:paraId="4B3791BC" w14:textId="77777777" w:rsidR="007154B5" w:rsidRPr="00496684" w:rsidRDefault="007154B5" w:rsidP="007154B5">
      <w:pPr>
        <w:pStyle w:val="Endnotentext"/>
        <w:widowControl w:val="0"/>
        <w:tabs>
          <w:tab w:val="clear" w:pos="567"/>
        </w:tabs>
        <w:rPr>
          <w:color w:val="000000"/>
          <w:szCs w:val="22"/>
          <w:lang w:val="it-IT" w:eastAsia="it-IT"/>
        </w:rPr>
      </w:pPr>
      <w:r w:rsidRPr="00496684">
        <w:rPr>
          <w:i/>
          <w:iCs/>
          <w:color w:val="000000"/>
          <w:szCs w:val="22"/>
          <w:lang w:val="it-IT" w:eastAsia="it-IT"/>
        </w:rPr>
        <w:t xml:space="preserve">LLA Ph+ di nuova diagnosi: </w:t>
      </w:r>
      <w:r w:rsidRPr="00496684">
        <w:rPr>
          <w:color w:val="000000"/>
          <w:szCs w:val="22"/>
          <w:lang w:val="it-IT" w:eastAsia="it-IT"/>
        </w:rPr>
        <w:t xml:space="preserve">In uno studio controllato (ADE10) con imatinib verso chemioterapia d’induzione, condotto in 55 pazienti di nuova diagnosi di età uguale o superiore a 55 anni, imatinib utilizzato come agente singolo ha indotto una percentuale di risposte ematologiche complete significativamente superiore rispetto alla chemioterapia (96,3% verso 50%; p=0,0001). Quando la terapia di salvataggio con imatinib è stata somministrata ai pazienti non responsivi o che rispondevano in modo insufficiente alla chemioterapia, si è osservato che 9 pazienti (81,8%) su 11 avevano raggiunto una risposta ematologica completa. Questo effetto clinico era associato ad una riduzione del trascritto bcr-abl nei pazienti trattati con imatinib maggiore rispetto ai pazienti trattati con chemioterapia dopo 2 settimane di terapia (p=0,02). Tutti i pazienti avevano ricevuto imatinib e chemioterapia di consolidamento (vedere Tabella </w:t>
      </w:r>
      <w:r w:rsidR="007F2073" w:rsidRPr="00496684">
        <w:rPr>
          <w:color w:val="000000"/>
          <w:szCs w:val="22"/>
          <w:lang w:val="it-IT" w:eastAsia="it-IT"/>
        </w:rPr>
        <w:t>3</w:t>
      </w:r>
      <w:r w:rsidRPr="00496684">
        <w:rPr>
          <w:color w:val="000000"/>
          <w:szCs w:val="22"/>
          <w:lang w:val="it-IT" w:eastAsia="it-IT"/>
        </w:rPr>
        <w:t>) dopo la fase d’induzione ed i livelli del trascritto bcr-abl alla settimana 8 risultavano identici in entrambi i bracci. Come previsto dal disegno dello studio, non è stata osservata differenza nella durata della remissione, della sopravvivenza libera da malattia o della sopravvivenza globale, anche se i pazienti con risposta molecolare completa e rimanenti con malattia minima residua avevano un esito migliore sia in termini di durata della remissione (p=0,01) che di sopravvivenza libera da malattia (p=0,02).</w:t>
      </w:r>
    </w:p>
    <w:p w14:paraId="2DDEBB28" w14:textId="77777777" w:rsidR="007154B5" w:rsidRPr="00496684" w:rsidRDefault="007154B5" w:rsidP="007154B5">
      <w:pPr>
        <w:pStyle w:val="Endnotentext"/>
        <w:widowControl w:val="0"/>
        <w:tabs>
          <w:tab w:val="clear" w:pos="567"/>
        </w:tabs>
        <w:rPr>
          <w:szCs w:val="22"/>
          <w:lang w:val="it-IT"/>
        </w:rPr>
      </w:pPr>
    </w:p>
    <w:p w14:paraId="54BEA98C" w14:textId="77777777" w:rsidR="007154B5" w:rsidRPr="00496684" w:rsidRDefault="007154B5" w:rsidP="007154B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 risultati osservati in una popolazione di 211 pazienti con LLA Ph+ di nuova diagnosi in quattro studi clinici non controllati (AAU02, ADE04, AJP01 e AUS01) sono in linea con i risultati sopra descritti. Imatinib in associazione alla chemioterapia d’induzione (vedere Tabella </w:t>
      </w:r>
      <w:r w:rsidR="007F2073" w:rsidRPr="00496684">
        <w:rPr>
          <w:rFonts w:ascii="Times New Roman" w:hAnsi="Times New Roman"/>
          <w:lang w:val="it-IT"/>
        </w:rPr>
        <w:t>3</w:t>
      </w:r>
      <w:r w:rsidRPr="00496684">
        <w:rPr>
          <w:rFonts w:ascii="Times New Roman" w:hAnsi="Times New Roman"/>
          <w:lang w:val="it-IT"/>
        </w:rPr>
        <w:t>) ha ottenuto una percentuale di risposta ematologica completa del 93% (147 su 158 pazienti valutabili) ed una percentuale di risposta citogenetica maggiore del 90% (19 su 21 pazienti valutabili). La percentuale di risposta molecolare completa è stata del 48% (49 su 102 pazienti valutabili). Nei due studi (AJP01 e AUS01) la durata della sopravvivenza libera da malattia (DFS) e della sopravvivenza globale (OS) superava costantemente 1 anno ed è stata superiore ai controlli storici (p DFS&lt;0,001; p OS&lt;0,0001).</w:t>
      </w:r>
    </w:p>
    <w:p w14:paraId="317B4CA8" w14:textId="77777777" w:rsidR="007154B5" w:rsidRPr="00496684" w:rsidRDefault="007154B5" w:rsidP="007154B5">
      <w:pPr>
        <w:autoSpaceDE w:val="0"/>
        <w:autoSpaceDN w:val="0"/>
        <w:adjustRightInd w:val="0"/>
        <w:spacing w:after="0" w:line="240" w:lineRule="auto"/>
        <w:rPr>
          <w:rFonts w:ascii="Times New Roman" w:hAnsi="Times New Roman"/>
          <w:lang w:val="it-IT"/>
        </w:rPr>
      </w:pPr>
    </w:p>
    <w:p w14:paraId="623898FA" w14:textId="66FCD559" w:rsidR="007154B5" w:rsidRPr="00496684" w:rsidRDefault="00AD49F4" w:rsidP="007154B5">
      <w:pPr>
        <w:autoSpaceDE w:val="0"/>
        <w:autoSpaceDN w:val="0"/>
        <w:adjustRightInd w:val="0"/>
        <w:spacing w:after="0" w:line="240" w:lineRule="auto"/>
        <w:rPr>
          <w:rFonts w:ascii="Times New Roman" w:hAnsi="Times New Roman"/>
          <w:b/>
          <w:lang w:val="it-IT"/>
        </w:rPr>
      </w:pPr>
      <w:r w:rsidRPr="00496684">
        <w:rPr>
          <w:rFonts w:ascii="Times New Roman" w:hAnsi="Times New Roman"/>
          <w:b/>
          <w:lang w:val="it-IT"/>
        </w:rPr>
        <w:t>Tabella </w:t>
      </w:r>
      <w:r w:rsidR="007F2073" w:rsidRPr="00496684">
        <w:rPr>
          <w:rFonts w:ascii="Times New Roman" w:hAnsi="Times New Roman"/>
          <w:b/>
          <w:lang w:val="it-IT"/>
        </w:rPr>
        <w:t>3</w:t>
      </w:r>
      <w:r w:rsidR="007154B5" w:rsidRPr="00496684">
        <w:rPr>
          <w:rFonts w:ascii="Times New Roman" w:hAnsi="Times New Roman"/>
          <w:b/>
          <w:lang w:val="it-IT"/>
        </w:rPr>
        <w:t xml:space="preserve"> </w:t>
      </w:r>
      <w:r w:rsidR="007E35E1" w:rsidRPr="00496684">
        <w:rPr>
          <w:rFonts w:ascii="Times New Roman" w:hAnsi="Times New Roman"/>
          <w:b/>
          <w:lang w:val="it-IT"/>
        </w:rPr>
        <w:tab/>
      </w:r>
      <w:r w:rsidR="007154B5" w:rsidRPr="00496684">
        <w:rPr>
          <w:rFonts w:ascii="Times New Roman" w:hAnsi="Times New Roman"/>
          <w:b/>
          <w:lang w:val="it-IT"/>
        </w:rPr>
        <w:t>Regimi chemioterapici usati in combinazione con imatinib</w:t>
      </w:r>
    </w:p>
    <w:p w14:paraId="3051A7C1" w14:textId="77777777" w:rsidR="007154B5" w:rsidRPr="00496684" w:rsidRDefault="007154B5" w:rsidP="007154B5">
      <w:pPr>
        <w:autoSpaceDE w:val="0"/>
        <w:autoSpaceDN w:val="0"/>
        <w:adjustRightInd w:val="0"/>
        <w:spacing w:after="0" w:line="240" w:lineRule="auto"/>
        <w:rPr>
          <w:rFonts w:ascii="Times New Roman" w:hAnsi="Times New Roman"/>
          <w:lang w:val="it-IT"/>
        </w:rPr>
      </w:pPr>
    </w:p>
    <w:tbl>
      <w:tblPr>
        <w:tblW w:w="0" w:type="auto"/>
        <w:tblLook w:val="04A0" w:firstRow="1" w:lastRow="0" w:firstColumn="1" w:lastColumn="0" w:noHBand="0" w:noVBand="1"/>
      </w:tblPr>
      <w:tblGrid>
        <w:gridCol w:w="2235"/>
        <w:gridCol w:w="7309"/>
      </w:tblGrid>
      <w:tr w:rsidR="007154B5" w:rsidRPr="00496684" w14:paraId="6289F30C" w14:textId="77777777" w:rsidTr="00E054B5">
        <w:tc>
          <w:tcPr>
            <w:tcW w:w="2235" w:type="dxa"/>
            <w:tcBorders>
              <w:top w:val="single" w:sz="4" w:space="0" w:color="auto"/>
              <w:bottom w:val="single" w:sz="4" w:space="0" w:color="auto"/>
            </w:tcBorders>
          </w:tcPr>
          <w:p w14:paraId="479D7765" w14:textId="77777777" w:rsidR="007154B5" w:rsidRPr="00496684" w:rsidRDefault="007154B5" w:rsidP="00E054B5">
            <w:pPr>
              <w:pStyle w:val="Default"/>
              <w:rPr>
                <w:lang w:val="it-IT"/>
              </w:rPr>
            </w:pPr>
            <w:r w:rsidRPr="00496684">
              <w:rPr>
                <w:b/>
                <w:bCs/>
                <w:sz w:val="22"/>
                <w:szCs w:val="22"/>
                <w:lang w:val="it-IT"/>
              </w:rPr>
              <w:t xml:space="preserve">Studio ADE10 </w:t>
            </w:r>
          </w:p>
        </w:tc>
        <w:tc>
          <w:tcPr>
            <w:tcW w:w="7309" w:type="dxa"/>
            <w:tcBorders>
              <w:top w:val="single" w:sz="4" w:space="0" w:color="auto"/>
              <w:bottom w:val="single" w:sz="4" w:space="0" w:color="auto"/>
            </w:tcBorders>
          </w:tcPr>
          <w:p w14:paraId="7EFA4730" w14:textId="77777777" w:rsidR="007154B5" w:rsidRPr="00496684" w:rsidRDefault="007154B5" w:rsidP="00E054B5">
            <w:pPr>
              <w:autoSpaceDE w:val="0"/>
              <w:autoSpaceDN w:val="0"/>
              <w:adjustRightInd w:val="0"/>
              <w:spacing w:after="0" w:line="240" w:lineRule="auto"/>
              <w:rPr>
                <w:rFonts w:ascii="Times New Roman" w:hAnsi="Times New Roman"/>
                <w:lang w:val="it-IT"/>
              </w:rPr>
            </w:pPr>
          </w:p>
        </w:tc>
      </w:tr>
      <w:tr w:rsidR="007154B5" w:rsidRPr="00496684" w14:paraId="11022D90" w14:textId="77777777" w:rsidTr="00E054B5">
        <w:tc>
          <w:tcPr>
            <w:tcW w:w="2235" w:type="dxa"/>
            <w:tcBorders>
              <w:top w:val="single" w:sz="4" w:space="0" w:color="auto"/>
              <w:bottom w:val="single" w:sz="4" w:space="0" w:color="auto"/>
            </w:tcBorders>
          </w:tcPr>
          <w:p w14:paraId="613E01E0" w14:textId="77777777" w:rsidR="007154B5" w:rsidRPr="00496684" w:rsidRDefault="007154B5" w:rsidP="00E054B5">
            <w:pPr>
              <w:pStyle w:val="Default"/>
              <w:rPr>
                <w:sz w:val="22"/>
                <w:szCs w:val="22"/>
                <w:lang w:val="it-IT"/>
              </w:rPr>
            </w:pPr>
            <w:r w:rsidRPr="00496684">
              <w:rPr>
                <w:sz w:val="22"/>
                <w:szCs w:val="22"/>
                <w:lang w:val="it-IT"/>
              </w:rPr>
              <w:t xml:space="preserve">Pretrattamento </w:t>
            </w:r>
          </w:p>
          <w:p w14:paraId="22DAEB82" w14:textId="77777777" w:rsidR="007154B5" w:rsidRPr="00496684" w:rsidRDefault="007154B5" w:rsidP="00E054B5">
            <w:pPr>
              <w:autoSpaceDE w:val="0"/>
              <w:autoSpaceDN w:val="0"/>
              <w:adjustRightInd w:val="0"/>
              <w:spacing w:after="0" w:line="240" w:lineRule="auto"/>
              <w:rPr>
                <w:rFonts w:ascii="Times New Roman" w:hAnsi="Times New Roman"/>
                <w:lang w:val="it-IT"/>
              </w:rPr>
            </w:pPr>
          </w:p>
        </w:tc>
        <w:tc>
          <w:tcPr>
            <w:tcW w:w="7309" w:type="dxa"/>
            <w:tcBorders>
              <w:top w:val="single" w:sz="4" w:space="0" w:color="auto"/>
              <w:bottom w:val="single" w:sz="4" w:space="0" w:color="auto"/>
            </w:tcBorders>
          </w:tcPr>
          <w:p w14:paraId="43899ABD" w14:textId="77777777" w:rsidR="007154B5" w:rsidRPr="00496684" w:rsidRDefault="007154B5" w:rsidP="00E054B5">
            <w:pPr>
              <w:autoSpaceDE w:val="0"/>
              <w:autoSpaceDN w:val="0"/>
              <w:adjustRightInd w:val="0"/>
              <w:spacing w:after="0" w:line="240" w:lineRule="auto"/>
              <w:rPr>
                <w:rFonts w:ascii="Times New Roman" w:hAnsi="Times New Roman"/>
                <w:lang w:val="it-IT"/>
              </w:rPr>
            </w:pPr>
            <w:r w:rsidRPr="00496684">
              <w:rPr>
                <w:lang w:val="it-IT"/>
              </w:rPr>
              <w:t>DEX 10 mg/m</w:t>
            </w:r>
            <w:r w:rsidRPr="00496684">
              <w:rPr>
                <w:vertAlign w:val="superscript"/>
                <w:lang w:val="it-IT"/>
              </w:rPr>
              <w:t>2</w:t>
            </w:r>
            <w:r w:rsidRPr="00496684">
              <w:rPr>
                <w:sz w:val="14"/>
                <w:szCs w:val="14"/>
                <w:lang w:val="it-IT"/>
              </w:rPr>
              <w:t xml:space="preserve"> </w:t>
            </w:r>
            <w:r w:rsidRPr="00496684">
              <w:rPr>
                <w:lang w:val="it-IT"/>
              </w:rPr>
              <w:t>per via orale, giorni 1-5;CP 200 mg/m</w:t>
            </w:r>
            <w:r w:rsidRPr="00496684">
              <w:rPr>
                <w:vertAlign w:val="superscript"/>
                <w:lang w:val="it-IT"/>
              </w:rPr>
              <w:t>2</w:t>
            </w:r>
            <w:r w:rsidRPr="00496684">
              <w:rPr>
                <w:sz w:val="14"/>
                <w:szCs w:val="14"/>
                <w:lang w:val="it-IT"/>
              </w:rPr>
              <w:t xml:space="preserve"> </w:t>
            </w:r>
            <w:r w:rsidRPr="00496684">
              <w:rPr>
                <w:lang w:val="it-IT"/>
              </w:rPr>
              <w:t xml:space="preserve">i.v., giorni 3, 4, 5; MTX 12 mg per via intratecale, giorno 1 </w:t>
            </w:r>
          </w:p>
        </w:tc>
      </w:tr>
      <w:tr w:rsidR="007154B5" w:rsidRPr="00496684" w14:paraId="219DCE5E" w14:textId="77777777" w:rsidTr="00E054B5">
        <w:tc>
          <w:tcPr>
            <w:tcW w:w="2235" w:type="dxa"/>
            <w:tcBorders>
              <w:top w:val="single" w:sz="4" w:space="0" w:color="auto"/>
              <w:bottom w:val="single" w:sz="4" w:space="0" w:color="auto"/>
            </w:tcBorders>
          </w:tcPr>
          <w:p w14:paraId="1B9AAC2E" w14:textId="77777777" w:rsidR="007154B5" w:rsidRPr="00496684" w:rsidRDefault="007154B5" w:rsidP="00E054B5">
            <w:pPr>
              <w:pStyle w:val="Default"/>
              <w:rPr>
                <w:sz w:val="22"/>
                <w:szCs w:val="22"/>
                <w:lang w:val="it-IT"/>
              </w:rPr>
            </w:pPr>
            <w:r w:rsidRPr="00496684">
              <w:rPr>
                <w:sz w:val="22"/>
                <w:szCs w:val="22"/>
                <w:lang w:val="it-IT"/>
              </w:rPr>
              <w:t xml:space="preserve">Induzione </w:t>
            </w:r>
          </w:p>
          <w:p w14:paraId="17CC2366" w14:textId="77777777" w:rsidR="007154B5" w:rsidRPr="00496684" w:rsidRDefault="007154B5" w:rsidP="00E054B5">
            <w:pPr>
              <w:pStyle w:val="Default"/>
              <w:rPr>
                <w:sz w:val="22"/>
                <w:szCs w:val="22"/>
                <w:lang w:val="it-IT"/>
              </w:rPr>
            </w:pPr>
          </w:p>
        </w:tc>
        <w:tc>
          <w:tcPr>
            <w:tcW w:w="7309" w:type="dxa"/>
            <w:tcBorders>
              <w:top w:val="single" w:sz="4" w:space="0" w:color="auto"/>
              <w:bottom w:val="single" w:sz="4" w:space="0" w:color="auto"/>
            </w:tcBorders>
          </w:tcPr>
          <w:p w14:paraId="0D76CCDC" w14:textId="77777777" w:rsidR="007154B5" w:rsidRPr="00496684" w:rsidRDefault="007154B5" w:rsidP="00E054B5">
            <w:pPr>
              <w:pStyle w:val="Default"/>
              <w:rPr>
                <w:sz w:val="22"/>
                <w:szCs w:val="22"/>
                <w:lang w:val="it-IT"/>
              </w:rPr>
            </w:pPr>
            <w:r w:rsidRPr="00496684">
              <w:rPr>
                <w:sz w:val="22"/>
                <w:szCs w:val="22"/>
                <w:lang w:val="it-IT"/>
              </w:rPr>
              <w:t>DEX 10 mg/m</w:t>
            </w:r>
            <w:r w:rsidRPr="00496684">
              <w:rPr>
                <w:sz w:val="22"/>
                <w:szCs w:val="22"/>
                <w:vertAlign w:val="superscript"/>
                <w:lang w:val="it-IT"/>
              </w:rPr>
              <w:t>2</w:t>
            </w:r>
            <w:r w:rsidRPr="00496684">
              <w:rPr>
                <w:sz w:val="14"/>
                <w:szCs w:val="14"/>
                <w:lang w:val="it-IT"/>
              </w:rPr>
              <w:t xml:space="preserve"> </w:t>
            </w:r>
            <w:r w:rsidRPr="00496684">
              <w:rPr>
                <w:sz w:val="22"/>
                <w:szCs w:val="22"/>
                <w:lang w:val="it-IT"/>
              </w:rPr>
              <w:t>per via orale, giorni 6-7, 13-16; VCR 1 mg i.v., giorni 7, 14; IDA 8 mg/m</w:t>
            </w:r>
            <w:r w:rsidRPr="00496684">
              <w:rPr>
                <w:sz w:val="22"/>
                <w:szCs w:val="14"/>
                <w:vertAlign w:val="superscript"/>
                <w:lang w:val="it-IT"/>
              </w:rPr>
              <w:t xml:space="preserve">2 </w:t>
            </w:r>
            <w:r w:rsidRPr="00496684">
              <w:rPr>
                <w:sz w:val="22"/>
                <w:szCs w:val="22"/>
                <w:lang w:val="it-IT"/>
              </w:rPr>
              <w:t>i.v. (0,5 h), giorni 7, 8, 14, 15; CP 500 mg/m</w:t>
            </w:r>
            <w:r w:rsidRPr="00496684">
              <w:rPr>
                <w:sz w:val="22"/>
                <w:szCs w:val="14"/>
                <w:vertAlign w:val="superscript"/>
                <w:lang w:val="it-IT"/>
              </w:rPr>
              <w:t>2</w:t>
            </w:r>
            <w:r w:rsidRPr="00496684">
              <w:rPr>
                <w:sz w:val="14"/>
                <w:szCs w:val="14"/>
                <w:lang w:val="it-IT"/>
              </w:rPr>
              <w:t xml:space="preserve"> </w:t>
            </w:r>
            <w:r w:rsidRPr="00496684">
              <w:rPr>
                <w:sz w:val="22"/>
                <w:szCs w:val="22"/>
                <w:lang w:val="it-IT"/>
              </w:rPr>
              <w:t>i.v.(1 h) giorno 1; Ara-C 60 mg/m</w:t>
            </w:r>
            <w:r w:rsidRPr="00496684">
              <w:rPr>
                <w:sz w:val="22"/>
                <w:szCs w:val="22"/>
                <w:vertAlign w:val="superscript"/>
                <w:lang w:val="it-IT"/>
              </w:rPr>
              <w:t>2</w:t>
            </w:r>
            <w:r w:rsidRPr="00496684">
              <w:rPr>
                <w:sz w:val="14"/>
                <w:szCs w:val="14"/>
                <w:lang w:val="it-IT"/>
              </w:rPr>
              <w:t xml:space="preserve"> </w:t>
            </w:r>
            <w:r w:rsidRPr="00496684">
              <w:rPr>
                <w:sz w:val="22"/>
                <w:szCs w:val="22"/>
                <w:lang w:val="it-IT"/>
              </w:rPr>
              <w:t xml:space="preserve">i.v., giorni 22-25, 29-32 </w:t>
            </w:r>
          </w:p>
        </w:tc>
      </w:tr>
      <w:tr w:rsidR="007154B5" w:rsidRPr="00496684" w14:paraId="1556C4BC" w14:textId="77777777" w:rsidTr="00E054B5">
        <w:tc>
          <w:tcPr>
            <w:tcW w:w="2235" w:type="dxa"/>
            <w:tcBorders>
              <w:top w:val="single" w:sz="4" w:space="0" w:color="auto"/>
              <w:bottom w:val="single" w:sz="4" w:space="0" w:color="auto"/>
            </w:tcBorders>
          </w:tcPr>
          <w:p w14:paraId="3E02B9B3" w14:textId="77777777" w:rsidR="007154B5" w:rsidRPr="00496684" w:rsidRDefault="007154B5" w:rsidP="00E054B5">
            <w:pPr>
              <w:pStyle w:val="Default"/>
              <w:rPr>
                <w:sz w:val="22"/>
                <w:szCs w:val="22"/>
                <w:lang w:val="it-IT"/>
              </w:rPr>
            </w:pPr>
            <w:r w:rsidRPr="00496684">
              <w:rPr>
                <w:sz w:val="22"/>
                <w:szCs w:val="22"/>
                <w:lang w:val="it-IT"/>
              </w:rPr>
              <w:t xml:space="preserve">Consolidamento </w:t>
            </w:r>
          </w:p>
          <w:p w14:paraId="099AE1CC" w14:textId="77777777" w:rsidR="007154B5" w:rsidRPr="00496684" w:rsidRDefault="007154B5" w:rsidP="00E054B5">
            <w:pPr>
              <w:pStyle w:val="Default"/>
              <w:rPr>
                <w:sz w:val="22"/>
                <w:szCs w:val="22"/>
                <w:lang w:val="it-IT"/>
              </w:rPr>
            </w:pPr>
            <w:r w:rsidRPr="00496684">
              <w:rPr>
                <w:sz w:val="22"/>
                <w:szCs w:val="22"/>
                <w:lang w:val="it-IT"/>
              </w:rPr>
              <w:t xml:space="preserve">I, III, V </w:t>
            </w:r>
          </w:p>
          <w:p w14:paraId="15D4F374" w14:textId="77777777" w:rsidR="007154B5" w:rsidRPr="00496684" w:rsidRDefault="007154B5" w:rsidP="00E054B5">
            <w:pPr>
              <w:pStyle w:val="Default"/>
              <w:rPr>
                <w:sz w:val="22"/>
                <w:szCs w:val="22"/>
                <w:lang w:val="it-IT"/>
              </w:rPr>
            </w:pPr>
          </w:p>
        </w:tc>
        <w:tc>
          <w:tcPr>
            <w:tcW w:w="7309" w:type="dxa"/>
            <w:tcBorders>
              <w:top w:val="single" w:sz="4" w:space="0" w:color="auto"/>
              <w:bottom w:val="single" w:sz="4" w:space="0" w:color="auto"/>
            </w:tcBorders>
          </w:tcPr>
          <w:p w14:paraId="258C604A" w14:textId="77777777" w:rsidR="007154B5" w:rsidRPr="00496684" w:rsidRDefault="007154B5" w:rsidP="00E054B5">
            <w:pPr>
              <w:pStyle w:val="Default"/>
              <w:rPr>
                <w:sz w:val="22"/>
                <w:szCs w:val="22"/>
                <w:lang w:val="it-IT"/>
              </w:rPr>
            </w:pPr>
            <w:r w:rsidRPr="00496684">
              <w:rPr>
                <w:sz w:val="22"/>
                <w:szCs w:val="22"/>
                <w:lang w:val="it-IT"/>
              </w:rPr>
              <w:t>MTX 500 mg/m</w:t>
            </w:r>
            <w:r w:rsidRPr="00496684">
              <w:rPr>
                <w:sz w:val="22"/>
                <w:szCs w:val="14"/>
                <w:vertAlign w:val="superscript"/>
                <w:lang w:val="it-IT"/>
              </w:rPr>
              <w:t>2</w:t>
            </w:r>
            <w:r w:rsidRPr="00496684">
              <w:rPr>
                <w:sz w:val="14"/>
                <w:szCs w:val="14"/>
                <w:lang w:val="it-IT"/>
              </w:rPr>
              <w:t xml:space="preserve"> </w:t>
            </w:r>
            <w:r w:rsidRPr="00496684">
              <w:rPr>
                <w:sz w:val="22"/>
                <w:szCs w:val="22"/>
                <w:lang w:val="it-IT"/>
              </w:rPr>
              <w:t>i.v. (24 h), giorni 1, 15; 6-MP 25 mg/m</w:t>
            </w:r>
            <w:r w:rsidRPr="00496684">
              <w:rPr>
                <w:sz w:val="22"/>
                <w:szCs w:val="14"/>
                <w:vertAlign w:val="superscript"/>
                <w:lang w:val="it-IT"/>
              </w:rPr>
              <w:t>2</w:t>
            </w:r>
            <w:r w:rsidRPr="00496684">
              <w:rPr>
                <w:sz w:val="14"/>
                <w:szCs w:val="14"/>
                <w:lang w:val="it-IT"/>
              </w:rPr>
              <w:t xml:space="preserve"> </w:t>
            </w:r>
            <w:r w:rsidRPr="00496684">
              <w:rPr>
                <w:sz w:val="22"/>
                <w:szCs w:val="22"/>
                <w:lang w:val="it-IT"/>
              </w:rPr>
              <w:t xml:space="preserve">per via orale, giorni 1-20 </w:t>
            </w:r>
          </w:p>
        </w:tc>
      </w:tr>
      <w:tr w:rsidR="007154B5" w:rsidRPr="00496684" w14:paraId="214889B2" w14:textId="77777777" w:rsidTr="00E054B5">
        <w:tc>
          <w:tcPr>
            <w:tcW w:w="2235" w:type="dxa"/>
            <w:tcBorders>
              <w:top w:val="single" w:sz="4" w:space="0" w:color="auto"/>
              <w:bottom w:val="single" w:sz="4" w:space="0" w:color="auto"/>
            </w:tcBorders>
          </w:tcPr>
          <w:p w14:paraId="3CC62F92" w14:textId="77777777" w:rsidR="007154B5" w:rsidRPr="00496684" w:rsidRDefault="007154B5" w:rsidP="00E054B5">
            <w:pPr>
              <w:pStyle w:val="Default"/>
              <w:rPr>
                <w:sz w:val="22"/>
                <w:szCs w:val="22"/>
                <w:lang w:val="it-IT"/>
              </w:rPr>
            </w:pPr>
            <w:r w:rsidRPr="00496684">
              <w:rPr>
                <w:sz w:val="22"/>
                <w:szCs w:val="22"/>
                <w:lang w:val="it-IT"/>
              </w:rPr>
              <w:t xml:space="preserve">Consolidamento II, IV </w:t>
            </w:r>
          </w:p>
          <w:p w14:paraId="1A1BD4A0" w14:textId="77777777" w:rsidR="007154B5" w:rsidRPr="00496684" w:rsidRDefault="007154B5" w:rsidP="00E054B5">
            <w:pPr>
              <w:pStyle w:val="Default"/>
              <w:rPr>
                <w:sz w:val="22"/>
                <w:szCs w:val="22"/>
                <w:lang w:val="it-IT"/>
              </w:rPr>
            </w:pPr>
          </w:p>
        </w:tc>
        <w:tc>
          <w:tcPr>
            <w:tcW w:w="7309" w:type="dxa"/>
            <w:tcBorders>
              <w:top w:val="single" w:sz="4" w:space="0" w:color="auto"/>
              <w:bottom w:val="single" w:sz="4" w:space="0" w:color="auto"/>
            </w:tcBorders>
          </w:tcPr>
          <w:p w14:paraId="38B8B6C6" w14:textId="77777777" w:rsidR="007154B5" w:rsidRPr="00496684" w:rsidRDefault="007154B5" w:rsidP="00E054B5">
            <w:pPr>
              <w:pStyle w:val="Default"/>
              <w:rPr>
                <w:sz w:val="22"/>
                <w:szCs w:val="22"/>
                <w:lang w:val="it-IT"/>
              </w:rPr>
            </w:pPr>
            <w:r w:rsidRPr="00496684">
              <w:rPr>
                <w:sz w:val="22"/>
                <w:szCs w:val="22"/>
                <w:lang w:val="it-IT"/>
              </w:rPr>
              <w:t>Ara-C 75 mg/m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1-5; VM26 60 mg/m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(1 h), giorni 1-5 </w:t>
            </w:r>
          </w:p>
        </w:tc>
      </w:tr>
      <w:tr w:rsidR="007154B5" w:rsidRPr="00496684" w14:paraId="782C4FF5" w14:textId="77777777" w:rsidTr="00E054B5">
        <w:tc>
          <w:tcPr>
            <w:tcW w:w="2235" w:type="dxa"/>
            <w:tcBorders>
              <w:top w:val="single" w:sz="4" w:space="0" w:color="auto"/>
              <w:bottom w:val="single" w:sz="4" w:space="0" w:color="auto"/>
            </w:tcBorders>
          </w:tcPr>
          <w:p w14:paraId="76D73B3E" w14:textId="77777777" w:rsidR="007154B5" w:rsidRPr="00496684" w:rsidRDefault="007154B5" w:rsidP="00E054B5">
            <w:pPr>
              <w:pStyle w:val="Default"/>
              <w:rPr>
                <w:sz w:val="22"/>
                <w:szCs w:val="22"/>
                <w:lang w:val="it-IT"/>
              </w:rPr>
            </w:pPr>
            <w:r w:rsidRPr="00496684">
              <w:rPr>
                <w:b/>
                <w:bCs/>
                <w:sz w:val="22"/>
                <w:szCs w:val="22"/>
                <w:lang w:val="it-IT"/>
              </w:rPr>
              <w:t xml:space="preserve">Studio AAU02 </w:t>
            </w:r>
          </w:p>
        </w:tc>
        <w:tc>
          <w:tcPr>
            <w:tcW w:w="7309" w:type="dxa"/>
            <w:tcBorders>
              <w:top w:val="single" w:sz="4" w:space="0" w:color="auto"/>
              <w:bottom w:val="single" w:sz="4" w:space="0" w:color="auto"/>
            </w:tcBorders>
          </w:tcPr>
          <w:p w14:paraId="3A08A199" w14:textId="77777777" w:rsidR="007154B5" w:rsidRPr="00496684" w:rsidRDefault="007154B5" w:rsidP="00E054B5">
            <w:pPr>
              <w:pStyle w:val="Default"/>
              <w:rPr>
                <w:sz w:val="22"/>
                <w:szCs w:val="22"/>
                <w:lang w:val="it-IT"/>
              </w:rPr>
            </w:pPr>
          </w:p>
        </w:tc>
      </w:tr>
      <w:tr w:rsidR="007154B5" w:rsidRPr="00496684" w14:paraId="6C412DB1" w14:textId="77777777" w:rsidTr="00E054B5">
        <w:tc>
          <w:tcPr>
            <w:tcW w:w="2235" w:type="dxa"/>
            <w:tcBorders>
              <w:top w:val="single" w:sz="4" w:space="0" w:color="auto"/>
              <w:bottom w:val="single" w:sz="4" w:space="0" w:color="auto"/>
            </w:tcBorders>
          </w:tcPr>
          <w:p w14:paraId="570460FD" w14:textId="77777777" w:rsidR="007154B5" w:rsidRPr="00496684" w:rsidRDefault="007154B5" w:rsidP="00E054B5">
            <w:pPr>
              <w:pStyle w:val="Default"/>
              <w:rPr>
                <w:sz w:val="22"/>
                <w:szCs w:val="22"/>
                <w:lang w:val="it-IT"/>
              </w:rPr>
            </w:pPr>
            <w:r w:rsidRPr="00496684">
              <w:rPr>
                <w:sz w:val="22"/>
                <w:szCs w:val="22"/>
                <w:lang w:val="it-IT"/>
              </w:rPr>
              <w:t xml:space="preserve">Induzione (LLA Ph+ </w:t>
            </w:r>
            <w:r w:rsidRPr="00496684">
              <w:rPr>
                <w:i/>
                <w:iCs/>
                <w:sz w:val="22"/>
                <w:szCs w:val="22"/>
                <w:lang w:val="it-IT"/>
              </w:rPr>
              <w:t>de novo</w:t>
            </w:r>
            <w:r w:rsidRPr="00496684">
              <w:rPr>
                <w:sz w:val="22"/>
                <w:szCs w:val="22"/>
                <w:lang w:val="it-IT"/>
              </w:rPr>
              <w:t xml:space="preserve">) </w:t>
            </w:r>
          </w:p>
          <w:p w14:paraId="5E09B4D5" w14:textId="77777777" w:rsidR="007154B5" w:rsidRPr="00496684" w:rsidRDefault="007154B5" w:rsidP="00E054B5">
            <w:pPr>
              <w:pStyle w:val="Default"/>
              <w:rPr>
                <w:b/>
                <w:bCs/>
                <w:sz w:val="22"/>
                <w:szCs w:val="22"/>
                <w:lang w:val="it-IT"/>
              </w:rPr>
            </w:pPr>
          </w:p>
        </w:tc>
        <w:tc>
          <w:tcPr>
            <w:tcW w:w="7309" w:type="dxa"/>
            <w:tcBorders>
              <w:top w:val="single" w:sz="4" w:space="0" w:color="auto"/>
              <w:bottom w:val="single" w:sz="4" w:space="0" w:color="auto"/>
            </w:tcBorders>
          </w:tcPr>
          <w:p w14:paraId="356B30F0" w14:textId="77777777" w:rsidR="007154B5" w:rsidRPr="00496684" w:rsidRDefault="007154B5" w:rsidP="00E054B5">
            <w:pPr>
              <w:pStyle w:val="Default"/>
              <w:rPr>
                <w:sz w:val="22"/>
                <w:szCs w:val="22"/>
                <w:lang w:val="it-IT"/>
              </w:rPr>
            </w:pPr>
            <w:r w:rsidRPr="00496684">
              <w:rPr>
                <w:sz w:val="22"/>
                <w:szCs w:val="22"/>
                <w:lang w:val="it-IT"/>
              </w:rPr>
              <w:t>Daunorubicina 30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giorni 1-3, 15-16; VCR dose totale 2 mg i.v., giorni 1, 8, 15, 22; CP 750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giorni 1, 8; Prednisone 60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1-7, 15-21; IDA 9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per via orale, giorni 1-28; MTX 15 mg per via intratecale, giorni 1, 8, 15, 22; Ara-C 40 mg per via intratecale, giorni 1, 8, 15, 22; Metilprednisolone 40 mg per via intratecale, giorni 1, 8, 15, 22 </w:t>
            </w:r>
          </w:p>
        </w:tc>
      </w:tr>
      <w:tr w:rsidR="007154B5" w:rsidRPr="00496684" w14:paraId="0438DEA1" w14:textId="77777777" w:rsidTr="00E054B5">
        <w:tc>
          <w:tcPr>
            <w:tcW w:w="2235" w:type="dxa"/>
            <w:tcBorders>
              <w:top w:val="single" w:sz="4" w:space="0" w:color="auto"/>
              <w:bottom w:val="single" w:sz="4" w:space="0" w:color="auto"/>
            </w:tcBorders>
          </w:tcPr>
          <w:p w14:paraId="1B82DC95" w14:textId="77777777" w:rsidR="007154B5" w:rsidRPr="00496684" w:rsidRDefault="007154B5" w:rsidP="00E054B5">
            <w:pPr>
              <w:pStyle w:val="Default"/>
              <w:rPr>
                <w:sz w:val="22"/>
                <w:szCs w:val="22"/>
                <w:lang w:val="it-IT"/>
              </w:rPr>
            </w:pPr>
            <w:r w:rsidRPr="00496684">
              <w:rPr>
                <w:sz w:val="22"/>
                <w:szCs w:val="22"/>
                <w:lang w:val="it-IT"/>
              </w:rPr>
              <w:t xml:space="preserve">Consolidamento </w:t>
            </w:r>
          </w:p>
          <w:p w14:paraId="06550E95" w14:textId="77777777" w:rsidR="007154B5" w:rsidRPr="00496684" w:rsidRDefault="007154B5" w:rsidP="00E054B5">
            <w:pPr>
              <w:pStyle w:val="Default"/>
              <w:rPr>
                <w:sz w:val="22"/>
                <w:szCs w:val="22"/>
                <w:lang w:val="it-IT"/>
              </w:rPr>
            </w:pPr>
            <w:r w:rsidRPr="00496684">
              <w:rPr>
                <w:sz w:val="22"/>
                <w:szCs w:val="22"/>
                <w:lang w:val="it-IT"/>
              </w:rPr>
              <w:t xml:space="preserve">(LLA Ph+ </w:t>
            </w:r>
            <w:r w:rsidRPr="00496684">
              <w:rPr>
                <w:i/>
                <w:iCs/>
                <w:sz w:val="22"/>
                <w:szCs w:val="22"/>
                <w:lang w:val="it-IT"/>
              </w:rPr>
              <w:t>de novo</w:t>
            </w:r>
            <w:r w:rsidRPr="00496684">
              <w:rPr>
                <w:sz w:val="22"/>
                <w:szCs w:val="22"/>
                <w:lang w:val="it-IT"/>
              </w:rPr>
              <w:t xml:space="preserve">) </w:t>
            </w:r>
          </w:p>
          <w:p w14:paraId="081D246D" w14:textId="77777777" w:rsidR="007154B5" w:rsidRPr="00496684" w:rsidRDefault="007154B5" w:rsidP="00E054B5">
            <w:pPr>
              <w:pStyle w:val="Default"/>
              <w:rPr>
                <w:sz w:val="22"/>
                <w:szCs w:val="22"/>
                <w:lang w:val="it-IT"/>
              </w:rPr>
            </w:pPr>
          </w:p>
        </w:tc>
        <w:tc>
          <w:tcPr>
            <w:tcW w:w="7309" w:type="dxa"/>
            <w:tcBorders>
              <w:top w:val="single" w:sz="4" w:space="0" w:color="auto"/>
              <w:bottom w:val="single" w:sz="4" w:space="0" w:color="auto"/>
            </w:tcBorders>
          </w:tcPr>
          <w:p w14:paraId="610B2936" w14:textId="77777777" w:rsidR="007154B5" w:rsidRPr="00496684" w:rsidRDefault="007154B5" w:rsidP="00E054B5">
            <w:pPr>
              <w:pStyle w:val="Default"/>
              <w:rPr>
                <w:sz w:val="22"/>
                <w:szCs w:val="22"/>
                <w:lang w:val="it-IT"/>
              </w:rPr>
            </w:pPr>
            <w:r w:rsidRPr="00496684">
              <w:rPr>
                <w:sz w:val="22"/>
                <w:szCs w:val="22"/>
                <w:lang w:val="it-IT"/>
              </w:rPr>
              <w:t>Ara-C 1.000 mg/ m</w:t>
            </w:r>
            <w:r w:rsidRPr="00496684">
              <w:rPr>
                <w:sz w:val="20"/>
                <w:szCs w:val="14"/>
                <w:vertAlign w:val="superscript"/>
                <w:lang w:val="it-IT"/>
              </w:rPr>
              <w:t>2</w:t>
            </w:r>
            <w:r w:rsidRPr="00496684">
              <w:rPr>
                <w:sz w:val="22"/>
                <w:szCs w:val="22"/>
                <w:lang w:val="it-IT"/>
              </w:rPr>
              <w:t>/12 h i.v.(3 h), giorni 1-4; Mitoxantrone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giorni 3-5; MTX 15 mg per via intratecale, giorno 1; Metilprednisolone 40 mg per via intratecale, giorno 1 </w:t>
            </w:r>
          </w:p>
        </w:tc>
      </w:tr>
      <w:tr w:rsidR="007154B5" w:rsidRPr="00496684" w14:paraId="78C1F9FC" w14:textId="77777777" w:rsidTr="00E054B5">
        <w:tc>
          <w:tcPr>
            <w:tcW w:w="2235" w:type="dxa"/>
            <w:tcBorders>
              <w:top w:val="single" w:sz="4" w:space="0" w:color="auto"/>
              <w:bottom w:val="single" w:sz="4" w:space="0" w:color="auto"/>
            </w:tcBorders>
          </w:tcPr>
          <w:p w14:paraId="14C16A15" w14:textId="77777777" w:rsidR="007154B5" w:rsidRPr="00496684" w:rsidRDefault="007154B5" w:rsidP="00E054B5">
            <w:pPr>
              <w:pStyle w:val="Default"/>
              <w:rPr>
                <w:sz w:val="22"/>
                <w:szCs w:val="22"/>
                <w:lang w:val="it-IT"/>
              </w:rPr>
            </w:pPr>
            <w:r w:rsidRPr="00496684">
              <w:rPr>
                <w:b/>
                <w:bCs/>
                <w:sz w:val="22"/>
                <w:szCs w:val="22"/>
                <w:lang w:val="it-IT"/>
              </w:rPr>
              <w:t xml:space="preserve">Studio ADE04 </w:t>
            </w:r>
          </w:p>
        </w:tc>
        <w:tc>
          <w:tcPr>
            <w:tcW w:w="7309" w:type="dxa"/>
            <w:tcBorders>
              <w:top w:val="single" w:sz="4" w:space="0" w:color="auto"/>
              <w:bottom w:val="single" w:sz="4" w:space="0" w:color="auto"/>
            </w:tcBorders>
          </w:tcPr>
          <w:p w14:paraId="5B0F65D1" w14:textId="77777777" w:rsidR="007154B5" w:rsidRPr="00496684" w:rsidRDefault="007154B5" w:rsidP="00E054B5">
            <w:pPr>
              <w:pStyle w:val="Default"/>
              <w:rPr>
                <w:sz w:val="22"/>
                <w:szCs w:val="22"/>
                <w:lang w:val="it-IT"/>
              </w:rPr>
            </w:pPr>
          </w:p>
        </w:tc>
      </w:tr>
      <w:tr w:rsidR="007154B5" w:rsidRPr="00496684" w14:paraId="523DDA82" w14:textId="77777777" w:rsidTr="00E054B5">
        <w:tc>
          <w:tcPr>
            <w:tcW w:w="2235" w:type="dxa"/>
            <w:tcBorders>
              <w:top w:val="single" w:sz="4" w:space="0" w:color="auto"/>
              <w:bottom w:val="single" w:sz="4" w:space="0" w:color="auto"/>
            </w:tcBorders>
          </w:tcPr>
          <w:p w14:paraId="44A02A70" w14:textId="77777777" w:rsidR="007154B5" w:rsidRPr="00496684" w:rsidRDefault="007154B5" w:rsidP="00E054B5">
            <w:pPr>
              <w:pStyle w:val="Default"/>
              <w:rPr>
                <w:sz w:val="22"/>
                <w:szCs w:val="22"/>
                <w:lang w:val="it-IT"/>
              </w:rPr>
            </w:pPr>
            <w:r w:rsidRPr="00496684">
              <w:rPr>
                <w:sz w:val="22"/>
                <w:szCs w:val="22"/>
                <w:lang w:val="it-IT"/>
              </w:rPr>
              <w:t xml:space="preserve">Pretrattamento </w:t>
            </w:r>
          </w:p>
        </w:tc>
        <w:tc>
          <w:tcPr>
            <w:tcW w:w="7309" w:type="dxa"/>
            <w:tcBorders>
              <w:top w:val="single" w:sz="4" w:space="0" w:color="auto"/>
              <w:bottom w:val="single" w:sz="4" w:space="0" w:color="auto"/>
            </w:tcBorders>
          </w:tcPr>
          <w:p w14:paraId="4F88E81F" w14:textId="77777777" w:rsidR="007154B5" w:rsidRPr="00496684" w:rsidRDefault="007154B5" w:rsidP="00E054B5">
            <w:pPr>
              <w:pStyle w:val="Default"/>
              <w:rPr>
                <w:sz w:val="22"/>
                <w:szCs w:val="22"/>
                <w:lang w:val="it-IT"/>
              </w:rPr>
            </w:pPr>
            <w:r w:rsidRPr="00496684">
              <w:rPr>
                <w:sz w:val="22"/>
                <w:szCs w:val="22"/>
                <w:lang w:val="it-IT"/>
              </w:rPr>
              <w:t>DEX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1-5; CP 200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giorni 3-5; MTX 15 mg per via intratecale, giorno 1 </w:t>
            </w:r>
          </w:p>
        </w:tc>
      </w:tr>
      <w:tr w:rsidR="007154B5" w:rsidRPr="00496684" w14:paraId="5D91939F" w14:textId="77777777" w:rsidTr="00E054B5">
        <w:tc>
          <w:tcPr>
            <w:tcW w:w="2235" w:type="dxa"/>
            <w:tcBorders>
              <w:top w:val="single" w:sz="4" w:space="0" w:color="auto"/>
              <w:bottom w:val="single" w:sz="4" w:space="0" w:color="auto"/>
            </w:tcBorders>
          </w:tcPr>
          <w:p w14:paraId="29F480A0" w14:textId="77777777" w:rsidR="007154B5" w:rsidRPr="00496684" w:rsidRDefault="007154B5" w:rsidP="00E054B5">
            <w:pPr>
              <w:pStyle w:val="Default"/>
              <w:rPr>
                <w:sz w:val="22"/>
                <w:szCs w:val="22"/>
                <w:lang w:val="it-IT"/>
              </w:rPr>
            </w:pPr>
            <w:r w:rsidRPr="00496684">
              <w:rPr>
                <w:sz w:val="22"/>
                <w:szCs w:val="22"/>
                <w:lang w:val="it-IT"/>
              </w:rPr>
              <w:t xml:space="preserve">Induzione I </w:t>
            </w:r>
          </w:p>
        </w:tc>
        <w:tc>
          <w:tcPr>
            <w:tcW w:w="7309" w:type="dxa"/>
            <w:tcBorders>
              <w:top w:val="single" w:sz="4" w:space="0" w:color="auto"/>
              <w:bottom w:val="single" w:sz="4" w:space="0" w:color="auto"/>
            </w:tcBorders>
          </w:tcPr>
          <w:p w14:paraId="23F733F9" w14:textId="77777777" w:rsidR="007154B5" w:rsidRPr="00496684" w:rsidRDefault="007154B5" w:rsidP="00E054B5">
            <w:pPr>
              <w:pStyle w:val="Default"/>
              <w:rPr>
                <w:sz w:val="22"/>
                <w:szCs w:val="22"/>
                <w:lang w:val="it-IT"/>
              </w:rPr>
            </w:pPr>
            <w:r w:rsidRPr="00496684">
              <w:rPr>
                <w:sz w:val="22"/>
                <w:szCs w:val="22"/>
                <w:lang w:val="it-IT"/>
              </w:rPr>
              <w:t>DEX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1-5; VCR 2 mg i.v., giorni 6, 13, 20; Daunorubicina 45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giorni 6-7, 13-14 </w:t>
            </w:r>
          </w:p>
        </w:tc>
      </w:tr>
      <w:tr w:rsidR="007154B5" w:rsidRPr="00496684" w14:paraId="142101CB" w14:textId="77777777" w:rsidTr="00E054B5">
        <w:tc>
          <w:tcPr>
            <w:tcW w:w="2235" w:type="dxa"/>
            <w:tcBorders>
              <w:top w:val="single" w:sz="4" w:space="0" w:color="auto"/>
              <w:bottom w:val="single" w:sz="4" w:space="0" w:color="auto"/>
            </w:tcBorders>
          </w:tcPr>
          <w:p w14:paraId="34D9357F" w14:textId="77777777" w:rsidR="007154B5" w:rsidRPr="00496684" w:rsidRDefault="007154B5" w:rsidP="00E054B5">
            <w:pPr>
              <w:pStyle w:val="Default"/>
              <w:rPr>
                <w:sz w:val="22"/>
                <w:szCs w:val="22"/>
                <w:lang w:val="it-IT"/>
              </w:rPr>
            </w:pPr>
            <w:r w:rsidRPr="00496684">
              <w:rPr>
                <w:sz w:val="22"/>
                <w:szCs w:val="22"/>
                <w:lang w:val="it-IT"/>
              </w:rPr>
              <w:t xml:space="preserve">Induzione II </w:t>
            </w:r>
          </w:p>
        </w:tc>
        <w:tc>
          <w:tcPr>
            <w:tcW w:w="7309" w:type="dxa"/>
            <w:tcBorders>
              <w:top w:val="single" w:sz="4" w:space="0" w:color="auto"/>
              <w:bottom w:val="single" w:sz="4" w:space="0" w:color="auto"/>
            </w:tcBorders>
          </w:tcPr>
          <w:p w14:paraId="0BE610D9" w14:textId="77777777" w:rsidR="007154B5" w:rsidRPr="00496684" w:rsidRDefault="007154B5" w:rsidP="00E054B5">
            <w:pPr>
              <w:pStyle w:val="Default"/>
              <w:rPr>
                <w:sz w:val="22"/>
                <w:szCs w:val="22"/>
                <w:lang w:val="it-IT"/>
              </w:rPr>
            </w:pPr>
            <w:r w:rsidRPr="00496684">
              <w:rPr>
                <w:sz w:val="22"/>
                <w:szCs w:val="22"/>
                <w:lang w:val="it-IT"/>
              </w:rPr>
              <w:t>CP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26, 46; Ara-C 75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28-31, 35-38, 42-45; 6-MP 60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per via orale, giorni 26-46 </w:t>
            </w:r>
          </w:p>
        </w:tc>
      </w:tr>
      <w:tr w:rsidR="007154B5" w:rsidRPr="00496684" w14:paraId="777DDB80" w14:textId="77777777" w:rsidTr="00E054B5">
        <w:tc>
          <w:tcPr>
            <w:tcW w:w="2235" w:type="dxa"/>
            <w:tcBorders>
              <w:top w:val="single" w:sz="4" w:space="0" w:color="auto"/>
              <w:bottom w:val="single" w:sz="4" w:space="0" w:color="auto"/>
            </w:tcBorders>
          </w:tcPr>
          <w:p w14:paraId="514E7B9F" w14:textId="77777777" w:rsidR="007154B5" w:rsidRPr="00496684" w:rsidRDefault="007154B5" w:rsidP="00E054B5">
            <w:pPr>
              <w:pStyle w:val="Default"/>
              <w:rPr>
                <w:sz w:val="22"/>
                <w:szCs w:val="22"/>
                <w:lang w:val="it-IT"/>
              </w:rPr>
            </w:pPr>
            <w:r w:rsidRPr="00496684">
              <w:rPr>
                <w:sz w:val="22"/>
                <w:szCs w:val="22"/>
                <w:lang w:val="it-IT"/>
              </w:rPr>
              <w:t xml:space="preserve">Consolidamento </w:t>
            </w:r>
          </w:p>
        </w:tc>
        <w:tc>
          <w:tcPr>
            <w:tcW w:w="7309" w:type="dxa"/>
            <w:tcBorders>
              <w:top w:val="single" w:sz="4" w:space="0" w:color="auto"/>
              <w:bottom w:val="single" w:sz="4" w:space="0" w:color="auto"/>
            </w:tcBorders>
          </w:tcPr>
          <w:p w14:paraId="4AE9696A" w14:textId="77777777" w:rsidR="007154B5" w:rsidRPr="00496684" w:rsidRDefault="007154B5" w:rsidP="00E054B5">
            <w:pPr>
              <w:pStyle w:val="Default"/>
              <w:rPr>
                <w:sz w:val="22"/>
                <w:szCs w:val="22"/>
                <w:lang w:val="it-IT"/>
              </w:rPr>
            </w:pPr>
            <w:r w:rsidRPr="00496684">
              <w:rPr>
                <w:sz w:val="22"/>
                <w:szCs w:val="22"/>
                <w:lang w:val="it-IT"/>
              </w:rPr>
              <w:t>DEX 10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per via orale, giorni 1-5; Vindesina 3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giorno 1; MTX 1,5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(24 h), giorno 1; Etoposide 250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4-5; Ara-C 2x 2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(3 h, q 12 h), giorno 5 </w:t>
            </w:r>
          </w:p>
        </w:tc>
      </w:tr>
      <w:tr w:rsidR="007154B5" w:rsidRPr="00496684" w14:paraId="6ACABA85" w14:textId="77777777" w:rsidTr="00E054B5">
        <w:tc>
          <w:tcPr>
            <w:tcW w:w="2235" w:type="dxa"/>
            <w:tcBorders>
              <w:top w:val="single" w:sz="4" w:space="0" w:color="auto"/>
              <w:bottom w:val="single" w:sz="4" w:space="0" w:color="auto"/>
            </w:tcBorders>
          </w:tcPr>
          <w:p w14:paraId="325AAF18" w14:textId="77777777" w:rsidR="007154B5" w:rsidRPr="00496684" w:rsidRDefault="007154B5" w:rsidP="00E054B5">
            <w:pPr>
              <w:pStyle w:val="Default"/>
              <w:rPr>
                <w:sz w:val="22"/>
                <w:szCs w:val="22"/>
                <w:lang w:val="it-IT"/>
              </w:rPr>
            </w:pPr>
            <w:r w:rsidRPr="00496684">
              <w:rPr>
                <w:b/>
                <w:bCs/>
                <w:sz w:val="22"/>
                <w:szCs w:val="22"/>
                <w:lang w:val="it-IT"/>
              </w:rPr>
              <w:t xml:space="preserve">Studio AJP01 </w:t>
            </w:r>
          </w:p>
        </w:tc>
        <w:tc>
          <w:tcPr>
            <w:tcW w:w="7309" w:type="dxa"/>
            <w:tcBorders>
              <w:top w:val="single" w:sz="4" w:space="0" w:color="auto"/>
              <w:bottom w:val="single" w:sz="4" w:space="0" w:color="auto"/>
            </w:tcBorders>
          </w:tcPr>
          <w:p w14:paraId="5BFBED48" w14:textId="77777777" w:rsidR="007154B5" w:rsidRPr="00496684" w:rsidRDefault="007154B5" w:rsidP="00E054B5">
            <w:pPr>
              <w:pStyle w:val="Default"/>
              <w:rPr>
                <w:sz w:val="22"/>
                <w:szCs w:val="22"/>
                <w:lang w:val="it-IT"/>
              </w:rPr>
            </w:pPr>
          </w:p>
        </w:tc>
      </w:tr>
      <w:tr w:rsidR="007154B5" w:rsidRPr="00496684" w14:paraId="1D23ADD6" w14:textId="77777777" w:rsidTr="00E054B5">
        <w:tc>
          <w:tcPr>
            <w:tcW w:w="2235" w:type="dxa"/>
            <w:tcBorders>
              <w:top w:val="single" w:sz="4" w:space="0" w:color="auto"/>
              <w:bottom w:val="single" w:sz="4" w:space="0" w:color="auto"/>
            </w:tcBorders>
          </w:tcPr>
          <w:p w14:paraId="7E627893" w14:textId="77777777" w:rsidR="007154B5" w:rsidRPr="00496684" w:rsidRDefault="007154B5" w:rsidP="00E054B5">
            <w:pPr>
              <w:pStyle w:val="Default"/>
              <w:rPr>
                <w:sz w:val="22"/>
                <w:szCs w:val="22"/>
                <w:lang w:val="it-IT"/>
              </w:rPr>
            </w:pPr>
            <w:r w:rsidRPr="00496684">
              <w:rPr>
                <w:sz w:val="22"/>
                <w:szCs w:val="22"/>
                <w:lang w:val="it-IT"/>
              </w:rPr>
              <w:t xml:space="preserve">Induzione </w:t>
            </w:r>
          </w:p>
        </w:tc>
        <w:tc>
          <w:tcPr>
            <w:tcW w:w="7309" w:type="dxa"/>
            <w:tcBorders>
              <w:top w:val="single" w:sz="4" w:space="0" w:color="auto"/>
              <w:bottom w:val="single" w:sz="4" w:space="0" w:color="auto"/>
            </w:tcBorders>
          </w:tcPr>
          <w:p w14:paraId="22B88DC6" w14:textId="77777777" w:rsidR="007154B5" w:rsidRPr="00496684" w:rsidRDefault="007154B5" w:rsidP="00E054B5">
            <w:pPr>
              <w:pStyle w:val="Default"/>
              <w:rPr>
                <w:sz w:val="22"/>
                <w:szCs w:val="22"/>
                <w:lang w:val="it-IT"/>
              </w:rPr>
            </w:pPr>
            <w:r w:rsidRPr="00496684">
              <w:rPr>
                <w:sz w:val="22"/>
                <w:szCs w:val="22"/>
                <w:lang w:val="it-IT"/>
              </w:rPr>
              <w:t>CP 1,2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(3 h), giorno 1; Daunorubicina 60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(1 h), giorni 1-3; Vincristina 1,3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giorni 1, 8, 15, 21; Prednisolone 60 mg/ m</w:t>
            </w:r>
            <w:r w:rsidRPr="00496684">
              <w:rPr>
                <w:sz w:val="20"/>
                <w:szCs w:val="14"/>
                <w:vertAlign w:val="superscript"/>
                <w:lang w:val="it-IT"/>
              </w:rPr>
              <w:t>2</w:t>
            </w:r>
            <w:r w:rsidRPr="00496684">
              <w:rPr>
                <w:sz w:val="22"/>
                <w:szCs w:val="22"/>
                <w:lang w:val="it-IT"/>
              </w:rPr>
              <w:t xml:space="preserve">/die per via orale </w:t>
            </w:r>
          </w:p>
        </w:tc>
      </w:tr>
      <w:tr w:rsidR="007154B5" w:rsidRPr="00496684" w14:paraId="63EA0FB2" w14:textId="77777777" w:rsidTr="00E054B5">
        <w:tc>
          <w:tcPr>
            <w:tcW w:w="2235" w:type="dxa"/>
            <w:tcBorders>
              <w:top w:val="single" w:sz="4" w:space="0" w:color="auto"/>
              <w:bottom w:val="single" w:sz="4" w:space="0" w:color="auto"/>
            </w:tcBorders>
          </w:tcPr>
          <w:p w14:paraId="7CD0BA76" w14:textId="77777777" w:rsidR="007154B5" w:rsidRPr="00496684" w:rsidRDefault="007154B5" w:rsidP="00E054B5">
            <w:pPr>
              <w:pStyle w:val="Default"/>
              <w:rPr>
                <w:sz w:val="22"/>
                <w:szCs w:val="22"/>
                <w:lang w:val="it-IT"/>
              </w:rPr>
            </w:pPr>
            <w:r w:rsidRPr="00496684">
              <w:rPr>
                <w:sz w:val="22"/>
                <w:szCs w:val="22"/>
                <w:lang w:val="it-IT"/>
              </w:rPr>
              <w:t xml:space="preserve">Consolidamento </w:t>
            </w:r>
          </w:p>
        </w:tc>
        <w:tc>
          <w:tcPr>
            <w:tcW w:w="7309" w:type="dxa"/>
            <w:tcBorders>
              <w:top w:val="single" w:sz="4" w:space="0" w:color="auto"/>
              <w:bottom w:val="single" w:sz="4" w:space="0" w:color="auto"/>
            </w:tcBorders>
          </w:tcPr>
          <w:p w14:paraId="6E8E4B42" w14:textId="77777777" w:rsidR="007154B5" w:rsidRPr="00496684" w:rsidRDefault="007154B5" w:rsidP="00E054B5">
            <w:pPr>
              <w:pStyle w:val="Default"/>
              <w:rPr>
                <w:sz w:val="22"/>
                <w:szCs w:val="22"/>
                <w:lang w:val="it-IT"/>
              </w:rPr>
            </w:pPr>
            <w:r w:rsidRPr="00496684">
              <w:rPr>
                <w:sz w:val="22"/>
                <w:szCs w:val="22"/>
                <w:lang w:val="it-IT"/>
              </w:rPr>
              <w:t>Ciclo chemioterapico alternativo: chemioterapia con MTX ad alte dosi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(24 h), giorno 1, e Ara-C 2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(q 12 h), giorni 2-3, per 4 cicli </w:t>
            </w:r>
          </w:p>
        </w:tc>
      </w:tr>
      <w:tr w:rsidR="007154B5" w:rsidRPr="00496684" w14:paraId="64FD3248" w14:textId="77777777" w:rsidTr="00E054B5">
        <w:tc>
          <w:tcPr>
            <w:tcW w:w="2235" w:type="dxa"/>
            <w:tcBorders>
              <w:top w:val="single" w:sz="4" w:space="0" w:color="auto"/>
              <w:bottom w:val="single" w:sz="4" w:space="0" w:color="auto"/>
            </w:tcBorders>
          </w:tcPr>
          <w:p w14:paraId="25690F16" w14:textId="77777777" w:rsidR="007154B5" w:rsidRPr="00496684" w:rsidRDefault="007154B5" w:rsidP="00E054B5">
            <w:pPr>
              <w:pStyle w:val="Default"/>
              <w:rPr>
                <w:sz w:val="22"/>
                <w:szCs w:val="22"/>
                <w:lang w:val="it-IT"/>
              </w:rPr>
            </w:pPr>
            <w:r w:rsidRPr="00496684">
              <w:rPr>
                <w:sz w:val="22"/>
                <w:szCs w:val="22"/>
                <w:lang w:val="it-IT"/>
              </w:rPr>
              <w:t xml:space="preserve">Mantenimento </w:t>
            </w:r>
          </w:p>
          <w:p w14:paraId="4A74764A" w14:textId="77777777" w:rsidR="007154B5" w:rsidRPr="00496684" w:rsidRDefault="007154B5" w:rsidP="00E054B5">
            <w:pPr>
              <w:pStyle w:val="Default"/>
              <w:rPr>
                <w:sz w:val="22"/>
                <w:szCs w:val="22"/>
                <w:lang w:val="it-IT"/>
              </w:rPr>
            </w:pPr>
          </w:p>
        </w:tc>
        <w:tc>
          <w:tcPr>
            <w:tcW w:w="7309" w:type="dxa"/>
            <w:tcBorders>
              <w:top w:val="single" w:sz="4" w:space="0" w:color="auto"/>
              <w:bottom w:val="single" w:sz="4" w:space="0" w:color="auto"/>
            </w:tcBorders>
          </w:tcPr>
          <w:p w14:paraId="70EAD0AB" w14:textId="77777777" w:rsidR="007154B5" w:rsidRPr="00496684" w:rsidRDefault="007154B5" w:rsidP="00E054B5">
            <w:pPr>
              <w:pStyle w:val="Default"/>
              <w:rPr>
                <w:sz w:val="22"/>
                <w:szCs w:val="22"/>
                <w:lang w:val="it-IT"/>
              </w:rPr>
            </w:pPr>
            <w:r w:rsidRPr="00496684">
              <w:rPr>
                <w:sz w:val="22"/>
                <w:szCs w:val="22"/>
                <w:lang w:val="it-IT"/>
              </w:rPr>
              <w:t>VCR 1,3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giorno 1; </w:t>
            </w:r>
          </w:p>
          <w:p w14:paraId="7B541D83" w14:textId="77777777" w:rsidR="007154B5" w:rsidRPr="00496684" w:rsidRDefault="007154B5" w:rsidP="00E054B5">
            <w:pPr>
              <w:pStyle w:val="Default"/>
              <w:rPr>
                <w:sz w:val="22"/>
                <w:szCs w:val="22"/>
                <w:lang w:val="it-IT"/>
              </w:rPr>
            </w:pPr>
            <w:r w:rsidRPr="00496684">
              <w:rPr>
                <w:sz w:val="22"/>
                <w:szCs w:val="22"/>
                <w:lang w:val="it-IT"/>
              </w:rPr>
              <w:t>Prednisolone 60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per via orale, giorni 1-5 </w:t>
            </w:r>
          </w:p>
        </w:tc>
      </w:tr>
      <w:tr w:rsidR="007154B5" w:rsidRPr="00496684" w14:paraId="19F467BC" w14:textId="77777777" w:rsidTr="00E054B5">
        <w:tc>
          <w:tcPr>
            <w:tcW w:w="2235" w:type="dxa"/>
            <w:tcBorders>
              <w:top w:val="single" w:sz="4" w:space="0" w:color="auto"/>
              <w:bottom w:val="single" w:sz="4" w:space="0" w:color="auto"/>
            </w:tcBorders>
          </w:tcPr>
          <w:p w14:paraId="607EF28F" w14:textId="77777777" w:rsidR="007154B5" w:rsidRPr="00496684" w:rsidRDefault="007154B5" w:rsidP="00E054B5">
            <w:pPr>
              <w:pStyle w:val="Default"/>
              <w:rPr>
                <w:sz w:val="22"/>
                <w:szCs w:val="22"/>
                <w:lang w:val="it-IT"/>
              </w:rPr>
            </w:pPr>
            <w:r w:rsidRPr="00496684">
              <w:rPr>
                <w:b/>
                <w:bCs/>
                <w:sz w:val="22"/>
                <w:szCs w:val="22"/>
                <w:lang w:val="it-IT"/>
              </w:rPr>
              <w:t xml:space="preserve">Studio AUS01 </w:t>
            </w:r>
          </w:p>
        </w:tc>
        <w:tc>
          <w:tcPr>
            <w:tcW w:w="7309" w:type="dxa"/>
            <w:tcBorders>
              <w:top w:val="single" w:sz="4" w:space="0" w:color="auto"/>
              <w:bottom w:val="single" w:sz="4" w:space="0" w:color="auto"/>
            </w:tcBorders>
          </w:tcPr>
          <w:p w14:paraId="012C4234" w14:textId="77777777" w:rsidR="007154B5" w:rsidRPr="00496684" w:rsidRDefault="007154B5" w:rsidP="00E054B5">
            <w:pPr>
              <w:pStyle w:val="Default"/>
              <w:rPr>
                <w:sz w:val="22"/>
                <w:szCs w:val="22"/>
                <w:lang w:val="it-IT"/>
              </w:rPr>
            </w:pPr>
          </w:p>
        </w:tc>
      </w:tr>
      <w:tr w:rsidR="007154B5" w:rsidRPr="00496684" w14:paraId="7E2CA402" w14:textId="77777777" w:rsidTr="00E054B5">
        <w:tc>
          <w:tcPr>
            <w:tcW w:w="2235" w:type="dxa"/>
            <w:tcBorders>
              <w:top w:val="single" w:sz="4" w:space="0" w:color="auto"/>
              <w:bottom w:val="single" w:sz="4" w:space="0" w:color="auto"/>
            </w:tcBorders>
          </w:tcPr>
          <w:p w14:paraId="503C5C88" w14:textId="77777777" w:rsidR="007154B5" w:rsidRPr="00496684" w:rsidRDefault="007154B5" w:rsidP="00E054B5">
            <w:pPr>
              <w:pStyle w:val="Default"/>
              <w:rPr>
                <w:sz w:val="22"/>
                <w:szCs w:val="22"/>
                <w:lang w:val="it-IT"/>
              </w:rPr>
            </w:pPr>
            <w:r w:rsidRPr="00496684">
              <w:rPr>
                <w:sz w:val="22"/>
                <w:szCs w:val="22"/>
                <w:lang w:val="it-IT"/>
              </w:rPr>
              <w:t xml:space="preserve">Induzione-consolidamento </w:t>
            </w:r>
          </w:p>
          <w:p w14:paraId="36B6AC74" w14:textId="77777777" w:rsidR="007154B5" w:rsidRPr="00496684" w:rsidRDefault="007154B5" w:rsidP="00E054B5">
            <w:pPr>
              <w:pStyle w:val="Default"/>
              <w:rPr>
                <w:b/>
                <w:bCs/>
                <w:sz w:val="22"/>
                <w:szCs w:val="22"/>
                <w:lang w:val="it-IT"/>
              </w:rPr>
            </w:pPr>
          </w:p>
        </w:tc>
        <w:tc>
          <w:tcPr>
            <w:tcW w:w="7309" w:type="dxa"/>
            <w:tcBorders>
              <w:top w:val="single" w:sz="4" w:space="0" w:color="auto"/>
              <w:bottom w:val="single" w:sz="4" w:space="0" w:color="auto"/>
            </w:tcBorders>
          </w:tcPr>
          <w:p w14:paraId="1902B49C" w14:textId="77777777" w:rsidR="007154B5" w:rsidRPr="00496684" w:rsidRDefault="007154B5" w:rsidP="00E054B5">
            <w:pPr>
              <w:pStyle w:val="Default"/>
              <w:rPr>
                <w:sz w:val="22"/>
                <w:szCs w:val="22"/>
                <w:lang w:val="it-IT"/>
              </w:rPr>
            </w:pPr>
            <w:r w:rsidRPr="00496684">
              <w:rPr>
                <w:sz w:val="22"/>
                <w:szCs w:val="22"/>
                <w:lang w:val="it-IT"/>
              </w:rPr>
              <w:t>Schema posologico Hyper-CVAD: CP 300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(3 h, q 12 h), giorni 1-3; </w:t>
            </w:r>
          </w:p>
          <w:p w14:paraId="17D78FAE" w14:textId="77777777" w:rsidR="007154B5" w:rsidRPr="00496684" w:rsidRDefault="007154B5" w:rsidP="00E054B5">
            <w:pPr>
              <w:pStyle w:val="Default"/>
              <w:rPr>
                <w:sz w:val="22"/>
                <w:szCs w:val="22"/>
                <w:lang w:val="it-IT"/>
              </w:rPr>
            </w:pPr>
            <w:r w:rsidRPr="00496684">
              <w:rPr>
                <w:sz w:val="22"/>
                <w:szCs w:val="22"/>
                <w:lang w:val="it-IT"/>
              </w:rPr>
              <w:t xml:space="preserve">Vincristina 2 mg i.v., giorni 4, 11; </w:t>
            </w:r>
          </w:p>
          <w:p w14:paraId="43AFB2DE" w14:textId="77777777" w:rsidR="007154B5" w:rsidRPr="00496684" w:rsidRDefault="007154B5" w:rsidP="00E054B5">
            <w:pPr>
              <w:pStyle w:val="Default"/>
              <w:rPr>
                <w:sz w:val="22"/>
                <w:szCs w:val="22"/>
                <w:lang w:val="it-IT"/>
              </w:rPr>
            </w:pPr>
            <w:r w:rsidRPr="00496684">
              <w:rPr>
                <w:sz w:val="22"/>
                <w:szCs w:val="22"/>
                <w:lang w:val="it-IT"/>
              </w:rPr>
              <w:t>Doxorubicina 50 mg/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(24 h), giorno 4; </w:t>
            </w:r>
          </w:p>
          <w:p w14:paraId="466DD261" w14:textId="77777777" w:rsidR="007154B5" w:rsidRPr="00496684" w:rsidRDefault="007154B5" w:rsidP="00E054B5">
            <w:pPr>
              <w:pStyle w:val="Default"/>
              <w:rPr>
                <w:sz w:val="22"/>
                <w:szCs w:val="22"/>
                <w:lang w:val="it-IT"/>
              </w:rPr>
            </w:pPr>
            <w:r w:rsidRPr="00496684">
              <w:rPr>
                <w:sz w:val="22"/>
                <w:szCs w:val="22"/>
                <w:lang w:val="it-IT"/>
              </w:rPr>
              <w:t>DEX 40 mg/die ai giorni 1-4 e 11-14, in alternanza con MTX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i.v. (24 h), giorno 1, Ara-C 1 g/ m</w:t>
            </w:r>
            <w:r w:rsidRPr="00496684">
              <w:rPr>
                <w:sz w:val="20"/>
                <w:szCs w:val="14"/>
                <w:vertAlign w:val="superscript"/>
                <w:lang w:val="it-IT"/>
              </w:rPr>
              <w:t>2</w:t>
            </w:r>
            <w:r w:rsidRPr="00496684">
              <w:rPr>
                <w:sz w:val="14"/>
                <w:szCs w:val="14"/>
                <w:lang w:val="it-IT"/>
              </w:rPr>
              <w:t xml:space="preserve"> </w:t>
            </w:r>
            <w:r w:rsidRPr="00496684">
              <w:rPr>
                <w:sz w:val="22"/>
                <w:szCs w:val="22"/>
                <w:lang w:val="it-IT"/>
              </w:rPr>
              <w:t xml:space="preserve">i.v. (2 h, q 12 h), giorni 2-3 (per un totale di 8 cicli) </w:t>
            </w:r>
          </w:p>
        </w:tc>
      </w:tr>
      <w:tr w:rsidR="007154B5" w:rsidRPr="00496684" w14:paraId="7E61910A" w14:textId="77777777" w:rsidTr="00E054B5">
        <w:tc>
          <w:tcPr>
            <w:tcW w:w="2235" w:type="dxa"/>
            <w:tcBorders>
              <w:top w:val="single" w:sz="4" w:space="0" w:color="auto"/>
              <w:bottom w:val="single" w:sz="4" w:space="0" w:color="auto"/>
            </w:tcBorders>
          </w:tcPr>
          <w:p w14:paraId="119CD997" w14:textId="77777777" w:rsidR="007154B5" w:rsidRPr="00496684" w:rsidRDefault="007154B5" w:rsidP="00E054B5">
            <w:pPr>
              <w:pStyle w:val="Default"/>
              <w:rPr>
                <w:sz w:val="22"/>
                <w:szCs w:val="22"/>
                <w:lang w:val="it-IT"/>
              </w:rPr>
            </w:pPr>
            <w:r w:rsidRPr="00496684">
              <w:rPr>
                <w:sz w:val="22"/>
                <w:szCs w:val="22"/>
                <w:lang w:val="it-IT"/>
              </w:rPr>
              <w:t xml:space="preserve">Mantenimento </w:t>
            </w:r>
          </w:p>
          <w:p w14:paraId="495428E2" w14:textId="77777777" w:rsidR="007154B5" w:rsidRPr="00496684" w:rsidRDefault="007154B5" w:rsidP="00E054B5">
            <w:pPr>
              <w:pStyle w:val="Default"/>
              <w:rPr>
                <w:sz w:val="22"/>
                <w:szCs w:val="22"/>
                <w:lang w:val="it-IT"/>
              </w:rPr>
            </w:pPr>
          </w:p>
        </w:tc>
        <w:tc>
          <w:tcPr>
            <w:tcW w:w="7309" w:type="dxa"/>
            <w:tcBorders>
              <w:top w:val="single" w:sz="4" w:space="0" w:color="auto"/>
              <w:bottom w:val="single" w:sz="4" w:space="0" w:color="auto"/>
            </w:tcBorders>
          </w:tcPr>
          <w:p w14:paraId="3CB13454" w14:textId="77777777" w:rsidR="007154B5" w:rsidRPr="00496684" w:rsidRDefault="007154B5" w:rsidP="00E054B5">
            <w:pPr>
              <w:pStyle w:val="Default"/>
              <w:rPr>
                <w:sz w:val="22"/>
                <w:szCs w:val="22"/>
                <w:lang w:val="it-IT"/>
              </w:rPr>
            </w:pPr>
            <w:r w:rsidRPr="00496684">
              <w:rPr>
                <w:sz w:val="22"/>
                <w:szCs w:val="22"/>
                <w:lang w:val="it-IT"/>
              </w:rPr>
              <w:t xml:space="preserve">VCR 2 mg i.v. una volta al mese per 13 mesi; </w:t>
            </w:r>
          </w:p>
          <w:p w14:paraId="75314644" w14:textId="77777777" w:rsidR="007154B5" w:rsidRPr="00496684" w:rsidRDefault="007154B5" w:rsidP="00E054B5">
            <w:pPr>
              <w:pStyle w:val="Default"/>
              <w:rPr>
                <w:sz w:val="22"/>
                <w:szCs w:val="22"/>
                <w:lang w:val="it-IT"/>
              </w:rPr>
            </w:pPr>
            <w:r w:rsidRPr="00496684">
              <w:rPr>
                <w:sz w:val="22"/>
                <w:szCs w:val="22"/>
                <w:lang w:val="it-IT"/>
              </w:rPr>
              <w:t xml:space="preserve">Prednisolone 200 mg per via orale, 5 giorni al mese per 13 mesi </w:t>
            </w:r>
          </w:p>
        </w:tc>
      </w:tr>
      <w:tr w:rsidR="007154B5" w:rsidRPr="00496684" w14:paraId="0906D314" w14:textId="77777777" w:rsidTr="00E054B5">
        <w:tc>
          <w:tcPr>
            <w:tcW w:w="9544" w:type="dxa"/>
            <w:gridSpan w:val="2"/>
            <w:tcBorders>
              <w:top w:val="single" w:sz="4" w:space="0" w:color="auto"/>
              <w:bottom w:val="single" w:sz="4" w:space="0" w:color="auto"/>
            </w:tcBorders>
          </w:tcPr>
          <w:p w14:paraId="00063408" w14:textId="77777777" w:rsidR="007154B5" w:rsidRPr="00496684" w:rsidRDefault="007154B5" w:rsidP="00E054B5">
            <w:pPr>
              <w:pStyle w:val="Default"/>
              <w:rPr>
                <w:sz w:val="22"/>
                <w:szCs w:val="22"/>
                <w:lang w:val="it-IT"/>
              </w:rPr>
            </w:pPr>
            <w:r w:rsidRPr="00496684">
              <w:rPr>
                <w:sz w:val="22"/>
                <w:szCs w:val="22"/>
                <w:lang w:val="it-IT"/>
              </w:rPr>
              <w:t xml:space="preserve">Tutti i regimi di trattamento comprendono la somministrazione di steroidi per la profilassi del SNC. </w:t>
            </w:r>
          </w:p>
        </w:tc>
      </w:tr>
      <w:tr w:rsidR="007154B5" w:rsidRPr="00496684" w14:paraId="5099D6CB" w14:textId="77777777" w:rsidTr="00E054B5">
        <w:tc>
          <w:tcPr>
            <w:tcW w:w="9544" w:type="dxa"/>
            <w:gridSpan w:val="2"/>
            <w:tcBorders>
              <w:top w:val="single" w:sz="4" w:space="0" w:color="auto"/>
              <w:bottom w:val="single" w:sz="4" w:space="0" w:color="auto"/>
            </w:tcBorders>
          </w:tcPr>
          <w:p w14:paraId="65DC5445" w14:textId="77777777" w:rsidR="007154B5" w:rsidRPr="00A81163" w:rsidRDefault="007154B5" w:rsidP="00E054B5">
            <w:pPr>
              <w:pStyle w:val="Default"/>
              <w:rPr>
                <w:sz w:val="22"/>
                <w:szCs w:val="22"/>
                <w:lang w:val="it-IT"/>
              </w:rPr>
            </w:pPr>
            <w:r w:rsidRPr="00A81163">
              <w:rPr>
                <w:sz w:val="22"/>
                <w:szCs w:val="22"/>
                <w:lang w:val="it-IT"/>
              </w:rPr>
              <w:t xml:space="preserve">Ara-C: citarabina; CP: ciclofosfamide; DEX: desametasone; MTX: metotrexate; 6-MP: 6-mercaptopurina; VM26: teniposide; VCR: vincristina; IDA: idarubicina; i.v.: endovenoso </w:t>
            </w:r>
          </w:p>
        </w:tc>
      </w:tr>
    </w:tbl>
    <w:p w14:paraId="38D1F773" w14:textId="77777777" w:rsidR="007154B5" w:rsidRPr="00A81163" w:rsidRDefault="007154B5" w:rsidP="007154B5">
      <w:pPr>
        <w:autoSpaceDE w:val="0"/>
        <w:autoSpaceDN w:val="0"/>
        <w:adjustRightInd w:val="0"/>
        <w:spacing w:after="0" w:line="240" w:lineRule="auto"/>
        <w:rPr>
          <w:rFonts w:ascii="Times New Roman" w:hAnsi="Times New Roman"/>
          <w:lang w:val="it-IT"/>
        </w:rPr>
      </w:pPr>
    </w:p>
    <w:p w14:paraId="6A0EB81D" w14:textId="77777777" w:rsidR="00D860E1" w:rsidRPr="00496684" w:rsidRDefault="00D860E1" w:rsidP="00D860E1">
      <w:pPr>
        <w:pStyle w:val="Endnotentext"/>
        <w:widowControl w:val="0"/>
        <w:rPr>
          <w:color w:val="000000"/>
          <w:lang w:val="it-IT"/>
        </w:rPr>
      </w:pPr>
      <w:r w:rsidRPr="00496684">
        <w:rPr>
          <w:i/>
          <w:szCs w:val="22"/>
          <w:lang w:val="it-IT"/>
        </w:rPr>
        <w:t>Pazienti pediatrici</w:t>
      </w:r>
      <w:r w:rsidRPr="00496684">
        <w:rPr>
          <w:szCs w:val="22"/>
          <w:lang w:val="it-IT"/>
        </w:rPr>
        <w:t>: Nello studio di fase III I2301, multicentrico, in aperto, non randomizzato, di coorte sequenziale, sono stati arruolati un totale di 93 pazienti pediatrici, adolescenti e giovani adulti con LLA Ph+ (da 1 a 22 anni) e sono stati trattati con imatinib (340 mg/</w:t>
      </w:r>
      <w:r w:rsidRPr="00496684">
        <w:rPr>
          <w:color w:val="000000"/>
          <w:lang w:val="it-IT"/>
        </w:rPr>
        <w:t>m</w:t>
      </w:r>
      <w:r w:rsidRPr="00496684">
        <w:rPr>
          <w:color w:val="000000"/>
          <w:vertAlign w:val="superscript"/>
          <w:lang w:val="it-IT"/>
        </w:rPr>
        <w:t>2</w:t>
      </w:r>
      <w:r w:rsidRPr="00496684">
        <w:rPr>
          <w:color w:val="000000"/>
          <w:lang w:val="it-IT"/>
        </w:rPr>
        <w:t>/die) in combinazione con chemioterapia intensiva dopo terapia di induzione. Imatinib è stato somministrato in modo intermittente nelle coorti 1</w:t>
      </w:r>
      <w:r w:rsidRPr="00496684">
        <w:rPr>
          <w:color w:val="000000"/>
          <w:lang w:val="it-IT"/>
        </w:rPr>
        <w:noBreakHyphen/>
        <w:t>5, con una crescente durata e un inizio più precoce di imatinib da coorte a coorte; la coorte 1 ha ricevuto la più bassa intensità di dose di imatinib e la coorte 5 ha ricevuto la più alta intensità di dose (la più lunga durata in giorni di trattamento con imatinib somministrato giornalmente in modo continuo durante i primi cicli di trattamento chemioterapico). Nei pazienti della coorte 5 (n=50) l’esposizione giornaliera continua di imatinib all’inizio del ciclo di trattamento in combinazione con la chemioterapia ha migliorato la sopravvivenza libera (EFS) da eventi a 4 anni (event-free survival, EFS) in confronto ai controlli storici (n=120), che avevano ricevuto chemioterapia standard senza imatinib (rispettivamente 69,6% verso 31,6%). L’OS stimata a 4 anni nella coorte 5 era dell’83,6% rispetto al 44,8% nei controlli storici. 20 dei 50 pazienti (40%) nella coorte 5 hanno ricevuto il trapianto di cellule staminali ematopoietiche.</w:t>
      </w:r>
    </w:p>
    <w:p w14:paraId="51BA195C" w14:textId="77777777" w:rsidR="00D860E1" w:rsidRPr="00496684" w:rsidRDefault="00D860E1" w:rsidP="00D860E1">
      <w:pPr>
        <w:pStyle w:val="Endnotentext"/>
        <w:widowControl w:val="0"/>
        <w:rPr>
          <w:color w:val="000000"/>
          <w:lang w:val="it-IT"/>
        </w:rPr>
      </w:pPr>
    </w:p>
    <w:p w14:paraId="6B6BBCAE" w14:textId="0B3EA87C" w:rsidR="00D860E1" w:rsidRPr="00496684" w:rsidRDefault="00D860E1" w:rsidP="006D6E8E">
      <w:pPr>
        <w:pStyle w:val="Endnotentext"/>
        <w:keepNext/>
        <w:keepLines/>
        <w:widowControl w:val="0"/>
        <w:tabs>
          <w:tab w:val="clear" w:pos="567"/>
        </w:tabs>
        <w:ind w:left="1134" w:hanging="1134"/>
        <w:rPr>
          <w:b/>
          <w:color w:val="000000"/>
          <w:lang w:val="it-IT"/>
        </w:rPr>
      </w:pPr>
      <w:r w:rsidRPr="00496684">
        <w:rPr>
          <w:b/>
          <w:color w:val="000000"/>
          <w:lang w:val="it-IT"/>
        </w:rPr>
        <w:t>Tabella </w:t>
      </w:r>
      <w:r w:rsidR="00DD1EC5" w:rsidRPr="00496684">
        <w:rPr>
          <w:b/>
          <w:color w:val="000000"/>
          <w:lang w:val="it-IT"/>
        </w:rPr>
        <w:t>4</w:t>
      </w:r>
      <w:r w:rsidRPr="00496684">
        <w:rPr>
          <w:b/>
          <w:color w:val="000000"/>
          <w:lang w:val="it-IT"/>
        </w:rPr>
        <w:tab/>
      </w:r>
      <w:r w:rsidRPr="00496684">
        <w:rPr>
          <w:b/>
          <w:szCs w:val="22"/>
          <w:lang w:val="it-IT"/>
        </w:rPr>
        <w:t>Regimi chemioterapici usati in combinazione con imatinib</w:t>
      </w:r>
      <w:r w:rsidRPr="00496684">
        <w:rPr>
          <w:b/>
          <w:color w:val="000000"/>
          <w:lang w:val="it-IT"/>
        </w:rPr>
        <w:t xml:space="preserve"> nello studio I2301</w:t>
      </w:r>
    </w:p>
    <w:p w14:paraId="1F324C62" w14:textId="77777777" w:rsidR="00D860E1" w:rsidRPr="00496684" w:rsidRDefault="00D860E1" w:rsidP="006D6E8E">
      <w:pPr>
        <w:pStyle w:val="Endnotentext"/>
        <w:keepNext/>
        <w:keepLines/>
        <w:widowControl w:val="0"/>
        <w:rPr>
          <w:color w:val="00000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626"/>
      </w:tblGrid>
      <w:tr w:rsidR="00D860E1" w:rsidRPr="00496684" w14:paraId="19B3E07B" w14:textId="77777777" w:rsidTr="00424065">
        <w:tc>
          <w:tcPr>
            <w:tcW w:w="2660" w:type="dxa"/>
            <w:shd w:val="clear" w:color="auto" w:fill="auto"/>
          </w:tcPr>
          <w:p w14:paraId="67A9181A" w14:textId="77777777" w:rsidR="00D860E1" w:rsidRPr="00496684" w:rsidRDefault="00D860E1" w:rsidP="00424065">
            <w:pPr>
              <w:pStyle w:val="Endnotentext"/>
              <w:widowControl w:val="0"/>
              <w:rPr>
                <w:color w:val="000000"/>
                <w:lang w:val="it-IT"/>
              </w:rPr>
            </w:pPr>
            <w:r w:rsidRPr="00496684">
              <w:rPr>
                <w:color w:val="000000"/>
                <w:lang w:val="it-IT"/>
              </w:rPr>
              <w:t>Blocco 1 di consolidamento</w:t>
            </w:r>
          </w:p>
          <w:p w14:paraId="5D0E88BE" w14:textId="77777777" w:rsidR="00D860E1" w:rsidRPr="00496684" w:rsidRDefault="00D860E1" w:rsidP="00424065">
            <w:pPr>
              <w:pStyle w:val="Endnotentext"/>
              <w:widowControl w:val="0"/>
              <w:rPr>
                <w:color w:val="000000"/>
                <w:lang w:val="it-IT"/>
              </w:rPr>
            </w:pPr>
            <w:r w:rsidRPr="00496684">
              <w:rPr>
                <w:color w:val="000000"/>
                <w:lang w:val="it-IT"/>
              </w:rPr>
              <w:t>(3 settimane)</w:t>
            </w:r>
          </w:p>
        </w:tc>
        <w:tc>
          <w:tcPr>
            <w:tcW w:w="6626" w:type="dxa"/>
            <w:shd w:val="clear" w:color="auto" w:fill="auto"/>
          </w:tcPr>
          <w:p w14:paraId="11A0BF10" w14:textId="77777777" w:rsidR="00D860E1" w:rsidRPr="00496684" w:rsidRDefault="00D860E1" w:rsidP="00424065">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/die, IV): giorni 1</w:t>
            </w:r>
            <w:r w:rsidRPr="00496684">
              <w:rPr>
                <w:color w:val="000000"/>
                <w:lang w:val="it-IT"/>
              </w:rPr>
              <w:noBreakHyphen/>
              <w:t>5</w:t>
            </w:r>
          </w:p>
          <w:p w14:paraId="5ECE7AB7" w14:textId="77777777" w:rsidR="00D860E1" w:rsidRPr="00496684" w:rsidRDefault="00D860E1" w:rsidP="00424065">
            <w:pPr>
              <w:pStyle w:val="Endnotentext"/>
              <w:widowControl w:val="0"/>
              <w:rPr>
                <w:color w:val="000000"/>
                <w:lang w:val="it-IT"/>
              </w:rPr>
            </w:pPr>
            <w:r w:rsidRPr="00496684">
              <w:rPr>
                <w:color w:val="000000"/>
                <w:lang w:val="it-IT"/>
              </w:rPr>
              <w:t>Ifosfamide (1,8 g/m</w:t>
            </w:r>
            <w:r w:rsidRPr="00496684">
              <w:rPr>
                <w:color w:val="000000"/>
                <w:vertAlign w:val="superscript"/>
                <w:lang w:val="it-IT"/>
              </w:rPr>
              <w:t>2</w:t>
            </w:r>
            <w:r w:rsidRPr="00496684">
              <w:rPr>
                <w:color w:val="000000"/>
                <w:lang w:val="it-IT"/>
              </w:rPr>
              <w:t>/die, IV): giorni 1</w:t>
            </w:r>
            <w:r w:rsidRPr="00496684">
              <w:rPr>
                <w:color w:val="000000"/>
                <w:lang w:val="it-IT"/>
              </w:rPr>
              <w:noBreakHyphen/>
              <w:t>5</w:t>
            </w:r>
          </w:p>
          <w:p w14:paraId="32469746" w14:textId="77777777" w:rsidR="00D860E1" w:rsidRPr="00496684" w:rsidRDefault="00D860E1" w:rsidP="00424065">
            <w:pPr>
              <w:pStyle w:val="Endnotentext"/>
              <w:widowControl w:val="0"/>
              <w:rPr>
                <w:color w:val="000000"/>
                <w:lang w:val="it-IT"/>
              </w:rPr>
            </w:pPr>
            <w:r w:rsidRPr="00496684">
              <w:rPr>
                <w:color w:val="000000"/>
                <w:lang w:val="it-IT"/>
              </w:rPr>
              <w:t>MESNA (360 mg/m</w:t>
            </w:r>
            <w:r w:rsidRPr="00496684">
              <w:rPr>
                <w:color w:val="000000"/>
                <w:vertAlign w:val="superscript"/>
                <w:lang w:val="it-IT"/>
              </w:rPr>
              <w:t>2</w:t>
            </w:r>
            <w:r w:rsidRPr="00496684">
              <w:rPr>
                <w:color w:val="000000"/>
                <w:lang w:val="it-IT"/>
              </w:rPr>
              <w:t>/dose q3h, x 8 dosi/die, IV): giorni 1</w:t>
            </w:r>
            <w:r w:rsidRPr="00496684">
              <w:rPr>
                <w:color w:val="000000"/>
                <w:lang w:val="it-IT"/>
              </w:rPr>
              <w:noBreakHyphen/>
              <w:t>5</w:t>
            </w:r>
          </w:p>
          <w:p w14:paraId="59261545" w14:textId="77777777" w:rsidR="00D860E1" w:rsidRPr="00496684" w:rsidRDefault="00D860E1" w:rsidP="00424065">
            <w:pPr>
              <w:pStyle w:val="Endnotentext"/>
              <w:widowControl w:val="0"/>
              <w:rPr>
                <w:color w:val="000000"/>
                <w:lang w:val="it-IT"/>
              </w:rPr>
            </w:pPr>
            <w:r w:rsidRPr="00496684">
              <w:rPr>
                <w:color w:val="000000"/>
                <w:lang w:val="it-IT"/>
              </w:rPr>
              <w:t>G-CSF (5 μg/kg, SC): giorni 6</w:t>
            </w:r>
            <w:r w:rsidRPr="00496684">
              <w:rPr>
                <w:color w:val="000000"/>
                <w:lang w:val="it-IT"/>
              </w:rPr>
              <w:noBreakHyphen/>
              <w:t>15 o fino a ANC &gt;1500 post nadir</w:t>
            </w:r>
          </w:p>
          <w:p w14:paraId="250AE4CA" w14:textId="77777777" w:rsidR="00D860E1" w:rsidRPr="00496684" w:rsidRDefault="00D860E1" w:rsidP="00424065">
            <w:pPr>
              <w:pStyle w:val="Endnotentext"/>
              <w:widowControl w:val="0"/>
              <w:rPr>
                <w:color w:val="000000"/>
                <w:lang w:val="it-IT"/>
              </w:rPr>
            </w:pPr>
            <w:r w:rsidRPr="00496684">
              <w:rPr>
                <w:color w:val="000000"/>
                <w:lang w:val="it-IT"/>
              </w:rPr>
              <w:t>Metotrexate IT (aggiustato per l’età): SOLO il giorno 1</w:t>
            </w:r>
          </w:p>
          <w:p w14:paraId="2DF7E25D" w14:textId="77777777" w:rsidR="00D860E1" w:rsidRPr="00496684" w:rsidRDefault="00D860E1" w:rsidP="00424065">
            <w:pPr>
              <w:pStyle w:val="Endnotentext"/>
              <w:widowControl w:val="0"/>
              <w:rPr>
                <w:color w:val="000000"/>
                <w:lang w:val="it-IT"/>
              </w:rPr>
            </w:pPr>
            <w:r w:rsidRPr="00496684">
              <w:rPr>
                <w:color w:val="000000"/>
                <w:lang w:val="it-IT"/>
              </w:rPr>
              <w:t>Tripla terapia IT (aggiustata per l’età): giorno 8, 15</w:t>
            </w:r>
          </w:p>
        </w:tc>
      </w:tr>
      <w:tr w:rsidR="00D860E1" w:rsidRPr="00496684" w14:paraId="66EA88BE" w14:textId="77777777" w:rsidTr="00424065">
        <w:tc>
          <w:tcPr>
            <w:tcW w:w="2660" w:type="dxa"/>
            <w:shd w:val="clear" w:color="auto" w:fill="auto"/>
          </w:tcPr>
          <w:p w14:paraId="24B7883B" w14:textId="77777777" w:rsidR="00D860E1" w:rsidRPr="00496684" w:rsidRDefault="00D860E1" w:rsidP="00424065">
            <w:pPr>
              <w:pStyle w:val="Endnotentext"/>
              <w:widowControl w:val="0"/>
              <w:rPr>
                <w:color w:val="000000"/>
                <w:lang w:val="it-IT"/>
              </w:rPr>
            </w:pPr>
            <w:r w:rsidRPr="00496684">
              <w:rPr>
                <w:color w:val="000000"/>
                <w:lang w:val="it-IT"/>
              </w:rPr>
              <w:t>Blocco 2 di consolidamento</w:t>
            </w:r>
          </w:p>
          <w:p w14:paraId="2FF20618" w14:textId="77777777" w:rsidR="00D860E1" w:rsidRPr="00496684" w:rsidRDefault="00D860E1" w:rsidP="00424065">
            <w:pPr>
              <w:pStyle w:val="Endnotentext"/>
              <w:widowControl w:val="0"/>
              <w:rPr>
                <w:color w:val="000000"/>
                <w:lang w:val="it-IT"/>
              </w:rPr>
            </w:pPr>
            <w:r w:rsidRPr="00496684">
              <w:rPr>
                <w:color w:val="000000"/>
                <w:lang w:val="it-IT"/>
              </w:rPr>
              <w:t>(3 settimane)</w:t>
            </w:r>
          </w:p>
        </w:tc>
        <w:tc>
          <w:tcPr>
            <w:tcW w:w="6626" w:type="dxa"/>
            <w:shd w:val="clear" w:color="auto" w:fill="auto"/>
          </w:tcPr>
          <w:p w14:paraId="72E08535" w14:textId="77777777" w:rsidR="00D860E1" w:rsidRPr="00496684" w:rsidRDefault="00D860E1" w:rsidP="00424065">
            <w:pPr>
              <w:pStyle w:val="Endnotentext"/>
              <w:widowControl w:val="0"/>
              <w:rPr>
                <w:color w:val="000000"/>
                <w:lang w:val="it-IT"/>
              </w:rPr>
            </w:pPr>
            <w:r w:rsidRPr="00496684">
              <w:rPr>
                <w:color w:val="000000"/>
                <w:lang w:val="it-IT"/>
              </w:rPr>
              <w:t>Metotrexate (5 g/m</w:t>
            </w:r>
            <w:r w:rsidRPr="00496684">
              <w:rPr>
                <w:color w:val="000000"/>
                <w:vertAlign w:val="superscript"/>
                <w:lang w:val="it-IT"/>
              </w:rPr>
              <w:t>2</w:t>
            </w:r>
            <w:r w:rsidRPr="00496684">
              <w:rPr>
                <w:color w:val="000000"/>
                <w:lang w:val="it-IT"/>
              </w:rPr>
              <w:t xml:space="preserve"> per 24 ore, IV): giorno 1</w:t>
            </w:r>
          </w:p>
          <w:p w14:paraId="2A632ED4" w14:textId="77777777" w:rsidR="00D860E1" w:rsidRPr="00496684" w:rsidRDefault="00D860E1" w:rsidP="00424065">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e 3</w:t>
            </w:r>
          </w:p>
          <w:p w14:paraId="3A083622" w14:textId="77777777" w:rsidR="00D860E1" w:rsidRPr="00496684" w:rsidRDefault="00D860E1" w:rsidP="00424065">
            <w:pPr>
              <w:pStyle w:val="Endnotentext"/>
              <w:widowControl w:val="0"/>
              <w:rPr>
                <w:color w:val="000000"/>
                <w:lang w:val="it-IT"/>
              </w:rPr>
            </w:pPr>
            <w:r w:rsidRPr="00496684">
              <w:rPr>
                <w:color w:val="000000"/>
                <w:lang w:val="it-IT"/>
              </w:rPr>
              <w:t>Tripla terapia IT (aggiustata per l’età): giorno 1</w:t>
            </w:r>
          </w:p>
          <w:p w14:paraId="68119C40" w14:textId="77777777" w:rsidR="00D860E1" w:rsidRPr="00496684" w:rsidRDefault="00D860E1" w:rsidP="00424065">
            <w:pPr>
              <w:pStyle w:val="Endnotentext"/>
              <w:widowControl w:val="0"/>
              <w:rPr>
                <w:color w:val="000000"/>
                <w:lang w:val="it-IT"/>
              </w:rPr>
            </w:pPr>
            <w:r w:rsidRPr="00496684">
              <w:rPr>
                <w:color w:val="000000"/>
                <w:lang w:val="it-IT"/>
              </w:rPr>
              <w:t>ARA-C (3 g/m</w:t>
            </w:r>
            <w:r w:rsidRPr="00496684">
              <w:rPr>
                <w:color w:val="000000"/>
                <w:vertAlign w:val="superscript"/>
                <w:lang w:val="it-IT"/>
              </w:rPr>
              <w:t>2</w:t>
            </w:r>
            <w:r w:rsidRPr="00496684">
              <w:rPr>
                <w:color w:val="000000"/>
                <w:lang w:val="it-IT"/>
              </w:rPr>
              <w:t>/dose q 12 h x 4, IV): giorni 2 e 3</w:t>
            </w:r>
          </w:p>
          <w:p w14:paraId="06A444A8" w14:textId="77777777" w:rsidR="00D860E1" w:rsidRPr="00496684" w:rsidRDefault="00D860E1" w:rsidP="00424065">
            <w:pPr>
              <w:pStyle w:val="Endnotentext"/>
              <w:widowControl w:val="0"/>
              <w:rPr>
                <w:color w:val="000000"/>
                <w:lang w:val="it-IT"/>
              </w:rPr>
            </w:pPr>
            <w:r w:rsidRPr="00496684">
              <w:rPr>
                <w:color w:val="000000"/>
                <w:lang w:val="it-IT"/>
              </w:rPr>
              <w:t>G-CSF (5 μg/kg, SC): giorni 4-13 o fino a ANC &gt;1500 post nadir</w:t>
            </w:r>
          </w:p>
        </w:tc>
      </w:tr>
      <w:tr w:rsidR="00D860E1" w:rsidRPr="00496684" w14:paraId="58712BD7" w14:textId="77777777" w:rsidTr="00424065">
        <w:tc>
          <w:tcPr>
            <w:tcW w:w="2660" w:type="dxa"/>
            <w:shd w:val="clear" w:color="auto" w:fill="auto"/>
          </w:tcPr>
          <w:p w14:paraId="4E8CC534" w14:textId="77777777" w:rsidR="00D860E1" w:rsidRPr="00496684" w:rsidRDefault="00D860E1" w:rsidP="00424065">
            <w:pPr>
              <w:pStyle w:val="Endnotentext"/>
              <w:widowControl w:val="0"/>
              <w:rPr>
                <w:color w:val="000000"/>
                <w:lang w:val="it-IT"/>
              </w:rPr>
            </w:pPr>
            <w:r w:rsidRPr="00496684">
              <w:rPr>
                <w:color w:val="000000"/>
                <w:lang w:val="it-IT"/>
              </w:rPr>
              <w:t>Blocco 1 di reinduzione</w:t>
            </w:r>
          </w:p>
          <w:p w14:paraId="0976301D" w14:textId="77777777" w:rsidR="00D860E1" w:rsidRPr="00496684" w:rsidRDefault="00D860E1" w:rsidP="00424065">
            <w:pPr>
              <w:pStyle w:val="Endnotentext"/>
              <w:widowControl w:val="0"/>
              <w:rPr>
                <w:color w:val="000000"/>
                <w:lang w:val="it-IT"/>
              </w:rPr>
            </w:pPr>
            <w:r w:rsidRPr="00496684">
              <w:rPr>
                <w:color w:val="000000"/>
                <w:lang w:val="it-IT"/>
              </w:rPr>
              <w:t>(3 settimane)</w:t>
            </w:r>
          </w:p>
        </w:tc>
        <w:tc>
          <w:tcPr>
            <w:tcW w:w="6626" w:type="dxa"/>
            <w:shd w:val="clear" w:color="auto" w:fill="auto"/>
          </w:tcPr>
          <w:p w14:paraId="1620824F" w14:textId="77777777" w:rsidR="00D860E1" w:rsidRPr="00496684" w:rsidRDefault="00D860E1" w:rsidP="00424065">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8, e 15</w:t>
            </w:r>
          </w:p>
          <w:p w14:paraId="7833C5E5" w14:textId="77777777" w:rsidR="00D860E1" w:rsidRPr="00496684" w:rsidRDefault="00D860E1" w:rsidP="00424065">
            <w:pPr>
              <w:pStyle w:val="Endnotentext"/>
              <w:widowControl w:val="0"/>
              <w:rPr>
                <w:color w:val="000000"/>
                <w:lang w:val="it-IT"/>
              </w:rPr>
            </w:pPr>
            <w:r w:rsidRPr="00496684">
              <w:rPr>
                <w:color w:val="000000"/>
                <w:lang w:val="it-IT"/>
              </w:rPr>
              <w:t>DAUN (45 mg/m</w:t>
            </w:r>
            <w:r w:rsidRPr="00496684">
              <w:rPr>
                <w:color w:val="000000"/>
                <w:vertAlign w:val="superscript"/>
                <w:lang w:val="it-IT"/>
              </w:rPr>
              <w:t>2</w:t>
            </w:r>
            <w:r w:rsidRPr="00496684">
              <w:rPr>
                <w:color w:val="000000"/>
                <w:lang w:val="it-IT"/>
              </w:rPr>
              <w:t>/die bolo, IV): giorni 1 e 2</w:t>
            </w:r>
          </w:p>
          <w:p w14:paraId="753BE10B" w14:textId="77777777" w:rsidR="00D860E1" w:rsidRPr="00496684" w:rsidRDefault="00D860E1" w:rsidP="00424065">
            <w:pPr>
              <w:pStyle w:val="Endnotentext"/>
              <w:widowControl w:val="0"/>
              <w:rPr>
                <w:color w:val="000000"/>
                <w:lang w:val="it-IT"/>
              </w:rPr>
            </w:pPr>
            <w:r w:rsidRPr="00496684">
              <w:rPr>
                <w:color w:val="000000"/>
                <w:lang w:val="it-IT"/>
              </w:rPr>
              <w:t>CPM (250 mg/m</w:t>
            </w:r>
            <w:r w:rsidRPr="00496684">
              <w:rPr>
                <w:color w:val="000000"/>
                <w:vertAlign w:val="superscript"/>
                <w:lang w:val="it-IT"/>
              </w:rPr>
              <w:t>2</w:t>
            </w:r>
            <w:r w:rsidRPr="00496684">
              <w:rPr>
                <w:color w:val="000000"/>
                <w:lang w:val="it-IT"/>
              </w:rPr>
              <w:t>/dose q12h x 4 dosi, IV): giorni 3 e 4</w:t>
            </w:r>
          </w:p>
          <w:p w14:paraId="153550C5" w14:textId="77777777" w:rsidR="00D860E1" w:rsidRPr="00496684" w:rsidRDefault="00D860E1" w:rsidP="00424065">
            <w:pPr>
              <w:pStyle w:val="Endnotentext"/>
              <w:widowControl w:val="0"/>
              <w:rPr>
                <w:color w:val="000000"/>
                <w:lang w:val="it-IT"/>
              </w:rPr>
            </w:pPr>
            <w:r w:rsidRPr="00496684">
              <w:rPr>
                <w:color w:val="000000"/>
                <w:lang w:val="it-IT"/>
              </w:rPr>
              <w:t>PEG-ASP (2500 IUnità/m</w:t>
            </w:r>
            <w:r w:rsidRPr="00496684">
              <w:rPr>
                <w:color w:val="000000"/>
                <w:vertAlign w:val="superscript"/>
                <w:lang w:val="it-IT"/>
              </w:rPr>
              <w:t>2</w:t>
            </w:r>
            <w:r w:rsidRPr="00496684">
              <w:rPr>
                <w:color w:val="000000"/>
                <w:lang w:val="it-IT"/>
              </w:rPr>
              <w:t>, IM): giorno 4</w:t>
            </w:r>
          </w:p>
          <w:p w14:paraId="39684D17" w14:textId="77777777" w:rsidR="00D860E1" w:rsidRPr="00496684" w:rsidRDefault="00D860E1" w:rsidP="00424065">
            <w:pPr>
              <w:pStyle w:val="Endnotentext"/>
              <w:widowControl w:val="0"/>
              <w:rPr>
                <w:color w:val="000000"/>
                <w:lang w:val="it-IT"/>
              </w:rPr>
            </w:pPr>
            <w:r w:rsidRPr="00496684">
              <w:rPr>
                <w:color w:val="000000"/>
                <w:lang w:val="it-IT"/>
              </w:rPr>
              <w:t>G-CSF (5 μg/kg, SC): giorni 5</w:t>
            </w:r>
            <w:r w:rsidRPr="00496684">
              <w:rPr>
                <w:color w:val="000000"/>
                <w:lang w:val="it-IT"/>
              </w:rPr>
              <w:noBreakHyphen/>
              <w:t>14 o fino a ANC &gt;1500 post nadir</w:t>
            </w:r>
          </w:p>
          <w:p w14:paraId="716235AF" w14:textId="77777777" w:rsidR="00D860E1" w:rsidRPr="00496684" w:rsidRDefault="00D860E1" w:rsidP="00424065">
            <w:pPr>
              <w:pStyle w:val="Endnotentext"/>
              <w:widowControl w:val="0"/>
              <w:rPr>
                <w:color w:val="000000"/>
                <w:lang w:val="it-IT"/>
              </w:rPr>
            </w:pPr>
            <w:r w:rsidRPr="00496684">
              <w:rPr>
                <w:color w:val="000000"/>
                <w:lang w:val="it-IT"/>
              </w:rPr>
              <w:t>Tripla terapia IT (aggiustata per l’età): giorni 1 e 15</w:t>
            </w:r>
          </w:p>
          <w:p w14:paraId="5FB25B9B" w14:textId="77777777" w:rsidR="00D860E1" w:rsidRPr="00496684" w:rsidRDefault="00D860E1" w:rsidP="00424065">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7 e 15</w:t>
            </w:r>
            <w:r w:rsidRPr="00496684">
              <w:rPr>
                <w:color w:val="000000"/>
                <w:lang w:val="it-IT"/>
              </w:rPr>
              <w:noBreakHyphen/>
              <w:t>21</w:t>
            </w:r>
          </w:p>
        </w:tc>
      </w:tr>
      <w:tr w:rsidR="00D860E1" w:rsidRPr="00496684" w14:paraId="3C73CC2B" w14:textId="77777777" w:rsidTr="00424065">
        <w:tc>
          <w:tcPr>
            <w:tcW w:w="2660" w:type="dxa"/>
            <w:shd w:val="clear" w:color="auto" w:fill="auto"/>
          </w:tcPr>
          <w:p w14:paraId="08ABAB7A" w14:textId="77777777" w:rsidR="00D860E1" w:rsidRPr="00496684" w:rsidRDefault="00D860E1" w:rsidP="00424065">
            <w:pPr>
              <w:pStyle w:val="Endnotentext"/>
              <w:widowControl w:val="0"/>
              <w:rPr>
                <w:color w:val="000000"/>
                <w:lang w:val="it-IT"/>
              </w:rPr>
            </w:pPr>
            <w:r w:rsidRPr="00496684">
              <w:rPr>
                <w:color w:val="000000"/>
                <w:lang w:val="it-IT"/>
              </w:rPr>
              <w:t>Blocco 1 di intensificazione</w:t>
            </w:r>
          </w:p>
          <w:p w14:paraId="3CDE2F07" w14:textId="77777777" w:rsidR="00D860E1" w:rsidRPr="00496684" w:rsidRDefault="00D860E1" w:rsidP="00424065">
            <w:pPr>
              <w:pStyle w:val="Endnotentext"/>
              <w:widowControl w:val="0"/>
              <w:rPr>
                <w:color w:val="000000"/>
                <w:lang w:val="it-IT"/>
              </w:rPr>
            </w:pPr>
            <w:r w:rsidRPr="00496684">
              <w:rPr>
                <w:color w:val="000000"/>
                <w:lang w:val="it-IT"/>
              </w:rPr>
              <w:t>(9 settimane)</w:t>
            </w:r>
          </w:p>
        </w:tc>
        <w:tc>
          <w:tcPr>
            <w:tcW w:w="6626" w:type="dxa"/>
            <w:shd w:val="clear" w:color="auto" w:fill="auto"/>
          </w:tcPr>
          <w:p w14:paraId="32BEF2DD" w14:textId="77777777" w:rsidR="00D860E1" w:rsidRPr="00496684" w:rsidRDefault="00D860E1" w:rsidP="00424065">
            <w:pPr>
              <w:pStyle w:val="Endnotentext"/>
              <w:widowControl w:val="0"/>
              <w:rPr>
                <w:color w:val="000000"/>
                <w:lang w:val="it-IT"/>
              </w:rPr>
            </w:pPr>
            <w:r w:rsidRPr="00496684">
              <w:rPr>
                <w:color w:val="000000"/>
                <w:lang w:val="it-IT"/>
              </w:rPr>
              <w:t>Metotrexate (5 g/m</w:t>
            </w:r>
            <w:r w:rsidRPr="00496684">
              <w:rPr>
                <w:color w:val="000000"/>
                <w:vertAlign w:val="superscript"/>
                <w:lang w:val="it-IT"/>
              </w:rPr>
              <w:t>2</w:t>
            </w:r>
            <w:r w:rsidRPr="00496684">
              <w:rPr>
                <w:color w:val="000000"/>
                <w:lang w:val="it-IT"/>
              </w:rPr>
              <w:t xml:space="preserve"> per 24 ore, IV): giorni 1 e 15</w:t>
            </w:r>
          </w:p>
          <w:p w14:paraId="6277E186" w14:textId="77777777" w:rsidR="00D860E1" w:rsidRPr="00496684" w:rsidRDefault="00D860E1" w:rsidP="00424065">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3, 16, e 17</w:t>
            </w:r>
          </w:p>
          <w:p w14:paraId="2C13B855" w14:textId="77777777" w:rsidR="00D860E1" w:rsidRPr="00496684" w:rsidRDefault="00D860E1" w:rsidP="00424065">
            <w:pPr>
              <w:pStyle w:val="Endnotentext"/>
              <w:widowControl w:val="0"/>
              <w:rPr>
                <w:color w:val="000000"/>
                <w:lang w:val="it-IT"/>
              </w:rPr>
            </w:pPr>
            <w:r w:rsidRPr="00496684">
              <w:rPr>
                <w:color w:val="000000"/>
                <w:lang w:val="it-IT"/>
              </w:rPr>
              <w:t>Tripla terapia IT (aggiustata per l’età): giorni 1 e 22</w:t>
            </w:r>
          </w:p>
          <w:p w14:paraId="0B9368E1" w14:textId="77777777" w:rsidR="00D860E1" w:rsidRPr="00496684" w:rsidRDefault="00D860E1" w:rsidP="00424065">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312B249B" w14:textId="77777777" w:rsidR="00D860E1" w:rsidRPr="00496684" w:rsidRDefault="00D860E1" w:rsidP="00424065">
            <w:pPr>
              <w:pStyle w:val="Endnotentext"/>
              <w:widowControl w:val="0"/>
              <w:rPr>
                <w:color w:val="000000"/>
                <w:lang w:val="it-IT"/>
              </w:rPr>
            </w:pPr>
            <w:r w:rsidRPr="00496684">
              <w:rPr>
                <w:color w:val="000000"/>
                <w:lang w:val="it-IT"/>
              </w:rPr>
              <w:t>CPM (300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5F280FDF" w14:textId="77777777" w:rsidR="00D860E1" w:rsidRPr="00496684" w:rsidRDefault="00D860E1" w:rsidP="00424065">
            <w:pPr>
              <w:pStyle w:val="Endnotentext"/>
              <w:widowControl w:val="0"/>
              <w:rPr>
                <w:color w:val="000000"/>
                <w:lang w:val="it-IT"/>
              </w:rPr>
            </w:pPr>
            <w:r w:rsidRPr="00496684">
              <w:rPr>
                <w:color w:val="000000"/>
                <w:lang w:val="it-IT"/>
              </w:rPr>
              <w:t>MESNA (150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1EF5B561" w14:textId="77777777" w:rsidR="00D860E1" w:rsidRPr="00496684" w:rsidRDefault="00D860E1" w:rsidP="00424065">
            <w:pPr>
              <w:pStyle w:val="Endnotentext"/>
              <w:widowControl w:val="0"/>
              <w:rPr>
                <w:color w:val="000000"/>
                <w:lang w:val="it-IT"/>
              </w:rPr>
            </w:pPr>
            <w:r w:rsidRPr="00496684">
              <w:rPr>
                <w:color w:val="000000"/>
                <w:lang w:val="it-IT"/>
              </w:rPr>
              <w:t>G-CSF (5 μg/kg, SC): giorni 27-36 o fino a ANC &gt;1500 post nadir</w:t>
            </w:r>
          </w:p>
          <w:p w14:paraId="533C1C22" w14:textId="77777777" w:rsidR="00D860E1" w:rsidRPr="00496684" w:rsidRDefault="00D860E1" w:rsidP="00424065">
            <w:pPr>
              <w:pStyle w:val="Endnotentext"/>
              <w:widowControl w:val="0"/>
              <w:rPr>
                <w:color w:val="000000"/>
                <w:lang w:val="it-IT"/>
              </w:rPr>
            </w:pPr>
            <w:r w:rsidRPr="00496684">
              <w:rPr>
                <w:color w:val="000000"/>
                <w:lang w:val="it-IT"/>
              </w:rPr>
              <w:t>ARA-C (3 g/m</w:t>
            </w:r>
            <w:r w:rsidRPr="00496684">
              <w:rPr>
                <w:color w:val="000000"/>
                <w:vertAlign w:val="superscript"/>
                <w:lang w:val="it-IT"/>
              </w:rPr>
              <w:t>2</w:t>
            </w:r>
            <w:r w:rsidRPr="00496684">
              <w:rPr>
                <w:color w:val="000000"/>
                <w:lang w:val="it-IT"/>
              </w:rPr>
              <w:t>, q12h, IV): giorni 43, 44</w:t>
            </w:r>
          </w:p>
          <w:p w14:paraId="441032A5" w14:textId="77777777" w:rsidR="00D860E1" w:rsidRPr="00496684" w:rsidRDefault="00D860E1" w:rsidP="00424065">
            <w:pPr>
              <w:pStyle w:val="Endnotentext"/>
              <w:widowControl w:val="0"/>
              <w:rPr>
                <w:color w:val="000000"/>
                <w:lang w:val="it-IT"/>
              </w:rPr>
            </w:pPr>
            <w:r w:rsidRPr="00496684">
              <w:rPr>
                <w:color w:val="000000"/>
                <w:lang w:val="it-IT"/>
              </w:rPr>
              <w:t>L-ASP (6000 IUnità/m</w:t>
            </w:r>
            <w:r w:rsidRPr="00496684">
              <w:rPr>
                <w:color w:val="000000"/>
                <w:vertAlign w:val="superscript"/>
                <w:lang w:val="it-IT"/>
              </w:rPr>
              <w:t>2</w:t>
            </w:r>
            <w:r w:rsidRPr="00496684">
              <w:rPr>
                <w:color w:val="000000"/>
                <w:lang w:val="it-IT"/>
              </w:rPr>
              <w:t>, IM): giorno 44</w:t>
            </w:r>
          </w:p>
        </w:tc>
      </w:tr>
      <w:tr w:rsidR="00D860E1" w:rsidRPr="00496684" w14:paraId="1283BB0D" w14:textId="77777777" w:rsidTr="00424065">
        <w:tc>
          <w:tcPr>
            <w:tcW w:w="2660" w:type="dxa"/>
            <w:shd w:val="clear" w:color="auto" w:fill="auto"/>
          </w:tcPr>
          <w:p w14:paraId="416C5A7F" w14:textId="77777777" w:rsidR="00D860E1" w:rsidRPr="00496684" w:rsidRDefault="00D860E1" w:rsidP="00424065">
            <w:pPr>
              <w:pStyle w:val="Endnotentext"/>
              <w:widowControl w:val="0"/>
              <w:rPr>
                <w:color w:val="000000"/>
                <w:lang w:val="it-IT"/>
              </w:rPr>
            </w:pPr>
            <w:r w:rsidRPr="00496684">
              <w:rPr>
                <w:color w:val="000000"/>
                <w:lang w:val="it-IT"/>
              </w:rPr>
              <w:t>Blocco 2 di reinduzione</w:t>
            </w:r>
          </w:p>
          <w:p w14:paraId="74D8A1E9" w14:textId="77777777" w:rsidR="00D860E1" w:rsidRPr="00496684" w:rsidRDefault="00D860E1" w:rsidP="00424065">
            <w:pPr>
              <w:pStyle w:val="Endnotentext"/>
              <w:widowControl w:val="0"/>
              <w:rPr>
                <w:color w:val="000000"/>
                <w:lang w:val="it-IT"/>
              </w:rPr>
            </w:pPr>
            <w:r w:rsidRPr="00496684">
              <w:rPr>
                <w:color w:val="000000"/>
                <w:lang w:val="it-IT"/>
              </w:rPr>
              <w:t>(3 settimane)</w:t>
            </w:r>
          </w:p>
        </w:tc>
        <w:tc>
          <w:tcPr>
            <w:tcW w:w="6626" w:type="dxa"/>
            <w:shd w:val="clear" w:color="auto" w:fill="auto"/>
          </w:tcPr>
          <w:p w14:paraId="35C85770" w14:textId="77777777" w:rsidR="00D860E1" w:rsidRPr="00496684" w:rsidRDefault="00D860E1" w:rsidP="00424065">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8 e 15</w:t>
            </w:r>
          </w:p>
          <w:p w14:paraId="61CF3DD3" w14:textId="77777777" w:rsidR="00D860E1" w:rsidRPr="00496684" w:rsidRDefault="00D860E1" w:rsidP="00424065">
            <w:pPr>
              <w:pStyle w:val="Endnotentext"/>
              <w:widowControl w:val="0"/>
              <w:rPr>
                <w:color w:val="000000"/>
                <w:lang w:val="it-IT"/>
              </w:rPr>
            </w:pPr>
            <w:r w:rsidRPr="00496684">
              <w:rPr>
                <w:color w:val="000000"/>
                <w:lang w:val="it-IT"/>
              </w:rPr>
              <w:t>DAUN (45 mg/m</w:t>
            </w:r>
            <w:r w:rsidRPr="00496684">
              <w:rPr>
                <w:color w:val="000000"/>
                <w:vertAlign w:val="superscript"/>
                <w:lang w:val="it-IT"/>
              </w:rPr>
              <w:t>2</w:t>
            </w:r>
            <w:r w:rsidRPr="00496684">
              <w:rPr>
                <w:color w:val="000000"/>
                <w:lang w:val="it-IT"/>
              </w:rPr>
              <w:t>/die bolo, IV): giorni 1 e 2</w:t>
            </w:r>
          </w:p>
          <w:p w14:paraId="6683B532" w14:textId="77777777" w:rsidR="00D860E1" w:rsidRPr="00496684" w:rsidRDefault="00D860E1" w:rsidP="00424065">
            <w:pPr>
              <w:pStyle w:val="Endnotentext"/>
              <w:widowControl w:val="0"/>
              <w:rPr>
                <w:color w:val="000000"/>
                <w:lang w:val="it-IT"/>
              </w:rPr>
            </w:pPr>
            <w:r w:rsidRPr="00496684">
              <w:rPr>
                <w:color w:val="000000"/>
                <w:lang w:val="it-IT"/>
              </w:rPr>
              <w:t>CPM (250 mg/m</w:t>
            </w:r>
            <w:r w:rsidRPr="00496684">
              <w:rPr>
                <w:color w:val="000000"/>
                <w:vertAlign w:val="superscript"/>
                <w:lang w:val="it-IT"/>
              </w:rPr>
              <w:t>2</w:t>
            </w:r>
            <w:r w:rsidRPr="00496684">
              <w:rPr>
                <w:color w:val="000000"/>
                <w:lang w:val="it-IT"/>
              </w:rPr>
              <w:t>/dose q12h x 4 dosi, iv): giorni 3 e 4</w:t>
            </w:r>
          </w:p>
          <w:p w14:paraId="65CB2E6E" w14:textId="77777777" w:rsidR="00D860E1" w:rsidRPr="00496684" w:rsidRDefault="00D860E1" w:rsidP="00424065">
            <w:pPr>
              <w:pStyle w:val="Endnotentext"/>
              <w:widowControl w:val="0"/>
              <w:rPr>
                <w:color w:val="000000"/>
                <w:lang w:val="it-IT"/>
              </w:rPr>
            </w:pPr>
            <w:r w:rsidRPr="00496684">
              <w:rPr>
                <w:color w:val="000000"/>
                <w:lang w:val="it-IT"/>
              </w:rPr>
              <w:t>PEG-ASP (2500 IUnità/m</w:t>
            </w:r>
            <w:r w:rsidRPr="00496684">
              <w:rPr>
                <w:color w:val="000000"/>
                <w:vertAlign w:val="superscript"/>
                <w:lang w:val="it-IT"/>
              </w:rPr>
              <w:t>2</w:t>
            </w:r>
            <w:r w:rsidRPr="00496684">
              <w:rPr>
                <w:color w:val="000000"/>
                <w:lang w:val="it-IT"/>
              </w:rPr>
              <w:t>, IM): giorno 4</w:t>
            </w:r>
          </w:p>
          <w:p w14:paraId="3EC1280C" w14:textId="77777777" w:rsidR="00D860E1" w:rsidRPr="00496684" w:rsidRDefault="00D860E1" w:rsidP="00424065">
            <w:pPr>
              <w:pStyle w:val="Endnotentext"/>
              <w:widowControl w:val="0"/>
              <w:rPr>
                <w:color w:val="000000"/>
                <w:lang w:val="it-IT"/>
              </w:rPr>
            </w:pPr>
            <w:r w:rsidRPr="00496684">
              <w:rPr>
                <w:color w:val="000000"/>
                <w:lang w:val="it-IT"/>
              </w:rPr>
              <w:t>G-CSF (5 μg/kg, SC): giorni 5-14 o fino a ANC &gt;1500 post nadir</w:t>
            </w:r>
          </w:p>
          <w:p w14:paraId="132A3864" w14:textId="77777777" w:rsidR="00D860E1" w:rsidRPr="00496684" w:rsidRDefault="00D860E1" w:rsidP="00424065">
            <w:pPr>
              <w:pStyle w:val="Endnotentext"/>
              <w:widowControl w:val="0"/>
              <w:rPr>
                <w:color w:val="000000"/>
                <w:lang w:val="it-IT"/>
              </w:rPr>
            </w:pPr>
            <w:r w:rsidRPr="00496684">
              <w:rPr>
                <w:color w:val="000000"/>
                <w:lang w:val="it-IT"/>
              </w:rPr>
              <w:t>Tripla terapia IT (aggiustata per l’età): giorni 1 e 15</w:t>
            </w:r>
          </w:p>
          <w:p w14:paraId="55C21A9C" w14:textId="77777777" w:rsidR="00D860E1" w:rsidRPr="00496684" w:rsidRDefault="00D860E1" w:rsidP="00424065">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7 e 15</w:t>
            </w:r>
            <w:r w:rsidRPr="00496684">
              <w:rPr>
                <w:color w:val="000000"/>
                <w:lang w:val="it-IT"/>
              </w:rPr>
              <w:noBreakHyphen/>
              <w:t>21</w:t>
            </w:r>
          </w:p>
        </w:tc>
      </w:tr>
      <w:tr w:rsidR="00D860E1" w:rsidRPr="00496684" w14:paraId="3C772971" w14:textId="77777777" w:rsidTr="00424065">
        <w:tc>
          <w:tcPr>
            <w:tcW w:w="2660" w:type="dxa"/>
            <w:shd w:val="clear" w:color="auto" w:fill="auto"/>
          </w:tcPr>
          <w:p w14:paraId="62AB962C" w14:textId="77777777" w:rsidR="00D860E1" w:rsidRPr="00496684" w:rsidRDefault="00D860E1" w:rsidP="00424065">
            <w:pPr>
              <w:pStyle w:val="Endnotentext"/>
              <w:widowControl w:val="0"/>
              <w:rPr>
                <w:color w:val="000000"/>
                <w:lang w:val="it-IT"/>
              </w:rPr>
            </w:pPr>
            <w:r w:rsidRPr="00496684">
              <w:rPr>
                <w:color w:val="000000"/>
                <w:lang w:val="it-IT"/>
              </w:rPr>
              <w:t>Blocco 2 di intensificazione</w:t>
            </w:r>
          </w:p>
          <w:p w14:paraId="6BACF584" w14:textId="77777777" w:rsidR="00D860E1" w:rsidRPr="00496684" w:rsidRDefault="00D860E1" w:rsidP="00424065">
            <w:pPr>
              <w:pStyle w:val="Endnotentext"/>
              <w:widowControl w:val="0"/>
              <w:rPr>
                <w:color w:val="000000"/>
                <w:lang w:val="it-IT"/>
              </w:rPr>
            </w:pPr>
            <w:r w:rsidRPr="00496684">
              <w:rPr>
                <w:color w:val="000000"/>
                <w:lang w:val="it-IT"/>
              </w:rPr>
              <w:t>(9 settimane)</w:t>
            </w:r>
          </w:p>
        </w:tc>
        <w:tc>
          <w:tcPr>
            <w:tcW w:w="6626" w:type="dxa"/>
            <w:shd w:val="clear" w:color="auto" w:fill="auto"/>
          </w:tcPr>
          <w:p w14:paraId="6553B97E" w14:textId="77777777" w:rsidR="00D860E1" w:rsidRPr="00496684" w:rsidRDefault="00D860E1" w:rsidP="00424065">
            <w:pPr>
              <w:pStyle w:val="Endnotentext"/>
              <w:widowControl w:val="0"/>
              <w:rPr>
                <w:color w:val="000000"/>
                <w:lang w:val="it-IT"/>
              </w:rPr>
            </w:pPr>
            <w:r w:rsidRPr="00496684">
              <w:rPr>
                <w:color w:val="000000"/>
                <w:lang w:val="it-IT"/>
              </w:rPr>
              <w:t>Metotrexate (5 g/m</w:t>
            </w:r>
            <w:r w:rsidRPr="00496684">
              <w:rPr>
                <w:color w:val="000000"/>
                <w:vertAlign w:val="superscript"/>
                <w:lang w:val="it-IT"/>
              </w:rPr>
              <w:t>2</w:t>
            </w:r>
            <w:r w:rsidRPr="00496684">
              <w:rPr>
                <w:color w:val="000000"/>
                <w:lang w:val="it-IT"/>
              </w:rPr>
              <w:t xml:space="preserve"> per 24 ore, IV): giorni 1 e 15</w:t>
            </w:r>
          </w:p>
          <w:p w14:paraId="58001062" w14:textId="77777777" w:rsidR="00D860E1" w:rsidRPr="00496684" w:rsidRDefault="00D860E1" w:rsidP="00424065">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3, 16, e 17</w:t>
            </w:r>
          </w:p>
          <w:p w14:paraId="158151E0" w14:textId="77777777" w:rsidR="00D860E1" w:rsidRPr="00496684" w:rsidRDefault="00D860E1" w:rsidP="00424065">
            <w:pPr>
              <w:pStyle w:val="Endnotentext"/>
              <w:widowControl w:val="0"/>
              <w:rPr>
                <w:color w:val="000000"/>
                <w:lang w:val="it-IT"/>
              </w:rPr>
            </w:pPr>
            <w:r w:rsidRPr="00496684">
              <w:rPr>
                <w:color w:val="000000"/>
                <w:lang w:val="it-IT"/>
              </w:rPr>
              <w:t>Tripla terapia IT (aggiustata per l’età): giorni 1 e 22</w:t>
            </w:r>
          </w:p>
          <w:p w14:paraId="1D2EC2C9" w14:textId="77777777" w:rsidR="00D860E1" w:rsidRPr="00496684" w:rsidRDefault="00D860E1" w:rsidP="00424065">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25F36CA4" w14:textId="77777777" w:rsidR="00D860E1" w:rsidRPr="00496684" w:rsidRDefault="00D860E1" w:rsidP="00424065">
            <w:pPr>
              <w:pStyle w:val="Endnotentext"/>
              <w:widowControl w:val="0"/>
              <w:rPr>
                <w:color w:val="000000"/>
                <w:lang w:val="it-IT"/>
              </w:rPr>
            </w:pPr>
            <w:r w:rsidRPr="00496684">
              <w:rPr>
                <w:color w:val="000000"/>
                <w:lang w:val="it-IT"/>
              </w:rPr>
              <w:t>CPM (300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069B9E55" w14:textId="77777777" w:rsidR="00D860E1" w:rsidRPr="00496684" w:rsidRDefault="00D860E1" w:rsidP="00424065">
            <w:pPr>
              <w:pStyle w:val="Endnotentext"/>
              <w:widowControl w:val="0"/>
              <w:rPr>
                <w:color w:val="000000"/>
                <w:lang w:val="it-IT"/>
              </w:rPr>
            </w:pPr>
            <w:r w:rsidRPr="00496684">
              <w:rPr>
                <w:color w:val="000000"/>
                <w:lang w:val="it-IT"/>
              </w:rPr>
              <w:t>MESNA (150 mg/m</w:t>
            </w:r>
            <w:r w:rsidRPr="00496684">
              <w:rPr>
                <w:color w:val="000000"/>
                <w:vertAlign w:val="superscript"/>
                <w:lang w:val="it-IT"/>
              </w:rPr>
              <w:t>2</w:t>
            </w:r>
            <w:r w:rsidRPr="00496684">
              <w:rPr>
                <w:color w:val="000000"/>
                <w:lang w:val="it-IT"/>
              </w:rPr>
              <w:t>/die, IV): giorni 22</w:t>
            </w:r>
            <w:r w:rsidRPr="00496684">
              <w:rPr>
                <w:color w:val="000000"/>
                <w:lang w:val="it-IT"/>
              </w:rPr>
              <w:noBreakHyphen/>
              <w:t>26</w:t>
            </w:r>
          </w:p>
          <w:p w14:paraId="1B15D2B0" w14:textId="77777777" w:rsidR="00D860E1" w:rsidRPr="00496684" w:rsidRDefault="00D860E1" w:rsidP="00424065">
            <w:pPr>
              <w:pStyle w:val="Endnotentext"/>
              <w:widowControl w:val="0"/>
              <w:rPr>
                <w:color w:val="000000"/>
                <w:lang w:val="it-IT"/>
              </w:rPr>
            </w:pPr>
            <w:r w:rsidRPr="00496684">
              <w:rPr>
                <w:color w:val="000000"/>
                <w:lang w:val="it-IT"/>
              </w:rPr>
              <w:t>G-CSF (5 μg/kg, SC): giorni 27</w:t>
            </w:r>
            <w:r w:rsidRPr="00496684">
              <w:rPr>
                <w:color w:val="000000"/>
                <w:lang w:val="it-IT"/>
              </w:rPr>
              <w:noBreakHyphen/>
              <w:t>36 o fino a ANC &gt;1500 post nadir</w:t>
            </w:r>
          </w:p>
          <w:p w14:paraId="2F405912" w14:textId="77777777" w:rsidR="00D860E1" w:rsidRPr="00496684" w:rsidRDefault="00D860E1" w:rsidP="00424065">
            <w:pPr>
              <w:pStyle w:val="Endnotentext"/>
              <w:widowControl w:val="0"/>
              <w:rPr>
                <w:color w:val="000000"/>
                <w:lang w:val="it-IT"/>
              </w:rPr>
            </w:pPr>
            <w:r w:rsidRPr="00496684">
              <w:rPr>
                <w:color w:val="000000"/>
                <w:lang w:val="it-IT"/>
              </w:rPr>
              <w:t>ARA-C (3 g/m</w:t>
            </w:r>
            <w:r w:rsidRPr="00496684">
              <w:rPr>
                <w:color w:val="000000"/>
                <w:vertAlign w:val="superscript"/>
                <w:lang w:val="it-IT"/>
              </w:rPr>
              <w:t>2</w:t>
            </w:r>
            <w:r w:rsidRPr="00496684">
              <w:rPr>
                <w:color w:val="000000"/>
                <w:lang w:val="it-IT"/>
              </w:rPr>
              <w:t>, q12h, IV): giorni 43, 44</w:t>
            </w:r>
          </w:p>
          <w:p w14:paraId="52A5C4AE" w14:textId="77777777" w:rsidR="00D860E1" w:rsidRPr="00496684" w:rsidRDefault="00D860E1" w:rsidP="00424065">
            <w:pPr>
              <w:pStyle w:val="Endnotentext"/>
              <w:widowControl w:val="0"/>
              <w:rPr>
                <w:color w:val="000000"/>
                <w:lang w:val="it-IT"/>
              </w:rPr>
            </w:pPr>
            <w:r w:rsidRPr="00496684">
              <w:rPr>
                <w:color w:val="000000"/>
                <w:lang w:val="it-IT"/>
              </w:rPr>
              <w:t>L-ASP (6000 IUnità/m</w:t>
            </w:r>
            <w:r w:rsidRPr="00496684">
              <w:rPr>
                <w:color w:val="000000"/>
                <w:vertAlign w:val="superscript"/>
                <w:lang w:val="it-IT"/>
              </w:rPr>
              <w:t>2</w:t>
            </w:r>
            <w:r w:rsidRPr="00496684">
              <w:rPr>
                <w:color w:val="000000"/>
                <w:lang w:val="it-IT"/>
              </w:rPr>
              <w:t>, IM): giorno 44</w:t>
            </w:r>
          </w:p>
        </w:tc>
      </w:tr>
      <w:tr w:rsidR="00D860E1" w:rsidRPr="00496684" w14:paraId="5AB679FC" w14:textId="77777777" w:rsidTr="00424065">
        <w:tc>
          <w:tcPr>
            <w:tcW w:w="2660" w:type="dxa"/>
            <w:shd w:val="clear" w:color="auto" w:fill="auto"/>
          </w:tcPr>
          <w:p w14:paraId="427DB2E9" w14:textId="77777777" w:rsidR="00D860E1" w:rsidRPr="00496684" w:rsidRDefault="00D860E1" w:rsidP="00424065">
            <w:pPr>
              <w:pStyle w:val="Endnotentext"/>
              <w:widowControl w:val="0"/>
              <w:rPr>
                <w:color w:val="000000"/>
                <w:lang w:val="it-IT"/>
              </w:rPr>
            </w:pPr>
            <w:r w:rsidRPr="00496684">
              <w:rPr>
                <w:color w:val="000000"/>
                <w:lang w:val="it-IT"/>
              </w:rPr>
              <w:t>Mantenimento</w:t>
            </w:r>
          </w:p>
          <w:p w14:paraId="6B456CD5" w14:textId="77777777" w:rsidR="00D860E1" w:rsidRPr="00496684" w:rsidRDefault="00D860E1" w:rsidP="00424065">
            <w:pPr>
              <w:pStyle w:val="Endnotentext"/>
              <w:widowControl w:val="0"/>
              <w:rPr>
                <w:color w:val="000000"/>
                <w:lang w:val="it-IT"/>
              </w:rPr>
            </w:pPr>
            <w:r w:rsidRPr="00496684">
              <w:rPr>
                <w:color w:val="000000"/>
                <w:lang w:val="it-IT"/>
              </w:rPr>
              <w:t>(cicli di 8 settimane)</w:t>
            </w:r>
          </w:p>
          <w:p w14:paraId="616D1F90" w14:textId="77777777" w:rsidR="00D860E1" w:rsidRPr="00496684" w:rsidRDefault="00D860E1" w:rsidP="00424065">
            <w:pPr>
              <w:pStyle w:val="Endnotentext"/>
              <w:widowControl w:val="0"/>
              <w:rPr>
                <w:color w:val="000000"/>
                <w:lang w:val="it-IT"/>
              </w:rPr>
            </w:pPr>
            <w:r w:rsidRPr="00496684">
              <w:rPr>
                <w:color w:val="000000"/>
                <w:lang w:val="it-IT"/>
              </w:rPr>
              <w:t>Cicli 1–4</w:t>
            </w:r>
          </w:p>
        </w:tc>
        <w:tc>
          <w:tcPr>
            <w:tcW w:w="6626" w:type="dxa"/>
            <w:shd w:val="clear" w:color="auto" w:fill="auto"/>
          </w:tcPr>
          <w:p w14:paraId="3260BEA4" w14:textId="77777777" w:rsidR="00D860E1" w:rsidRPr="00496684" w:rsidRDefault="00D860E1" w:rsidP="00424065">
            <w:pPr>
              <w:pStyle w:val="Endnotentext"/>
              <w:widowControl w:val="0"/>
              <w:rPr>
                <w:color w:val="000000"/>
                <w:lang w:val="it-IT"/>
              </w:rPr>
            </w:pPr>
            <w:r w:rsidRPr="00496684">
              <w:rPr>
                <w:color w:val="000000"/>
                <w:lang w:val="it-IT"/>
              </w:rPr>
              <w:t>MTX (5 g/m</w:t>
            </w:r>
            <w:r w:rsidRPr="00496684">
              <w:rPr>
                <w:color w:val="000000"/>
                <w:vertAlign w:val="superscript"/>
                <w:lang w:val="it-IT"/>
              </w:rPr>
              <w:t>2</w:t>
            </w:r>
            <w:r w:rsidRPr="00496684">
              <w:rPr>
                <w:color w:val="000000"/>
                <w:lang w:val="it-IT"/>
              </w:rPr>
              <w:t xml:space="preserve"> per 24 ore, IV): giorno 1</w:t>
            </w:r>
          </w:p>
          <w:p w14:paraId="447E5F90" w14:textId="77777777" w:rsidR="00D860E1" w:rsidRPr="00496684" w:rsidRDefault="00D860E1" w:rsidP="00424065">
            <w:pPr>
              <w:pStyle w:val="Endnotentext"/>
              <w:widowControl w:val="0"/>
              <w:rPr>
                <w:color w:val="000000"/>
                <w:lang w:val="it-IT"/>
              </w:rPr>
            </w:pPr>
            <w:r w:rsidRPr="00496684">
              <w:rPr>
                <w:color w:val="000000"/>
                <w:lang w:val="it-IT"/>
              </w:rPr>
              <w:t>Leucovorin (75 mg/m</w:t>
            </w:r>
            <w:r w:rsidRPr="00496684">
              <w:rPr>
                <w:color w:val="000000"/>
                <w:vertAlign w:val="superscript"/>
                <w:lang w:val="it-IT"/>
              </w:rPr>
              <w:t>2</w:t>
            </w:r>
            <w:r w:rsidRPr="00496684">
              <w:rPr>
                <w:color w:val="000000"/>
                <w:lang w:val="it-IT"/>
              </w:rPr>
              <w:t xml:space="preserve"> a 36 ore, IV; 15 mg/m</w:t>
            </w:r>
            <w:r w:rsidRPr="00496684">
              <w:rPr>
                <w:color w:val="000000"/>
                <w:vertAlign w:val="superscript"/>
                <w:lang w:val="it-IT"/>
              </w:rPr>
              <w:t>2</w:t>
            </w:r>
            <w:r w:rsidRPr="00496684">
              <w:rPr>
                <w:color w:val="000000"/>
                <w:lang w:val="it-IT"/>
              </w:rPr>
              <w:t xml:space="preserve"> IV o PO q6h x 6 dosi)iii: giorni 2 e 3</w:t>
            </w:r>
          </w:p>
          <w:p w14:paraId="3F24E3D1" w14:textId="77777777" w:rsidR="00D860E1" w:rsidRPr="00496684" w:rsidRDefault="00D860E1" w:rsidP="00424065">
            <w:pPr>
              <w:pStyle w:val="Endnotentext"/>
              <w:widowControl w:val="0"/>
              <w:rPr>
                <w:color w:val="000000"/>
                <w:lang w:val="it-IT"/>
              </w:rPr>
            </w:pPr>
            <w:r w:rsidRPr="00496684">
              <w:rPr>
                <w:color w:val="000000"/>
                <w:lang w:val="it-IT"/>
              </w:rPr>
              <w:t>Tripla terapia IT (aggiustata per l’età): giorni 1, 29</w:t>
            </w:r>
          </w:p>
          <w:p w14:paraId="05448DDD" w14:textId="77777777" w:rsidR="00D860E1" w:rsidRPr="00496684" w:rsidRDefault="00D860E1" w:rsidP="00424065">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 IV): giorni 1, 29</w:t>
            </w:r>
          </w:p>
          <w:p w14:paraId="32030EF5" w14:textId="77777777" w:rsidR="00D860E1" w:rsidRPr="00496684" w:rsidRDefault="00D860E1" w:rsidP="00424065">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5; 29</w:t>
            </w:r>
            <w:r w:rsidRPr="00496684">
              <w:rPr>
                <w:color w:val="000000"/>
                <w:lang w:val="it-IT"/>
              </w:rPr>
              <w:noBreakHyphen/>
              <w:t>33</w:t>
            </w:r>
          </w:p>
          <w:p w14:paraId="3A61A545" w14:textId="77777777" w:rsidR="00D860E1" w:rsidRPr="00496684" w:rsidRDefault="00D860E1" w:rsidP="00424065">
            <w:pPr>
              <w:pStyle w:val="Endnotentext"/>
              <w:widowControl w:val="0"/>
              <w:rPr>
                <w:color w:val="000000"/>
                <w:lang w:val="it-IT"/>
              </w:rPr>
            </w:pPr>
            <w:r w:rsidRPr="00496684">
              <w:rPr>
                <w:color w:val="000000"/>
                <w:lang w:val="it-IT"/>
              </w:rPr>
              <w:t>6-MP (75 mg/m</w:t>
            </w:r>
            <w:r w:rsidRPr="00496684">
              <w:rPr>
                <w:color w:val="000000"/>
                <w:vertAlign w:val="superscript"/>
                <w:lang w:val="it-IT"/>
              </w:rPr>
              <w:t>2</w:t>
            </w:r>
            <w:r w:rsidRPr="00496684">
              <w:rPr>
                <w:color w:val="000000"/>
                <w:lang w:val="it-IT"/>
              </w:rPr>
              <w:t>/die, PO): giorni 8-28</w:t>
            </w:r>
          </w:p>
          <w:p w14:paraId="4F0E20DB" w14:textId="77777777" w:rsidR="00D860E1" w:rsidRPr="00496684" w:rsidRDefault="00D860E1" w:rsidP="00424065">
            <w:pPr>
              <w:pStyle w:val="Endnotentext"/>
              <w:widowControl w:val="0"/>
              <w:rPr>
                <w:color w:val="000000"/>
                <w:lang w:val="it-IT"/>
              </w:rPr>
            </w:pPr>
            <w:r w:rsidRPr="00496684">
              <w:rPr>
                <w:color w:val="000000"/>
                <w:lang w:val="it-IT"/>
              </w:rPr>
              <w:t>Metotrexate (20 mg/m</w:t>
            </w:r>
            <w:r w:rsidRPr="00496684">
              <w:rPr>
                <w:color w:val="000000"/>
                <w:vertAlign w:val="superscript"/>
                <w:lang w:val="it-IT"/>
              </w:rPr>
              <w:t>2</w:t>
            </w:r>
            <w:r w:rsidRPr="00496684">
              <w:rPr>
                <w:color w:val="000000"/>
                <w:lang w:val="it-IT"/>
              </w:rPr>
              <w:t>/settimana, PO): giorni 8, 15, 22</w:t>
            </w:r>
          </w:p>
          <w:p w14:paraId="6C0F54C3" w14:textId="77777777" w:rsidR="00D860E1" w:rsidRPr="00496684" w:rsidRDefault="00D860E1" w:rsidP="00424065">
            <w:pPr>
              <w:pStyle w:val="Endnotentext"/>
              <w:widowControl w:val="0"/>
              <w:rPr>
                <w:color w:val="000000"/>
                <w:lang w:val="it-IT"/>
              </w:rPr>
            </w:pPr>
            <w:r w:rsidRPr="00496684">
              <w:rPr>
                <w:color w:val="000000"/>
                <w:lang w:val="it-IT"/>
              </w:rPr>
              <w:t>VP-16 (100 mg/m</w:t>
            </w:r>
            <w:r w:rsidRPr="00496684">
              <w:rPr>
                <w:color w:val="000000"/>
                <w:vertAlign w:val="superscript"/>
                <w:lang w:val="it-IT"/>
              </w:rPr>
              <w:t>2</w:t>
            </w:r>
            <w:r w:rsidRPr="00496684">
              <w:rPr>
                <w:color w:val="000000"/>
                <w:lang w:val="it-IT"/>
              </w:rPr>
              <w:t>, IV): giorni 29</w:t>
            </w:r>
            <w:r w:rsidRPr="00496684">
              <w:rPr>
                <w:color w:val="000000"/>
                <w:lang w:val="it-IT"/>
              </w:rPr>
              <w:noBreakHyphen/>
              <w:t>33</w:t>
            </w:r>
          </w:p>
          <w:p w14:paraId="2333A990" w14:textId="77777777" w:rsidR="00D860E1" w:rsidRPr="00496684" w:rsidRDefault="00D860E1" w:rsidP="00424065">
            <w:pPr>
              <w:pStyle w:val="Endnotentext"/>
              <w:widowControl w:val="0"/>
              <w:rPr>
                <w:color w:val="000000"/>
                <w:lang w:val="it-IT"/>
              </w:rPr>
            </w:pPr>
            <w:r w:rsidRPr="00496684">
              <w:rPr>
                <w:color w:val="000000"/>
                <w:lang w:val="it-IT"/>
              </w:rPr>
              <w:t>CPM (300 mg/m</w:t>
            </w:r>
            <w:r w:rsidRPr="00496684">
              <w:rPr>
                <w:color w:val="000000"/>
                <w:vertAlign w:val="superscript"/>
                <w:lang w:val="it-IT"/>
              </w:rPr>
              <w:t>2</w:t>
            </w:r>
            <w:r w:rsidRPr="00496684">
              <w:rPr>
                <w:color w:val="000000"/>
                <w:lang w:val="it-IT"/>
              </w:rPr>
              <w:t>, IV): giorni 29</w:t>
            </w:r>
            <w:r w:rsidRPr="00496684">
              <w:rPr>
                <w:color w:val="000000"/>
                <w:lang w:val="it-IT"/>
              </w:rPr>
              <w:noBreakHyphen/>
              <w:t>33</w:t>
            </w:r>
          </w:p>
          <w:p w14:paraId="0FFCC25F" w14:textId="77777777" w:rsidR="00D860E1" w:rsidRPr="00496684" w:rsidRDefault="00D860E1" w:rsidP="00424065">
            <w:pPr>
              <w:pStyle w:val="Endnotentext"/>
              <w:widowControl w:val="0"/>
              <w:rPr>
                <w:color w:val="000000"/>
                <w:lang w:val="it-IT"/>
              </w:rPr>
            </w:pPr>
            <w:r w:rsidRPr="00496684">
              <w:rPr>
                <w:color w:val="000000"/>
                <w:lang w:val="it-IT"/>
              </w:rPr>
              <w:t>MESNA IV giorni 29</w:t>
            </w:r>
            <w:r w:rsidRPr="00496684">
              <w:rPr>
                <w:color w:val="000000"/>
                <w:lang w:val="it-IT"/>
              </w:rPr>
              <w:noBreakHyphen/>
              <w:t>33</w:t>
            </w:r>
          </w:p>
          <w:p w14:paraId="6EB96DCE" w14:textId="77777777" w:rsidR="00D860E1" w:rsidRPr="00496684" w:rsidRDefault="00D860E1" w:rsidP="00424065">
            <w:pPr>
              <w:pStyle w:val="Endnotentext"/>
              <w:widowControl w:val="0"/>
              <w:rPr>
                <w:color w:val="000000"/>
                <w:lang w:val="it-IT"/>
              </w:rPr>
            </w:pPr>
            <w:r w:rsidRPr="00496684">
              <w:rPr>
                <w:color w:val="000000"/>
                <w:lang w:val="it-IT"/>
              </w:rPr>
              <w:t>G-CSF (5 μg/kg, SC): giorni 34</w:t>
            </w:r>
            <w:r w:rsidRPr="00496684">
              <w:rPr>
                <w:color w:val="000000"/>
                <w:lang w:val="it-IT"/>
              </w:rPr>
              <w:noBreakHyphen/>
              <w:t>43</w:t>
            </w:r>
          </w:p>
        </w:tc>
      </w:tr>
      <w:tr w:rsidR="00D860E1" w:rsidRPr="00496684" w14:paraId="47EA660D" w14:textId="77777777" w:rsidTr="00424065">
        <w:tc>
          <w:tcPr>
            <w:tcW w:w="2660" w:type="dxa"/>
            <w:shd w:val="clear" w:color="auto" w:fill="auto"/>
          </w:tcPr>
          <w:p w14:paraId="2572A605" w14:textId="77777777" w:rsidR="00D860E1" w:rsidRPr="00496684" w:rsidRDefault="00D860E1" w:rsidP="00424065">
            <w:pPr>
              <w:pStyle w:val="Endnotentext"/>
              <w:widowControl w:val="0"/>
              <w:rPr>
                <w:color w:val="000000"/>
                <w:lang w:val="it-IT"/>
              </w:rPr>
            </w:pPr>
            <w:r w:rsidRPr="00496684">
              <w:rPr>
                <w:color w:val="000000"/>
                <w:lang w:val="it-IT"/>
              </w:rPr>
              <w:t>Mantenimento</w:t>
            </w:r>
          </w:p>
          <w:p w14:paraId="3A57CFC1" w14:textId="77777777" w:rsidR="00D860E1" w:rsidRPr="00496684" w:rsidRDefault="00D860E1" w:rsidP="00424065">
            <w:pPr>
              <w:pStyle w:val="Endnotentext"/>
              <w:widowControl w:val="0"/>
              <w:rPr>
                <w:color w:val="000000"/>
                <w:lang w:val="it-IT"/>
              </w:rPr>
            </w:pPr>
            <w:r w:rsidRPr="00496684">
              <w:rPr>
                <w:color w:val="000000"/>
                <w:lang w:val="it-IT"/>
              </w:rPr>
              <w:t>(cicli di 8 settimane)</w:t>
            </w:r>
          </w:p>
          <w:p w14:paraId="55C9F2F5" w14:textId="77777777" w:rsidR="00D860E1" w:rsidRPr="00496684" w:rsidRDefault="00D860E1" w:rsidP="00424065">
            <w:pPr>
              <w:pStyle w:val="Endnotentext"/>
              <w:widowControl w:val="0"/>
              <w:rPr>
                <w:color w:val="000000"/>
                <w:lang w:val="it-IT"/>
              </w:rPr>
            </w:pPr>
            <w:r w:rsidRPr="00496684">
              <w:rPr>
                <w:color w:val="000000"/>
                <w:lang w:val="it-IT"/>
              </w:rPr>
              <w:t>Ciclo 5</w:t>
            </w:r>
          </w:p>
        </w:tc>
        <w:tc>
          <w:tcPr>
            <w:tcW w:w="6626" w:type="dxa"/>
            <w:shd w:val="clear" w:color="auto" w:fill="auto"/>
          </w:tcPr>
          <w:p w14:paraId="3F7A84A9" w14:textId="77777777" w:rsidR="00D860E1" w:rsidRPr="00496684" w:rsidRDefault="00D860E1" w:rsidP="00424065">
            <w:pPr>
              <w:pStyle w:val="Endnotentext"/>
              <w:widowControl w:val="0"/>
              <w:rPr>
                <w:color w:val="000000"/>
                <w:lang w:val="it-IT"/>
              </w:rPr>
            </w:pPr>
            <w:r w:rsidRPr="00496684">
              <w:rPr>
                <w:color w:val="000000"/>
                <w:lang w:val="it-IT"/>
              </w:rPr>
              <w:t>Irradiazione cranica (solo il blocco 5)</w:t>
            </w:r>
          </w:p>
          <w:p w14:paraId="5A401133" w14:textId="77777777" w:rsidR="00D860E1" w:rsidRPr="00496684" w:rsidRDefault="00D860E1" w:rsidP="00424065">
            <w:pPr>
              <w:pStyle w:val="Endnotentext"/>
              <w:widowControl w:val="0"/>
              <w:rPr>
                <w:color w:val="000000"/>
                <w:lang w:val="it-IT"/>
              </w:rPr>
            </w:pPr>
            <w:r w:rsidRPr="00496684">
              <w:rPr>
                <w:color w:val="000000"/>
                <w:lang w:val="it-IT"/>
              </w:rPr>
              <w:t>12 Gy in 8 frazioni per tutti i pazienti che sono CNS1 e CNS2 alla diagnosi</w:t>
            </w:r>
          </w:p>
          <w:p w14:paraId="66E0A824" w14:textId="77777777" w:rsidR="00D860E1" w:rsidRPr="00496684" w:rsidRDefault="00D860E1" w:rsidP="00424065">
            <w:pPr>
              <w:pStyle w:val="Endnotentext"/>
              <w:widowControl w:val="0"/>
              <w:rPr>
                <w:color w:val="000000"/>
                <w:lang w:val="it-IT"/>
              </w:rPr>
            </w:pPr>
            <w:r w:rsidRPr="00496684">
              <w:rPr>
                <w:color w:val="000000"/>
                <w:lang w:val="it-IT"/>
              </w:rPr>
              <w:t>18 Gy in 10 frazioni per tutti i pazienti che sono CNS3 alla diagnosi</w:t>
            </w:r>
          </w:p>
          <w:p w14:paraId="539F6C61" w14:textId="77777777" w:rsidR="00D860E1" w:rsidRPr="00496684" w:rsidRDefault="00D860E1" w:rsidP="00424065">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29</w:t>
            </w:r>
          </w:p>
          <w:p w14:paraId="260DB662" w14:textId="77777777" w:rsidR="00D860E1" w:rsidRPr="00496684" w:rsidRDefault="00D860E1" w:rsidP="00424065">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5; 29</w:t>
            </w:r>
            <w:r w:rsidRPr="00496684">
              <w:rPr>
                <w:color w:val="000000"/>
                <w:lang w:val="it-IT"/>
              </w:rPr>
              <w:noBreakHyphen/>
              <w:t>33</w:t>
            </w:r>
          </w:p>
          <w:p w14:paraId="771A8BB7" w14:textId="77777777" w:rsidR="00D860E1" w:rsidRPr="00496684" w:rsidRDefault="00D860E1" w:rsidP="00424065">
            <w:pPr>
              <w:pStyle w:val="Endnotentext"/>
              <w:widowControl w:val="0"/>
              <w:rPr>
                <w:color w:val="000000"/>
                <w:lang w:val="it-IT"/>
              </w:rPr>
            </w:pPr>
            <w:r w:rsidRPr="00496684">
              <w:rPr>
                <w:color w:val="000000"/>
                <w:lang w:val="it-IT"/>
              </w:rPr>
              <w:t>6-MP (75 mg/m</w:t>
            </w:r>
            <w:r w:rsidRPr="00496684">
              <w:rPr>
                <w:color w:val="000000"/>
                <w:vertAlign w:val="superscript"/>
                <w:lang w:val="it-IT"/>
              </w:rPr>
              <w:t>2</w:t>
            </w:r>
            <w:r w:rsidRPr="00496684">
              <w:rPr>
                <w:color w:val="000000"/>
                <w:lang w:val="it-IT"/>
              </w:rPr>
              <w:t>/die, PO): giorni 11</w:t>
            </w:r>
            <w:r w:rsidRPr="00496684">
              <w:rPr>
                <w:color w:val="000000"/>
                <w:lang w:val="it-IT"/>
              </w:rPr>
              <w:noBreakHyphen/>
              <w:t>56 (Sospendere 6-MP durante i giorni 6</w:t>
            </w:r>
            <w:r w:rsidRPr="00496684">
              <w:rPr>
                <w:color w:val="000000"/>
                <w:lang w:val="it-IT"/>
              </w:rPr>
              <w:noBreakHyphen/>
              <w:t>10 di irradiazione cranica iniziata il giorno 1 del Ciclo 5. Iniziare 6-MP il primo giorno dopo il completamento dell’irradiazione cranica.)</w:t>
            </w:r>
          </w:p>
          <w:p w14:paraId="506EDB93" w14:textId="77777777" w:rsidR="00D860E1" w:rsidRPr="00496684" w:rsidRDefault="00D860E1" w:rsidP="00424065">
            <w:pPr>
              <w:pStyle w:val="Endnotentext"/>
              <w:widowControl w:val="0"/>
              <w:rPr>
                <w:color w:val="000000"/>
                <w:lang w:val="it-IT"/>
              </w:rPr>
            </w:pPr>
            <w:r w:rsidRPr="00496684">
              <w:rPr>
                <w:color w:val="000000"/>
                <w:lang w:val="it-IT"/>
              </w:rPr>
              <w:t>Metotrexate (20 mg/m</w:t>
            </w:r>
            <w:r w:rsidRPr="00496684">
              <w:rPr>
                <w:color w:val="000000"/>
                <w:vertAlign w:val="superscript"/>
                <w:lang w:val="it-IT"/>
              </w:rPr>
              <w:t>2</w:t>
            </w:r>
            <w:r w:rsidRPr="00496684">
              <w:rPr>
                <w:color w:val="000000"/>
                <w:lang w:val="it-IT"/>
              </w:rPr>
              <w:t>/settimana, PO): giorni 8, 15, 22, 29, 36, 43, 50</w:t>
            </w:r>
          </w:p>
        </w:tc>
      </w:tr>
      <w:tr w:rsidR="00D860E1" w:rsidRPr="00496684" w14:paraId="0D6396EB" w14:textId="77777777" w:rsidTr="00424065">
        <w:tc>
          <w:tcPr>
            <w:tcW w:w="2660" w:type="dxa"/>
            <w:shd w:val="clear" w:color="auto" w:fill="auto"/>
          </w:tcPr>
          <w:p w14:paraId="0659DDCA" w14:textId="77777777" w:rsidR="00D860E1" w:rsidRPr="00496684" w:rsidRDefault="00D860E1" w:rsidP="00424065">
            <w:pPr>
              <w:pStyle w:val="Endnotentext"/>
              <w:widowControl w:val="0"/>
              <w:rPr>
                <w:color w:val="000000"/>
                <w:lang w:val="it-IT"/>
              </w:rPr>
            </w:pPr>
            <w:r w:rsidRPr="00496684">
              <w:rPr>
                <w:color w:val="000000"/>
                <w:lang w:val="it-IT"/>
              </w:rPr>
              <w:t>Mantenimento</w:t>
            </w:r>
          </w:p>
          <w:p w14:paraId="409E326C" w14:textId="77777777" w:rsidR="00D860E1" w:rsidRPr="00496684" w:rsidRDefault="00D860E1" w:rsidP="00424065">
            <w:pPr>
              <w:pStyle w:val="Endnotentext"/>
              <w:widowControl w:val="0"/>
              <w:rPr>
                <w:color w:val="000000"/>
                <w:lang w:val="it-IT"/>
              </w:rPr>
            </w:pPr>
            <w:r w:rsidRPr="00496684">
              <w:rPr>
                <w:color w:val="000000"/>
                <w:lang w:val="it-IT"/>
              </w:rPr>
              <w:t>(cicli di 8 settimane)</w:t>
            </w:r>
          </w:p>
          <w:p w14:paraId="1001413D" w14:textId="77777777" w:rsidR="00D860E1" w:rsidRPr="00496684" w:rsidRDefault="00D860E1" w:rsidP="00424065">
            <w:pPr>
              <w:pStyle w:val="Endnotentext"/>
              <w:widowControl w:val="0"/>
              <w:rPr>
                <w:color w:val="000000"/>
                <w:lang w:val="it-IT"/>
              </w:rPr>
            </w:pPr>
            <w:r w:rsidRPr="00496684">
              <w:rPr>
                <w:color w:val="000000"/>
                <w:lang w:val="it-IT"/>
              </w:rPr>
              <w:t>Cicli 6</w:t>
            </w:r>
            <w:r w:rsidRPr="00496684">
              <w:rPr>
                <w:color w:val="000000"/>
                <w:lang w:val="it-IT"/>
              </w:rPr>
              <w:noBreakHyphen/>
              <w:t>12</w:t>
            </w:r>
          </w:p>
        </w:tc>
        <w:tc>
          <w:tcPr>
            <w:tcW w:w="6626" w:type="dxa"/>
            <w:shd w:val="clear" w:color="auto" w:fill="auto"/>
          </w:tcPr>
          <w:p w14:paraId="1B307922" w14:textId="77777777" w:rsidR="00D860E1" w:rsidRPr="00496684" w:rsidRDefault="00D860E1" w:rsidP="00424065">
            <w:pPr>
              <w:pStyle w:val="Endnotentext"/>
              <w:widowControl w:val="0"/>
              <w:rPr>
                <w:color w:val="000000"/>
                <w:lang w:val="it-IT"/>
              </w:rPr>
            </w:pPr>
            <w:r w:rsidRPr="00496684">
              <w:rPr>
                <w:color w:val="000000"/>
                <w:lang w:val="it-IT"/>
              </w:rPr>
              <w:t>VCR (1,5 mg/m</w:t>
            </w:r>
            <w:r w:rsidRPr="00496684">
              <w:rPr>
                <w:color w:val="000000"/>
                <w:vertAlign w:val="superscript"/>
                <w:lang w:val="it-IT"/>
              </w:rPr>
              <w:t>2</w:t>
            </w:r>
            <w:r w:rsidRPr="00496684">
              <w:rPr>
                <w:color w:val="000000"/>
                <w:lang w:val="it-IT"/>
              </w:rPr>
              <w:t>/die, IV): giorni 1, 29</w:t>
            </w:r>
          </w:p>
          <w:p w14:paraId="2DA3DB21" w14:textId="77777777" w:rsidR="00D860E1" w:rsidRPr="00496684" w:rsidRDefault="00D860E1" w:rsidP="00424065">
            <w:pPr>
              <w:pStyle w:val="Endnotentext"/>
              <w:widowControl w:val="0"/>
              <w:rPr>
                <w:color w:val="000000"/>
                <w:lang w:val="it-IT"/>
              </w:rPr>
            </w:pPr>
            <w:r w:rsidRPr="00496684">
              <w:rPr>
                <w:color w:val="000000"/>
                <w:lang w:val="it-IT"/>
              </w:rPr>
              <w:t>DEX (6 mg/m</w:t>
            </w:r>
            <w:r w:rsidRPr="00496684">
              <w:rPr>
                <w:color w:val="000000"/>
                <w:vertAlign w:val="superscript"/>
                <w:lang w:val="it-IT"/>
              </w:rPr>
              <w:t>2</w:t>
            </w:r>
            <w:r w:rsidRPr="00496684">
              <w:rPr>
                <w:color w:val="000000"/>
                <w:lang w:val="it-IT"/>
              </w:rPr>
              <w:t>/die, PO): giorni 1</w:t>
            </w:r>
            <w:r w:rsidRPr="00496684">
              <w:rPr>
                <w:color w:val="000000"/>
                <w:lang w:val="it-IT"/>
              </w:rPr>
              <w:noBreakHyphen/>
              <w:t>5; 29</w:t>
            </w:r>
            <w:r w:rsidRPr="00496684">
              <w:rPr>
                <w:color w:val="000000"/>
                <w:lang w:val="it-IT"/>
              </w:rPr>
              <w:noBreakHyphen/>
              <w:t>33</w:t>
            </w:r>
          </w:p>
          <w:p w14:paraId="021A494C" w14:textId="77777777" w:rsidR="00D860E1" w:rsidRPr="00496684" w:rsidRDefault="00D860E1" w:rsidP="00424065">
            <w:pPr>
              <w:pStyle w:val="Endnotentext"/>
              <w:widowControl w:val="0"/>
              <w:rPr>
                <w:color w:val="000000"/>
                <w:lang w:val="it-IT"/>
              </w:rPr>
            </w:pPr>
            <w:r w:rsidRPr="00496684">
              <w:rPr>
                <w:color w:val="000000"/>
                <w:lang w:val="it-IT"/>
              </w:rPr>
              <w:t>6-MP (75 mg/m</w:t>
            </w:r>
            <w:r w:rsidRPr="00496684">
              <w:rPr>
                <w:color w:val="000000"/>
                <w:vertAlign w:val="superscript"/>
                <w:lang w:val="it-IT"/>
              </w:rPr>
              <w:t>2</w:t>
            </w:r>
            <w:r w:rsidRPr="00496684">
              <w:rPr>
                <w:color w:val="000000"/>
                <w:lang w:val="it-IT"/>
              </w:rPr>
              <w:t>/die, PO): giorni 1</w:t>
            </w:r>
            <w:r w:rsidRPr="00496684">
              <w:rPr>
                <w:color w:val="000000"/>
                <w:lang w:val="it-IT"/>
              </w:rPr>
              <w:noBreakHyphen/>
              <w:t>56</w:t>
            </w:r>
          </w:p>
          <w:p w14:paraId="457AA6F3" w14:textId="77777777" w:rsidR="00D860E1" w:rsidRPr="00496684" w:rsidRDefault="00D860E1" w:rsidP="00424065">
            <w:pPr>
              <w:pStyle w:val="Endnotentext"/>
              <w:widowControl w:val="0"/>
              <w:rPr>
                <w:color w:val="000000"/>
                <w:lang w:val="it-IT"/>
              </w:rPr>
            </w:pPr>
            <w:r w:rsidRPr="00496684">
              <w:rPr>
                <w:color w:val="000000"/>
                <w:lang w:val="it-IT"/>
              </w:rPr>
              <w:t>Metotrexate (20 mg/m</w:t>
            </w:r>
            <w:r w:rsidRPr="00496684">
              <w:rPr>
                <w:color w:val="000000"/>
                <w:vertAlign w:val="superscript"/>
                <w:lang w:val="it-IT"/>
              </w:rPr>
              <w:t>2</w:t>
            </w:r>
            <w:r w:rsidRPr="00496684">
              <w:rPr>
                <w:color w:val="000000"/>
                <w:lang w:val="it-IT"/>
              </w:rPr>
              <w:t>/settimana, PO): giorni 1, 8, 15, 22, 29, 36, 43, 50</w:t>
            </w:r>
          </w:p>
        </w:tc>
      </w:tr>
    </w:tbl>
    <w:p w14:paraId="40A1694C" w14:textId="77777777" w:rsidR="00D860E1" w:rsidRPr="00A81163" w:rsidRDefault="00D860E1" w:rsidP="00D860E1">
      <w:pPr>
        <w:pStyle w:val="Endnotentext"/>
        <w:widowControl w:val="0"/>
        <w:rPr>
          <w:color w:val="000000"/>
          <w:szCs w:val="22"/>
          <w:lang w:val="it-IT"/>
        </w:rPr>
      </w:pPr>
      <w:r w:rsidRPr="00A81163">
        <w:rPr>
          <w:color w:val="000000"/>
          <w:szCs w:val="22"/>
          <w:lang w:val="it-IT"/>
        </w:rPr>
        <w:t>G-CSF = fattore di crescita granulocitario, VP-16 = etoposide, MTX = metotrexate, IV = endovena, SC = sottocute, IT = intratecale, PO = orale, IM = intramuscolo, ARA-C = citarabina, CPM = ciclofosfamide, VCR = vincristina, DEX = desametasone, DAUN = daunorubicina, 6-MP = 6-mercaptopurina, E.Coli L-ASP = L-asparaginasi, PEG-ASP = asparaginasi pegilata, MESNA= sodio-2-mercaptoetano sulfonato, iii= o fino a quando il livello di MTX è &lt;0,1 µM, q6h = ogni 6 ore, Gy= Gray</w:t>
      </w:r>
    </w:p>
    <w:p w14:paraId="0B515DBB" w14:textId="77777777" w:rsidR="00D860E1" w:rsidRPr="00A81163" w:rsidRDefault="00D860E1" w:rsidP="00D860E1">
      <w:pPr>
        <w:pStyle w:val="Endnotentext"/>
        <w:widowControl w:val="0"/>
        <w:rPr>
          <w:szCs w:val="22"/>
          <w:lang w:val="it-IT"/>
        </w:rPr>
      </w:pPr>
    </w:p>
    <w:p w14:paraId="4B858F99" w14:textId="77777777" w:rsidR="00D860E1" w:rsidRPr="00496684" w:rsidRDefault="00D860E1" w:rsidP="00D860E1">
      <w:pPr>
        <w:pStyle w:val="Endnotentext"/>
        <w:widowControl w:val="0"/>
        <w:rPr>
          <w:szCs w:val="22"/>
          <w:lang w:val="it-IT"/>
        </w:rPr>
      </w:pPr>
      <w:r w:rsidRPr="00496684">
        <w:rPr>
          <w:szCs w:val="22"/>
          <w:lang w:val="it-IT"/>
        </w:rPr>
        <w:t>Lo studio AIT07 era uno studio di fase II/III, multicentrico, in aperto, randomizzato, che ha arruolato 128 pazienti (da 1 a &lt;18 anni) trattati con imatinib in combinazione con chemioterapia. I dati di sicurezza di questo studio sembrano essere in linea con il profilo di sicurezza di imatinib nei pazienti con LLA Ph+.</w:t>
      </w:r>
    </w:p>
    <w:p w14:paraId="5DE2B10E" w14:textId="77777777" w:rsidR="00D860E1" w:rsidRPr="00496684" w:rsidRDefault="00D860E1" w:rsidP="00D860E1">
      <w:pPr>
        <w:autoSpaceDE w:val="0"/>
        <w:autoSpaceDN w:val="0"/>
        <w:adjustRightInd w:val="0"/>
        <w:spacing w:after="0" w:line="240" w:lineRule="auto"/>
        <w:rPr>
          <w:rFonts w:ascii="Times New Roman" w:hAnsi="Times New Roman"/>
          <w:i/>
          <w:iCs/>
          <w:lang w:val="it-IT"/>
        </w:rPr>
      </w:pPr>
    </w:p>
    <w:p w14:paraId="5CAF4312" w14:textId="77777777" w:rsidR="007154B5" w:rsidRPr="00496684" w:rsidRDefault="007154B5" w:rsidP="007154B5">
      <w:pPr>
        <w:autoSpaceDE w:val="0"/>
        <w:autoSpaceDN w:val="0"/>
        <w:adjustRightInd w:val="0"/>
        <w:spacing w:after="0" w:line="240" w:lineRule="auto"/>
        <w:rPr>
          <w:rFonts w:ascii="Times New Roman" w:hAnsi="Times New Roman"/>
          <w:lang w:val="it-IT"/>
        </w:rPr>
      </w:pPr>
      <w:r w:rsidRPr="00496684">
        <w:rPr>
          <w:rFonts w:ascii="Times New Roman" w:hAnsi="Times New Roman"/>
          <w:i/>
          <w:iCs/>
          <w:lang w:val="it-IT"/>
        </w:rPr>
        <w:t xml:space="preserve">LLA Ph+ recidivante/refrattaria: </w:t>
      </w:r>
      <w:r w:rsidRPr="00496684">
        <w:rPr>
          <w:rFonts w:ascii="Times New Roman" w:hAnsi="Times New Roman"/>
          <w:lang w:val="it-IT"/>
        </w:rPr>
        <w:t>Quando imatinib è stato utilizzato come agente singolo in pazienti con LLA Ph+ recidivante/refrattaria si è osservata una percentuale di risposta ematologica del 30% (9% completa) ed una percentuale di risposta citogenetica maggiore del 23% in 53 pazienti su 411 valutabili per la risposta. (Più precisamente, su 411 pazienti 353 sono stati trattati nell’ambito di un programma di accesso allargato che non prevedeva la raccolta di dati sulla risposta primaria). In tutta la popolazione di 411 pazienti con LLA Ph+ recidivante/refrattaria il tempo mediano alla progressione variava da 2,6 a 3,1 mesi e nei 401 pazienti valutabili, la sopravvivenza globale mediana variava da 4,9 a 9 mesi. I dati sono risultati simili quando sono stati rianalizzati per includere solo pazienti di età pari o superiore a 55 anni.</w:t>
      </w:r>
    </w:p>
    <w:p w14:paraId="4AACF356" w14:textId="77777777" w:rsidR="007154B5" w:rsidRPr="00496684" w:rsidRDefault="007154B5" w:rsidP="007154B5">
      <w:pPr>
        <w:autoSpaceDE w:val="0"/>
        <w:autoSpaceDN w:val="0"/>
        <w:adjustRightInd w:val="0"/>
        <w:spacing w:after="0" w:line="240" w:lineRule="auto"/>
        <w:rPr>
          <w:rFonts w:ascii="Times New Roman" w:hAnsi="Times New Roman"/>
          <w:lang w:val="it-IT"/>
        </w:rPr>
      </w:pPr>
    </w:p>
    <w:p w14:paraId="6800165D" w14:textId="77777777" w:rsidR="007154B5" w:rsidRPr="00496684" w:rsidRDefault="007154B5" w:rsidP="007154B5">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Studi clinici in MDS/MPD </w:t>
      </w:r>
    </w:p>
    <w:p w14:paraId="6666CBBE" w14:textId="77777777" w:rsidR="00D96DEE" w:rsidRPr="00496684" w:rsidRDefault="007154B5" w:rsidP="00D96DEE">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In questa indicazione l’esperienza con imatinib è molto limitata e si basa sulle percentuali di risposta ematologica e citogenetica. Non ci sono studi clinici controllati che dimostrano un beneficio clinico o un’aumentata sopravvivenza. E’ stato condotto uno studio clinico di fase II, in aperto, multicentrico (studio B2225) per valutare imatinib in diverse popolazioni di pazienti con patologie </w:t>
      </w:r>
      <w:r w:rsidR="00D96DEE" w:rsidRPr="00496684">
        <w:rPr>
          <w:rFonts w:ascii="Times New Roman" w:eastAsia="Times New Roman" w:hAnsi="Times New Roman"/>
          <w:color w:val="000000"/>
          <w:lang w:val="it-IT" w:eastAsia="it-IT"/>
        </w:rPr>
        <w:t xml:space="preserve">ad elevato rischio di morte </w:t>
      </w:r>
      <w:r w:rsidRPr="00496684">
        <w:rPr>
          <w:rFonts w:ascii="Times New Roman" w:eastAsia="Times New Roman" w:hAnsi="Times New Roman"/>
          <w:color w:val="000000"/>
          <w:lang w:val="it-IT" w:eastAsia="it-IT"/>
        </w:rPr>
        <w:t xml:space="preserve">associate a proteine tirosin chinasi Abl, Kit o PDGFR. In questo studio sono stati inclusi 7 pazienti con MDS/MPD che erano stati trattati con imatinib 400 mg al giorno. Tre pazienti avevano presentato una risposta ematologica completa (CHR) ed un paziente aveva avuto una risposta ematologica parziale (PHR). Al tempo dell’analisi originale, tre dei quattro pazienti con riscontro del riarrangiamento del gene PDGFR avevano sviluppato una risposta ematologica (2 CHR e 1 PHR). L’età di questi pazienti era compresa tra 20 e 72 anni. </w:t>
      </w:r>
    </w:p>
    <w:p w14:paraId="10A32FB0" w14:textId="77777777" w:rsidR="00D96DEE" w:rsidRPr="00496684" w:rsidRDefault="00D96DEE" w:rsidP="00D96DEE">
      <w:pPr>
        <w:autoSpaceDE w:val="0"/>
        <w:autoSpaceDN w:val="0"/>
        <w:adjustRightInd w:val="0"/>
        <w:spacing w:after="0" w:line="240" w:lineRule="auto"/>
        <w:rPr>
          <w:rFonts w:ascii="Times New Roman" w:hAnsi="Times New Roman"/>
          <w:lang w:val="it-IT"/>
        </w:rPr>
      </w:pPr>
    </w:p>
    <w:p w14:paraId="5F69297C" w14:textId="77777777" w:rsidR="00D96DEE" w:rsidRPr="00496684" w:rsidRDefault="00D96DEE" w:rsidP="00D96DEE">
      <w:pPr>
        <w:pStyle w:val="Endnotentext"/>
        <w:widowControl w:val="0"/>
        <w:tabs>
          <w:tab w:val="clear" w:pos="567"/>
        </w:tabs>
        <w:rPr>
          <w:szCs w:val="22"/>
          <w:lang w:val="it-IT"/>
        </w:rPr>
      </w:pPr>
      <w:r w:rsidRPr="00496684">
        <w:rPr>
          <w:szCs w:val="22"/>
          <w:lang w:val="it-IT"/>
        </w:rPr>
        <w:t>Un registro osservazionale (studio L2401) è stato condotto per raccogliere i dati di sicurezza ed efficacia a lungo termine in pazienti affetti da neoplasie mieloproliferative con riarrangiamento del PDGFR-β e che sono stati trattati con imatinib. I 23 pazienti arruolati in questo registro hanno assunto imatinib alla dose giornaliera mediana di 264 mg (intervallo 100</w:t>
      </w:r>
      <w:r w:rsidRPr="00496684">
        <w:rPr>
          <w:szCs w:val="22"/>
          <w:lang w:val="it-IT"/>
        </w:rPr>
        <w:noBreakHyphen/>
        <w:t>400 mg) per una durata mediana di 7,2 anni (intervallo 0,1</w:t>
      </w:r>
      <w:r w:rsidRPr="00496684">
        <w:rPr>
          <w:szCs w:val="22"/>
          <w:lang w:val="it-IT"/>
        </w:rPr>
        <w:noBreakHyphen/>
        <w:t>12,7 anni). Data la natura osservazionale di questo registro, i dati delle valutazioni ematologiche, citogenetiche e molecolari sono disponibili rispettivamente per 22, 9 e 17 dei 23 pazienti arruolati. Assumendo in modo conservativo che i pazienti con dati mancanti fossero non-rispondenti, la CHR è stata osservata rispettivamente in 20/23 (87%) pazienti, la CCyR (risposta citogenetica completa) in 9/23 (39,1%) pazienti, e la MR (risposta molecolare) in 11/23 (47,8%) pazienti. Quando il tasso di risposta è stato calcolato su pazienti con almeno una valutazione valida, il tasso di risposta per CHR, CCyR e MR è stato rispettivamente 20/22 (90,9%), 9/9 (100%) e 11/17 (64,7%).</w:t>
      </w:r>
    </w:p>
    <w:p w14:paraId="60695CE0" w14:textId="77777777" w:rsidR="00D96DEE" w:rsidRPr="00496684" w:rsidRDefault="00D96DEE" w:rsidP="00D96DEE">
      <w:pPr>
        <w:autoSpaceDE w:val="0"/>
        <w:autoSpaceDN w:val="0"/>
        <w:adjustRightInd w:val="0"/>
        <w:spacing w:after="0" w:line="240" w:lineRule="auto"/>
        <w:rPr>
          <w:rFonts w:ascii="Times New Roman" w:eastAsia="Times New Roman" w:hAnsi="Times New Roman"/>
          <w:color w:val="000000"/>
          <w:lang w:val="it-IT" w:eastAsia="it-IT"/>
        </w:rPr>
      </w:pPr>
    </w:p>
    <w:p w14:paraId="451CED9E" w14:textId="77777777" w:rsidR="007154B5" w:rsidRPr="00496684" w:rsidRDefault="007154B5" w:rsidP="007154B5">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Inoltre sono stati riportati in 13 pubblicazioni ulteriori 24 pazienti con MDS/MPD. 21 pazienti erano stati trattati con imatinib 400 mg al giorno, mentre gli altri 3 pazienti avevano ricevuto dosi inferiori. In undici pazienti era stato riscontrato il riarrangiamento del gene PDGFR, 9 di questi avevano raggiunto una CHR ed 1 una PHR. L’età di questi pazienti era compresa tra 2 a 79 anni. In una recente pubblicazione, informazioni aggiornate su 6 di questi 11 pazienti avevano rivelato che tutti i pazienti erano rimasti in remissione citogenetica (intervallo 32-38 mesi). La stessa pubblicazione ha riportato i dati di follow-up a lungo termine di 12 pazienti (di cui 5 pazienti dello studio B2225) affetti da MDS/MPD con riarrangiamenti del gene PDGFR. Questi pazienti avevano ricevuto imatinib per una mediana di 47 mesi (intervallo 24 giorni – 60 mesi). In 6 di questi pazienti il follow-up supera ora 4 anni. Undici pazienti avevano raggiunto rapidamente la CHR, dieci avevano avuto una completa risoluzione delle anomalie citogenetiche ed una diminuzione o scomparsa dei trascritti di fusione misurati mediante RT-PCR. Le risposte ematologiche e citogenetiche sono state mantenute rispettivamente per una mediana di 49 mesi (intervallo 19-60) e di 47 mesi (intervallo 16-59). La sopravvivenza globale è 65 mesi dalla diagnosi (intervallo 25-234). La somministrazione di imatinib a pazienti senza traslocazione genetica non porta generalmente ad un miglioramento.</w:t>
      </w:r>
    </w:p>
    <w:p w14:paraId="01D4A3FD" w14:textId="77777777" w:rsidR="007154B5" w:rsidRPr="00496684" w:rsidRDefault="007154B5" w:rsidP="007154B5">
      <w:pPr>
        <w:autoSpaceDE w:val="0"/>
        <w:autoSpaceDN w:val="0"/>
        <w:adjustRightInd w:val="0"/>
        <w:spacing w:after="0" w:line="240" w:lineRule="auto"/>
        <w:rPr>
          <w:rFonts w:ascii="Times New Roman" w:eastAsia="Times New Roman" w:hAnsi="Times New Roman"/>
          <w:color w:val="000000"/>
          <w:lang w:val="it-IT" w:eastAsia="it-IT"/>
        </w:rPr>
      </w:pPr>
    </w:p>
    <w:p w14:paraId="55A3CF5D" w14:textId="77777777" w:rsidR="007154B5" w:rsidRPr="00496684" w:rsidRDefault="007154B5" w:rsidP="007154B5">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hAnsi="Times New Roman"/>
          <w:lang w:val="it-IT"/>
        </w:rPr>
        <w:t>Non ci sono studi controllati in pazienti pediatrici con MDS/MPD. Cinque (5) pazienti con MDS/MPD associata al riarrangiamento del gene PDGFR sono stati riportati in 4 pubblicazioni. L’età di questi pazienti variava da 3 mesi a 4 anni e imatinib era stato somministrato alla dose di 50 mg al giorno o a dosi giornaliere comprese tra 92,5 e 340 mg/m</w:t>
      </w:r>
      <w:r w:rsidRPr="00496684">
        <w:rPr>
          <w:rFonts w:ascii="Times New Roman" w:hAnsi="Times New Roman"/>
          <w:sz w:val="20"/>
          <w:szCs w:val="14"/>
          <w:vertAlign w:val="superscript"/>
          <w:lang w:val="it-IT"/>
        </w:rPr>
        <w:t>2</w:t>
      </w:r>
      <w:r w:rsidRPr="00496684">
        <w:rPr>
          <w:rFonts w:ascii="Times New Roman" w:hAnsi="Times New Roman"/>
          <w:lang w:val="it-IT"/>
        </w:rPr>
        <w:t>. Tutti i pazienti avevano raggiunto una risposta ematologica completa, una risposta citogenetica e/o una risposta clinica.</w:t>
      </w:r>
    </w:p>
    <w:p w14:paraId="0857144F" w14:textId="77777777" w:rsidR="007154B5" w:rsidRPr="00496684" w:rsidRDefault="007154B5" w:rsidP="007154B5">
      <w:pPr>
        <w:autoSpaceDE w:val="0"/>
        <w:autoSpaceDN w:val="0"/>
        <w:adjustRightInd w:val="0"/>
        <w:spacing w:after="0" w:line="240" w:lineRule="auto"/>
        <w:rPr>
          <w:rFonts w:ascii="Times New Roman" w:hAnsi="Times New Roman"/>
          <w:lang w:val="it-IT"/>
        </w:rPr>
      </w:pPr>
    </w:p>
    <w:p w14:paraId="0FB2C5F0" w14:textId="77777777" w:rsidR="007154B5" w:rsidRPr="00496684" w:rsidRDefault="007154B5" w:rsidP="007154B5">
      <w:pPr>
        <w:autoSpaceDE w:val="0"/>
        <w:autoSpaceDN w:val="0"/>
        <w:adjustRightInd w:val="0"/>
        <w:spacing w:after="0" w:line="240" w:lineRule="auto"/>
        <w:rPr>
          <w:rFonts w:ascii="Times New Roman" w:eastAsia="Times New Roman" w:hAnsi="Times New Roman"/>
          <w:color w:val="000000"/>
          <w:u w:val="single"/>
          <w:lang w:val="it-IT" w:eastAsia="it-IT"/>
        </w:rPr>
      </w:pPr>
      <w:r w:rsidRPr="00496684">
        <w:rPr>
          <w:rFonts w:ascii="Times New Roman" w:eastAsia="Times New Roman" w:hAnsi="Times New Roman"/>
          <w:color w:val="000000"/>
          <w:u w:val="single"/>
          <w:lang w:val="it-IT" w:eastAsia="it-IT"/>
        </w:rPr>
        <w:t xml:space="preserve">Studi clinici nelle HES/LEC </w:t>
      </w:r>
    </w:p>
    <w:p w14:paraId="5860343F" w14:textId="77777777" w:rsidR="007154B5" w:rsidRPr="00496684" w:rsidRDefault="007154B5" w:rsidP="007154B5">
      <w:pPr>
        <w:autoSpaceDE w:val="0"/>
        <w:autoSpaceDN w:val="0"/>
        <w:adjustRightInd w:val="0"/>
        <w:spacing w:after="0" w:line="240" w:lineRule="auto"/>
        <w:rPr>
          <w:rFonts w:ascii="Times New Roman" w:eastAsia="Times New Roman" w:hAnsi="Times New Roman"/>
          <w:color w:val="000000"/>
          <w:lang w:val="it-IT" w:eastAsia="it-IT"/>
        </w:rPr>
      </w:pPr>
      <w:r w:rsidRPr="00496684">
        <w:rPr>
          <w:rFonts w:ascii="Times New Roman" w:eastAsia="Times New Roman" w:hAnsi="Times New Roman"/>
          <w:color w:val="000000"/>
          <w:lang w:val="it-IT" w:eastAsia="it-IT"/>
        </w:rPr>
        <w:t xml:space="preserve">E’ stato condotto uno studio clinico di fase II, in aperto, multicentrico (studio B2225) per valutare imatinib in diverse popolazioni di pazienti </w:t>
      </w:r>
      <w:r w:rsidR="00D96DEE" w:rsidRPr="00496684">
        <w:rPr>
          <w:rFonts w:ascii="Times New Roman" w:eastAsia="Times New Roman" w:hAnsi="Times New Roman"/>
          <w:color w:val="000000"/>
          <w:lang w:val="it-IT" w:eastAsia="it-IT"/>
        </w:rPr>
        <w:t>con</w:t>
      </w:r>
      <w:r w:rsidRPr="00496684">
        <w:rPr>
          <w:rFonts w:ascii="Times New Roman" w:eastAsia="Times New Roman" w:hAnsi="Times New Roman"/>
          <w:color w:val="000000"/>
          <w:lang w:val="it-IT" w:eastAsia="it-IT"/>
        </w:rPr>
        <w:t xml:space="preserve"> patologie </w:t>
      </w:r>
      <w:r w:rsidR="00D96DEE" w:rsidRPr="00496684">
        <w:rPr>
          <w:rFonts w:ascii="Times New Roman" w:eastAsia="Times New Roman" w:hAnsi="Times New Roman"/>
          <w:color w:val="000000"/>
          <w:lang w:val="it-IT" w:eastAsia="it-IT"/>
        </w:rPr>
        <w:t>ad elevato rischio di morte</w:t>
      </w:r>
      <w:r w:rsidR="00D96DEE" w:rsidRPr="00496684" w:rsidDel="00D96DEE">
        <w:rPr>
          <w:rFonts w:ascii="Times New Roman" w:hAnsi="Times New Roman"/>
          <w:lang w:val="it-IT"/>
        </w:rPr>
        <w:t xml:space="preserve"> </w:t>
      </w:r>
      <w:r w:rsidRPr="00496684">
        <w:rPr>
          <w:rFonts w:ascii="Times New Roman" w:eastAsia="Times New Roman" w:hAnsi="Times New Roman"/>
          <w:color w:val="000000"/>
          <w:lang w:val="it-IT" w:eastAsia="it-IT"/>
        </w:rPr>
        <w:t>associate alle proteine tirosin chinasi Abl, Kit o PDGFR. In questo studio, 14 pazienti con HES/LEC sono stati trattati con dosi giornaliere di imatinib da 100 mg a 1.000 mg. Ulteriori 162 pazienti con HES/LEC, riportati in 35 casi clinici e serie di casi pubblicati avevano ricevuto imatinib alle dosi giornaliere da 75 mg a 800 mg. Sono state valutate anomalie citogenetiche in 117 pazienti della popolazione totale di 176 pazienti. In 61 di questi 117 pazienti è stata identificata la chinasi di fusione FIP1L1-PDGFRα. In altri 3 lavori pubblicati, ulteriori quattro pazienti con HES sono risultati positivi per la chinasi di fusione FIP1L1-PDGFRα. Tutti i 65 pazienti, positivi per la chinasi di fusione FIP1L1-PDGFRα, avevano raggiunto una CHR mantenuta per mesi (intervallo da 1+ a 44+ mesi troncati al momento del report). Come riportato in una recente pubblicazione, 21 di questi 65 pazienti avevano anche raggiunto una remissione molecolare completa con un follow-up mediano di 28 mesi (intervallo 13-67 mesi). L’età di questi pazienti variava da 25 a 72 anni. Inoltre, sono stati riportati dagli sperimentatori casi clinici di miglioramento della sintomatologia e di altre anomalie funzionali d’organo. Sono stati riportati miglioramenti a livello cardiaco, del sistema nervoso, del tessuto cutaneo/sottocutaneo, del tratto respiratorio/toracico/mediastinico, dell’apparato muscolo-scheletrico/tessuto connettivo/vascolare e gastrointestinale.</w:t>
      </w:r>
    </w:p>
    <w:p w14:paraId="7DC1273B" w14:textId="77777777" w:rsidR="007154B5" w:rsidRPr="00496684" w:rsidRDefault="007154B5" w:rsidP="007154B5">
      <w:pPr>
        <w:autoSpaceDE w:val="0"/>
        <w:autoSpaceDN w:val="0"/>
        <w:adjustRightInd w:val="0"/>
        <w:spacing w:after="0" w:line="240" w:lineRule="auto"/>
        <w:rPr>
          <w:rFonts w:ascii="Times New Roman" w:hAnsi="Times New Roman"/>
          <w:lang w:val="it-IT"/>
        </w:rPr>
      </w:pPr>
    </w:p>
    <w:p w14:paraId="760AF42C" w14:textId="77777777" w:rsidR="007154B5" w:rsidRPr="00496684" w:rsidRDefault="007154B5" w:rsidP="007154B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Non ci sono studi controllati in pazienti pediatrici con HES/LEC. Tre (3) pazienti con HES e LEC associate al riarrangiamento del gene PDGFR sono stati riportati in 3 pubblicazioni. L’età di questi pazienti variava da 2 a 16 anni e imatinib era stato somministrato alla dose di 300 mg/m</w:t>
      </w:r>
      <w:r w:rsidRPr="00496684">
        <w:rPr>
          <w:rFonts w:ascii="Times New Roman" w:hAnsi="Times New Roman"/>
          <w:sz w:val="14"/>
          <w:szCs w:val="14"/>
          <w:lang w:val="it-IT"/>
        </w:rPr>
        <w:t xml:space="preserve">2 </w:t>
      </w:r>
      <w:r w:rsidRPr="00496684">
        <w:rPr>
          <w:rFonts w:ascii="Times New Roman" w:hAnsi="Times New Roman"/>
          <w:lang w:val="it-IT"/>
        </w:rPr>
        <w:t>al giorno o a dosi giornaliere comprese tra 200 e 400 mg. Tutti i pazienti avevano raggiunto una risposta ematologica, una risposta citogenetica completa e/o una risposta molecolare completa.</w:t>
      </w:r>
    </w:p>
    <w:p w14:paraId="1D463200" w14:textId="77777777" w:rsidR="007154B5" w:rsidRPr="00496684" w:rsidRDefault="007154B5" w:rsidP="007154B5">
      <w:pPr>
        <w:autoSpaceDE w:val="0"/>
        <w:autoSpaceDN w:val="0"/>
        <w:adjustRightInd w:val="0"/>
        <w:spacing w:after="0" w:line="240" w:lineRule="auto"/>
        <w:rPr>
          <w:rFonts w:ascii="Times New Roman" w:hAnsi="Times New Roman"/>
          <w:lang w:val="it-IT"/>
        </w:rPr>
      </w:pPr>
    </w:p>
    <w:p w14:paraId="28F8E0C6" w14:textId="77777777" w:rsidR="007154B5" w:rsidRPr="00496684" w:rsidRDefault="007154B5" w:rsidP="007154B5">
      <w:pPr>
        <w:autoSpaceDE w:val="0"/>
        <w:autoSpaceDN w:val="0"/>
        <w:adjustRightInd w:val="0"/>
        <w:spacing w:after="0" w:line="240" w:lineRule="auto"/>
        <w:rPr>
          <w:rFonts w:ascii="Times New Roman" w:hAnsi="Times New Roman"/>
          <w:u w:val="single"/>
          <w:lang w:val="it-IT"/>
        </w:rPr>
      </w:pPr>
      <w:r w:rsidRPr="00496684">
        <w:rPr>
          <w:rFonts w:ascii="Times New Roman" w:hAnsi="Times New Roman"/>
          <w:u w:val="single"/>
          <w:lang w:val="it-IT"/>
        </w:rPr>
        <w:t>Studi clinici nel DFSP</w:t>
      </w:r>
    </w:p>
    <w:p w14:paraId="6ED3DD4D" w14:textId="77777777" w:rsidR="007154B5" w:rsidRPr="00496684" w:rsidRDefault="007154B5" w:rsidP="007154B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stato condotto uno studio clinico di fase II, in aperto, multicentrico (studio B2225) che includeva 12 pazienti con DFSP trattati con imatinib 800 mg al giorno. L’età dei pazienti con DFSP variava da 23 a 75 anni; il DFSP era metastatico, con recidive locali dopo resezione chirurgica iniziale e considerato non ulteriormente resecabile al momento dell’entrata nello studio. L’evidenza primaria di efficacia era basata sulle percentuali di risposte obiettive. Su 12 pazienti arruolati, 9 avevano avuto una risposta, uno dei quali completa e 8 parziale. Tre dei pazienti con risposta parziale erano stati resi successivamente liberi da malattia mediante chirurgia. La durata mediana della terapia nello studio B2225 è stata 6,2 mesi, con una durata massima di 24,3 mesi. Ulteriori 6 pazienti con DFSP trattati con imatinib sono stati riportati in 5 casi clinici pubblicati, la loro età era compresa tra 18 mesi e 49 anni. I pazienti adulti descritti nella letteratura pubblicata erano stati trattati con imatinib 400 mg (4 casi) o con 800 mg al giorno (1 caso). Cinque (5) pazienti hanno avuto una risposta, 3 dei quali completa e 2 parziale. La durata mediana della terapia nella letteratura pubblicata variava da 4 settimane a più di 20 mesi. In quasi tutti i pazienti che rispondevano al trattamento con imatinib era presente la traslocazione t(17:22)[(q22:q13)] o il suo prodotto genico.</w:t>
      </w:r>
    </w:p>
    <w:p w14:paraId="50DDB6DA" w14:textId="77777777" w:rsidR="007154B5" w:rsidRPr="00496684" w:rsidRDefault="007154B5" w:rsidP="007154B5">
      <w:pPr>
        <w:autoSpaceDE w:val="0"/>
        <w:autoSpaceDN w:val="0"/>
        <w:adjustRightInd w:val="0"/>
        <w:spacing w:after="0" w:line="240" w:lineRule="auto"/>
        <w:rPr>
          <w:rFonts w:ascii="Times New Roman" w:hAnsi="Times New Roman"/>
          <w:lang w:val="it-IT"/>
        </w:rPr>
      </w:pPr>
    </w:p>
    <w:p w14:paraId="64BCA7FA" w14:textId="77777777" w:rsidR="007154B5" w:rsidRPr="00496684" w:rsidRDefault="007154B5" w:rsidP="007154B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Non ci sono studi controllati in pazienti pediatrici con DFSP. Cinque (5) pazienti con DFSP e riarrangiamento del gene PDGFR sono stati riportati in 3 pubblicazioni. L’età di questi pazienti variava da neonato a 14 anni e imatinib era stato somministrato alla dose di 50 mg al giorno o a dosi giornaliere comprese tra 400 e 520 mg/m</w:t>
      </w:r>
      <w:r w:rsidRPr="00496684">
        <w:rPr>
          <w:rFonts w:ascii="Times New Roman" w:hAnsi="Times New Roman"/>
          <w:sz w:val="20"/>
          <w:szCs w:val="14"/>
          <w:vertAlign w:val="superscript"/>
          <w:lang w:val="it-IT"/>
        </w:rPr>
        <w:t>2</w:t>
      </w:r>
      <w:r w:rsidRPr="00496684">
        <w:rPr>
          <w:rFonts w:ascii="Times New Roman" w:hAnsi="Times New Roman"/>
          <w:lang w:val="it-IT"/>
        </w:rPr>
        <w:t>. Tutti i pazienti avevano raggiunto una risposta parziale e/o completa</w:t>
      </w:r>
    </w:p>
    <w:p w14:paraId="34851968" w14:textId="77777777" w:rsidR="007353FB" w:rsidRPr="00496684" w:rsidRDefault="007353FB" w:rsidP="00B20FFF">
      <w:pPr>
        <w:autoSpaceDE w:val="0"/>
        <w:autoSpaceDN w:val="0"/>
        <w:adjustRightInd w:val="0"/>
        <w:spacing w:after="0" w:line="240" w:lineRule="auto"/>
        <w:rPr>
          <w:rFonts w:ascii="Times New Roman" w:hAnsi="Times New Roman"/>
          <w:lang w:val="it-IT"/>
        </w:rPr>
      </w:pPr>
    </w:p>
    <w:p w14:paraId="712C80B9"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5.2</w:t>
      </w:r>
      <w:r w:rsidRPr="00496684">
        <w:rPr>
          <w:rFonts w:ascii="Times New Roman" w:hAnsi="Times New Roman"/>
          <w:b/>
          <w:bCs/>
          <w:lang w:val="it-IT"/>
        </w:rPr>
        <w:tab/>
      </w:r>
      <w:r w:rsidR="00B20FFF" w:rsidRPr="00496684">
        <w:rPr>
          <w:rFonts w:ascii="Times New Roman" w:hAnsi="Times New Roman"/>
          <w:b/>
          <w:lang w:val="it-IT"/>
        </w:rPr>
        <w:t>Proprietà farmacocinetiche</w:t>
      </w:r>
    </w:p>
    <w:p w14:paraId="53532028" w14:textId="77777777" w:rsidR="007353FB" w:rsidRPr="00496684" w:rsidRDefault="007353FB" w:rsidP="00CA176A">
      <w:pPr>
        <w:autoSpaceDE w:val="0"/>
        <w:autoSpaceDN w:val="0"/>
        <w:adjustRightInd w:val="0"/>
        <w:spacing w:after="0" w:line="240" w:lineRule="auto"/>
        <w:rPr>
          <w:rFonts w:ascii="Times New Roman" w:hAnsi="Times New Roman"/>
          <w:bCs/>
          <w:lang w:val="it-IT"/>
        </w:rPr>
      </w:pPr>
    </w:p>
    <w:p w14:paraId="37058E8D" w14:textId="77777777" w:rsidR="00B20FFF" w:rsidRPr="00496684" w:rsidRDefault="00B20FFF" w:rsidP="00B20FFF">
      <w:pPr>
        <w:pStyle w:val="Endnotentext"/>
        <w:widowControl w:val="0"/>
        <w:tabs>
          <w:tab w:val="clear" w:pos="567"/>
        </w:tabs>
        <w:rPr>
          <w:szCs w:val="22"/>
          <w:u w:val="single"/>
          <w:lang w:val="it-IT"/>
        </w:rPr>
      </w:pPr>
      <w:r w:rsidRPr="00496684">
        <w:rPr>
          <w:szCs w:val="22"/>
          <w:u w:val="single"/>
          <w:lang w:val="it-IT"/>
        </w:rPr>
        <w:t xml:space="preserve">Farmacocinetica di </w:t>
      </w:r>
      <w:r w:rsidR="007353FB" w:rsidRPr="00496684">
        <w:rPr>
          <w:szCs w:val="22"/>
          <w:u w:val="single"/>
          <w:lang w:val="it-IT"/>
        </w:rPr>
        <w:t>imatinib</w:t>
      </w:r>
    </w:p>
    <w:p w14:paraId="6B3A7FE7" w14:textId="77777777" w:rsidR="00B20FFF" w:rsidRPr="00496684" w:rsidRDefault="00B20FFF" w:rsidP="00B20FFF">
      <w:pPr>
        <w:pStyle w:val="Endnotentext"/>
        <w:widowControl w:val="0"/>
        <w:tabs>
          <w:tab w:val="clear" w:pos="567"/>
        </w:tabs>
        <w:rPr>
          <w:szCs w:val="22"/>
          <w:lang w:val="it-IT"/>
        </w:rPr>
      </w:pPr>
      <w:r w:rsidRPr="00496684">
        <w:rPr>
          <w:szCs w:val="22"/>
          <w:lang w:val="it-IT"/>
        </w:rPr>
        <w:t xml:space="preserve">La farmacocinetica di </w:t>
      </w:r>
      <w:r w:rsidR="007353FB" w:rsidRPr="00496684">
        <w:rPr>
          <w:szCs w:val="22"/>
          <w:lang w:val="it-IT"/>
        </w:rPr>
        <w:t>i</w:t>
      </w:r>
      <w:r w:rsidR="00521ABE" w:rsidRPr="00496684">
        <w:rPr>
          <w:szCs w:val="22"/>
          <w:lang w:val="it-IT"/>
        </w:rPr>
        <w:t xml:space="preserve">matinib </w:t>
      </w:r>
      <w:r w:rsidRPr="00496684">
        <w:rPr>
          <w:szCs w:val="22"/>
          <w:lang w:val="it-IT"/>
        </w:rPr>
        <w:t xml:space="preserve">è stata valutata in un intervallo di dosaggio da </w:t>
      </w:r>
      <w:smartTag w:uri="urn:schemas-microsoft-com:office:smarttags" w:element="metricconverter">
        <w:smartTagPr>
          <w:attr w:name="ProductID" w:val="25 a"/>
        </w:smartTagPr>
        <w:r w:rsidRPr="00496684">
          <w:rPr>
            <w:szCs w:val="22"/>
            <w:lang w:val="it-IT"/>
          </w:rPr>
          <w:t>25 a</w:t>
        </w:r>
      </w:smartTag>
      <w:r w:rsidRPr="00496684">
        <w:rPr>
          <w:szCs w:val="22"/>
          <w:lang w:val="it-IT"/>
        </w:rPr>
        <w:t xml:space="preserve"> 1.000 mg. I profili farmacocinetici plasmatici sono stati analizzati il giorno 1 e il giorno 7 o il giorno 28, entro i quali le concentrazioni plasmatiche avevano raggiunto lo steady state.</w:t>
      </w:r>
    </w:p>
    <w:p w14:paraId="3E49A21A" w14:textId="77777777" w:rsidR="00B20FFF" w:rsidRPr="00496684" w:rsidRDefault="00B20FFF" w:rsidP="00B20FFF">
      <w:pPr>
        <w:autoSpaceDE w:val="0"/>
        <w:autoSpaceDN w:val="0"/>
        <w:adjustRightInd w:val="0"/>
        <w:spacing w:after="0" w:line="240" w:lineRule="auto"/>
        <w:rPr>
          <w:rFonts w:ascii="Times New Roman" w:hAnsi="Times New Roman"/>
          <w:bCs/>
          <w:lang w:val="it-IT"/>
        </w:rPr>
      </w:pPr>
    </w:p>
    <w:p w14:paraId="29DC898D"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Assorbimento</w:t>
      </w:r>
    </w:p>
    <w:p w14:paraId="0C95B25A" w14:textId="77777777" w:rsidR="00B20FFF" w:rsidRPr="00496684" w:rsidRDefault="00B20FFF" w:rsidP="00B20FFF">
      <w:pPr>
        <w:pStyle w:val="Endnotentext"/>
        <w:widowControl w:val="0"/>
        <w:tabs>
          <w:tab w:val="clear" w:pos="567"/>
        </w:tabs>
        <w:rPr>
          <w:szCs w:val="22"/>
          <w:lang w:val="it-IT"/>
        </w:rPr>
      </w:pPr>
      <w:r w:rsidRPr="00496684">
        <w:rPr>
          <w:szCs w:val="22"/>
          <w:lang w:val="it-IT"/>
        </w:rPr>
        <w:t>La biodisponibilità media assoluta per la formulazione in capsule è del 98%. Vi è un'elevata variabilità tra i pazienti nei livelli plasmatici di AUC di imatinib dopo una dose orale. Se somministrato con un pasto ad elevato contenuto di grassi, il tasso dell’assorbimento di imatinib era ridotto in modo minimo (riduzione del 11% di C</w:t>
      </w:r>
      <w:r w:rsidRPr="00496684">
        <w:rPr>
          <w:szCs w:val="22"/>
          <w:vertAlign w:val="subscript"/>
          <w:lang w:val="it-IT"/>
        </w:rPr>
        <w:t>max</w:t>
      </w:r>
      <w:r w:rsidRPr="00496684">
        <w:rPr>
          <w:szCs w:val="22"/>
          <w:lang w:val="it-IT"/>
        </w:rPr>
        <w:t xml:space="preserve"> e prolungamento di t</w:t>
      </w:r>
      <w:r w:rsidRPr="00496684">
        <w:rPr>
          <w:szCs w:val="22"/>
          <w:vertAlign w:val="subscript"/>
          <w:lang w:val="it-IT"/>
        </w:rPr>
        <w:t>max</w:t>
      </w:r>
      <w:r w:rsidRPr="00496684">
        <w:rPr>
          <w:szCs w:val="22"/>
          <w:lang w:val="it-IT"/>
        </w:rPr>
        <w:t xml:space="preserve"> di 1,5 h), con una lieve diminuzione dell’AUC (7,4%) in rapporto alle condizioni di digiuno. Non è stato studiato l'effetto di un precedente intervento chirurgico sull'assorbimento del farmaco.</w:t>
      </w:r>
    </w:p>
    <w:p w14:paraId="65E7EF26" w14:textId="77777777" w:rsidR="00B20FFF" w:rsidRPr="00496684" w:rsidRDefault="00B20FFF" w:rsidP="00B20FFF">
      <w:pPr>
        <w:pStyle w:val="Endnotentext"/>
        <w:widowControl w:val="0"/>
        <w:tabs>
          <w:tab w:val="clear" w:pos="567"/>
        </w:tabs>
        <w:rPr>
          <w:szCs w:val="22"/>
          <w:lang w:val="it-IT"/>
        </w:rPr>
      </w:pPr>
    </w:p>
    <w:p w14:paraId="0DCE7773"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Distribuzione</w:t>
      </w:r>
    </w:p>
    <w:p w14:paraId="44C926CE" w14:textId="77777777" w:rsidR="00B20FFF" w:rsidRPr="00496684" w:rsidRDefault="00B20FFF" w:rsidP="00B20FFF">
      <w:pPr>
        <w:pStyle w:val="Endnotentext"/>
        <w:widowControl w:val="0"/>
        <w:tabs>
          <w:tab w:val="clear" w:pos="567"/>
        </w:tabs>
        <w:rPr>
          <w:szCs w:val="22"/>
          <w:lang w:val="it-IT"/>
        </w:rPr>
      </w:pPr>
      <w:r w:rsidRPr="00496684">
        <w:rPr>
          <w:szCs w:val="22"/>
          <w:lang w:val="it-IT"/>
        </w:rPr>
        <w:t xml:space="preserve">Alle concentrazioni clinicamente rilevanti di imatinib, il legame alle proteine plasmatiche, sulla base degli esperimenti </w:t>
      </w:r>
      <w:r w:rsidRPr="00496684">
        <w:rPr>
          <w:i/>
          <w:szCs w:val="22"/>
          <w:lang w:val="it-IT"/>
        </w:rPr>
        <w:t>in vitro</w:t>
      </w:r>
      <w:r w:rsidRPr="00496684">
        <w:rPr>
          <w:szCs w:val="22"/>
          <w:lang w:val="it-IT"/>
        </w:rPr>
        <w:t>, era approssimativamente del 95%, principalmente all'albumina e alle glicoproteine alfa-acide, con un minimo legame alle lipoproteine.</w:t>
      </w:r>
    </w:p>
    <w:p w14:paraId="73E2973B"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56D0AFF0"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Biotrasformazione</w:t>
      </w:r>
    </w:p>
    <w:p w14:paraId="1EFA6D9F" w14:textId="77777777" w:rsidR="00B20FFF" w:rsidRPr="00496684" w:rsidRDefault="00B20FFF" w:rsidP="00B20FFF">
      <w:pPr>
        <w:pStyle w:val="Endnotentext"/>
        <w:widowControl w:val="0"/>
        <w:tabs>
          <w:tab w:val="clear" w:pos="567"/>
        </w:tabs>
        <w:rPr>
          <w:szCs w:val="22"/>
          <w:lang w:val="it-IT"/>
        </w:rPr>
      </w:pPr>
      <w:r w:rsidRPr="00496684">
        <w:rPr>
          <w:szCs w:val="22"/>
          <w:lang w:val="it-IT"/>
        </w:rPr>
        <w:t>Il principale metabolita circolante nell'uomo è il derivato N-demetilato della piperazina che mostra in vitro un'attività simile alla molecola da cui deriva. E' emerso che l'AUC plasmatica di questo metabolita è soltanto il 16% dell’AUC di imatinib. Il legame con le proteine plasmatiche del metabolita N-demetilato è simile a quello del composto originale.</w:t>
      </w:r>
    </w:p>
    <w:p w14:paraId="084C21AA" w14:textId="77777777" w:rsidR="00B20FFF" w:rsidRPr="00496684" w:rsidRDefault="00B20FFF" w:rsidP="00B20FFF">
      <w:pPr>
        <w:pStyle w:val="Endnotentext"/>
        <w:widowControl w:val="0"/>
        <w:tabs>
          <w:tab w:val="clear" w:pos="567"/>
        </w:tabs>
        <w:rPr>
          <w:szCs w:val="22"/>
          <w:lang w:val="it-IT"/>
        </w:rPr>
      </w:pPr>
    </w:p>
    <w:p w14:paraId="6BB4335F" w14:textId="77777777" w:rsidR="00B20FFF" w:rsidRPr="00496684" w:rsidRDefault="00B20FFF" w:rsidP="00B20FFF">
      <w:pPr>
        <w:spacing w:after="0" w:line="240" w:lineRule="auto"/>
        <w:rPr>
          <w:rFonts w:ascii="Times New Roman" w:hAnsi="Times New Roman"/>
          <w:lang w:val="it-IT"/>
        </w:rPr>
      </w:pPr>
      <w:r w:rsidRPr="00496684">
        <w:rPr>
          <w:rFonts w:ascii="Times New Roman" w:hAnsi="Times New Roman"/>
          <w:lang w:val="it-IT"/>
        </w:rPr>
        <w:t>Imatinib e il metabolita N-demetilato erano insieme responsabili circa del 65% della radioattività in circolo (AUC</w:t>
      </w:r>
      <w:r w:rsidRPr="00496684">
        <w:rPr>
          <w:rFonts w:ascii="Times New Roman" w:hAnsi="Times New Roman"/>
          <w:vertAlign w:val="subscript"/>
          <w:lang w:val="it-IT"/>
        </w:rPr>
        <w:t>(0-48h)</w:t>
      </w:r>
      <w:r w:rsidRPr="00496684">
        <w:rPr>
          <w:rFonts w:ascii="Times New Roman" w:hAnsi="Times New Roman"/>
          <w:lang w:val="it-IT"/>
        </w:rPr>
        <w:t>). Il resto della radioattività in circolo era da ricondurre ad un numero di metaboliti minori.</w:t>
      </w:r>
    </w:p>
    <w:p w14:paraId="7B23C1B0" w14:textId="77777777" w:rsidR="00B20FFF" w:rsidRPr="00496684" w:rsidRDefault="00B20FFF" w:rsidP="00B20FFF">
      <w:pPr>
        <w:spacing w:after="0" w:line="240" w:lineRule="auto"/>
        <w:rPr>
          <w:rFonts w:ascii="Times New Roman" w:hAnsi="Times New Roman"/>
          <w:lang w:val="it-IT"/>
        </w:rPr>
      </w:pPr>
    </w:p>
    <w:p w14:paraId="25CA78A5" w14:textId="77777777" w:rsidR="00B20FFF" w:rsidRPr="00496684" w:rsidRDefault="00B20FFF" w:rsidP="00B20FFF">
      <w:pPr>
        <w:spacing w:after="0" w:line="240" w:lineRule="auto"/>
        <w:rPr>
          <w:rFonts w:ascii="Times New Roman" w:hAnsi="Times New Roman"/>
          <w:lang w:val="it-IT"/>
        </w:rPr>
      </w:pPr>
      <w:r w:rsidRPr="00496684">
        <w:rPr>
          <w:rFonts w:ascii="Times New Roman" w:hAnsi="Times New Roman"/>
          <w:lang w:val="it-IT"/>
        </w:rPr>
        <w:t>I risultati</w:t>
      </w:r>
      <w:r w:rsidRPr="00496684">
        <w:rPr>
          <w:rFonts w:ascii="Times New Roman" w:hAnsi="Times New Roman"/>
          <w:i/>
          <w:lang w:val="it-IT"/>
        </w:rPr>
        <w:t xml:space="preserve"> in vitro </w:t>
      </w:r>
      <w:r w:rsidRPr="00496684">
        <w:rPr>
          <w:rFonts w:ascii="Times New Roman" w:hAnsi="Times New Roman"/>
          <w:lang w:val="it-IT"/>
        </w:rPr>
        <w:t>mostravano che il CYP3A4 era il maggiore enzima umano P450 che catalizza la biotrasformazione di imatinib. Di tutto un gruppo di potenziali comedicazioni (paracetamolo, aciclovir, allopurinolo, amfotericina, citarabina, eritromicina, fluconazolo, idrossiurea, norfloxacina, penicillina V), solamente eritromicina (IC</w:t>
      </w:r>
      <w:r w:rsidRPr="00496684">
        <w:rPr>
          <w:rFonts w:ascii="Times New Roman" w:hAnsi="Times New Roman"/>
          <w:vertAlign w:val="subscript"/>
          <w:lang w:val="it-IT"/>
        </w:rPr>
        <w:t>50</w:t>
      </w:r>
      <w:r w:rsidRPr="00496684">
        <w:rPr>
          <w:rFonts w:ascii="Times New Roman" w:hAnsi="Times New Roman"/>
          <w:lang w:val="it-IT"/>
        </w:rPr>
        <w:t xml:space="preserve"> 50 µM) e fluconazolo (IC</w:t>
      </w:r>
      <w:r w:rsidRPr="00496684">
        <w:rPr>
          <w:rFonts w:ascii="Times New Roman" w:hAnsi="Times New Roman"/>
          <w:vertAlign w:val="subscript"/>
          <w:lang w:val="it-IT"/>
        </w:rPr>
        <w:t>50</w:t>
      </w:r>
      <w:r w:rsidRPr="00496684">
        <w:rPr>
          <w:rFonts w:ascii="Times New Roman" w:hAnsi="Times New Roman"/>
          <w:lang w:val="it-IT"/>
        </w:rPr>
        <w:t xml:space="preserve"> 118 µM) hanno mostrato un’inibizione del metabolismo di imatinib che poteva essere clinicamente rilevante.</w:t>
      </w:r>
    </w:p>
    <w:p w14:paraId="63832795" w14:textId="77777777" w:rsidR="0020671B" w:rsidRPr="00496684" w:rsidRDefault="0020671B" w:rsidP="00B20FFF">
      <w:pPr>
        <w:autoSpaceDE w:val="0"/>
        <w:autoSpaceDN w:val="0"/>
        <w:adjustRightInd w:val="0"/>
        <w:spacing w:after="0" w:line="240" w:lineRule="auto"/>
        <w:rPr>
          <w:rFonts w:ascii="Times New Roman" w:hAnsi="Times New Roman"/>
          <w:lang w:val="it-IT"/>
        </w:rPr>
      </w:pPr>
    </w:p>
    <w:p w14:paraId="39927092" w14:textId="77777777" w:rsidR="00B20FFF" w:rsidRPr="00496684" w:rsidRDefault="00B20FFF" w:rsidP="00B20FFF">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w:t>
      </w:r>
      <w:r w:rsidRPr="00496684">
        <w:rPr>
          <w:rFonts w:ascii="Times New Roman" w:hAnsi="Times New Roman"/>
          <w:i/>
          <w:lang w:val="it-IT"/>
        </w:rPr>
        <w:t xml:space="preserve">in vitro </w:t>
      </w:r>
      <w:r w:rsidRPr="00496684">
        <w:rPr>
          <w:rFonts w:ascii="Times New Roman" w:hAnsi="Times New Roman"/>
          <w:lang w:val="it-IT"/>
        </w:rPr>
        <w:t>si è rivelato un inibitore competitivo dei substrati marcati per il CYP2C9, il CYP2D6 ed il CYP3A4/5. I valori K</w:t>
      </w:r>
      <w:r w:rsidRPr="00496684">
        <w:rPr>
          <w:rFonts w:ascii="Times New Roman" w:hAnsi="Times New Roman"/>
          <w:vertAlign w:val="subscript"/>
          <w:lang w:val="it-IT"/>
        </w:rPr>
        <w:t>i</w:t>
      </w:r>
      <w:r w:rsidRPr="00496684">
        <w:rPr>
          <w:rFonts w:ascii="Times New Roman" w:hAnsi="Times New Roman"/>
          <w:lang w:val="it-IT"/>
        </w:rPr>
        <w:t xml:space="preserve"> nei microsomi epatici umani erano rispettivamente 27, 7,5 e 7,9 μmol/</w:t>
      </w:r>
      <w:r w:rsidR="00C14524" w:rsidRPr="00496684">
        <w:rPr>
          <w:rFonts w:ascii="Times New Roman" w:hAnsi="Times New Roman"/>
          <w:lang w:val="it-IT"/>
        </w:rPr>
        <w:t>L</w:t>
      </w:r>
      <w:r w:rsidRPr="00496684">
        <w:rPr>
          <w:rFonts w:ascii="Times New Roman" w:hAnsi="Times New Roman"/>
          <w:lang w:val="it-IT"/>
        </w:rPr>
        <w:t>. Le concentrazioni plasmatiche massime di imatinib nei pazienti sono di 2–4 μmol/</w:t>
      </w:r>
      <w:r w:rsidR="00C14524" w:rsidRPr="00496684">
        <w:rPr>
          <w:rFonts w:ascii="Times New Roman" w:hAnsi="Times New Roman"/>
          <w:lang w:val="it-IT"/>
        </w:rPr>
        <w:t>L</w:t>
      </w:r>
      <w:r w:rsidRPr="00496684">
        <w:rPr>
          <w:rFonts w:ascii="Times New Roman" w:hAnsi="Times New Roman"/>
          <w:lang w:val="it-IT"/>
        </w:rPr>
        <w:t>, ed è dunque possibile un’inibizione metabolica mediata dal CYP2D6 e/o dal CYP3A4/5 dei farmaci somministrati in associazione. Imatinib non interferiva nella biotrasformazione del 5-fluorouracile ma inibiva il metabolismo del paclitaxel, come conseguenza dell’inibizione competitiva del CYP2C8 (K</w:t>
      </w:r>
      <w:r w:rsidRPr="00496684">
        <w:rPr>
          <w:rFonts w:ascii="Times New Roman" w:hAnsi="Times New Roman"/>
          <w:vertAlign w:val="subscript"/>
          <w:lang w:val="it-IT"/>
        </w:rPr>
        <w:t>i</w:t>
      </w:r>
      <w:r w:rsidRPr="00496684">
        <w:rPr>
          <w:rFonts w:ascii="Times New Roman" w:hAnsi="Times New Roman"/>
          <w:lang w:val="it-IT"/>
        </w:rPr>
        <w:t xml:space="preserve"> = 34,7 μM). Questo valore K</w:t>
      </w:r>
      <w:r w:rsidRPr="00496684">
        <w:rPr>
          <w:rFonts w:ascii="Times New Roman" w:hAnsi="Times New Roman"/>
          <w:vertAlign w:val="subscript"/>
          <w:lang w:val="it-IT"/>
        </w:rPr>
        <w:t>i</w:t>
      </w:r>
      <w:r w:rsidRPr="00496684">
        <w:rPr>
          <w:rFonts w:ascii="Times New Roman" w:hAnsi="Times New Roman"/>
          <w:lang w:val="it-IT"/>
        </w:rPr>
        <w:t xml:space="preserve"> è ben più elevato dei livelli plasmatici di imatinib attesi nei pazienti e non ci si attende quindi alcuna interazione con la somministrazione in associazione di 5-fluorouracile o del paclitaxel e di imatinib..</w:t>
      </w:r>
    </w:p>
    <w:p w14:paraId="41F56B07"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7F17CB26"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Eliminazione</w:t>
      </w:r>
    </w:p>
    <w:p w14:paraId="4ED96851" w14:textId="77777777" w:rsidR="00B20FFF" w:rsidRPr="00496684" w:rsidRDefault="00B20FFF" w:rsidP="00B20FFF">
      <w:pPr>
        <w:pStyle w:val="Endnotentext"/>
        <w:widowControl w:val="0"/>
        <w:tabs>
          <w:tab w:val="clear" w:pos="567"/>
        </w:tabs>
        <w:rPr>
          <w:szCs w:val="22"/>
          <w:lang w:val="it-IT"/>
        </w:rPr>
      </w:pPr>
      <w:r w:rsidRPr="00496684">
        <w:rPr>
          <w:szCs w:val="22"/>
          <w:lang w:val="it-IT"/>
        </w:rPr>
        <w:t xml:space="preserve">In base al recupero del/dei composto/i dopo una dose orale di imatinib marcata con </w:t>
      </w:r>
      <w:smartTag w:uri="urn:schemas-microsoft-com:office:smarttags" w:element="metricconverter">
        <w:smartTagPr>
          <w:attr w:name="ProductID" w:val="14C"/>
        </w:smartTagPr>
        <w:r w:rsidRPr="00496684">
          <w:rPr>
            <w:szCs w:val="22"/>
            <w:vertAlign w:val="superscript"/>
            <w:lang w:val="it-IT"/>
          </w:rPr>
          <w:t>14</w:t>
        </w:r>
        <w:r w:rsidRPr="00496684">
          <w:rPr>
            <w:szCs w:val="22"/>
            <w:lang w:val="it-IT"/>
          </w:rPr>
          <w:t>C</w:t>
        </w:r>
      </w:smartTag>
      <w:r w:rsidRPr="00496684">
        <w:rPr>
          <w:szCs w:val="22"/>
          <w:lang w:val="it-IT"/>
        </w:rPr>
        <w:t>, approssimativamente l’81% della dose era recuperata entro 7 giorni nelle feci (68% della dose) e nelle urine (13% della dose). Il 25% della dose era costituito da imatinib invariato (5% urina, 20% feci), il resto era rappresentato da metaboliti.</w:t>
      </w:r>
    </w:p>
    <w:p w14:paraId="0583BA7B" w14:textId="77777777" w:rsidR="00B20FFF" w:rsidRPr="00496684" w:rsidRDefault="00B20FFF" w:rsidP="00B20FFF">
      <w:pPr>
        <w:pStyle w:val="Endnotentext"/>
        <w:widowControl w:val="0"/>
        <w:tabs>
          <w:tab w:val="clear" w:pos="567"/>
        </w:tabs>
        <w:rPr>
          <w:szCs w:val="22"/>
          <w:lang w:val="it-IT"/>
        </w:rPr>
      </w:pPr>
    </w:p>
    <w:p w14:paraId="2995A600"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Farmacocinetica plasmatica</w:t>
      </w:r>
    </w:p>
    <w:p w14:paraId="6D0E1302" w14:textId="77777777" w:rsidR="00B20FFF" w:rsidRPr="00496684" w:rsidRDefault="00B20FFF" w:rsidP="00B20FFF">
      <w:pPr>
        <w:pStyle w:val="Endnotentext"/>
        <w:widowControl w:val="0"/>
        <w:tabs>
          <w:tab w:val="clear" w:pos="567"/>
        </w:tabs>
        <w:rPr>
          <w:szCs w:val="22"/>
          <w:lang w:val="it-IT"/>
        </w:rPr>
      </w:pPr>
      <w:r w:rsidRPr="00496684">
        <w:rPr>
          <w:szCs w:val="22"/>
          <w:lang w:val="it-IT"/>
        </w:rPr>
        <w:t>A seguito di somministrazione orale in volontari sani, il t</w:t>
      </w:r>
      <w:r w:rsidRPr="00496684">
        <w:rPr>
          <w:szCs w:val="22"/>
          <w:vertAlign w:val="subscript"/>
          <w:lang w:val="it-IT"/>
        </w:rPr>
        <w:t>½</w:t>
      </w:r>
      <w:r w:rsidRPr="00496684">
        <w:rPr>
          <w:szCs w:val="22"/>
          <w:lang w:val="it-IT"/>
        </w:rPr>
        <w:t xml:space="preserve"> era approssimativamente di 18 ore, suggerendo che la dose giornaliera unica è appropriata. L’aumento dell’AUC medio in seguito all’aumento della dose era lineare e proporzionale alla dose nel range di 25–1.000 mg di imatinib dopo la somministrazione orale. La cinetica dell’imatinib non ha subito variazioni in caso di dosaggio ripetuto e l’accumulo è stato di 1,5–2,5 volte quello che si verifica allo steady-state dopo una dose unica giornaliera.</w:t>
      </w:r>
    </w:p>
    <w:p w14:paraId="4FFC18BB" w14:textId="77777777" w:rsidR="00B20FFF" w:rsidRPr="00496684" w:rsidRDefault="00B20FFF" w:rsidP="00B20FFF">
      <w:pPr>
        <w:pStyle w:val="Endnotentext"/>
        <w:widowControl w:val="0"/>
        <w:tabs>
          <w:tab w:val="clear" w:pos="567"/>
        </w:tabs>
        <w:rPr>
          <w:szCs w:val="22"/>
          <w:lang w:val="it-IT"/>
        </w:rPr>
      </w:pPr>
    </w:p>
    <w:p w14:paraId="154D9215"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Farmacocinetica di popolazione</w:t>
      </w:r>
    </w:p>
    <w:p w14:paraId="5BE9E26E" w14:textId="77777777" w:rsidR="00B20FFF" w:rsidRPr="00496684" w:rsidRDefault="00B20FFF" w:rsidP="00B20FFF">
      <w:pPr>
        <w:pStyle w:val="Endnotentext"/>
        <w:widowControl w:val="0"/>
        <w:tabs>
          <w:tab w:val="clear" w:pos="567"/>
        </w:tabs>
        <w:rPr>
          <w:szCs w:val="22"/>
          <w:lang w:val="it-IT"/>
        </w:rPr>
      </w:pPr>
      <w:r w:rsidRPr="00496684">
        <w:rPr>
          <w:szCs w:val="22"/>
          <w:lang w:val="it-IT"/>
        </w:rPr>
        <w:t xml:space="preserve">Dall’analisi della farmacocinetica di popolazione nei pazienti con LMC è emerso un limitato effetto dell’età sul volume di distribuzione (aumento del 12% in pazienti di età &gt;65 anni). Questa variazione non è ritenuta clinicamente significativa. L’effetto del peso corporeo sulla clearance dell’imatinib è tale che, per un paziente di </w:t>
      </w:r>
      <w:smartTag w:uri="urn:schemas-microsoft-com:office:smarttags" w:element="metricconverter">
        <w:smartTagPr>
          <w:attr w:name="ProductID" w:val="50ﾠkg"/>
        </w:smartTagPr>
        <w:r w:rsidRPr="00496684">
          <w:rPr>
            <w:szCs w:val="22"/>
            <w:lang w:val="it-IT"/>
          </w:rPr>
          <w:t>50 kg</w:t>
        </w:r>
      </w:smartTag>
      <w:r w:rsidRPr="00496684">
        <w:rPr>
          <w:szCs w:val="22"/>
          <w:lang w:val="it-IT"/>
        </w:rPr>
        <w:t xml:space="preserve"> di peso, la clearance media prevista è 8,5 </w:t>
      </w:r>
      <w:r w:rsidR="00C14524" w:rsidRPr="00496684">
        <w:rPr>
          <w:szCs w:val="22"/>
          <w:lang w:val="it-IT"/>
        </w:rPr>
        <w:t>L</w:t>
      </w:r>
      <w:r w:rsidRPr="00496684">
        <w:rPr>
          <w:szCs w:val="22"/>
          <w:lang w:val="it-IT"/>
        </w:rPr>
        <w:t xml:space="preserve">/h, mentre per un paziente di </w:t>
      </w:r>
      <w:smartTag w:uri="urn:schemas-microsoft-com:office:smarttags" w:element="metricconverter">
        <w:smartTagPr>
          <w:attr w:name="ProductID" w:val="100ﾠkg"/>
        </w:smartTagPr>
        <w:r w:rsidRPr="00496684">
          <w:rPr>
            <w:szCs w:val="22"/>
            <w:lang w:val="it-IT"/>
          </w:rPr>
          <w:t>100 kg</w:t>
        </w:r>
      </w:smartTag>
      <w:r w:rsidRPr="00496684">
        <w:rPr>
          <w:szCs w:val="22"/>
          <w:lang w:val="it-IT"/>
        </w:rPr>
        <w:t xml:space="preserve"> di peso, la clearance aumenterà fino a 11,8 </w:t>
      </w:r>
      <w:r w:rsidR="00C14524" w:rsidRPr="00496684">
        <w:rPr>
          <w:szCs w:val="22"/>
          <w:lang w:val="it-IT"/>
        </w:rPr>
        <w:t>L</w:t>
      </w:r>
      <w:r w:rsidRPr="00496684">
        <w:rPr>
          <w:szCs w:val="22"/>
          <w:lang w:val="it-IT"/>
        </w:rPr>
        <w:t>/h. Queste variazioni non sono considerate sufficienti per permettere un aggiustamento della dose in base ai chilogrammi di peso corporeo. Il sesso non ha alcun effetto sulla cinetica dell’imatinib.</w:t>
      </w:r>
    </w:p>
    <w:p w14:paraId="36A075A5" w14:textId="77777777" w:rsidR="00B20FFF" w:rsidRPr="00496684" w:rsidRDefault="00B20FFF" w:rsidP="00B20FFF">
      <w:pPr>
        <w:pStyle w:val="Endnotentext"/>
        <w:widowControl w:val="0"/>
        <w:tabs>
          <w:tab w:val="clear" w:pos="567"/>
        </w:tabs>
        <w:rPr>
          <w:szCs w:val="22"/>
          <w:lang w:val="it-IT"/>
        </w:rPr>
      </w:pPr>
    </w:p>
    <w:p w14:paraId="44CE130F" w14:textId="6CB0C11A" w:rsidR="00B20FFF" w:rsidRPr="00496684" w:rsidRDefault="00B20FFF" w:rsidP="00B20FFF">
      <w:pPr>
        <w:pStyle w:val="Endnotentext"/>
        <w:widowControl w:val="0"/>
        <w:tabs>
          <w:tab w:val="clear" w:pos="567"/>
        </w:tabs>
        <w:rPr>
          <w:szCs w:val="22"/>
          <w:u w:val="single"/>
          <w:lang w:val="it-IT"/>
        </w:rPr>
      </w:pPr>
      <w:r w:rsidRPr="00496684">
        <w:rPr>
          <w:szCs w:val="22"/>
          <w:u w:val="single"/>
          <w:lang w:val="it-IT"/>
        </w:rPr>
        <w:t xml:space="preserve">Farmacocinetica </w:t>
      </w:r>
      <w:r w:rsidR="00D860E1" w:rsidRPr="00496684">
        <w:rPr>
          <w:szCs w:val="22"/>
          <w:u w:val="single"/>
          <w:lang w:val="it-IT"/>
        </w:rPr>
        <w:t>nella popolazione pediatrica</w:t>
      </w:r>
    </w:p>
    <w:p w14:paraId="30BDF14E" w14:textId="53ECFB61" w:rsidR="00B20FFF" w:rsidRPr="00496684" w:rsidRDefault="00B20FFF" w:rsidP="00B20FFF">
      <w:pPr>
        <w:pStyle w:val="Endnotentext"/>
        <w:widowControl w:val="0"/>
        <w:tabs>
          <w:tab w:val="clear" w:pos="567"/>
        </w:tabs>
        <w:rPr>
          <w:szCs w:val="22"/>
          <w:lang w:val="it-IT"/>
        </w:rPr>
      </w:pPr>
      <w:r w:rsidRPr="00496684">
        <w:rPr>
          <w:szCs w:val="22"/>
          <w:lang w:val="it-IT"/>
        </w:rPr>
        <w:t xml:space="preserve">Come nei pazienti adulti, imatinib è stato rapidamente assorbito in </w:t>
      </w:r>
      <w:r w:rsidR="00C14524" w:rsidRPr="00496684">
        <w:rPr>
          <w:szCs w:val="22"/>
          <w:lang w:val="it-IT"/>
        </w:rPr>
        <w:t>pazienti</w:t>
      </w:r>
      <w:r w:rsidR="00C14524" w:rsidRPr="00496684">
        <w:rPr>
          <w:szCs w:val="22"/>
          <w:u w:val="single"/>
          <w:lang w:val="it-IT"/>
        </w:rPr>
        <w:t xml:space="preserve"> </w:t>
      </w:r>
      <w:r w:rsidRPr="00496684">
        <w:rPr>
          <w:szCs w:val="22"/>
          <w:lang w:val="it-IT"/>
        </w:rPr>
        <w:t>pediatrici dopo somministrazione orale in studi sia di fase I che di fase II. Somministrando a bambini dosi di 260 e di 340 mg/ m</w:t>
      </w:r>
      <w:r w:rsidRPr="00496684">
        <w:rPr>
          <w:szCs w:val="22"/>
          <w:vertAlign w:val="superscript"/>
          <w:lang w:val="it-IT"/>
        </w:rPr>
        <w:t>2</w:t>
      </w:r>
      <w:r w:rsidRPr="00496684">
        <w:rPr>
          <w:szCs w:val="22"/>
          <w:lang w:val="it-IT"/>
        </w:rPr>
        <w:t>/die si è raggiunta una esposizione simile a quella ottenuta negli adulti trattati rispettivamente con dosi di 400 mg e di 600 mg. Il confronto di AUC</w:t>
      </w:r>
      <w:r w:rsidRPr="00496684">
        <w:rPr>
          <w:szCs w:val="22"/>
          <w:vertAlign w:val="subscript"/>
          <w:lang w:val="it-IT"/>
        </w:rPr>
        <w:t>(0-24)</w:t>
      </w:r>
      <w:r w:rsidRPr="00496684">
        <w:rPr>
          <w:szCs w:val="22"/>
          <w:lang w:val="it-IT"/>
        </w:rPr>
        <w:t xml:space="preserve"> sui livelli del giorno 8 e del giorno 1 alla dose di 340 mg/m</w:t>
      </w:r>
      <w:r w:rsidRPr="00496684">
        <w:rPr>
          <w:szCs w:val="22"/>
          <w:vertAlign w:val="superscript"/>
          <w:lang w:val="it-IT"/>
        </w:rPr>
        <w:t>2</w:t>
      </w:r>
      <w:r w:rsidRPr="00496684">
        <w:rPr>
          <w:szCs w:val="22"/>
          <w:lang w:val="it-IT"/>
        </w:rPr>
        <w:t>/die ha evidenziato un accumulo del farmaco di 1,7 volte rispetto a quello che si verifica dopo somministrazione ripetuta della dose unica giornaliera.</w:t>
      </w:r>
    </w:p>
    <w:p w14:paraId="01DF026D" w14:textId="77777777" w:rsidR="00B20FFF" w:rsidRPr="00496684" w:rsidRDefault="00B20FFF" w:rsidP="00B20FFF">
      <w:pPr>
        <w:autoSpaceDE w:val="0"/>
        <w:autoSpaceDN w:val="0"/>
        <w:adjustRightInd w:val="0"/>
        <w:spacing w:after="0" w:line="240" w:lineRule="auto"/>
        <w:rPr>
          <w:rFonts w:ascii="Times New Roman" w:hAnsi="Times New Roman"/>
          <w:lang w:val="it-IT"/>
        </w:rPr>
      </w:pPr>
    </w:p>
    <w:p w14:paraId="636CAED7" w14:textId="77777777" w:rsidR="00D860E1" w:rsidRPr="00496684" w:rsidRDefault="00D860E1" w:rsidP="00D860E1">
      <w:pPr>
        <w:pStyle w:val="Endnotentext"/>
        <w:widowControl w:val="0"/>
        <w:tabs>
          <w:tab w:val="clear" w:pos="567"/>
        </w:tabs>
        <w:rPr>
          <w:szCs w:val="22"/>
          <w:lang w:val="it-IT"/>
        </w:rPr>
      </w:pPr>
      <w:r w:rsidRPr="00496684">
        <w:rPr>
          <w:szCs w:val="22"/>
          <w:lang w:val="it-IT"/>
        </w:rPr>
        <w:t>Sulla base di un’analisi combinata della farmacocinetica di popolazione in pazienti pediatrici con patologie ematologiche (LMC, LLA Ph+, o altre patologie ematologiche trattate con imatinib), la clearance di imatinib aumenta con l’aumentare della superficie corporea (body surface area, BSA). Dopo la correzione per l’effetto della BSA, altri fattori demografici quali l’età, il peso corporeo e l’indice di massa corporea non hanno dimostrato effetti clinicamente significativi sull’esposizione di imatinib. L’analisi ha confermato che l’esposizione di imatinib nei pazienti pediatrici che ricevono 260 mg/m</w:t>
      </w:r>
      <w:r w:rsidRPr="00496684">
        <w:rPr>
          <w:szCs w:val="22"/>
          <w:vertAlign w:val="superscript"/>
          <w:lang w:val="it-IT"/>
        </w:rPr>
        <w:t>2</w:t>
      </w:r>
      <w:r w:rsidRPr="00496684">
        <w:rPr>
          <w:szCs w:val="22"/>
          <w:lang w:val="it-IT"/>
        </w:rPr>
        <w:t xml:space="preserve"> una volta al giorno (non superando i 400 mg una volta al giorno) o 340 mg/m</w:t>
      </w:r>
      <w:r w:rsidRPr="00496684">
        <w:rPr>
          <w:szCs w:val="22"/>
          <w:vertAlign w:val="superscript"/>
          <w:lang w:val="it-IT"/>
        </w:rPr>
        <w:t>2</w:t>
      </w:r>
      <w:r w:rsidRPr="00496684">
        <w:rPr>
          <w:szCs w:val="22"/>
          <w:lang w:val="it-IT"/>
        </w:rPr>
        <w:t xml:space="preserve"> una volta al giorno (non superando i 600 mg una volta al giorno) era simile a quella nei pazienti adulti che ricevevano imatinib 400 mg o 600 mg una volta al giorno.</w:t>
      </w:r>
    </w:p>
    <w:p w14:paraId="5B7C647E" w14:textId="77777777" w:rsidR="00D860E1" w:rsidRPr="00496684" w:rsidRDefault="00D860E1" w:rsidP="00B20FFF">
      <w:pPr>
        <w:pStyle w:val="Endnotentext"/>
        <w:widowControl w:val="0"/>
        <w:tabs>
          <w:tab w:val="clear" w:pos="567"/>
        </w:tabs>
        <w:rPr>
          <w:szCs w:val="22"/>
          <w:u w:val="single"/>
          <w:lang w:val="it-IT"/>
        </w:rPr>
      </w:pPr>
    </w:p>
    <w:p w14:paraId="4E282651" w14:textId="77777777" w:rsidR="00B20FFF" w:rsidRPr="00496684" w:rsidRDefault="00B20FFF" w:rsidP="00B20FFF">
      <w:pPr>
        <w:pStyle w:val="Endnotentext"/>
        <w:widowControl w:val="0"/>
        <w:tabs>
          <w:tab w:val="clear" w:pos="567"/>
        </w:tabs>
        <w:rPr>
          <w:szCs w:val="22"/>
          <w:lang w:val="it-IT"/>
        </w:rPr>
      </w:pPr>
      <w:r w:rsidRPr="00496684">
        <w:rPr>
          <w:szCs w:val="22"/>
          <w:u w:val="single"/>
          <w:lang w:val="it-IT"/>
        </w:rPr>
        <w:t>Compromissione della funzione degli organi</w:t>
      </w:r>
    </w:p>
    <w:p w14:paraId="7552C485" w14:textId="77777777" w:rsidR="00B20FFF" w:rsidRPr="00496684" w:rsidRDefault="00B20FFF" w:rsidP="00B20FFF">
      <w:pPr>
        <w:pStyle w:val="Endnotentext"/>
        <w:widowControl w:val="0"/>
        <w:tabs>
          <w:tab w:val="clear" w:pos="567"/>
        </w:tabs>
        <w:rPr>
          <w:szCs w:val="22"/>
          <w:lang w:val="it-IT"/>
        </w:rPr>
      </w:pPr>
      <w:r w:rsidRPr="00496684">
        <w:rPr>
          <w:szCs w:val="22"/>
          <w:lang w:val="it-IT"/>
        </w:rPr>
        <w:t>Imatinib e i suoi metaboliti non sono escreti in misura significativa attraverso i reni. I pazienti con compromissione della funzionalità renale lieve e moderata sembrano avere una maggiore esposizione plasmatica rispetto a quella osservata in pazienti con funzionalità renale normale. L’aumento è da 1,5 a 2 volte circa, corrispondente ad un innalzamento di 1,5 volte della AGP plasmatica, a cui imatinib si lega fortemente. La clearance di imatinib come farmaco libero è probabilmente simile tra i pazienti con funzionalità renale compromessa e normale poichè l’escrezione renale rappresenta solo una via di eliminazione minore di imatinib (vedere paragrafi 4.2 e 4.4).</w:t>
      </w:r>
    </w:p>
    <w:p w14:paraId="034A0D05" w14:textId="77777777" w:rsidR="00B20FFF" w:rsidRPr="00496684" w:rsidRDefault="00B20FFF" w:rsidP="00B20FFF">
      <w:pPr>
        <w:pStyle w:val="Endnotentext"/>
        <w:widowControl w:val="0"/>
        <w:tabs>
          <w:tab w:val="clear" w:pos="567"/>
        </w:tabs>
        <w:rPr>
          <w:szCs w:val="22"/>
          <w:lang w:val="it-IT"/>
        </w:rPr>
      </w:pPr>
    </w:p>
    <w:p w14:paraId="4AE21F1B" w14:textId="77777777" w:rsidR="00B20FFF" w:rsidRPr="00496684" w:rsidRDefault="00B20FFF" w:rsidP="00B20FFF">
      <w:pPr>
        <w:pStyle w:val="Endnotentext"/>
        <w:widowControl w:val="0"/>
        <w:tabs>
          <w:tab w:val="clear" w:pos="567"/>
        </w:tabs>
        <w:rPr>
          <w:szCs w:val="22"/>
          <w:lang w:val="it-IT"/>
        </w:rPr>
      </w:pPr>
      <w:r w:rsidRPr="00496684">
        <w:rPr>
          <w:szCs w:val="22"/>
          <w:lang w:val="it-IT"/>
        </w:rPr>
        <w:t>Anche se i risultati delle analisi farmacocinetiche hanno mostrato che c’è una considerevole variazione inter-soggetti, l’esposizione media a imatinib non aumentava in pazienti con diversi gradi di disfunzione epatica rispetto ai pazienti con funzione epatica normale (vedere paragrafi 4.2, 4.4 e 4.8).</w:t>
      </w:r>
    </w:p>
    <w:p w14:paraId="5FD021AE" w14:textId="77777777" w:rsidR="00B20FFF" w:rsidRPr="00496684" w:rsidRDefault="00B20FFF" w:rsidP="00CA176A">
      <w:pPr>
        <w:autoSpaceDE w:val="0"/>
        <w:autoSpaceDN w:val="0"/>
        <w:adjustRightInd w:val="0"/>
        <w:spacing w:after="0" w:line="240" w:lineRule="auto"/>
        <w:rPr>
          <w:rFonts w:ascii="Times New Roman" w:hAnsi="Times New Roman"/>
          <w:bCs/>
          <w:lang w:val="it-IT"/>
        </w:rPr>
      </w:pPr>
    </w:p>
    <w:p w14:paraId="4EA8FD02"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5.3</w:t>
      </w:r>
      <w:r w:rsidRPr="00496684">
        <w:rPr>
          <w:rFonts w:ascii="Times New Roman" w:hAnsi="Times New Roman"/>
          <w:b/>
          <w:bCs/>
          <w:lang w:val="it-IT"/>
        </w:rPr>
        <w:tab/>
      </w:r>
      <w:r w:rsidR="00EE12A9" w:rsidRPr="00496684">
        <w:rPr>
          <w:rFonts w:ascii="Times New Roman" w:hAnsi="Times New Roman"/>
          <w:b/>
          <w:lang w:val="it-IT"/>
        </w:rPr>
        <w:t>Dati preclinici di sicurezza</w:t>
      </w:r>
    </w:p>
    <w:p w14:paraId="43FF05AD"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2989906C" w14:textId="77777777" w:rsidR="00EE12A9" w:rsidRPr="00496684" w:rsidRDefault="00EE12A9" w:rsidP="00EE12A9">
      <w:pPr>
        <w:pStyle w:val="Textkrper"/>
        <w:jc w:val="left"/>
        <w:rPr>
          <w:sz w:val="22"/>
          <w:szCs w:val="22"/>
          <w:lang w:val="it-IT"/>
        </w:rPr>
      </w:pPr>
      <w:r w:rsidRPr="00496684">
        <w:rPr>
          <w:sz w:val="22"/>
          <w:szCs w:val="22"/>
          <w:lang w:val="it-IT"/>
        </w:rPr>
        <w:t>Il profilo preclinico di sicurezza di imatinib è stato valutato nei topi, nei cani, nelle scimmie e nei conigli.</w:t>
      </w:r>
    </w:p>
    <w:p w14:paraId="1D763928" w14:textId="77777777" w:rsidR="00EE12A9" w:rsidRPr="00496684" w:rsidRDefault="00EE12A9" w:rsidP="00EE12A9">
      <w:pPr>
        <w:spacing w:after="0" w:line="240" w:lineRule="auto"/>
        <w:rPr>
          <w:rFonts w:ascii="Times New Roman" w:hAnsi="Times New Roman"/>
          <w:lang w:val="it-IT"/>
        </w:rPr>
      </w:pPr>
    </w:p>
    <w:p w14:paraId="5B7B76AA" w14:textId="77777777" w:rsidR="00EE12A9" w:rsidRPr="00496684" w:rsidRDefault="00EE12A9" w:rsidP="00EE12A9">
      <w:pPr>
        <w:spacing w:after="0" w:line="240" w:lineRule="auto"/>
        <w:rPr>
          <w:rFonts w:ascii="Times New Roman" w:hAnsi="Times New Roman"/>
          <w:lang w:val="it-IT"/>
        </w:rPr>
      </w:pPr>
      <w:r w:rsidRPr="00496684">
        <w:rPr>
          <w:rFonts w:ascii="Times New Roman" w:hAnsi="Times New Roman"/>
          <w:lang w:val="it-IT"/>
        </w:rPr>
        <w:t>Gli studi sulla tossicità con dosi multiple hanno rivelato variazioni ematologiche da lievi a moderate nei topi, nei cani e nelle scimmie, accompagnate da variazioni a livello del midollo osseo nei topi e nei cani.</w:t>
      </w:r>
    </w:p>
    <w:p w14:paraId="2A844E5F" w14:textId="77777777" w:rsidR="00EE12A9" w:rsidRPr="00496684" w:rsidRDefault="00EE12A9" w:rsidP="00EE12A9">
      <w:pPr>
        <w:spacing w:after="0" w:line="240" w:lineRule="auto"/>
        <w:rPr>
          <w:rFonts w:ascii="Times New Roman" w:hAnsi="Times New Roman"/>
          <w:lang w:val="it-IT"/>
        </w:rPr>
      </w:pPr>
    </w:p>
    <w:p w14:paraId="30BF5A98" w14:textId="77777777" w:rsidR="00EE12A9" w:rsidRPr="00496684" w:rsidRDefault="00EE12A9" w:rsidP="00EE12A9">
      <w:pPr>
        <w:spacing w:after="0" w:line="240" w:lineRule="auto"/>
        <w:ind w:right="98"/>
        <w:rPr>
          <w:rFonts w:ascii="Times New Roman" w:hAnsi="Times New Roman"/>
          <w:lang w:val="it-IT"/>
        </w:rPr>
      </w:pPr>
      <w:r w:rsidRPr="00496684">
        <w:rPr>
          <w:rFonts w:ascii="Times New Roman" w:hAnsi="Times New Roman"/>
          <w:lang w:val="it-IT"/>
        </w:rPr>
        <w:t>Il fegato era un organo bersaglio nei topi e nei cani. In entrambe le specie sono stati osservati aumenti da lievi a moderati nei livelli delle transaminasi e leggere diminuzioni nei livelli di colesterolo, dei trigliceridi, delle proteine totali e dell’albumina. Non è stata rilevata alcuna variazione epatica istopatologica nei topi. È stato osservato un grave livello di tossicità epatica nei cani sottoposti a terapia per 2 settimane, con elevati valori degli enzimi epatici, necrosi epatocellulare, necrosi ed iperplasia dei dotti biliari.</w:t>
      </w:r>
    </w:p>
    <w:p w14:paraId="38034905" w14:textId="77777777" w:rsidR="00EE12A9" w:rsidRPr="00496684" w:rsidRDefault="00EE12A9" w:rsidP="00EE12A9">
      <w:pPr>
        <w:spacing w:after="0" w:line="240" w:lineRule="auto"/>
        <w:rPr>
          <w:rFonts w:ascii="Times New Roman" w:hAnsi="Times New Roman"/>
          <w:lang w:val="it-IT"/>
        </w:rPr>
      </w:pPr>
    </w:p>
    <w:p w14:paraId="71150973" w14:textId="77777777" w:rsidR="00EE12A9" w:rsidRPr="00496684" w:rsidRDefault="00EE12A9" w:rsidP="00EE12A9">
      <w:pPr>
        <w:spacing w:after="0" w:line="240" w:lineRule="auto"/>
        <w:rPr>
          <w:rFonts w:ascii="Times New Roman" w:hAnsi="Times New Roman"/>
          <w:lang w:val="it-IT"/>
        </w:rPr>
      </w:pPr>
      <w:r w:rsidRPr="00496684">
        <w:rPr>
          <w:rFonts w:ascii="Times New Roman" w:hAnsi="Times New Roman"/>
          <w:lang w:val="it-IT"/>
        </w:rPr>
        <w:t>Sono stati riscontrati fenomeni di tossicità renale nelle scimmie sottoposte a terapia per 2 settimane, con mineralizzazione focale e dilatazione dei tubuli renali e nefropatia tubolare. In numerosi di questi animali è stato osservato un aumento dei livelli di azoto dell'urea ematica (BUN) e della creatinina. Nei topi è stata riscontrata un’iperplasia dell’epitelio di transizione nella papilla renale e nella vescica urinaria a dosaggi ≥</w:t>
      </w:r>
      <w:r w:rsidR="00C14524" w:rsidRPr="00496684">
        <w:rPr>
          <w:rFonts w:ascii="Times New Roman" w:hAnsi="Times New Roman"/>
          <w:lang w:val="it-IT"/>
        </w:rPr>
        <w:t xml:space="preserve"> </w:t>
      </w:r>
      <w:r w:rsidRPr="00496684">
        <w:rPr>
          <w:rFonts w:ascii="Times New Roman" w:hAnsi="Times New Roman"/>
          <w:lang w:val="it-IT"/>
        </w:rPr>
        <w:t>6 mg/kg in uno studio di 13 settimane, senza riportare alcun cambiamento nei parametri del siero e dell’urina. Con il trattamento cronico di imatinib, è osservato un aumento del tasso d’infezioni opportunistiche.</w:t>
      </w:r>
    </w:p>
    <w:p w14:paraId="4F18694D" w14:textId="77777777" w:rsidR="00EE12A9" w:rsidRPr="00496684" w:rsidRDefault="00EE12A9" w:rsidP="00EE12A9">
      <w:pPr>
        <w:spacing w:after="0" w:line="240" w:lineRule="auto"/>
        <w:rPr>
          <w:rFonts w:ascii="Times New Roman" w:hAnsi="Times New Roman"/>
          <w:lang w:val="it-IT"/>
        </w:rPr>
      </w:pPr>
    </w:p>
    <w:p w14:paraId="768C97CB" w14:textId="77777777" w:rsidR="00EE12A9" w:rsidRPr="00496684" w:rsidRDefault="00EE12A9" w:rsidP="00EE12A9">
      <w:pPr>
        <w:spacing w:after="0" w:line="240" w:lineRule="auto"/>
        <w:rPr>
          <w:rFonts w:ascii="Times New Roman" w:hAnsi="Times New Roman"/>
          <w:lang w:val="it-IT"/>
        </w:rPr>
      </w:pPr>
      <w:r w:rsidRPr="00496684">
        <w:rPr>
          <w:rFonts w:ascii="Times New Roman" w:hAnsi="Times New Roman"/>
          <w:lang w:val="it-IT"/>
        </w:rPr>
        <w:t>In uno studio di 39 settimane condotto sulle scimmie, non è stato stabilito alcun NOAEL (</w:t>
      </w:r>
      <w:r w:rsidR="00E6675E" w:rsidRPr="00496684">
        <w:rPr>
          <w:rFonts w:ascii="Times New Roman" w:hAnsi="Times New Roman"/>
          <w:lang w:val="it-IT"/>
        </w:rPr>
        <w:t>dose senza effetto avverso osservabile</w:t>
      </w:r>
      <w:r w:rsidRPr="00496684">
        <w:rPr>
          <w:rFonts w:ascii="Times New Roman" w:hAnsi="Times New Roman"/>
          <w:lang w:val="it-IT"/>
        </w:rPr>
        <w:t>) alla dose minima di 15 mg/kg, che corrisponde approssimativamente ad un terzo della dose umana massima di 800 mg. calcolata in base alla superficie corporea. La terapia condotta su questi animali ha comportato un peggioramento delle infezioni malariche normalmente soppresse.</w:t>
      </w:r>
    </w:p>
    <w:p w14:paraId="0AA84B5F" w14:textId="77777777" w:rsidR="00EE12A9" w:rsidRPr="00496684" w:rsidRDefault="00EE12A9" w:rsidP="00EE12A9">
      <w:pPr>
        <w:spacing w:after="0" w:line="240" w:lineRule="auto"/>
        <w:rPr>
          <w:rFonts w:ascii="Times New Roman" w:hAnsi="Times New Roman"/>
          <w:lang w:val="it-IT"/>
        </w:rPr>
      </w:pPr>
    </w:p>
    <w:p w14:paraId="75604277" w14:textId="77777777" w:rsidR="00EE12A9" w:rsidRPr="00496684" w:rsidRDefault="00EE12A9" w:rsidP="00EE12A9">
      <w:pPr>
        <w:spacing w:after="0" w:line="240" w:lineRule="auto"/>
        <w:ind w:right="98"/>
        <w:rPr>
          <w:rFonts w:ascii="Times New Roman" w:hAnsi="Times New Roman"/>
          <w:lang w:val="it-IT"/>
        </w:rPr>
      </w:pPr>
      <w:r w:rsidRPr="00496684">
        <w:rPr>
          <w:rFonts w:ascii="Times New Roman" w:hAnsi="Times New Roman"/>
          <w:lang w:val="it-IT"/>
        </w:rPr>
        <w:t xml:space="preserve">Imatinib non è stato considerato genotossico quando testato con un’analisi delle cellule batteriche </w:t>
      </w:r>
      <w:r w:rsidRPr="00496684">
        <w:rPr>
          <w:rFonts w:ascii="Times New Roman" w:hAnsi="Times New Roman"/>
          <w:i/>
          <w:lang w:val="it-IT"/>
        </w:rPr>
        <w:t xml:space="preserve">in vitro </w:t>
      </w:r>
      <w:r w:rsidRPr="00496684">
        <w:rPr>
          <w:rFonts w:ascii="Times New Roman" w:hAnsi="Times New Roman"/>
          <w:lang w:val="it-IT"/>
        </w:rPr>
        <w:t xml:space="preserve">(test di Ames), con un’analisi delle cellule di mammiferi </w:t>
      </w:r>
      <w:r w:rsidRPr="00496684">
        <w:rPr>
          <w:rFonts w:ascii="Times New Roman" w:hAnsi="Times New Roman"/>
          <w:i/>
          <w:lang w:val="it-IT"/>
        </w:rPr>
        <w:t xml:space="preserve">in vitro </w:t>
      </w:r>
      <w:r w:rsidRPr="00496684">
        <w:rPr>
          <w:rFonts w:ascii="Times New Roman" w:hAnsi="Times New Roman"/>
          <w:lang w:val="it-IT"/>
        </w:rPr>
        <w:t xml:space="preserve">(linfoma del topo) e con un test del micronucleo del topo </w:t>
      </w:r>
      <w:r w:rsidRPr="00496684">
        <w:rPr>
          <w:rFonts w:ascii="Times New Roman" w:hAnsi="Times New Roman"/>
          <w:i/>
          <w:lang w:val="it-IT"/>
        </w:rPr>
        <w:t xml:space="preserve">in vivo. </w:t>
      </w:r>
      <w:r w:rsidRPr="00496684">
        <w:rPr>
          <w:rFonts w:ascii="Times New Roman" w:hAnsi="Times New Roman"/>
          <w:lang w:val="it-IT"/>
        </w:rPr>
        <w:t xml:space="preserve">Si sono ottenuti effetti genotossici positivi per imatinib in un’analisi delle cellule di mammifero </w:t>
      </w:r>
      <w:r w:rsidRPr="00496684">
        <w:rPr>
          <w:rFonts w:ascii="Times New Roman" w:hAnsi="Times New Roman"/>
          <w:i/>
          <w:lang w:val="it-IT"/>
        </w:rPr>
        <w:t xml:space="preserve">in vitro </w:t>
      </w:r>
      <w:r w:rsidRPr="00496684">
        <w:rPr>
          <w:rFonts w:ascii="Times New Roman" w:hAnsi="Times New Roman"/>
          <w:lang w:val="it-IT"/>
        </w:rPr>
        <w:t>(ovaia di criceto cinese) per la clastogenicità (aberrazione cromosomica) in presenza di attivazione metabolica. Due composti intermedi del processo di preparazione, che sono presenti anche nel prodotto finale, si sono dimostrati positivi alla mutagenesi nel test di Ames ed uno di questi è risultato inoltre positivo all’analisi del linfoma di topo.</w:t>
      </w:r>
    </w:p>
    <w:p w14:paraId="08E2CFF6" w14:textId="77777777" w:rsidR="00EE12A9" w:rsidRPr="00496684" w:rsidRDefault="00EE12A9" w:rsidP="00EE12A9">
      <w:pPr>
        <w:spacing w:after="0" w:line="240" w:lineRule="auto"/>
        <w:rPr>
          <w:rFonts w:ascii="Times New Roman" w:hAnsi="Times New Roman"/>
          <w:lang w:val="it-IT"/>
        </w:rPr>
      </w:pPr>
    </w:p>
    <w:p w14:paraId="0050C63F" w14:textId="77777777" w:rsidR="00EE12A9" w:rsidRPr="00496684" w:rsidRDefault="00EE12A9" w:rsidP="00EE12A9">
      <w:pPr>
        <w:spacing w:after="0" w:line="240" w:lineRule="auto"/>
        <w:ind w:right="98"/>
        <w:rPr>
          <w:rFonts w:ascii="Times New Roman" w:hAnsi="Times New Roman"/>
          <w:lang w:val="it-IT"/>
        </w:rPr>
      </w:pPr>
      <w:r w:rsidRPr="00496684">
        <w:rPr>
          <w:rFonts w:ascii="Times New Roman" w:hAnsi="Times New Roman"/>
          <w:lang w:val="it-IT"/>
        </w:rPr>
        <w:t>In uno studio sulla fertilità condotto su topi maschi, con dosi corrispondenti approssimativamente alla dose clinica massima giornaliera di 800 mg, determinata in base alla superficie corporea, somministrate per 70 giorni prima dell’accoppiamento, il peso dei testicoli, quello dell’epididimo e la percentuale di sperma mobile sono scesi a 60 mg/kg. Tale fenomeno non è stato rilevato a dosaggi ≤</w:t>
      </w:r>
      <w:r w:rsidR="00F916F2" w:rsidRPr="00496684">
        <w:rPr>
          <w:rFonts w:ascii="Times New Roman" w:hAnsi="Times New Roman"/>
          <w:lang w:val="it-IT"/>
        </w:rPr>
        <w:t xml:space="preserve"> </w:t>
      </w:r>
      <w:r w:rsidRPr="00496684">
        <w:rPr>
          <w:rFonts w:ascii="Times New Roman" w:hAnsi="Times New Roman"/>
          <w:lang w:val="it-IT"/>
        </w:rPr>
        <w:t>20 mg/kg. Una riduzione da lieve a moderata della spermatogenesi è stata inoltre osservata nel cane con somministrazione orale di dosi ≥</w:t>
      </w:r>
      <w:r w:rsidR="00C14524" w:rsidRPr="00496684">
        <w:rPr>
          <w:rFonts w:ascii="Times New Roman" w:hAnsi="Times New Roman"/>
          <w:lang w:val="it-IT"/>
        </w:rPr>
        <w:t xml:space="preserve"> </w:t>
      </w:r>
      <w:r w:rsidRPr="00496684">
        <w:rPr>
          <w:rFonts w:ascii="Times New Roman" w:hAnsi="Times New Roman"/>
          <w:lang w:val="it-IT"/>
        </w:rPr>
        <w:t>30 mg/kg. Quando è stato somministrato il dosaggio a topi femmina per 14 giorni, prima dell’accoppiamento e fino al sesto giorno di gestazione, non si è manifestato alcun effetto sull’accoppiamento o sul numero delle gravidanze. Con dosi di 60 mg/kg, i topi femmina hanno presentato una perdita del feto successiva all’impianto significativa ed un minor numero di feti vivi. Questo non è stato riscontrato a dosaggi ≤</w:t>
      </w:r>
      <w:r w:rsidR="00C14524" w:rsidRPr="00496684">
        <w:rPr>
          <w:rFonts w:ascii="Times New Roman" w:hAnsi="Times New Roman"/>
          <w:lang w:val="it-IT"/>
        </w:rPr>
        <w:t xml:space="preserve"> </w:t>
      </w:r>
      <w:r w:rsidRPr="00496684">
        <w:rPr>
          <w:rFonts w:ascii="Times New Roman" w:hAnsi="Times New Roman"/>
          <w:lang w:val="it-IT"/>
        </w:rPr>
        <w:t>20 mg/kg.</w:t>
      </w:r>
    </w:p>
    <w:p w14:paraId="35D20301" w14:textId="77777777" w:rsidR="00EE12A9" w:rsidRPr="00496684" w:rsidRDefault="00EE12A9" w:rsidP="00EE12A9">
      <w:pPr>
        <w:spacing w:after="0" w:line="240" w:lineRule="auto"/>
        <w:rPr>
          <w:rFonts w:ascii="Times New Roman" w:hAnsi="Times New Roman"/>
          <w:lang w:val="it-IT"/>
        </w:rPr>
      </w:pPr>
    </w:p>
    <w:p w14:paraId="54CA05F8" w14:textId="77777777" w:rsidR="00EE12A9" w:rsidRPr="00496684" w:rsidRDefault="00EE12A9" w:rsidP="00EE12A9">
      <w:pPr>
        <w:spacing w:after="0" w:line="240" w:lineRule="auto"/>
        <w:rPr>
          <w:rFonts w:ascii="Times New Roman" w:hAnsi="Times New Roman"/>
          <w:lang w:val="it-IT"/>
        </w:rPr>
      </w:pPr>
      <w:r w:rsidRPr="00496684">
        <w:rPr>
          <w:rFonts w:ascii="Times New Roman" w:hAnsi="Times New Roman"/>
          <w:lang w:val="it-IT"/>
        </w:rPr>
        <w:t>In uno studio di interferenza sullo sviluppo pre e postnatale condotto nel ratto, con somministrazione orale, è stata osservata una perdita vaginale di colore rosso nel gruppo trattato con 45 mg/kg/die, al giorno 14 o al giorno 15 della gestazione. Alla stessa dose, aumentava il numero dei feti nati morti e dei soggetti che morivano tra i giorni 0 e 4 dopo il parto. Allo stesso livello di dose, nella prole F</w:t>
      </w:r>
      <w:r w:rsidRPr="00496684">
        <w:rPr>
          <w:rFonts w:ascii="Times New Roman" w:hAnsi="Times New Roman"/>
          <w:vertAlign w:val="subscript"/>
          <w:lang w:val="it-IT"/>
        </w:rPr>
        <w:t>1</w:t>
      </w:r>
      <w:r w:rsidRPr="00496684">
        <w:rPr>
          <w:rFonts w:ascii="Times New Roman" w:hAnsi="Times New Roman"/>
          <w:lang w:val="it-IT"/>
        </w:rPr>
        <w:t xml:space="preserve"> diminuiva il peso medio corporeo dalla nascita fino al sacrificio terminale e si riduceva di poco il numero dei soggetti che raggiungevano i criteri di separazione del prepuzio. La fertilità della generazione F</w:t>
      </w:r>
      <w:r w:rsidRPr="00496684">
        <w:rPr>
          <w:rFonts w:ascii="Times New Roman" w:hAnsi="Times New Roman"/>
          <w:vertAlign w:val="subscript"/>
          <w:lang w:val="it-IT"/>
        </w:rPr>
        <w:t>1</w:t>
      </w:r>
      <w:r w:rsidRPr="00496684">
        <w:rPr>
          <w:rFonts w:ascii="Times New Roman" w:hAnsi="Times New Roman"/>
          <w:lang w:val="it-IT"/>
        </w:rPr>
        <w:t xml:space="preserve"> non veniva influenzata mentre è stato notato alla dose di 45 mg/kg/die un aumento del numero dei riassorbimenti e una diminuzione del numero dei feti vitali. Sia per le madri che per la generazione F</w:t>
      </w:r>
      <w:r w:rsidRPr="00496684">
        <w:rPr>
          <w:rFonts w:ascii="Times New Roman" w:hAnsi="Times New Roman"/>
          <w:vertAlign w:val="subscript"/>
          <w:lang w:val="it-IT"/>
        </w:rPr>
        <w:t>1</w:t>
      </w:r>
      <w:r w:rsidRPr="00496684">
        <w:rPr>
          <w:rFonts w:ascii="Times New Roman" w:hAnsi="Times New Roman"/>
          <w:lang w:val="it-IT"/>
        </w:rPr>
        <w:t>, NOEL</w:t>
      </w:r>
      <w:r w:rsidR="00E6675E" w:rsidRPr="00496684">
        <w:rPr>
          <w:rFonts w:ascii="Times New Roman" w:hAnsi="Times New Roman"/>
          <w:lang w:val="it-IT"/>
        </w:rPr>
        <w:t xml:space="preserve"> (dose senza effetto osservabile)</w:t>
      </w:r>
      <w:r w:rsidRPr="00496684">
        <w:rPr>
          <w:rFonts w:ascii="Times New Roman" w:hAnsi="Times New Roman"/>
          <w:lang w:val="it-IT"/>
        </w:rPr>
        <w:t xml:space="preserve"> era 15 mg/kg/die (un quarto della dose massima di 800 mg somministrata all’uomo).</w:t>
      </w:r>
    </w:p>
    <w:p w14:paraId="6553E3B1" w14:textId="77777777" w:rsidR="00EE12A9" w:rsidRPr="00496684" w:rsidRDefault="00EE12A9" w:rsidP="00EE12A9">
      <w:pPr>
        <w:spacing w:after="0" w:line="240" w:lineRule="auto"/>
        <w:rPr>
          <w:rFonts w:ascii="Times New Roman" w:hAnsi="Times New Roman"/>
          <w:lang w:val="it-IT"/>
        </w:rPr>
      </w:pPr>
    </w:p>
    <w:p w14:paraId="5E52ED04" w14:textId="77777777" w:rsidR="00EE12A9" w:rsidRPr="00496684" w:rsidRDefault="00EE12A9" w:rsidP="00EE12A9">
      <w:pPr>
        <w:spacing w:after="0" w:line="240" w:lineRule="auto"/>
        <w:rPr>
          <w:rFonts w:ascii="Times New Roman" w:hAnsi="Times New Roman"/>
          <w:lang w:val="it-IT"/>
        </w:rPr>
      </w:pPr>
      <w:r w:rsidRPr="00496684">
        <w:rPr>
          <w:rFonts w:ascii="Times New Roman" w:hAnsi="Times New Roman"/>
          <w:lang w:val="it-IT"/>
        </w:rPr>
        <w:t>Imatinib si è rivelato teratogenico nei topi quando somministrato durante l’organogenesi a dosaggi ≥100 mg/kg, che equivalgono approssimativamente alla dose clinica massima di 800 mg/die, determinata in relazione alla superficie corporea. Gli effetti teratogenici includevano exencefalia o encefalocele, assenza/riduzione delle ossa frontali ed assenza delle ossa parietali. Tali effetti non sono stati osservati a dosaggi ≤30 mg/kg.</w:t>
      </w:r>
    </w:p>
    <w:p w14:paraId="2E5BABFD" w14:textId="77777777" w:rsidR="004D0EDA" w:rsidRPr="00496684" w:rsidRDefault="004D0EDA" w:rsidP="00EE12A9">
      <w:pPr>
        <w:spacing w:after="0" w:line="240" w:lineRule="auto"/>
        <w:rPr>
          <w:rFonts w:ascii="Times New Roman" w:hAnsi="Times New Roman"/>
          <w:lang w:val="it-IT"/>
        </w:rPr>
      </w:pPr>
    </w:p>
    <w:p w14:paraId="0DE1D437" w14:textId="77777777" w:rsidR="004D0EDA" w:rsidRPr="00496684" w:rsidRDefault="004D0EDA" w:rsidP="004D0EDA">
      <w:pPr>
        <w:spacing w:after="0" w:line="240" w:lineRule="auto"/>
        <w:jc w:val="both"/>
        <w:rPr>
          <w:rFonts w:ascii="Times New Roman" w:hAnsi="Times New Roman"/>
          <w:lang w:val="it-IT"/>
        </w:rPr>
      </w:pPr>
      <w:r w:rsidRPr="00496684">
        <w:rPr>
          <w:rFonts w:ascii="Times New Roman" w:hAnsi="Times New Roman"/>
          <w:lang w:val="it-IT"/>
        </w:rPr>
        <w:t>In uno studio di tossicologia dello sviluppo nei ratti giovani (dal giorno 10 al giorno 70 dopo il parto) non sono stati identificati nuovi organi bersaglio rispetto agli organi bersaglio noti nei ratti adulti. Nello studio di tossicologia su animali giovani, sono stati osservati effetti sulla crescita, di ritardo nell’apertura vaginale e nella separazione del prepuzio a circa 0,3-2 volte l’esposizione pediatrica media alla dose massima raccomandata di 340 mg/m</w:t>
      </w:r>
      <w:r w:rsidRPr="00496684">
        <w:rPr>
          <w:rFonts w:ascii="Times New Roman" w:hAnsi="Times New Roman"/>
          <w:sz w:val="20"/>
          <w:szCs w:val="14"/>
          <w:vertAlign w:val="superscript"/>
          <w:lang w:val="it-IT"/>
        </w:rPr>
        <w:t>2</w:t>
      </w:r>
      <w:r w:rsidRPr="00496684">
        <w:rPr>
          <w:rFonts w:ascii="Times New Roman" w:hAnsi="Times New Roman"/>
          <w:lang w:val="it-IT"/>
        </w:rPr>
        <w:t>. Inoltre, è stata osservata mortalità negli animali giovani (intorno alla fase di svezzamento) a circa 2 volte l’esposizione pediatrica media alla dose massima raccomandata di 340 mg/m</w:t>
      </w:r>
      <w:r w:rsidRPr="00496684">
        <w:rPr>
          <w:rFonts w:ascii="Times New Roman" w:hAnsi="Times New Roman"/>
          <w:sz w:val="20"/>
          <w:szCs w:val="14"/>
          <w:vertAlign w:val="superscript"/>
          <w:lang w:val="it-IT"/>
        </w:rPr>
        <w:t>2</w:t>
      </w:r>
      <w:r w:rsidRPr="00496684">
        <w:rPr>
          <w:rFonts w:ascii="Times New Roman" w:hAnsi="Times New Roman"/>
          <w:lang w:val="it-IT"/>
        </w:rPr>
        <w:t>.</w:t>
      </w:r>
    </w:p>
    <w:p w14:paraId="2B970A83" w14:textId="77777777" w:rsidR="00EE12A9" w:rsidRPr="00496684" w:rsidRDefault="00EE12A9" w:rsidP="00EE12A9">
      <w:pPr>
        <w:spacing w:after="0" w:line="240" w:lineRule="auto"/>
        <w:jc w:val="both"/>
        <w:rPr>
          <w:rFonts w:ascii="Times New Roman" w:hAnsi="Times New Roman"/>
          <w:lang w:val="it-IT"/>
        </w:rPr>
      </w:pPr>
    </w:p>
    <w:p w14:paraId="5C7B16D5" w14:textId="77777777" w:rsidR="00EE12A9" w:rsidRPr="00496684" w:rsidRDefault="00EE12A9" w:rsidP="00EE12A9">
      <w:pPr>
        <w:pStyle w:val="Endnotentext"/>
        <w:widowControl w:val="0"/>
        <w:tabs>
          <w:tab w:val="clear" w:pos="567"/>
        </w:tabs>
        <w:rPr>
          <w:szCs w:val="22"/>
          <w:lang w:val="it-IT"/>
        </w:rPr>
      </w:pPr>
      <w:r w:rsidRPr="00496684">
        <w:rPr>
          <w:szCs w:val="22"/>
          <w:lang w:val="it-IT"/>
        </w:rPr>
        <w:t xml:space="preserve">Uno studio di carcinogenesi della durata di 2 anni in ratti trattati con dosi di 15, 30 e 60 mg/kg/die di imatinib ha evidenziato una riduzione statisticamente significativa della longevità dei maschi trattati alla dose di 60 mg/kg/die e delle femmine trattate a dosi </w:t>
      </w:r>
      <w:r w:rsidRPr="00496684">
        <w:rPr>
          <w:szCs w:val="22"/>
          <w:lang w:val="it-IT"/>
        </w:rPr>
        <w:sym w:font="Symbol" w:char="F0B3"/>
      </w:r>
      <w:r w:rsidRPr="00496684">
        <w:rPr>
          <w:szCs w:val="22"/>
          <w:lang w:val="it-IT"/>
        </w:rPr>
        <w:t>30 mg/kg/die. L’esame istopatologico dei cadaveri ha rivelato come cause principali di morte o come motivo del sacrificio la cardiomiopatia (entrambi i sessi), la nefropatia cronica progressiva (femmine) ed il papilloma della ghiandola prepuziale. Gli organi bersaglio per cambiamenti neoplastici sono stati i reni, la vescica urinaria, l’uretra, la ghiandola prepuziale e clitoridea, l’intestino tenue, le ghiandole paratiroidee, le ghiandole surrenali e la parte non ghiandolare dello stomaco.</w:t>
      </w:r>
    </w:p>
    <w:p w14:paraId="7927E203" w14:textId="77777777" w:rsidR="00EE12A9" w:rsidRPr="00496684" w:rsidRDefault="00EE12A9" w:rsidP="00EE12A9">
      <w:pPr>
        <w:pStyle w:val="Endnotentext"/>
        <w:widowControl w:val="0"/>
        <w:tabs>
          <w:tab w:val="clear" w:pos="567"/>
        </w:tabs>
        <w:rPr>
          <w:szCs w:val="22"/>
          <w:lang w:val="it-IT"/>
        </w:rPr>
      </w:pPr>
    </w:p>
    <w:p w14:paraId="0A1677DE" w14:textId="250C0FD1" w:rsidR="00EE12A9" w:rsidRPr="00496684" w:rsidRDefault="00EE12A9" w:rsidP="00EE12A9">
      <w:pPr>
        <w:pStyle w:val="Endnotentext"/>
        <w:widowControl w:val="0"/>
        <w:tabs>
          <w:tab w:val="clear" w:pos="567"/>
        </w:tabs>
        <w:rPr>
          <w:szCs w:val="22"/>
          <w:lang w:val="it-IT"/>
        </w:rPr>
      </w:pPr>
      <w:r w:rsidRPr="00496684">
        <w:rPr>
          <w:szCs w:val="22"/>
          <w:lang w:val="it-IT"/>
        </w:rPr>
        <w:t>Papillomi/carcinomi delle ghiandole prepuziali e clitoridee sono stati osservati a dosi da 30 mg/kg/die in avanti che rappresentano 0,5</w:t>
      </w:r>
      <w:r w:rsidRPr="00496684">
        <w:rPr>
          <w:bCs/>
          <w:lang w:val="it-IT"/>
        </w:rPr>
        <w:t> </w:t>
      </w:r>
      <w:r w:rsidRPr="00496684">
        <w:rPr>
          <w:szCs w:val="22"/>
          <w:lang w:val="it-IT"/>
        </w:rPr>
        <w:t>o 0,3</w:t>
      </w:r>
      <w:r w:rsidRPr="00496684">
        <w:rPr>
          <w:bCs/>
          <w:lang w:val="it-IT"/>
        </w:rPr>
        <w:t> </w:t>
      </w:r>
      <w:r w:rsidRPr="00496684">
        <w:rPr>
          <w:szCs w:val="22"/>
          <w:lang w:val="it-IT"/>
        </w:rPr>
        <w:t>volte circa l’esposizione giornaliera nell’uomo rispettivamente a 400 mg/die o a 800 mg/die (sulla base dell’AUC), e 0,4</w:t>
      </w:r>
      <w:r w:rsidRPr="00496684">
        <w:rPr>
          <w:bCs/>
          <w:lang w:val="it-IT"/>
        </w:rPr>
        <w:t> </w:t>
      </w:r>
      <w:r w:rsidRPr="00496684">
        <w:rPr>
          <w:szCs w:val="22"/>
          <w:lang w:val="it-IT"/>
        </w:rPr>
        <w:t>volte l’esposizione giornaliera nei bambini a 340 mg/m</w:t>
      </w:r>
      <w:r w:rsidRPr="00496684">
        <w:rPr>
          <w:bCs/>
          <w:szCs w:val="22"/>
          <w:vertAlign w:val="superscript"/>
          <w:lang w:val="it-IT"/>
        </w:rPr>
        <w:t>2</w:t>
      </w:r>
      <w:r w:rsidRPr="00496684">
        <w:rPr>
          <w:szCs w:val="22"/>
          <w:lang w:val="it-IT"/>
        </w:rPr>
        <w:t xml:space="preserve">/die (sulla base dell’AUC). Il NOEL è stato di </w:t>
      </w:r>
      <w:r w:rsidRPr="00496684">
        <w:rPr>
          <w:bCs/>
          <w:lang w:val="it-IT"/>
        </w:rPr>
        <w:t>15 mg/kg/die.</w:t>
      </w:r>
      <w:r w:rsidRPr="00496684">
        <w:rPr>
          <w:szCs w:val="22"/>
          <w:lang w:val="it-IT"/>
        </w:rPr>
        <w:t xml:space="preserve"> L’adenoma/carcinoma renale, il papilloma della vescica urinaria e dell’uretra, gli adenocarcinomi dell’intestino tenue, gli adenomi delle ghiandole parotidee, i tumori benigni e maligni della porzione midollare delle ghiandole surrenali ed i papillomi/carcinomi della parte non ghiandolare dello stomaco sono stati osservati a 60 mg/kg/die che rappresenta 1,7</w:t>
      </w:r>
      <w:r w:rsidRPr="00496684">
        <w:rPr>
          <w:bCs/>
          <w:lang w:val="it-IT"/>
        </w:rPr>
        <w:t> o</w:t>
      </w:r>
      <w:r w:rsidRPr="00496684">
        <w:rPr>
          <w:szCs w:val="22"/>
          <w:lang w:val="it-IT"/>
        </w:rPr>
        <w:t xml:space="preserve"> 1</w:t>
      </w:r>
      <w:r w:rsidRPr="00496684">
        <w:rPr>
          <w:bCs/>
          <w:lang w:val="it-IT"/>
        </w:rPr>
        <w:t> </w:t>
      </w:r>
      <w:r w:rsidRPr="00496684">
        <w:rPr>
          <w:szCs w:val="22"/>
          <w:lang w:val="it-IT"/>
        </w:rPr>
        <w:t xml:space="preserve">volta circa l’esposizione giornaliera nell’uomo rispettivamente a </w:t>
      </w:r>
      <w:r w:rsidRPr="00496684">
        <w:rPr>
          <w:bCs/>
          <w:lang w:val="it-IT"/>
        </w:rPr>
        <w:t>400 mg/die o a 800 mg/die</w:t>
      </w:r>
      <w:r w:rsidRPr="00496684">
        <w:rPr>
          <w:szCs w:val="22"/>
          <w:lang w:val="it-IT"/>
        </w:rPr>
        <w:t xml:space="preserve"> (sulla base dell’AUC), e 1,2</w:t>
      </w:r>
      <w:r w:rsidRPr="00496684">
        <w:rPr>
          <w:bCs/>
          <w:lang w:val="it-IT"/>
        </w:rPr>
        <w:t> </w:t>
      </w:r>
      <w:r w:rsidRPr="00496684">
        <w:rPr>
          <w:szCs w:val="22"/>
          <w:lang w:val="it-IT"/>
        </w:rPr>
        <w:t xml:space="preserve">volte l’esposizione giornaliera nei bambini a </w:t>
      </w:r>
      <w:r w:rsidRPr="00496684">
        <w:rPr>
          <w:bCs/>
          <w:lang w:val="it-IT"/>
        </w:rPr>
        <w:t>340 mg/m</w:t>
      </w:r>
      <w:r w:rsidRPr="00496684">
        <w:rPr>
          <w:bCs/>
          <w:szCs w:val="22"/>
          <w:vertAlign w:val="superscript"/>
          <w:lang w:val="it-IT"/>
        </w:rPr>
        <w:t>2</w:t>
      </w:r>
      <w:r w:rsidRPr="00496684">
        <w:rPr>
          <w:bCs/>
          <w:szCs w:val="22"/>
          <w:lang w:val="it-IT"/>
        </w:rPr>
        <w:t xml:space="preserve">/die </w:t>
      </w:r>
      <w:r w:rsidRPr="00496684">
        <w:rPr>
          <w:szCs w:val="22"/>
          <w:lang w:val="it-IT"/>
        </w:rPr>
        <w:t>(sulla base dell’AUC). Il NOEL è stato di 30</w:t>
      </w:r>
      <w:r w:rsidRPr="00496684">
        <w:rPr>
          <w:bCs/>
          <w:lang w:val="it-IT"/>
        </w:rPr>
        <w:t> mg/kg/die.</w:t>
      </w:r>
    </w:p>
    <w:p w14:paraId="1B012CFC" w14:textId="77777777" w:rsidR="00EE12A9" w:rsidRPr="00496684" w:rsidRDefault="00EE12A9" w:rsidP="00EE12A9">
      <w:pPr>
        <w:pStyle w:val="Endnotentext"/>
        <w:widowControl w:val="0"/>
        <w:tabs>
          <w:tab w:val="clear" w:pos="567"/>
        </w:tabs>
        <w:rPr>
          <w:szCs w:val="22"/>
          <w:lang w:val="it-IT"/>
        </w:rPr>
      </w:pPr>
    </w:p>
    <w:p w14:paraId="17276EE8" w14:textId="77777777" w:rsidR="00EE12A9" w:rsidRPr="00496684" w:rsidRDefault="00EE12A9" w:rsidP="00EE12A9">
      <w:pPr>
        <w:pStyle w:val="Endnotentext"/>
        <w:widowControl w:val="0"/>
        <w:tabs>
          <w:tab w:val="clear" w:pos="567"/>
        </w:tabs>
        <w:rPr>
          <w:szCs w:val="22"/>
          <w:lang w:val="it-IT"/>
        </w:rPr>
      </w:pPr>
      <w:r w:rsidRPr="00496684">
        <w:rPr>
          <w:szCs w:val="22"/>
          <w:lang w:val="it-IT"/>
        </w:rPr>
        <w:t>Per l’uomo il meccanismo e la rilevanza di questi risultati emersi nello studio di carcinogenesi condotto nel ratto non sono ancora chiariti.</w:t>
      </w:r>
    </w:p>
    <w:p w14:paraId="5ED665F7" w14:textId="77777777" w:rsidR="00EE12A9" w:rsidRPr="00496684" w:rsidRDefault="00EE12A9" w:rsidP="00EE12A9">
      <w:pPr>
        <w:pStyle w:val="Endnotentext"/>
        <w:widowControl w:val="0"/>
        <w:tabs>
          <w:tab w:val="clear" w:pos="567"/>
        </w:tabs>
        <w:rPr>
          <w:szCs w:val="22"/>
          <w:lang w:val="it-IT"/>
        </w:rPr>
      </w:pPr>
    </w:p>
    <w:p w14:paraId="62128A99" w14:textId="77777777" w:rsidR="00EE12A9" w:rsidRPr="00496684" w:rsidRDefault="00EE12A9" w:rsidP="00EE12A9">
      <w:pPr>
        <w:pStyle w:val="Endnotentext"/>
        <w:widowControl w:val="0"/>
        <w:tabs>
          <w:tab w:val="clear" w:pos="567"/>
        </w:tabs>
        <w:rPr>
          <w:szCs w:val="22"/>
          <w:lang w:val="it-IT"/>
        </w:rPr>
      </w:pPr>
      <w:r w:rsidRPr="00496684">
        <w:rPr>
          <w:szCs w:val="22"/>
          <w:lang w:val="it-IT"/>
        </w:rPr>
        <w:t>Lesioni non neoplastiche non identificate nei precedenti studi preclinici sono state a carico del sistema cardiovascolare, del pancreas, degli organi endocrini e dei denti. I cambiamenti più importanti hanno compreso l’ipertrofia e la dilatazione cardiaca che hanno portano a segni di insufficienza cardiaca in alcuni animali.</w:t>
      </w:r>
    </w:p>
    <w:p w14:paraId="7C5BEF90" w14:textId="77777777" w:rsidR="004D0EDA" w:rsidRPr="00496684" w:rsidRDefault="004D0EDA" w:rsidP="00EE12A9">
      <w:pPr>
        <w:pStyle w:val="Endnotentext"/>
        <w:widowControl w:val="0"/>
        <w:tabs>
          <w:tab w:val="clear" w:pos="567"/>
        </w:tabs>
        <w:rPr>
          <w:szCs w:val="22"/>
          <w:lang w:val="it-IT"/>
        </w:rPr>
      </w:pPr>
    </w:p>
    <w:p w14:paraId="6E025B4D" w14:textId="77777777" w:rsidR="004D0EDA" w:rsidRPr="00496684" w:rsidRDefault="004D0EDA" w:rsidP="00EE12A9">
      <w:pPr>
        <w:pStyle w:val="Endnotentext"/>
        <w:widowControl w:val="0"/>
        <w:tabs>
          <w:tab w:val="clear" w:pos="567"/>
        </w:tabs>
        <w:rPr>
          <w:szCs w:val="22"/>
          <w:lang w:val="it-IT"/>
        </w:rPr>
      </w:pPr>
      <w:r w:rsidRPr="00496684">
        <w:rPr>
          <w:lang w:val="it-IT"/>
        </w:rPr>
        <w:t>La sostanza attiva imatinib mostra un rischio ambientale per gli organismi dei sedimenti</w:t>
      </w:r>
    </w:p>
    <w:p w14:paraId="6B7579B4"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14CADB6A" w14:textId="77777777" w:rsidR="0020671B" w:rsidRPr="00496684" w:rsidRDefault="0020671B" w:rsidP="00CA176A">
      <w:pPr>
        <w:autoSpaceDE w:val="0"/>
        <w:autoSpaceDN w:val="0"/>
        <w:adjustRightInd w:val="0"/>
        <w:spacing w:after="0" w:line="240" w:lineRule="auto"/>
        <w:rPr>
          <w:rFonts w:ascii="Times New Roman" w:hAnsi="Times New Roman"/>
          <w:lang w:val="it-IT"/>
        </w:rPr>
      </w:pPr>
    </w:p>
    <w:p w14:paraId="45503013"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00EE12A9" w:rsidRPr="00496684">
        <w:rPr>
          <w:rFonts w:ascii="Times New Roman" w:hAnsi="Times New Roman"/>
          <w:b/>
          <w:lang w:val="it-IT"/>
        </w:rPr>
        <w:t>INFORMAZIONI FARMACEUTICHE</w:t>
      </w:r>
    </w:p>
    <w:p w14:paraId="30511614"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31C8DA8D"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6.1</w:t>
      </w:r>
      <w:r w:rsidRPr="00496684">
        <w:rPr>
          <w:rFonts w:ascii="Times New Roman" w:hAnsi="Times New Roman"/>
          <w:b/>
          <w:bCs/>
          <w:lang w:val="it-IT"/>
        </w:rPr>
        <w:tab/>
      </w:r>
      <w:r w:rsidR="00EE12A9" w:rsidRPr="00496684">
        <w:rPr>
          <w:rFonts w:ascii="Times New Roman" w:hAnsi="Times New Roman"/>
          <w:b/>
          <w:lang w:val="it-IT"/>
        </w:rPr>
        <w:t>Elenco degli eccipienti</w:t>
      </w:r>
    </w:p>
    <w:p w14:paraId="01753289" w14:textId="77777777" w:rsidR="00CA176A" w:rsidRPr="00496684" w:rsidRDefault="00CA176A" w:rsidP="00CA176A">
      <w:pPr>
        <w:pStyle w:val="KeinLeerraum"/>
        <w:rPr>
          <w:rFonts w:ascii="Times New Roman" w:hAnsi="Times New Roman"/>
          <w:lang w:val="it-IT"/>
        </w:rPr>
      </w:pPr>
    </w:p>
    <w:p w14:paraId="0820670C" w14:textId="77777777" w:rsidR="00CA176A" w:rsidRPr="00496684" w:rsidRDefault="00EE12A9" w:rsidP="00CA176A">
      <w:pPr>
        <w:pStyle w:val="KeinLeerraum"/>
        <w:rPr>
          <w:rFonts w:ascii="Times New Roman" w:hAnsi="Times New Roman"/>
          <w:u w:val="single"/>
          <w:lang w:val="it-IT"/>
        </w:rPr>
      </w:pPr>
      <w:r w:rsidRPr="00496684">
        <w:rPr>
          <w:rFonts w:ascii="Times New Roman" w:hAnsi="Times New Roman"/>
          <w:u w:val="single"/>
          <w:lang w:val="it-IT"/>
        </w:rPr>
        <w:t>Nucleo compressa</w:t>
      </w:r>
    </w:p>
    <w:p w14:paraId="5E1DF074" w14:textId="77777777" w:rsidR="00CA176A" w:rsidRPr="00496684" w:rsidRDefault="00EE12A9"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Cellulosa</w:t>
      </w:r>
      <w:r w:rsidR="00CA176A" w:rsidRPr="00496684">
        <w:rPr>
          <w:rFonts w:ascii="Times New Roman" w:hAnsi="Times New Roman"/>
          <w:bCs/>
          <w:lang w:val="it-IT"/>
        </w:rPr>
        <w:t xml:space="preserve"> microcr</w:t>
      </w:r>
      <w:r w:rsidRPr="00496684">
        <w:rPr>
          <w:rFonts w:ascii="Times New Roman" w:hAnsi="Times New Roman"/>
          <w:bCs/>
          <w:lang w:val="it-IT"/>
        </w:rPr>
        <w:t>i</w:t>
      </w:r>
      <w:r w:rsidR="00CA176A" w:rsidRPr="00496684">
        <w:rPr>
          <w:rFonts w:ascii="Times New Roman" w:hAnsi="Times New Roman"/>
          <w:bCs/>
          <w:lang w:val="it-IT"/>
        </w:rPr>
        <w:t>stallin</w:t>
      </w:r>
      <w:r w:rsidRPr="00496684">
        <w:rPr>
          <w:rFonts w:ascii="Times New Roman" w:hAnsi="Times New Roman"/>
          <w:bCs/>
          <w:lang w:val="it-IT"/>
        </w:rPr>
        <w:t>a</w:t>
      </w:r>
      <w:r w:rsidR="00CA176A" w:rsidRPr="00496684">
        <w:rPr>
          <w:rFonts w:ascii="Times New Roman" w:hAnsi="Times New Roman"/>
          <w:bCs/>
          <w:lang w:val="it-IT"/>
        </w:rPr>
        <w:t xml:space="preserve"> </w:t>
      </w:r>
    </w:p>
    <w:p w14:paraId="3D9E8737"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Copovidone</w:t>
      </w:r>
    </w:p>
    <w:p w14:paraId="05B62EE3"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Crospovidone</w:t>
      </w:r>
    </w:p>
    <w:p w14:paraId="39316F24" w14:textId="77777777" w:rsidR="00CA176A" w:rsidRPr="00496684" w:rsidRDefault="00EE12A9"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Sodio ste</w:t>
      </w:r>
      <w:r w:rsidR="007353FB" w:rsidRPr="00496684">
        <w:rPr>
          <w:rFonts w:ascii="Times New Roman" w:hAnsi="Times New Roman"/>
          <w:bCs/>
          <w:lang w:val="it-IT"/>
        </w:rPr>
        <w:t>a</w:t>
      </w:r>
      <w:r w:rsidRPr="00496684">
        <w:rPr>
          <w:rFonts w:ascii="Times New Roman" w:hAnsi="Times New Roman"/>
          <w:bCs/>
          <w:lang w:val="it-IT"/>
        </w:rPr>
        <w:t>ril fumarato</w:t>
      </w:r>
    </w:p>
    <w:p w14:paraId="38818627" w14:textId="77777777" w:rsidR="00CA176A" w:rsidRPr="00496684" w:rsidRDefault="00EE12A9"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Silice</w:t>
      </w:r>
      <w:r w:rsidR="00CA176A" w:rsidRPr="00496684">
        <w:rPr>
          <w:rFonts w:ascii="Times New Roman" w:hAnsi="Times New Roman"/>
          <w:bCs/>
          <w:lang w:val="it-IT"/>
        </w:rPr>
        <w:t xml:space="preserve">, </w:t>
      </w:r>
      <w:r w:rsidRPr="00496684">
        <w:rPr>
          <w:rFonts w:ascii="Times New Roman" w:hAnsi="Times New Roman"/>
          <w:bCs/>
          <w:lang w:val="it-IT"/>
        </w:rPr>
        <w:t>colloidale idrofobica</w:t>
      </w:r>
      <w:r w:rsidR="00CA176A" w:rsidRPr="00496684">
        <w:rPr>
          <w:rFonts w:ascii="Times New Roman" w:hAnsi="Times New Roman"/>
          <w:bCs/>
          <w:lang w:val="it-IT"/>
        </w:rPr>
        <w:t xml:space="preserve"> </w:t>
      </w:r>
    </w:p>
    <w:p w14:paraId="5C046A59" w14:textId="77777777" w:rsidR="00EE12A9" w:rsidRPr="00496684" w:rsidRDefault="00EE12A9" w:rsidP="00EE12A9">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Silice, colloidale anidra</w:t>
      </w:r>
    </w:p>
    <w:p w14:paraId="3070AC8D"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6D987D5A" w14:textId="77777777" w:rsidR="00CA176A" w:rsidRPr="00496684" w:rsidRDefault="00EE12A9" w:rsidP="00CA176A">
      <w:pPr>
        <w:autoSpaceDE w:val="0"/>
        <w:autoSpaceDN w:val="0"/>
        <w:adjustRightInd w:val="0"/>
        <w:spacing w:after="0" w:line="240" w:lineRule="auto"/>
        <w:rPr>
          <w:rFonts w:ascii="Times New Roman" w:hAnsi="Times New Roman"/>
          <w:bCs/>
          <w:u w:val="single"/>
          <w:lang w:val="it-IT"/>
        </w:rPr>
      </w:pPr>
      <w:r w:rsidRPr="00496684">
        <w:rPr>
          <w:rFonts w:ascii="Times New Roman" w:hAnsi="Times New Roman"/>
          <w:bCs/>
          <w:u w:val="single"/>
          <w:lang w:val="it-IT"/>
        </w:rPr>
        <w:t>Rivestimento della compressa</w:t>
      </w:r>
    </w:p>
    <w:p w14:paraId="0E0DE7A0" w14:textId="77777777" w:rsidR="00EE12A9" w:rsidRPr="00496684" w:rsidRDefault="00EE12A9"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Alcool polivinilico parzialmente idrolizzato</w:t>
      </w:r>
    </w:p>
    <w:p w14:paraId="467B9767"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Talc</w:t>
      </w:r>
      <w:r w:rsidR="00EE12A9" w:rsidRPr="00496684">
        <w:rPr>
          <w:rFonts w:ascii="Times New Roman" w:hAnsi="Times New Roman"/>
          <w:bCs/>
          <w:lang w:val="it-IT"/>
        </w:rPr>
        <w:t>o</w:t>
      </w:r>
    </w:p>
    <w:p w14:paraId="0E6C1FB1" w14:textId="77777777" w:rsidR="00CA176A" w:rsidRPr="00496684" w:rsidRDefault="00EE12A9"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Ferro ossido giallo</w:t>
      </w:r>
      <w:r w:rsidR="00CA176A" w:rsidRPr="00496684">
        <w:rPr>
          <w:rFonts w:ascii="Times New Roman" w:hAnsi="Times New Roman"/>
          <w:bCs/>
          <w:lang w:val="it-IT"/>
        </w:rPr>
        <w:t xml:space="preserve"> (E172)</w:t>
      </w:r>
    </w:p>
    <w:p w14:paraId="65087189" w14:textId="77777777" w:rsidR="00CA176A" w:rsidRPr="00496684" w:rsidRDefault="00EE12A9"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Titanio</w:t>
      </w:r>
      <w:r w:rsidR="00CA176A" w:rsidRPr="00496684">
        <w:rPr>
          <w:rFonts w:ascii="Times New Roman" w:hAnsi="Times New Roman"/>
          <w:bCs/>
          <w:lang w:val="it-IT"/>
        </w:rPr>
        <w:t xml:space="preserve"> dio</w:t>
      </w:r>
      <w:r w:rsidRPr="00496684">
        <w:rPr>
          <w:rFonts w:ascii="Times New Roman" w:hAnsi="Times New Roman"/>
          <w:bCs/>
          <w:lang w:val="it-IT"/>
        </w:rPr>
        <w:t>ss</w:t>
      </w:r>
      <w:r w:rsidR="00CA176A" w:rsidRPr="00496684">
        <w:rPr>
          <w:rFonts w:ascii="Times New Roman" w:hAnsi="Times New Roman"/>
          <w:bCs/>
          <w:lang w:val="it-IT"/>
        </w:rPr>
        <w:t>id</w:t>
      </w:r>
      <w:r w:rsidRPr="00496684">
        <w:rPr>
          <w:rFonts w:ascii="Times New Roman" w:hAnsi="Times New Roman"/>
          <w:bCs/>
          <w:lang w:val="it-IT"/>
        </w:rPr>
        <w:t>o</w:t>
      </w:r>
      <w:r w:rsidR="00CA176A" w:rsidRPr="00496684">
        <w:rPr>
          <w:rFonts w:ascii="Times New Roman" w:hAnsi="Times New Roman"/>
          <w:bCs/>
          <w:lang w:val="it-IT"/>
        </w:rPr>
        <w:t xml:space="preserve"> (E171)</w:t>
      </w:r>
    </w:p>
    <w:p w14:paraId="0FF8835E" w14:textId="77777777" w:rsidR="00EE12A9" w:rsidRPr="00496684" w:rsidRDefault="00EE12A9" w:rsidP="00EE12A9">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Ferro ossido rosso</w:t>
      </w:r>
      <w:r w:rsidR="007353FB" w:rsidRPr="00496684">
        <w:rPr>
          <w:rFonts w:ascii="Times New Roman" w:hAnsi="Times New Roman"/>
          <w:bCs/>
          <w:lang w:val="it-IT"/>
        </w:rPr>
        <w:t xml:space="preserve"> </w:t>
      </w:r>
      <w:r w:rsidRPr="00496684">
        <w:rPr>
          <w:rFonts w:ascii="Times New Roman" w:hAnsi="Times New Roman"/>
          <w:bCs/>
          <w:lang w:val="it-IT"/>
        </w:rPr>
        <w:t>(E172)</w:t>
      </w:r>
    </w:p>
    <w:p w14:paraId="4BD46485"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Lecitin</w:t>
      </w:r>
      <w:r w:rsidR="00EE12A9" w:rsidRPr="00496684">
        <w:rPr>
          <w:rFonts w:ascii="Times New Roman" w:hAnsi="Times New Roman"/>
          <w:bCs/>
          <w:lang w:val="it-IT"/>
        </w:rPr>
        <w:t>a</w:t>
      </w:r>
      <w:r w:rsidRPr="00496684">
        <w:rPr>
          <w:rFonts w:ascii="Times New Roman" w:hAnsi="Times New Roman"/>
          <w:bCs/>
          <w:lang w:val="it-IT"/>
        </w:rPr>
        <w:t xml:space="preserve"> (so</w:t>
      </w:r>
      <w:r w:rsidR="00EE12A9" w:rsidRPr="00496684">
        <w:rPr>
          <w:rFonts w:ascii="Times New Roman" w:hAnsi="Times New Roman"/>
          <w:bCs/>
          <w:lang w:val="it-IT"/>
        </w:rPr>
        <w:t>i</w:t>
      </w:r>
      <w:r w:rsidRPr="00496684">
        <w:rPr>
          <w:rFonts w:ascii="Times New Roman" w:hAnsi="Times New Roman"/>
          <w:bCs/>
          <w:lang w:val="it-IT"/>
        </w:rPr>
        <w:t>a) (E322)</w:t>
      </w:r>
    </w:p>
    <w:p w14:paraId="2E212513" w14:textId="77777777" w:rsidR="00CA176A" w:rsidRPr="00496684" w:rsidRDefault="00EE12A9"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Gomma xantano</w:t>
      </w:r>
      <w:r w:rsidR="00CA176A" w:rsidRPr="00496684">
        <w:rPr>
          <w:rFonts w:ascii="Times New Roman" w:hAnsi="Times New Roman"/>
          <w:bCs/>
          <w:lang w:val="it-IT"/>
        </w:rPr>
        <w:t xml:space="preserve"> (E415)</w:t>
      </w:r>
    </w:p>
    <w:p w14:paraId="48980CD0"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0C306946"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6.2</w:t>
      </w:r>
      <w:r w:rsidRPr="00496684">
        <w:rPr>
          <w:rFonts w:ascii="Times New Roman" w:hAnsi="Times New Roman"/>
          <w:b/>
          <w:bCs/>
          <w:lang w:val="it-IT"/>
        </w:rPr>
        <w:tab/>
      </w:r>
      <w:r w:rsidR="00965CE4" w:rsidRPr="00496684">
        <w:rPr>
          <w:rFonts w:ascii="Times New Roman" w:hAnsi="Times New Roman"/>
          <w:b/>
          <w:lang w:val="it-IT"/>
        </w:rPr>
        <w:t>Incompatibilità</w:t>
      </w:r>
    </w:p>
    <w:p w14:paraId="38435083"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09748045" w14:textId="77777777" w:rsidR="00CA176A" w:rsidRPr="00496684" w:rsidRDefault="00965CE4"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Non perti</w:t>
      </w:r>
      <w:r w:rsidR="007353FB" w:rsidRPr="00496684">
        <w:rPr>
          <w:rFonts w:ascii="Times New Roman" w:hAnsi="Times New Roman"/>
          <w:lang w:val="it-IT"/>
        </w:rPr>
        <w:t>n</w:t>
      </w:r>
      <w:r w:rsidRPr="00496684">
        <w:rPr>
          <w:rFonts w:ascii="Times New Roman" w:hAnsi="Times New Roman"/>
          <w:lang w:val="it-IT"/>
        </w:rPr>
        <w:t>ente</w:t>
      </w:r>
    </w:p>
    <w:p w14:paraId="55697FE7"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4B5C9A88"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6.3</w:t>
      </w:r>
      <w:r w:rsidRPr="00496684">
        <w:rPr>
          <w:rFonts w:ascii="Times New Roman" w:hAnsi="Times New Roman"/>
          <w:b/>
          <w:bCs/>
          <w:lang w:val="it-IT"/>
        </w:rPr>
        <w:tab/>
      </w:r>
      <w:r w:rsidR="006E3015" w:rsidRPr="00496684">
        <w:rPr>
          <w:rFonts w:ascii="Times New Roman" w:hAnsi="Times New Roman"/>
          <w:b/>
          <w:lang w:val="it-IT"/>
        </w:rPr>
        <w:t>Periodo di validità</w:t>
      </w:r>
    </w:p>
    <w:p w14:paraId="3AA13689" w14:textId="77777777" w:rsidR="00CA176A" w:rsidRPr="00496684" w:rsidRDefault="00CA176A" w:rsidP="00CA176A">
      <w:pPr>
        <w:pStyle w:val="KeinLeerraum"/>
        <w:rPr>
          <w:rFonts w:ascii="Times New Roman" w:hAnsi="Times New Roman"/>
          <w:lang w:val="it-IT"/>
        </w:rPr>
      </w:pPr>
    </w:p>
    <w:p w14:paraId="55B60B85" w14:textId="77777777" w:rsidR="00DB1D48" w:rsidRPr="00496684" w:rsidRDefault="00DB1D48"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compresse rivestite con film</w:t>
      </w:r>
    </w:p>
    <w:p w14:paraId="43E4E0C8" w14:textId="5AC7952C" w:rsidR="00CA176A" w:rsidRPr="00496684" w:rsidRDefault="006E3015"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 anni</w:t>
      </w:r>
    </w:p>
    <w:p w14:paraId="3E902EF9"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3C66E9E3" w14:textId="77777777" w:rsidR="00DB1D48" w:rsidRPr="00496684" w:rsidRDefault="00DB1D48"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compresse rivestite con film</w:t>
      </w:r>
    </w:p>
    <w:p w14:paraId="532784BA" w14:textId="77777777" w:rsidR="00DB1D48" w:rsidRPr="00496684" w:rsidRDefault="00DB1D48"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21 mesi</w:t>
      </w:r>
    </w:p>
    <w:p w14:paraId="2E1BB68D" w14:textId="77777777" w:rsidR="00DB1D48" w:rsidRPr="00496684" w:rsidRDefault="00DB1D48" w:rsidP="00CA176A">
      <w:pPr>
        <w:autoSpaceDE w:val="0"/>
        <w:autoSpaceDN w:val="0"/>
        <w:adjustRightInd w:val="0"/>
        <w:spacing w:after="0" w:line="240" w:lineRule="auto"/>
        <w:rPr>
          <w:rFonts w:ascii="Times New Roman" w:hAnsi="Times New Roman"/>
          <w:lang w:val="it-IT"/>
        </w:rPr>
      </w:pPr>
    </w:p>
    <w:p w14:paraId="78371709" w14:textId="77777777" w:rsidR="006E3015" w:rsidRPr="00496684" w:rsidRDefault="00CA176A" w:rsidP="006E3015">
      <w:pPr>
        <w:widowControl w:val="0"/>
        <w:spacing w:after="0" w:line="240" w:lineRule="auto"/>
        <w:ind w:left="567" w:hanging="567"/>
        <w:rPr>
          <w:rFonts w:ascii="Times New Roman" w:hAnsi="Times New Roman"/>
          <w:lang w:val="it-IT"/>
        </w:rPr>
      </w:pPr>
      <w:r w:rsidRPr="00496684">
        <w:rPr>
          <w:rFonts w:ascii="Times New Roman" w:hAnsi="Times New Roman"/>
          <w:b/>
          <w:bCs/>
          <w:lang w:val="it-IT"/>
        </w:rPr>
        <w:t>6.4</w:t>
      </w:r>
      <w:r w:rsidRPr="00496684">
        <w:rPr>
          <w:rFonts w:ascii="Times New Roman" w:hAnsi="Times New Roman"/>
          <w:b/>
          <w:bCs/>
          <w:lang w:val="it-IT"/>
        </w:rPr>
        <w:tab/>
      </w:r>
      <w:r w:rsidR="006E3015" w:rsidRPr="00496684">
        <w:rPr>
          <w:rFonts w:ascii="Times New Roman" w:hAnsi="Times New Roman"/>
          <w:b/>
          <w:lang w:val="it-IT"/>
        </w:rPr>
        <w:t>Precauzioni particolari per la conservazione</w:t>
      </w:r>
    </w:p>
    <w:p w14:paraId="747BAFF9" w14:textId="77777777" w:rsidR="006E3015" w:rsidRPr="00496684" w:rsidRDefault="006E3015" w:rsidP="006E3015">
      <w:pPr>
        <w:widowControl w:val="0"/>
        <w:spacing w:after="0" w:line="240" w:lineRule="auto"/>
        <w:rPr>
          <w:rFonts w:ascii="Times New Roman" w:hAnsi="Times New Roman"/>
          <w:lang w:val="it-IT"/>
        </w:rPr>
      </w:pPr>
    </w:p>
    <w:p w14:paraId="481ADF77" w14:textId="77777777" w:rsidR="006E3015" w:rsidRPr="00496684" w:rsidRDefault="006E3015" w:rsidP="006E3015">
      <w:pPr>
        <w:widowControl w:val="0"/>
        <w:spacing w:after="0" w:line="240" w:lineRule="auto"/>
        <w:rPr>
          <w:rFonts w:ascii="Times New Roman" w:hAnsi="Times New Roman"/>
          <w:lang w:val="it-IT"/>
        </w:rPr>
      </w:pPr>
      <w:r w:rsidRPr="00496684">
        <w:rPr>
          <w:rFonts w:ascii="Times New Roman" w:hAnsi="Times New Roman"/>
          <w:lang w:val="it-IT"/>
        </w:rPr>
        <w:t>Non conservare a temperatura superiore ai 30</w:t>
      </w:r>
      <w:r w:rsidRPr="00496684">
        <w:rPr>
          <w:rFonts w:ascii="Times New Roman" w:hAnsi="Times New Roman"/>
          <w:lang w:val="it-IT"/>
        </w:rPr>
        <w:sym w:font="Symbol" w:char="F0B0"/>
      </w:r>
      <w:r w:rsidRPr="00496684">
        <w:rPr>
          <w:rFonts w:ascii="Times New Roman" w:hAnsi="Times New Roman"/>
          <w:lang w:val="it-IT"/>
        </w:rPr>
        <w:t>C.</w:t>
      </w:r>
    </w:p>
    <w:p w14:paraId="49FBA362" w14:textId="77777777" w:rsidR="00CA176A" w:rsidRPr="00496684" w:rsidRDefault="006E3015" w:rsidP="006E301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Conservare nella confezione originale per proteggere il medicinale dall’umidità</w:t>
      </w:r>
    </w:p>
    <w:p w14:paraId="55B7C78F" w14:textId="77777777" w:rsidR="006E3015" w:rsidRPr="00496684" w:rsidRDefault="006E3015" w:rsidP="006E3015">
      <w:pPr>
        <w:autoSpaceDE w:val="0"/>
        <w:autoSpaceDN w:val="0"/>
        <w:adjustRightInd w:val="0"/>
        <w:spacing w:after="0" w:line="240" w:lineRule="auto"/>
        <w:rPr>
          <w:rFonts w:ascii="Times New Roman" w:hAnsi="Times New Roman"/>
          <w:lang w:val="it-IT"/>
        </w:rPr>
      </w:pPr>
    </w:p>
    <w:p w14:paraId="066F9471"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6.5</w:t>
      </w:r>
      <w:r w:rsidRPr="00496684">
        <w:rPr>
          <w:rFonts w:ascii="Times New Roman" w:hAnsi="Times New Roman"/>
          <w:b/>
          <w:bCs/>
          <w:lang w:val="it-IT"/>
        </w:rPr>
        <w:tab/>
      </w:r>
      <w:r w:rsidR="006E3015" w:rsidRPr="00496684">
        <w:rPr>
          <w:rFonts w:ascii="Times New Roman" w:hAnsi="Times New Roman"/>
          <w:b/>
          <w:lang w:val="it-IT"/>
        </w:rPr>
        <w:t>Natura e contenuto del contenitore</w:t>
      </w:r>
    </w:p>
    <w:p w14:paraId="019E5E37"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33910912" w14:textId="77777777" w:rsidR="00CA176A" w:rsidRPr="00496684" w:rsidRDefault="006E3015" w:rsidP="00CA176A">
      <w:pPr>
        <w:autoSpaceDE w:val="0"/>
        <w:autoSpaceDN w:val="0"/>
        <w:adjustRightInd w:val="0"/>
        <w:spacing w:after="0" w:line="240" w:lineRule="auto"/>
        <w:rPr>
          <w:rFonts w:ascii="Times New Roman" w:hAnsi="Times New Roman"/>
          <w:bCs/>
          <w:lang w:val="it-IT"/>
        </w:rPr>
      </w:pPr>
      <w:r w:rsidRPr="00496684">
        <w:rPr>
          <w:rFonts w:ascii="Times New Roman" w:hAnsi="Times New Roman"/>
          <w:bCs/>
          <w:lang w:val="it-IT"/>
        </w:rPr>
        <w:t xml:space="preserve">Blister in </w:t>
      </w:r>
      <w:r w:rsidR="00CA176A" w:rsidRPr="00496684">
        <w:rPr>
          <w:rFonts w:ascii="Times New Roman" w:hAnsi="Times New Roman"/>
          <w:bCs/>
          <w:lang w:val="it-IT"/>
        </w:rPr>
        <w:t>Al/PVC/Aclar</w:t>
      </w:r>
      <w:r w:rsidR="00C14524" w:rsidRPr="00496684">
        <w:rPr>
          <w:rFonts w:ascii="Times New Roman" w:hAnsi="Times New Roman"/>
          <w:bCs/>
          <w:lang w:val="it-IT"/>
        </w:rPr>
        <w:t>. Un blister contiene 10 compresse.</w:t>
      </w:r>
    </w:p>
    <w:p w14:paraId="5E15CE02" w14:textId="77777777" w:rsidR="00CA176A" w:rsidRPr="00496684" w:rsidRDefault="00CA176A" w:rsidP="00CA176A">
      <w:pPr>
        <w:autoSpaceDE w:val="0"/>
        <w:autoSpaceDN w:val="0"/>
        <w:adjustRightInd w:val="0"/>
        <w:spacing w:after="0" w:line="240" w:lineRule="auto"/>
        <w:rPr>
          <w:rFonts w:ascii="Times New Roman" w:hAnsi="Times New Roman"/>
          <w:bCs/>
          <w:i/>
          <w:lang w:val="it-IT"/>
        </w:rPr>
      </w:pPr>
    </w:p>
    <w:p w14:paraId="058CF93C" w14:textId="77777777" w:rsidR="00DB1D48" w:rsidRPr="00496684" w:rsidRDefault="00DB1D48" w:rsidP="00DB1D48">
      <w:pPr>
        <w:pStyle w:val="StandardWeb"/>
        <w:spacing w:before="0" w:beforeAutospacing="0" w:after="0" w:afterAutospacing="0"/>
        <w:rPr>
          <w:sz w:val="22"/>
          <w:szCs w:val="22"/>
        </w:rPr>
      </w:pPr>
      <w:r w:rsidRPr="00496684">
        <w:rPr>
          <w:sz w:val="22"/>
          <w:szCs w:val="22"/>
        </w:rPr>
        <w:t>Imatinib Actavis 100 mg compresse rivestite con film</w:t>
      </w:r>
    </w:p>
    <w:p w14:paraId="0C422E25" w14:textId="77777777" w:rsidR="00CA176A" w:rsidRPr="00496684" w:rsidRDefault="006E3015" w:rsidP="00CA176A">
      <w:pPr>
        <w:pStyle w:val="KeinLeerraum"/>
        <w:rPr>
          <w:rFonts w:ascii="Times New Roman" w:hAnsi="Times New Roman"/>
          <w:lang w:val="it-IT"/>
        </w:rPr>
      </w:pPr>
      <w:r w:rsidRPr="00496684">
        <w:rPr>
          <w:rFonts w:ascii="Times New Roman" w:hAnsi="Times New Roman"/>
          <w:lang w:val="it-IT"/>
        </w:rPr>
        <w:t xml:space="preserve">Confezione da </w:t>
      </w:r>
      <w:r w:rsidR="00CA176A" w:rsidRPr="00496684">
        <w:rPr>
          <w:rFonts w:ascii="Times New Roman" w:hAnsi="Times New Roman"/>
          <w:lang w:val="it-IT"/>
        </w:rPr>
        <w:t>10, 20, 30, 60, 90, 120 o 180 </w:t>
      </w:r>
      <w:r w:rsidRPr="00496684">
        <w:rPr>
          <w:rFonts w:ascii="Times New Roman" w:hAnsi="Times New Roman"/>
          <w:lang w:val="it-IT"/>
        </w:rPr>
        <w:t>compresse rivestite con film</w:t>
      </w:r>
    </w:p>
    <w:p w14:paraId="61F0EF85" w14:textId="77777777" w:rsidR="00DB1D48" w:rsidRPr="00496684" w:rsidRDefault="00DB1D48" w:rsidP="00CA176A">
      <w:pPr>
        <w:pStyle w:val="KeinLeerraum"/>
        <w:rPr>
          <w:rFonts w:ascii="Times New Roman" w:hAnsi="Times New Roman"/>
          <w:lang w:val="it-IT"/>
        </w:rPr>
      </w:pPr>
    </w:p>
    <w:p w14:paraId="7321B65A" w14:textId="77777777" w:rsidR="00DB1D48" w:rsidRPr="00496684" w:rsidRDefault="00DB1D48" w:rsidP="00DB1D48">
      <w:pPr>
        <w:pStyle w:val="StandardWeb"/>
        <w:spacing w:before="0" w:beforeAutospacing="0" w:after="0" w:afterAutospacing="0"/>
        <w:rPr>
          <w:sz w:val="22"/>
          <w:szCs w:val="22"/>
        </w:rPr>
      </w:pPr>
      <w:r w:rsidRPr="00496684">
        <w:rPr>
          <w:sz w:val="22"/>
          <w:szCs w:val="22"/>
        </w:rPr>
        <w:t>Imatinib Actavis 400 mg compresse rivestite con film</w:t>
      </w:r>
    </w:p>
    <w:p w14:paraId="6F5D9041" w14:textId="77777777" w:rsidR="00DB1D48" w:rsidRPr="00496684" w:rsidRDefault="00DB1D48" w:rsidP="00DB1D48">
      <w:pPr>
        <w:pStyle w:val="KeinLeerraum"/>
        <w:rPr>
          <w:rFonts w:ascii="Times New Roman" w:hAnsi="Times New Roman"/>
          <w:lang w:val="it-IT"/>
        </w:rPr>
      </w:pPr>
      <w:r w:rsidRPr="00496684">
        <w:rPr>
          <w:rFonts w:ascii="Times New Roman" w:hAnsi="Times New Roman"/>
          <w:lang w:val="it-IT"/>
        </w:rPr>
        <w:t>Confezione da 10, 30, 60 o 90 compresse rivestite con film</w:t>
      </w:r>
    </w:p>
    <w:p w14:paraId="73740DAA" w14:textId="77777777" w:rsidR="00DB1D48" w:rsidRPr="00496684" w:rsidRDefault="00DB1D48" w:rsidP="00CA176A">
      <w:pPr>
        <w:pStyle w:val="KeinLeerraum"/>
        <w:rPr>
          <w:rFonts w:ascii="Times New Roman" w:hAnsi="Times New Roman"/>
          <w:lang w:val="it-IT"/>
        </w:rPr>
      </w:pPr>
    </w:p>
    <w:p w14:paraId="463D1CEE" w14:textId="77777777" w:rsidR="00CA176A" w:rsidRPr="00496684" w:rsidRDefault="00CA176A" w:rsidP="00CA176A">
      <w:pPr>
        <w:autoSpaceDE w:val="0"/>
        <w:autoSpaceDN w:val="0"/>
        <w:adjustRightInd w:val="0"/>
        <w:spacing w:after="0" w:line="240" w:lineRule="auto"/>
        <w:rPr>
          <w:rFonts w:ascii="Times New Roman" w:hAnsi="Times New Roman"/>
          <w:highlight w:val="yellow"/>
          <w:lang w:val="it-IT"/>
        </w:rPr>
      </w:pPr>
    </w:p>
    <w:p w14:paraId="318BBF23" w14:textId="77777777" w:rsidR="00901DA8" w:rsidRPr="00496684" w:rsidRDefault="00901DA8" w:rsidP="00901DA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possibile che non tutte le confezion</w:t>
      </w:r>
      <w:r w:rsidR="007353FB" w:rsidRPr="00496684">
        <w:rPr>
          <w:rFonts w:ascii="Times New Roman" w:hAnsi="Times New Roman"/>
          <w:lang w:val="it-IT"/>
        </w:rPr>
        <w:t>i</w:t>
      </w:r>
      <w:r w:rsidRPr="00496684">
        <w:rPr>
          <w:rFonts w:ascii="Times New Roman" w:hAnsi="Times New Roman"/>
          <w:lang w:val="it-IT"/>
        </w:rPr>
        <w:t xml:space="preserve"> siano commercializzate</w:t>
      </w:r>
    </w:p>
    <w:p w14:paraId="59307209"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3293B8AF"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6.6</w:t>
      </w:r>
      <w:r w:rsidRPr="00496684">
        <w:rPr>
          <w:rFonts w:ascii="Times New Roman" w:hAnsi="Times New Roman"/>
          <w:b/>
          <w:bCs/>
          <w:lang w:val="it-IT"/>
        </w:rPr>
        <w:tab/>
      </w:r>
      <w:r w:rsidR="006E3015" w:rsidRPr="00496684">
        <w:rPr>
          <w:rFonts w:ascii="Times New Roman" w:hAnsi="Times New Roman"/>
          <w:b/>
          <w:lang w:val="it-IT"/>
        </w:rPr>
        <w:t>Precauzioni particolari per lo smaltimento</w:t>
      </w:r>
    </w:p>
    <w:p w14:paraId="6820DD40"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4FD4CB9F" w14:textId="77777777" w:rsidR="00D860E1" w:rsidRPr="00496684" w:rsidRDefault="00D860E1" w:rsidP="00CA176A">
      <w:pPr>
        <w:autoSpaceDE w:val="0"/>
        <w:autoSpaceDN w:val="0"/>
        <w:adjustRightInd w:val="0"/>
        <w:spacing w:after="0" w:line="240" w:lineRule="auto"/>
        <w:rPr>
          <w:lang w:val="it-IT"/>
        </w:rPr>
      </w:pPr>
      <w:r w:rsidRPr="00496684">
        <w:rPr>
          <w:rFonts w:ascii="Times New Roman" w:eastAsia="Times New Roman" w:hAnsi="Times New Roman"/>
          <w:szCs w:val="20"/>
          <w:lang w:val="it-IT"/>
        </w:rPr>
        <w:t>Il medicinale non utilizzato e i rifiuti derivati da tale medicinale devono essere smaltiti in conformità alla normativa locale vigente</w:t>
      </w:r>
      <w:r w:rsidRPr="00496684">
        <w:rPr>
          <w:lang w:val="it-IT"/>
        </w:rPr>
        <w:t>.</w:t>
      </w:r>
    </w:p>
    <w:p w14:paraId="27C36E59"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0F6D2580"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7.</w:t>
      </w:r>
      <w:r w:rsidRPr="00496684">
        <w:rPr>
          <w:rFonts w:ascii="Times New Roman" w:hAnsi="Times New Roman"/>
          <w:b/>
          <w:bCs/>
          <w:lang w:val="it-IT"/>
        </w:rPr>
        <w:tab/>
      </w:r>
      <w:r w:rsidR="006E3015" w:rsidRPr="00496684">
        <w:rPr>
          <w:rFonts w:ascii="Times New Roman" w:hAnsi="Times New Roman"/>
          <w:b/>
          <w:lang w:val="it-IT"/>
        </w:rPr>
        <w:t xml:space="preserve">TITOLARE </w:t>
      </w:r>
      <w:smartTag w:uri="urn:schemas-microsoft-com:office:smarttags" w:element="stockticker">
        <w:r w:rsidR="006E3015" w:rsidRPr="00496684">
          <w:rPr>
            <w:rFonts w:ascii="Times New Roman" w:hAnsi="Times New Roman"/>
            <w:b/>
            <w:lang w:val="it-IT"/>
          </w:rPr>
          <w:t>DELL</w:t>
        </w:r>
      </w:smartTag>
      <w:r w:rsidR="006E3015" w:rsidRPr="00496684">
        <w:rPr>
          <w:rFonts w:ascii="Times New Roman" w:hAnsi="Times New Roman"/>
          <w:b/>
          <w:lang w:val="it-IT"/>
        </w:rPr>
        <w:t xml:space="preserve">’AUTORIZZAZIONE </w:t>
      </w:r>
      <w:smartTag w:uri="urn:schemas-microsoft-com:office:smarttags" w:element="stockticker">
        <w:r w:rsidR="006E3015" w:rsidRPr="00496684">
          <w:rPr>
            <w:rFonts w:ascii="Times New Roman" w:hAnsi="Times New Roman"/>
            <w:b/>
            <w:lang w:val="it-IT"/>
          </w:rPr>
          <w:t>ALL</w:t>
        </w:r>
      </w:smartTag>
      <w:r w:rsidR="006E3015" w:rsidRPr="00496684">
        <w:rPr>
          <w:rFonts w:ascii="Times New Roman" w:hAnsi="Times New Roman"/>
          <w:b/>
          <w:lang w:val="it-IT"/>
        </w:rPr>
        <w:t>’IMMISSIONE IN COMMERCIO</w:t>
      </w:r>
    </w:p>
    <w:p w14:paraId="694458D1"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7E104867" w14:textId="77777777" w:rsidR="00CA176A" w:rsidRPr="00496684" w:rsidRDefault="00CA176A"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51B688A2" w14:textId="77777777" w:rsidR="00CA176A" w:rsidRPr="00496684" w:rsidRDefault="00CA176A"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Reykjavíkurvegur 76-78</w:t>
      </w:r>
    </w:p>
    <w:p w14:paraId="62A49A5F" w14:textId="77777777" w:rsidR="00CA176A" w:rsidRPr="00496684" w:rsidRDefault="00CA176A"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IS-220 Hafnarfjörður</w:t>
      </w:r>
    </w:p>
    <w:p w14:paraId="5FC32173" w14:textId="77777777" w:rsidR="00CA176A" w:rsidRPr="00496684" w:rsidRDefault="00CA176A"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6E3015" w:rsidRPr="00496684">
        <w:rPr>
          <w:rFonts w:ascii="Times New Roman" w:hAnsi="Times New Roman"/>
          <w:lang w:val="it-IT"/>
        </w:rPr>
        <w:t>slanda</w:t>
      </w:r>
    </w:p>
    <w:p w14:paraId="5BE72B0B"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4E6B1EE9"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7E8DA948"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8.</w:t>
      </w:r>
      <w:r w:rsidRPr="00496684">
        <w:rPr>
          <w:rFonts w:ascii="Times New Roman" w:hAnsi="Times New Roman"/>
          <w:b/>
          <w:bCs/>
          <w:lang w:val="it-IT"/>
        </w:rPr>
        <w:tab/>
      </w:r>
      <w:r w:rsidR="006E3015" w:rsidRPr="00496684">
        <w:rPr>
          <w:rFonts w:ascii="Times New Roman" w:hAnsi="Times New Roman"/>
          <w:b/>
          <w:lang w:val="it-IT"/>
        </w:rPr>
        <w:t xml:space="preserve">NUMERO(I) </w:t>
      </w:r>
      <w:smartTag w:uri="urn:schemas-microsoft-com:office:smarttags" w:element="stockticker">
        <w:r w:rsidR="006E3015" w:rsidRPr="00496684">
          <w:rPr>
            <w:rFonts w:ascii="Times New Roman" w:hAnsi="Times New Roman"/>
            <w:b/>
            <w:lang w:val="it-IT"/>
          </w:rPr>
          <w:t>DELL</w:t>
        </w:r>
      </w:smartTag>
      <w:r w:rsidR="006E3015" w:rsidRPr="00496684">
        <w:rPr>
          <w:rFonts w:ascii="Times New Roman" w:hAnsi="Times New Roman"/>
          <w:b/>
          <w:lang w:val="it-IT"/>
        </w:rPr>
        <w:t xml:space="preserve">’AUTORIZZAZIONE </w:t>
      </w:r>
      <w:smartTag w:uri="urn:schemas-microsoft-com:office:smarttags" w:element="stockticker">
        <w:r w:rsidR="006E3015" w:rsidRPr="00496684">
          <w:rPr>
            <w:rFonts w:ascii="Times New Roman" w:hAnsi="Times New Roman"/>
            <w:b/>
            <w:lang w:val="it-IT"/>
          </w:rPr>
          <w:t>ALL</w:t>
        </w:r>
      </w:smartTag>
      <w:r w:rsidR="006E3015" w:rsidRPr="00496684">
        <w:rPr>
          <w:rFonts w:ascii="Times New Roman" w:hAnsi="Times New Roman"/>
          <w:b/>
          <w:lang w:val="it-IT"/>
        </w:rPr>
        <w:t>’IMMISSIONE IN COMMERCIO</w:t>
      </w:r>
    </w:p>
    <w:p w14:paraId="1BA42ACA"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040A5623" w14:textId="77777777" w:rsidR="00D045E9" w:rsidRPr="00496684" w:rsidRDefault="00D045E9" w:rsidP="00D045E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compresse rivestite con film</w:t>
      </w:r>
    </w:p>
    <w:p w14:paraId="1B972C86" w14:textId="77777777" w:rsidR="00766B31" w:rsidRPr="00A81163" w:rsidRDefault="00766B31" w:rsidP="00766B31">
      <w:pPr>
        <w:autoSpaceDE w:val="0"/>
        <w:autoSpaceDN w:val="0"/>
        <w:adjustRightInd w:val="0"/>
        <w:spacing w:after="0" w:line="240" w:lineRule="auto"/>
        <w:rPr>
          <w:rFonts w:ascii="Times New Roman" w:hAnsi="Times New Roman"/>
          <w:lang w:val="it-IT"/>
        </w:rPr>
      </w:pPr>
      <w:r w:rsidRPr="00A81163">
        <w:rPr>
          <w:rFonts w:ascii="Times New Roman" w:hAnsi="Times New Roman"/>
          <w:lang w:val="it-IT"/>
        </w:rPr>
        <w:t>EU/1/13/825/008</w:t>
      </w:r>
    </w:p>
    <w:p w14:paraId="1193BFD0" w14:textId="77777777" w:rsidR="00766B31" w:rsidRPr="00A81163" w:rsidRDefault="00766B31" w:rsidP="00766B31">
      <w:pPr>
        <w:autoSpaceDE w:val="0"/>
        <w:autoSpaceDN w:val="0"/>
        <w:adjustRightInd w:val="0"/>
        <w:spacing w:after="0" w:line="240" w:lineRule="auto"/>
        <w:rPr>
          <w:rFonts w:ascii="Times New Roman" w:hAnsi="Times New Roman"/>
          <w:lang w:val="it-IT"/>
        </w:rPr>
      </w:pPr>
      <w:r w:rsidRPr="00A81163">
        <w:rPr>
          <w:rFonts w:ascii="Times New Roman" w:hAnsi="Times New Roman"/>
          <w:lang w:val="it-IT"/>
        </w:rPr>
        <w:t>EU/1/13/825/009</w:t>
      </w:r>
    </w:p>
    <w:p w14:paraId="6C324BB4" w14:textId="77777777" w:rsidR="00766B31" w:rsidRPr="00A81163" w:rsidRDefault="00766B31" w:rsidP="00766B31">
      <w:pPr>
        <w:autoSpaceDE w:val="0"/>
        <w:autoSpaceDN w:val="0"/>
        <w:adjustRightInd w:val="0"/>
        <w:spacing w:after="0" w:line="240" w:lineRule="auto"/>
        <w:rPr>
          <w:rFonts w:ascii="Times New Roman" w:hAnsi="Times New Roman"/>
          <w:lang w:val="it-IT"/>
        </w:rPr>
      </w:pPr>
      <w:r w:rsidRPr="00A81163">
        <w:rPr>
          <w:rFonts w:ascii="Times New Roman" w:hAnsi="Times New Roman"/>
          <w:lang w:val="it-IT"/>
        </w:rPr>
        <w:t>EU/1/13/825/010</w:t>
      </w:r>
    </w:p>
    <w:p w14:paraId="608F1A9F" w14:textId="77777777" w:rsidR="00766B31" w:rsidRPr="00A81163" w:rsidRDefault="00766B31" w:rsidP="00766B31">
      <w:pPr>
        <w:autoSpaceDE w:val="0"/>
        <w:autoSpaceDN w:val="0"/>
        <w:adjustRightInd w:val="0"/>
        <w:spacing w:after="0" w:line="240" w:lineRule="auto"/>
        <w:rPr>
          <w:rFonts w:ascii="Times New Roman" w:hAnsi="Times New Roman"/>
          <w:lang w:val="it-IT"/>
        </w:rPr>
      </w:pPr>
      <w:r w:rsidRPr="00A81163">
        <w:rPr>
          <w:rFonts w:ascii="Times New Roman" w:hAnsi="Times New Roman"/>
          <w:lang w:val="it-IT"/>
        </w:rPr>
        <w:t>EU/1/13/825/011</w:t>
      </w:r>
    </w:p>
    <w:p w14:paraId="6CFD24B2" w14:textId="77777777" w:rsidR="00766B31" w:rsidRPr="00A81163" w:rsidRDefault="00766B31" w:rsidP="00766B31">
      <w:pPr>
        <w:autoSpaceDE w:val="0"/>
        <w:autoSpaceDN w:val="0"/>
        <w:adjustRightInd w:val="0"/>
        <w:spacing w:after="0" w:line="240" w:lineRule="auto"/>
        <w:rPr>
          <w:rFonts w:ascii="Times New Roman" w:hAnsi="Times New Roman"/>
          <w:lang w:val="it-IT"/>
        </w:rPr>
      </w:pPr>
      <w:r w:rsidRPr="00A81163">
        <w:rPr>
          <w:rFonts w:ascii="Times New Roman" w:hAnsi="Times New Roman"/>
          <w:lang w:val="it-IT"/>
        </w:rPr>
        <w:t>EU/1/13/825/012</w:t>
      </w:r>
    </w:p>
    <w:p w14:paraId="46759FD3" w14:textId="77777777" w:rsidR="00766B31" w:rsidRPr="00496684" w:rsidRDefault="00766B31" w:rsidP="00766B3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EU/1/13/825/013</w:t>
      </w:r>
    </w:p>
    <w:p w14:paraId="29812F81" w14:textId="77777777" w:rsidR="00766B31" w:rsidRPr="00496684" w:rsidRDefault="00766B31" w:rsidP="00766B31">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EU/1/13/825/014</w:t>
      </w:r>
    </w:p>
    <w:p w14:paraId="5C083723" w14:textId="77777777" w:rsidR="00D045E9" w:rsidRPr="00496684" w:rsidRDefault="00D045E9" w:rsidP="00766B31">
      <w:pPr>
        <w:autoSpaceDE w:val="0"/>
        <w:autoSpaceDN w:val="0"/>
        <w:adjustRightInd w:val="0"/>
        <w:spacing w:after="0" w:line="240" w:lineRule="auto"/>
        <w:rPr>
          <w:rFonts w:ascii="Times New Roman" w:hAnsi="Times New Roman"/>
          <w:lang w:val="it-IT"/>
        </w:rPr>
      </w:pPr>
    </w:p>
    <w:p w14:paraId="42381A4C" w14:textId="77777777" w:rsidR="00D045E9" w:rsidRPr="00496684" w:rsidRDefault="00D045E9" w:rsidP="00D045E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compresse rivestite con film</w:t>
      </w:r>
    </w:p>
    <w:p w14:paraId="7D55B49D" w14:textId="77777777" w:rsidR="00D045E9" w:rsidRPr="00496684" w:rsidRDefault="00D045E9" w:rsidP="00D045E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EU/1/13/825/015</w:t>
      </w:r>
    </w:p>
    <w:p w14:paraId="5BFEF786" w14:textId="77777777" w:rsidR="00D045E9" w:rsidRPr="00496684" w:rsidRDefault="00D045E9" w:rsidP="00D045E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EU/1/13/825/016</w:t>
      </w:r>
    </w:p>
    <w:p w14:paraId="5F6ABFB2" w14:textId="77777777" w:rsidR="00D045E9" w:rsidRPr="00496684" w:rsidRDefault="00D045E9" w:rsidP="00D045E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EU/1/13/825/017</w:t>
      </w:r>
    </w:p>
    <w:p w14:paraId="1D48FEB6" w14:textId="77777777" w:rsidR="00D045E9" w:rsidRPr="00496684" w:rsidRDefault="00D045E9" w:rsidP="00D045E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EU/1/13/825/018</w:t>
      </w:r>
    </w:p>
    <w:p w14:paraId="146046F0" w14:textId="77777777" w:rsidR="00D045E9" w:rsidRPr="00496684" w:rsidRDefault="00D045E9" w:rsidP="00766B31">
      <w:pPr>
        <w:autoSpaceDE w:val="0"/>
        <w:autoSpaceDN w:val="0"/>
        <w:adjustRightInd w:val="0"/>
        <w:spacing w:after="0" w:line="240" w:lineRule="auto"/>
        <w:rPr>
          <w:rFonts w:ascii="Times New Roman" w:hAnsi="Times New Roman"/>
          <w:lang w:val="it-IT"/>
        </w:rPr>
      </w:pPr>
    </w:p>
    <w:p w14:paraId="4C8E2F37"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05B63C82" w14:textId="77777777" w:rsidR="00CA176A" w:rsidRPr="00496684" w:rsidRDefault="00CA176A" w:rsidP="00CA176A">
      <w:pPr>
        <w:autoSpaceDE w:val="0"/>
        <w:autoSpaceDN w:val="0"/>
        <w:adjustRightInd w:val="0"/>
        <w:spacing w:after="0" w:line="240" w:lineRule="auto"/>
        <w:rPr>
          <w:rFonts w:ascii="Times New Roman" w:hAnsi="Times New Roman"/>
          <w:lang w:val="it-IT"/>
        </w:rPr>
      </w:pPr>
    </w:p>
    <w:p w14:paraId="3B3BED71"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9.</w:t>
      </w:r>
      <w:r w:rsidRPr="00496684">
        <w:rPr>
          <w:rFonts w:ascii="Times New Roman" w:hAnsi="Times New Roman"/>
          <w:b/>
          <w:bCs/>
          <w:lang w:val="it-IT"/>
        </w:rPr>
        <w:tab/>
      </w:r>
      <w:smartTag w:uri="urn:schemas-microsoft-com:office:smarttags" w:element="stockticker">
        <w:r w:rsidR="006E3015" w:rsidRPr="00496684">
          <w:rPr>
            <w:rFonts w:ascii="Times New Roman" w:hAnsi="Times New Roman"/>
            <w:b/>
            <w:lang w:val="it-IT"/>
          </w:rPr>
          <w:t>DATA</w:t>
        </w:r>
      </w:smartTag>
      <w:r w:rsidR="006E3015" w:rsidRPr="00496684">
        <w:rPr>
          <w:rFonts w:ascii="Times New Roman" w:hAnsi="Times New Roman"/>
          <w:b/>
          <w:lang w:val="it-IT"/>
        </w:rPr>
        <w:t xml:space="preserve"> DELLA PRIMA AUTORIZZAZIONE/RINNOVO </w:t>
      </w:r>
      <w:smartTag w:uri="urn:schemas-microsoft-com:office:smarttags" w:element="stockticker">
        <w:r w:rsidR="006E3015" w:rsidRPr="00496684">
          <w:rPr>
            <w:rFonts w:ascii="Times New Roman" w:hAnsi="Times New Roman"/>
            <w:b/>
            <w:lang w:val="it-IT"/>
          </w:rPr>
          <w:t>DELL</w:t>
        </w:r>
      </w:smartTag>
      <w:r w:rsidR="006E3015" w:rsidRPr="00496684">
        <w:rPr>
          <w:rFonts w:ascii="Times New Roman" w:hAnsi="Times New Roman"/>
          <w:b/>
          <w:lang w:val="it-IT"/>
        </w:rPr>
        <w:t>’AUTORIZZAZIONE</w:t>
      </w:r>
    </w:p>
    <w:p w14:paraId="0510D3F5" w14:textId="77777777" w:rsidR="00CA176A" w:rsidRPr="00496684" w:rsidRDefault="00CA176A" w:rsidP="00CA176A">
      <w:pPr>
        <w:autoSpaceDE w:val="0"/>
        <w:autoSpaceDN w:val="0"/>
        <w:adjustRightInd w:val="0"/>
        <w:spacing w:after="0" w:line="240" w:lineRule="auto"/>
        <w:rPr>
          <w:rFonts w:ascii="Times New Roman" w:hAnsi="Times New Roman"/>
          <w:bCs/>
          <w:lang w:val="it-IT"/>
        </w:rPr>
      </w:pPr>
    </w:p>
    <w:p w14:paraId="71A0118D" w14:textId="77777777" w:rsidR="00CA176A" w:rsidRPr="00496684" w:rsidRDefault="00B1511D" w:rsidP="00CA17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Data della prima autorizzazione: 17 Aprile 2013</w:t>
      </w:r>
    </w:p>
    <w:p w14:paraId="19757F6B" w14:textId="77777777" w:rsidR="00DC43CC" w:rsidRPr="00496684" w:rsidRDefault="00DC43CC" w:rsidP="00CA176A">
      <w:pPr>
        <w:autoSpaceDE w:val="0"/>
        <w:autoSpaceDN w:val="0"/>
        <w:adjustRightInd w:val="0"/>
        <w:spacing w:after="0" w:line="240" w:lineRule="auto"/>
        <w:rPr>
          <w:rFonts w:ascii="Times New Roman" w:hAnsi="Times New Roman"/>
          <w:lang w:val="it-IT"/>
        </w:rPr>
      </w:pPr>
    </w:p>
    <w:p w14:paraId="4BA5DB13" w14:textId="77777777" w:rsidR="00B1511D" w:rsidRPr="00496684" w:rsidRDefault="00B1511D" w:rsidP="00CA176A">
      <w:pPr>
        <w:autoSpaceDE w:val="0"/>
        <w:autoSpaceDN w:val="0"/>
        <w:adjustRightInd w:val="0"/>
        <w:spacing w:after="0" w:line="240" w:lineRule="auto"/>
        <w:rPr>
          <w:rFonts w:ascii="Times New Roman" w:hAnsi="Times New Roman"/>
          <w:lang w:val="it-IT"/>
        </w:rPr>
      </w:pPr>
    </w:p>
    <w:p w14:paraId="34D25260" w14:textId="77777777" w:rsidR="00CA176A" w:rsidRPr="00496684" w:rsidRDefault="00CA176A" w:rsidP="00CA176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10.</w:t>
      </w:r>
      <w:r w:rsidRPr="00496684">
        <w:rPr>
          <w:rFonts w:ascii="Times New Roman" w:hAnsi="Times New Roman"/>
          <w:b/>
          <w:bCs/>
          <w:lang w:val="it-IT"/>
        </w:rPr>
        <w:tab/>
      </w:r>
      <w:smartTag w:uri="urn:schemas-microsoft-com:office:smarttags" w:element="stockticker">
        <w:r w:rsidR="006E3015" w:rsidRPr="00496684">
          <w:rPr>
            <w:rFonts w:ascii="Times New Roman" w:hAnsi="Times New Roman"/>
            <w:b/>
            <w:lang w:val="it-IT"/>
          </w:rPr>
          <w:t>DATA</w:t>
        </w:r>
      </w:smartTag>
      <w:r w:rsidR="006E3015" w:rsidRPr="00496684">
        <w:rPr>
          <w:rFonts w:ascii="Times New Roman" w:hAnsi="Times New Roman"/>
          <w:b/>
          <w:lang w:val="it-IT"/>
        </w:rPr>
        <w:t xml:space="preserve"> DI REVISIONE </w:t>
      </w:r>
      <w:smartTag w:uri="urn:schemas-microsoft-com:office:smarttags" w:element="stockticker">
        <w:r w:rsidR="006E3015" w:rsidRPr="00496684">
          <w:rPr>
            <w:rFonts w:ascii="Times New Roman" w:hAnsi="Times New Roman"/>
            <w:b/>
            <w:lang w:val="it-IT"/>
          </w:rPr>
          <w:t>DEL</w:t>
        </w:r>
      </w:smartTag>
      <w:r w:rsidR="006E3015" w:rsidRPr="00496684">
        <w:rPr>
          <w:rFonts w:ascii="Times New Roman" w:hAnsi="Times New Roman"/>
          <w:b/>
          <w:lang w:val="it-IT"/>
        </w:rPr>
        <w:t xml:space="preserve"> TESTO</w:t>
      </w:r>
    </w:p>
    <w:p w14:paraId="03AF0AFD" w14:textId="77777777" w:rsidR="00CA176A" w:rsidRPr="00496684" w:rsidRDefault="00CA176A" w:rsidP="007353FB">
      <w:pPr>
        <w:autoSpaceDE w:val="0"/>
        <w:autoSpaceDN w:val="0"/>
        <w:adjustRightInd w:val="0"/>
        <w:spacing w:after="0" w:line="240" w:lineRule="auto"/>
        <w:rPr>
          <w:rFonts w:ascii="Times New Roman" w:hAnsi="Times New Roman"/>
          <w:bCs/>
          <w:lang w:val="it-IT"/>
        </w:rPr>
      </w:pPr>
    </w:p>
    <w:p w14:paraId="156C8154" w14:textId="75805B79" w:rsidR="00C8238E" w:rsidRPr="00496684" w:rsidRDefault="00BF7AD9" w:rsidP="00CE7998">
      <w:pPr>
        <w:widowControl w:val="0"/>
        <w:spacing w:after="0" w:line="240" w:lineRule="auto"/>
        <w:rPr>
          <w:rFonts w:ascii="Times New Roman" w:hAnsi="Times New Roman"/>
          <w:lang w:val="it-IT"/>
        </w:rPr>
      </w:pPr>
      <w:r w:rsidRPr="00496684">
        <w:rPr>
          <w:rFonts w:ascii="Times New Roman" w:hAnsi="Times New Roman"/>
          <w:lang w:val="it-IT"/>
        </w:rPr>
        <w:t xml:space="preserve">Informazioni più dettagliate su questo medicinale sono disponibili sul sito web della Agenzia europea dei medicinali: </w:t>
      </w:r>
      <w:hyperlink r:id="rId16" w:history="1">
        <w:r w:rsidR="0028629B" w:rsidRPr="00496684">
          <w:rPr>
            <w:rStyle w:val="Hyperlink"/>
            <w:rFonts w:ascii="Times New Roman" w:hAnsi="Times New Roman"/>
            <w:lang w:val="it-IT"/>
          </w:rPr>
          <w:t>http://www.ema.europa.eu</w:t>
        </w:r>
      </w:hyperlink>
      <w:r w:rsidR="0028629B" w:rsidRPr="00496684">
        <w:rPr>
          <w:rFonts w:ascii="Times New Roman" w:hAnsi="Times New Roman"/>
          <w:lang w:val="it-IT"/>
        </w:rPr>
        <w:t xml:space="preserve"> </w:t>
      </w:r>
    </w:p>
    <w:p w14:paraId="7EAA30E1" w14:textId="77777777" w:rsidR="00C23D88" w:rsidRPr="00496684" w:rsidRDefault="00CA4931"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r w:rsidRPr="00496684">
        <w:rPr>
          <w:rFonts w:ascii="Times New Roman" w:hAnsi="Times New Roman"/>
          <w:lang w:val="it-IT"/>
        </w:rPr>
        <w:br w:type="page"/>
      </w:r>
    </w:p>
    <w:p w14:paraId="62221EDF"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52074A05"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7CAF8910"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752A368D"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6F7BB648"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780CDA1E"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2018BBBE"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6FE731D3"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136F68A3"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340DE7CB"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14822187"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5F4CF628"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268C4CA0"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6F6465C5"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79A139FD"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393A8FD4"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16AC87AB" w14:textId="77777777" w:rsidR="00C23D88" w:rsidRPr="00496684" w:rsidRDefault="00283FE2" w:rsidP="00C23D88">
      <w:pPr>
        <w:keepNext/>
        <w:widowControl w:val="0"/>
        <w:autoSpaceDE w:val="0"/>
        <w:autoSpaceDN w:val="0"/>
        <w:adjustRightInd w:val="0"/>
        <w:spacing w:before="280" w:after="220" w:line="240" w:lineRule="auto"/>
        <w:ind w:left="127" w:right="120"/>
        <w:jc w:val="center"/>
        <w:rPr>
          <w:rFonts w:ascii="Times New Roman" w:eastAsia="SimSun" w:hAnsi="Times New Roman"/>
          <w:b/>
          <w:bCs/>
          <w:szCs w:val="20"/>
          <w:lang w:val="it-IT" w:eastAsia="zh-CN"/>
        </w:rPr>
      </w:pPr>
      <w:r w:rsidRPr="00496684">
        <w:rPr>
          <w:rFonts w:ascii="Times New Roman" w:eastAsia="SimSun" w:hAnsi="Times New Roman"/>
          <w:b/>
          <w:bCs/>
          <w:szCs w:val="20"/>
          <w:lang w:val="it-IT" w:eastAsia="zh-CN"/>
        </w:rPr>
        <w:t>ALLEGATO</w:t>
      </w:r>
      <w:r w:rsidR="00C23D88" w:rsidRPr="00496684">
        <w:rPr>
          <w:rFonts w:ascii="Times New Roman" w:eastAsia="SimSun" w:hAnsi="Times New Roman"/>
          <w:b/>
          <w:bCs/>
          <w:szCs w:val="20"/>
          <w:lang w:val="it-IT" w:eastAsia="zh-CN"/>
        </w:rPr>
        <w:t xml:space="preserve"> II</w:t>
      </w:r>
    </w:p>
    <w:p w14:paraId="73DD61D1"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0EFE7FB2" w14:textId="77777777" w:rsidR="00C23D88" w:rsidRPr="00496684" w:rsidRDefault="00C23D88" w:rsidP="00C23D88">
      <w:pPr>
        <w:keepNext/>
        <w:widowControl w:val="0"/>
        <w:autoSpaceDE w:val="0"/>
        <w:autoSpaceDN w:val="0"/>
        <w:adjustRightInd w:val="0"/>
        <w:spacing w:before="280" w:after="0" w:line="240" w:lineRule="auto"/>
        <w:ind w:left="847" w:right="120" w:hanging="720"/>
        <w:rPr>
          <w:rFonts w:ascii="Times New Roman" w:hAnsi="Times New Roman"/>
          <w:b/>
          <w:bCs/>
          <w:color w:val="000000"/>
          <w:lang w:val="it-IT"/>
        </w:rPr>
      </w:pPr>
      <w:r w:rsidRPr="00496684">
        <w:rPr>
          <w:rFonts w:ascii="Times New Roman" w:hAnsi="Times New Roman"/>
          <w:b/>
          <w:bCs/>
          <w:color w:val="000000"/>
          <w:lang w:val="it-IT"/>
        </w:rPr>
        <w:t>A.</w:t>
      </w:r>
      <w:r w:rsidRPr="00496684">
        <w:rPr>
          <w:rFonts w:ascii="Times New Roman" w:hAnsi="Times New Roman"/>
          <w:b/>
          <w:bCs/>
          <w:color w:val="000000"/>
          <w:lang w:val="it-IT"/>
        </w:rPr>
        <w:tab/>
      </w:r>
      <w:r w:rsidR="00283FE2" w:rsidRPr="00496684">
        <w:rPr>
          <w:rFonts w:ascii="Times New Roman" w:hAnsi="Times New Roman"/>
          <w:b/>
          <w:bCs/>
          <w:color w:val="000000"/>
          <w:lang w:val="it-IT"/>
        </w:rPr>
        <w:t>PRODUTTORE RESPONSABILE DEL RILASCIO DEI LOTTI</w:t>
      </w:r>
    </w:p>
    <w:p w14:paraId="54759160" w14:textId="77777777" w:rsidR="00C23D88" w:rsidRPr="00496684" w:rsidRDefault="00C23D88" w:rsidP="00C23D88">
      <w:pPr>
        <w:keepNext/>
        <w:widowControl w:val="0"/>
        <w:autoSpaceDE w:val="0"/>
        <w:autoSpaceDN w:val="0"/>
        <w:adjustRightInd w:val="0"/>
        <w:spacing w:before="280" w:after="220" w:line="240" w:lineRule="auto"/>
        <w:ind w:left="847" w:right="120" w:hanging="720"/>
        <w:rPr>
          <w:rFonts w:ascii="Times New Roman" w:hAnsi="Times New Roman"/>
          <w:b/>
          <w:bCs/>
          <w:color w:val="000000"/>
          <w:lang w:val="it-IT"/>
        </w:rPr>
      </w:pPr>
      <w:r w:rsidRPr="00496684">
        <w:rPr>
          <w:rFonts w:ascii="Times New Roman" w:hAnsi="Times New Roman"/>
          <w:b/>
          <w:bCs/>
          <w:color w:val="000000"/>
          <w:lang w:val="it-IT"/>
        </w:rPr>
        <w:t>B.</w:t>
      </w:r>
      <w:r w:rsidRPr="00496684">
        <w:rPr>
          <w:rFonts w:ascii="Times New Roman" w:hAnsi="Times New Roman"/>
          <w:b/>
          <w:bCs/>
          <w:color w:val="000000"/>
          <w:lang w:val="it-IT"/>
        </w:rPr>
        <w:tab/>
      </w:r>
      <w:r w:rsidR="00283FE2" w:rsidRPr="00496684">
        <w:rPr>
          <w:rFonts w:ascii="Times New Roman" w:hAnsi="Times New Roman"/>
          <w:b/>
          <w:bCs/>
          <w:color w:val="000000"/>
          <w:lang w:val="it-IT"/>
        </w:rPr>
        <w:t>CONDIZIONI O LIMITAZIONI DI FORNITURA E DI UTILIZZO</w:t>
      </w:r>
    </w:p>
    <w:p w14:paraId="3D56F52E"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4C08AF5D" w14:textId="77777777" w:rsidR="00C23D88" w:rsidRPr="00496684" w:rsidRDefault="00C23D88" w:rsidP="00C23D88">
      <w:pPr>
        <w:keepNext/>
        <w:widowControl w:val="0"/>
        <w:autoSpaceDE w:val="0"/>
        <w:autoSpaceDN w:val="0"/>
        <w:adjustRightInd w:val="0"/>
        <w:spacing w:after="0" w:line="240" w:lineRule="auto"/>
        <w:ind w:left="847" w:right="120" w:hanging="720"/>
        <w:rPr>
          <w:rFonts w:ascii="Times New Roman" w:eastAsia="SimSun" w:hAnsi="Times New Roman"/>
          <w:b/>
          <w:bCs/>
          <w:szCs w:val="20"/>
          <w:lang w:val="it-IT" w:eastAsia="zh-CN"/>
        </w:rPr>
      </w:pPr>
      <w:r w:rsidRPr="00496684">
        <w:rPr>
          <w:rFonts w:ascii="Times New Roman" w:eastAsia="SimSun" w:hAnsi="Times New Roman"/>
          <w:b/>
          <w:bCs/>
          <w:szCs w:val="20"/>
          <w:lang w:val="it-IT" w:eastAsia="zh-CN"/>
        </w:rPr>
        <w:t>C.</w:t>
      </w:r>
      <w:r w:rsidRPr="00496684">
        <w:rPr>
          <w:rFonts w:ascii="Times New Roman" w:eastAsia="SimSun" w:hAnsi="Times New Roman"/>
          <w:b/>
          <w:bCs/>
          <w:szCs w:val="20"/>
          <w:lang w:val="it-IT" w:eastAsia="zh-CN"/>
        </w:rPr>
        <w:tab/>
      </w:r>
      <w:r w:rsidR="00283FE2" w:rsidRPr="00496684">
        <w:rPr>
          <w:rFonts w:ascii="Times New Roman" w:hAnsi="Times New Roman"/>
          <w:b/>
          <w:bCs/>
          <w:color w:val="000000"/>
          <w:lang w:val="it-IT"/>
        </w:rPr>
        <w:t>ALTRE CONDIZIONI E REQUISITI DELL’AUTORIZZAZIONE ALL’IMMISSIONE IN COMMERCIO</w:t>
      </w:r>
    </w:p>
    <w:p w14:paraId="043C71D5"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1DE7B333" w14:textId="77777777" w:rsidR="007018C1" w:rsidRPr="00496684" w:rsidRDefault="007018C1" w:rsidP="007018C1">
      <w:pPr>
        <w:tabs>
          <w:tab w:val="left" w:pos="142"/>
          <w:tab w:val="left" w:pos="851"/>
        </w:tabs>
        <w:autoSpaceDE w:val="0"/>
        <w:autoSpaceDN w:val="0"/>
        <w:adjustRightInd w:val="0"/>
        <w:spacing w:after="0" w:line="240" w:lineRule="auto"/>
        <w:rPr>
          <w:rFonts w:ascii="Times New Roman" w:hAnsi="Times New Roman"/>
          <w:b/>
          <w:bCs/>
          <w:lang w:val="it-IT" w:eastAsia="it-IT"/>
        </w:rPr>
      </w:pPr>
      <w:r w:rsidRPr="00496684">
        <w:rPr>
          <w:rFonts w:ascii="Times New Roman" w:eastAsia="SimSun" w:hAnsi="Times New Roman"/>
          <w:b/>
          <w:bCs/>
          <w:szCs w:val="20"/>
          <w:lang w:val="it-IT" w:eastAsia="zh-CN"/>
        </w:rPr>
        <w:tab/>
      </w:r>
      <w:r w:rsidR="00C23D88" w:rsidRPr="00496684">
        <w:rPr>
          <w:rFonts w:ascii="Times New Roman" w:eastAsia="SimSun" w:hAnsi="Times New Roman"/>
          <w:b/>
          <w:bCs/>
          <w:szCs w:val="20"/>
          <w:lang w:val="it-IT" w:eastAsia="zh-CN"/>
        </w:rPr>
        <w:t>D.</w:t>
      </w:r>
      <w:r w:rsidR="00C23D88" w:rsidRPr="00496684">
        <w:rPr>
          <w:rFonts w:ascii="Times New Roman" w:eastAsia="SimSun" w:hAnsi="Times New Roman"/>
          <w:b/>
          <w:bCs/>
          <w:szCs w:val="20"/>
          <w:lang w:val="it-IT" w:eastAsia="zh-CN"/>
        </w:rPr>
        <w:tab/>
      </w:r>
      <w:r w:rsidRPr="00496684">
        <w:rPr>
          <w:rFonts w:ascii="Times New Roman" w:hAnsi="Times New Roman"/>
          <w:b/>
          <w:bCs/>
          <w:lang w:val="it-IT" w:eastAsia="it-IT"/>
        </w:rPr>
        <w:t>CONDIZIONI O RESTRIZIONI PER QUANTO RIGUARDA L’USO SICURO ED</w:t>
      </w:r>
    </w:p>
    <w:p w14:paraId="5CD2758E" w14:textId="77777777" w:rsidR="00C23D88" w:rsidRPr="00496684" w:rsidRDefault="00EB3684" w:rsidP="007018C1">
      <w:pPr>
        <w:keepNext/>
        <w:widowControl w:val="0"/>
        <w:autoSpaceDE w:val="0"/>
        <w:autoSpaceDN w:val="0"/>
        <w:adjustRightInd w:val="0"/>
        <w:spacing w:after="0" w:line="240" w:lineRule="auto"/>
        <w:ind w:left="847" w:right="120" w:hanging="720"/>
        <w:rPr>
          <w:rFonts w:ascii="Times New Roman" w:eastAsia="SimSun" w:hAnsi="Times New Roman"/>
          <w:b/>
          <w:bCs/>
          <w:szCs w:val="20"/>
          <w:lang w:val="it-IT" w:eastAsia="zh-CN"/>
        </w:rPr>
      </w:pPr>
      <w:r w:rsidRPr="00496684">
        <w:rPr>
          <w:rFonts w:ascii="Times New Roman" w:hAnsi="Times New Roman"/>
          <w:b/>
          <w:bCs/>
          <w:lang w:val="it-IT" w:eastAsia="it-IT"/>
        </w:rPr>
        <w:tab/>
        <w:t>EFFICACE DEL MEDICINALE</w:t>
      </w:r>
    </w:p>
    <w:p w14:paraId="10F4B41C" w14:textId="77777777" w:rsidR="00C23D88" w:rsidRPr="00496684" w:rsidRDefault="00C23D88" w:rsidP="00C23D88">
      <w:pPr>
        <w:widowControl w:val="0"/>
        <w:autoSpaceDE w:val="0"/>
        <w:autoSpaceDN w:val="0"/>
        <w:adjustRightInd w:val="0"/>
        <w:spacing w:after="0" w:line="240" w:lineRule="auto"/>
        <w:ind w:left="127" w:right="120"/>
        <w:rPr>
          <w:rFonts w:ascii="Times New Roman" w:eastAsia="SimSun" w:hAnsi="Times New Roman"/>
          <w:szCs w:val="20"/>
          <w:lang w:val="it-IT" w:eastAsia="zh-CN"/>
        </w:rPr>
      </w:pPr>
    </w:p>
    <w:p w14:paraId="16AE62C0" w14:textId="77777777" w:rsidR="00C23D88" w:rsidRPr="00496684" w:rsidRDefault="00C23D88" w:rsidP="00CE7998">
      <w:pPr>
        <w:pStyle w:val="TitleB"/>
        <w:rPr>
          <w:rFonts w:eastAsia="SimSun"/>
          <w:bCs/>
          <w:szCs w:val="20"/>
          <w:lang w:eastAsia="zh-CN"/>
        </w:rPr>
      </w:pPr>
      <w:r w:rsidRPr="00496684">
        <w:rPr>
          <w:rFonts w:eastAsia="SimSun"/>
          <w:szCs w:val="20"/>
          <w:lang w:eastAsia="zh-CN"/>
        </w:rPr>
        <w:br w:type="page"/>
      </w:r>
      <w:r w:rsidRPr="00496684">
        <w:rPr>
          <w:rFonts w:eastAsia="SimSun"/>
          <w:bCs/>
          <w:szCs w:val="20"/>
          <w:lang w:eastAsia="zh-CN"/>
        </w:rPr>
        <w:t>A.</w:t>
      </w:r>
      <w:r w:rsidRPr="00496684">
        <w:rPr>
          <w:rFonts w:eastAsia="SimSun"/>
          <w:bCs/>
          <w:szCs w:val="20"/>
          <w:lang w:eastAsia="zh-CN"/>
        </w:rPr>
        <w:tab/>
      </w:r>
      <w:r w:rsidR="007018C1" w:rsidRPr="00496684">
        <w:t xml:space="preserve">PRODUTTORE RESPONSABILE </w:t>
      </w:r>
      <w:smartTag w:uri="urn:schemas-microsoft-com:office:smarttags" w:element="stockticker">
        <w:r w:rsidR="007018C1" w:rsidRPr="00496684">
          <w:t>DEL</w:t>
        </w:r>
      </w:smartTag>
      <w:r w:rsidR="007018C1" w:rsidRPr="00496684">
        <w:t xml:space="preserve"> RILASCIO DEI LOTTI</w:t>
      </w:r>
    </w:p>
    <w:p w14:paraId="43A0CBBB" w14:textId="77777777" w:rsidR="00945646" w:rsidRPr="00496684" w:rsidRDefault="00945646" w:rsidP="00D008F2">
      <w:pPr>
        <w:numPr>
          <w:ilvl w:val="12"/>
          <w:numId w:val="0"/>
        </w:numPr>
        <w:spacing w:after="0"/>
        <w:outlineLvl w:val="0"/>
        <w:rPr>
          <w:rFonts w:ascii="Times New Roman" w:hAnsi="Times New Roman"/>
          <w:u w:val="single"/>
          <w:lang w:val="it-IT"/>
        </w:rPr>
      </w:pPr>
    </w:p>
    <w:p w14:paraId="3B0F2BA7" w14:textId="77777777" w:rsidR="007018C1" w:rsidRPr="00496684" w:rsidRDefault="007018C1" w:rsidP="00D008F2">
      <w:pPr>
        <w:numPr>
          <w:ilvl w:val="12"/>
          <w:numId w:val="0"/>
        </w:numPr>
        <w:spacing w:after="0"/>
        <w:outlineLvl w:val="0"/>
        <w:rPr>
          <w:rFonts w:ascii="Times New Roman" w:hAnsi="Times New Roman"/>
          <w:u w:val="single"/>
          <w:lang w:val="it-IT"/>
        </w:rPr>
      </w:pPr>
      <w:r w:rsidRPr="00496684">
        <w:rPr>
          <w:rFonts w:ascii="Times New Roman" w:hAnsi="Times New Roman"/>
          <w:u w:val="single"/>
          <w:lang w:val="it-IT"/>
        </w:rPr>
        <w:t>Nome ed indirizzo del produttore responsabile del rilascio dei lotti</w:t>
      </w:r>
    </w:p>
    <w:p w14:paraId="500A7F95" w14:textId="77777777" w:rsidR="00C23D88" w:rsidRPr="00262A05" w:rsidRDefault="00C23D88" w:rsidP="00D008F2">
      <w:pPr>
        <w:widowControl w:val="0"/>
        <w:autoSpaceDE w:val="0"/>
        <w:autoSpaceDN w:val="0"/>
        <w:adjustRightInd w:val="0"/>
        <w:spacing w:after="0" w:line="240" w:lineRule="auto"/>
        <w:ind w:right="120"/>
        <w:rPr>
          <w:rFonts w:ascii="Times New Roman" w:eastAsia="SimSun" w:hAnsi="Times New Roman"/>
          <w:szCs w:val="20"/>
          <w:lang w:val="en-US" w:eastAsia="zh-CN"/>
        </w:rPr>
      </w:pPr>
      <w:r w:rsidRPr="00262A05">
        <w:rPr>
          <w:rFonts w:ascii="Times New Roman" w:eastAsia="SimSun" w:hAnsi="Times New Roman"/>
          <w:szCs w:val="20"/>
          <w:lang w:val="en-US" w:eastAsia="zh-CN"/>
        </w:rPr>
        <w:t>S.C. Sindan-Pharma S.R.L.</w:t>
      </w:r>
      <w:r w:rsidRPr="00262A05">
        <w:rPr>
          <w:rFonts w:ascii="Times New Roman" w:eastAsia="SimSun" w:hAnsi="Times New Roman"/>
          <w:szCs w:val="20"/>
          <w:lang w:val="en-US" w:eastAsia="zh-CN"/>
        </w:rPr>
        <w:br/>
        <w:t>11</w:t>
      </w:r>
      <w:r w:rsidRPr="00262A05">
        <w:rPr>
          <w:rFonts w:ascii="Times New Roman" w:eastAsia="SimSun" w:hAnsi="Times New Roman"/>
          <w:szCs w:val="20"/>
          <w:vertAlign w:val="superscript"/>
          <w:lang w:val="en-US" w:eastAsia="zh-CN"/>
        </w:rPr>
        <w:t>th</w:t>
      </w:r>
      <w:r w:rsidRPr="00262A05">
        <w:rPr>
          <w:rFonts w:ascii="Times New Roman" w:eastAsia="SimSun" w:hAnsi="Times New Roman"/>
          <w:szCs w:val="20"/>
          <w:lang w:val="en-US" w:eastAsia="zh-CN"/>
        </w:rPr>
        <w:t xml:space="preserve"> Ion Mihalache Ave, The 1</w:t>
      </w:r>
      <w:r w:rsidRPr="00262A05">
        <w:rPr>
          <w:rFonts w:ascii="Times New Roman" w:eastAsia="SimSun" w:hAnsi="Times New Roman"/>
          <w:szCs w:val="20"/>
          <w:vertAlign w:val="superscript"/>
          <w:lang w:val="en-US" w:eastAsia="zh-CN"/>
        </w:rPr>
        <w:t>st</w:t>
      </w:r>
      <w:r w:rsidR="007353FB" w:rsidRPr="00262A05">
        <w:rPr>
          <w:rFonts w:ascii="Times New Roman" w:eastAsia="SimSun" w:hAnsi="Times New Roman"/>
          <w:szCs w:val="20"/>
          <w:lang w:val="en-US" w:eastAsia="zh-CN"/>
        </w:rPr>
        <w:t xml:space="preserve"> district,</w:t>
      </w:r>
      <w:r w:rsidR="007353FB" w:rsidRPr="00262A05">
        <w:rPr>
          <w:rFonts w:ascii="Times New Roman" w:eastAsia="SimSun" w:hAnsi="Times New Roman"/>
          <w:szCs w:val="20"/>
          <w:lang w:val="en-US" w:eastAsia="zh-CN"/>
        </w:rPr>
        <w:br/>
        <w:t>RO-011171 Buc</w:t>
      </w:r>
      <w:r w:rsidRPr="00262A05">
        <w:rPr>
          <w:rFonts w:ascii="Times New Roman" w:eastAsia="SimSun" w:hAnsi="Times New Roman"/>
          <w:szCs w:val="20"/>
          <w:lang w:val="en-US" w:eastAsia="zh-CN"/>
        </w:rPr>
        <w:t>arest</w:t>
      </w:r>
      <w:r w:rsidRPr="00262A05">
        <w:rPr>
          <w:rFonts w:ascii="Times New Roman" w:eastAsia="SimSun" w:hAnsi="Times New Roman"/>
          <w:szCs w:val="20"/>
          <w:lang w:val="en-US" w:eastAsia="zh-CN"/>
        </w:rPr>
        <w:br/>
        <w:t>Romania</w:t>
      </w:r>
    </w:p>
    <w:p w14:paraId="3DCD4FC5" w14:textId="77777777" w:rsidR="00C23D88" w:rsidRPr="00262A05" w:rsidRDefault="00C23D88" w:rsidP="00C23D88">
      <w:pPr>
        <w:widowControl w:val="0"/>
        <w:autoSpaceDE w:val="0"/>
        <w:autoSpaceDN w:val="0"/>
        <w:adjustRightInd w:val="0"/>
        <w:spacing w:after="0" w:line="280" w:lineRule="atLeast"/>
        <w:ind w:left="127" w:right="120"/>
        <w:rPr>
          <w:rFonts w:ascii="Times New Roman" w:eastAsia="SimSun" w:hAnsi="Times New Roman"/>
          <w:szCs w:val="20"/>
          <w:lang w:val="en-US" w:eastAsia="zh-CN"/>
        </w:rPr>
      </w:pPr>
    </w:p>
    <w:p w14:paraId="087A0DD7" w14:textId="77777777" w:rsidR="00C23D88" w:rsidRPr="00496684" w:rsidRDefault="00C23D88" w:rsidP="00945646">
      <w:pPr>
        <w:pStyle w:val="TitleB"/>
      </w:pPr>
      <w:r w:rsidRPr="00496684">
        <w:rPr>
          <w:rFonts w:eastAsia="SimSun"/>
          <w:bCs/>
          <w:szCs w:val="20"/>
          <w:lang w:eastAsia="zh-CN"/>
        </w:rPr>
        <w:t>B.</w:t>
      </w:r>
      <w:r w:rsidRPr="00496684">
        <w:rPr>
          <w:rFonts w:eastAsia="SimSun"/>
          <w:bCs/>
          <w:szCs w:val="20"/>
          <w:lang w:eastAsia="zh-CN"/>
        </w:rPr>
        <w:tab/>
      </w:r>
      <w:r w:rsidR="007018C1" w:rsidRPr="00496684">
        <w:t>CONDIZIONI O LIMITAZIONI DI FORNITURA E DI UTILIZZO</w:t>
      </w:r>
    </w:p>
    <w:p w14:paraId="0AB49988" w14:textId="77777777" w:rsidR="00945646" w:rsidRPr="00496684" w:rsidRDefault="00945646" w:rsidP="00945646">
      <w:pPr>
        <w:pStyle w:val="TitleB"/>
        <w:rPr>
          <w:rFonts w:eastAsia="SimSun"/>
          <w:bCs/>
          <w:szCs w:val="20"/>
          <w:lang w:eastAsia="zh-CN"/>
        </w:rPr>
      </w:pPr>
    </w:p>
    <w:p w14:paraId="4D719957" w14:textId="77777777" w:rsidR="007018C1" w:rsidRPr="00496684" w:rsidRDefault="007018C1" w:rsidP="007018C1">
      <w:pPr>
        <w:numPr>
          <w:ilvl w:val="12"/>
          <w:numId w:val="0"/>
        </w:numPr>
        <w:spacing w:after="0" w:line="240" w:lineRule="auto"/>
        <w:rPr>
          <w:rFonts w:ascii="Times New Roman" w:hAnsi="Times New Roman"/>
          <w:lang w:val="it-IT"/>
        </w:rPr>
      </w:pPr>
      <w:r w:rsidRPr="00496684">
        <w:rPr>
          <w:rFonts w:ascii="Times New Roman" w:hAnsi="Times New Roman"/>
          <w:lang w:val="it-IT"/>
        </w:rPr>
        <w:t>Medicinale soggetto a prescrizione medica limitativa (vedere allegato I: riassunto delle caratteristiche del prodotto, paragrafo 4.2).</w:t>
      </w:r>
    </w:p>
    <w:p w14:paraId="1A148D34" w14:textId="77777777" w:rsidR="00C23D88" w:rsidRPr="00496684" w:rsidRDefault="00C23D88" w:rsidP="00C23D88">
      <w:pPr>
        <w:widowControl w:val="0"/>
        <w:autoSpaceDE w:val="0"/>
        <w:autoSpaceDN w:val="0"/>
        <w:adjustRightInd w:val="0"/>
        <w:spacing w:after="140" w:line="280" w:lineRule="atLeast"/>
        <w:ind w:left="127" w:right="120"/>
        <w:rPr>
          <w:rFonts w:ascii="Times New Roman" w:eastAsia="SimSun" w:hAnsi="Times New Roman"/>
          <w:szCs w:val="20"/>
          <w:lang w:val="it-IT" w:eastAsia="zh-CN"/>
        </w:rPr>
      </w:pPr>
    </w:p>
    <w:p w14:paraId="2179BB44" w14:textId="77777777" w:rsidR="00C23D88" w:rsidRPr="00496684" w:rsidRDefault="00C23D88" w:rsidP="00945646">
      <w:pPr>
        <w:pStyle w:val="TitleB"/>
      </w:pPr>
      <w:r w:rsidRPr="00496684">
        <w:rPr>
          <w:rFonts w:eastAsia="SimSun"/>
          <w:bCs/>
          <w:szCs w:val="20"/>
          <w:lang w:eastAsia="zh-CN"/>
        </w:rPr>
        <w:t>C.</w:t>
      </w:r>
      <w:r w:rsidRPr="00496684">
        <w:rPr>
          <w:rFonts w:eastAsia="SimSun"/>
          <w:bCs/>
          <w:szCs w:val="20"/>
          <w:lang w:eastAsia="zh-CN"/>
        </w:rPr>
        <w:tab/>
      </w:r>
      <w:r w:rsidR="007018C1" w:rsidRPr="00496684">
        <w:t>ALTRE CONDIZIONI E REQUISITI DELL’AUTORIZZAZIONE ALL’IMMISSIONE IN COMMERCIO</w:t>
      </w:r>
    </w:p>
    <w:p w14:paraId="4D72ACA7" w14:textId="77777777" w:rsidR="00945646" w:rsidRPr="00496684" w:rsidRDefault="00945646" w:rsidP="00945646">
      <w:pPr>
        <w:pStyle w:val="TitleB"/>
        <w:rPr>
          <w:rFonts w:eastAsia="SimSun"/>
          <w:bCs/>
          <w:szCs w:val="20"/>
          <w:lang w:eastAsia="zh-CN"/>
        </w:rPr>
      </w:pPr>
    </w:p>
    <w:p w14:paraId="06356DFF" w14:textId="43146974" w:rsidR="007018C1" w:rsidRPr="00496684" w:rsidRDefault="007018C1" w:rsidP="00D008F2">
      <w:pPr>
        <w:numPr>
          <w:ilvl w:val="0"/>
          <w:numId w:val="4"/>
        </w:numPr>
        <w:tabs>
          <w:tab w:val="left" w:pos="567"/>
        </w:tabs>
        <w:spacing w:after="0" w:line="260" w:lineRule="exact"/>
        <w:ind w:left="0" w:right="-1" w:firstLine="0"/>
        <w:rPr>
          <w:rFonts w:ascii="Times New Roman" w:eastAsia="SimSun" w:hAnsi="Times New Roman"/>
          <w:b/>
          <w:szCs w:val="20"/>
          <w:lang w:val="it-IT" w:eastAsia="zh-CN"/>
        </w:rPr>
      </w:pPr>
      <w:r w:rsidRPr="00496684">
        <w:rPr>
          <w:rFonts w:ascii="Times New Roman" w:eastAsia="SimSun" w:hAnsi="Times New Roman"/>
          <w:b/>
          <w:szCs w:val="20"/>
          <w:lang w:val="it-IT" w:eastAsia="zh-CN"/>
        </w:rPr>
        <w:t>Rapporti periodici di aggiornamento sulla sicurezza</w:t>
      </w:r>
      <w:r w:rsidR="00DB017C">
        <w:rPr>
          <w:rFonts w:ascii="Times New Roman" w:eastAsia="SimSun" w:hAnsi="Times New Roman"/>
          <w:b/>
          <w:szCs w:val="20"/>
          <w:lang w:val="it-IT" w:eastAsia="zh-CN"/>
        </w:rPr>
        <w:t xml:space="preserve"> (PSUR)</w:t>
      </w:r>
    </w:p>
    <w:p w14:paraId="4AC98AFB" w14:textId="77777777" w:rsidR="00C23D88" w:rsidRPr="00496684" w:rsidRDefault="00C23D88" w:rsidP="007018C1">
      <w:pPr>
        <w:widowControl w:val="0"/>
        <w:autoSpaceDE w:val="0"/>
        <w:autoSpaceDN w:val="0"/>
        <w:adjustRightInd w:val="0"/>
        <w:spacing w:after="0" w:line="240" w:lineRule="auto"/>
        <w:ind w:left="468"/>
        <w:rPr>
          <w:rFonts w:ascii="Times New Roman" w:eastAsia="SimSun" w:hAnsi="Times New Roman"/>
          <w:szCs w:val="20"/>
          <w:lang w:val="it-IT" w:eastAsia="zh-CN"/>
        </w:rPr>
      </w:pPr>
    </w:p>
    <w:p w14:paraId="30E593A1" w14:textId="6452C3B0" w:rsidR="007018C1" w:rsidRPr="00496684" w:rsidRDefault="007018C1" w:rsidP="00F540F5">
      <w:pPr>
        <w:widowControl w:val="0"/>
        <w:autoSpaceDE w:val="0"/>
        <w:autoSpaceDN w:val="0"/>
        <w:adjustRightInd w:val="0"/>
        <w:spacing w:after="0" w:line="240" w:lineRule="auto"/>
        <w:ind w:right="119"/>
        <w:rPr>
          <w:rFonts w:ascii="Times New Roman" w:eastAsia="SimSun" w:hAnsi="Times New Roman"/>
          <w:szCs w:val="20"/>
          <w:lang w:val="it-IT" w:eastAsia="zh-CN"/>
        </w:rPr>
      </w:pPr>
      <w:r w:rsidRPr="00496684">
        <w:rPr>
          <w:rFonts w:ascii="Times New Roman" w:eastAsia="SimSun" w:hAnsi="Times New Roman"/>
          <w:szCs w:val="20"/>
          <w:lang w:val="it-IT" w:eastAsia="zh-CN"/>
        </w:rPr>
        <w:t>Al momento della concessione dell’autorizzazione all’immissione in commercio, la presentazione d</w:t>
      </w:r>
      <w:r w:rsidR="001E057E">
        <w:rPr>
          <w:rFonts w:ascii="Times New Roman" w:eastAsia="SimSun" w:hAnsi="Times New Roman"/>
          <w:szCs w:val="20"/>
          <w:lang w:val="it-IT" w:eastAsia="zh-CN"/>
        </w:rPr>
        <w:t xml:space="preserve">egli PSUR </w:t>
      </w:r>
      <w:r w:rsidRPr="00496684">
        <w:rPr>
          <w:rFonts w:ascii="Times New Roman" w:eastAsia="SimSun" w:hAnsi="Times New Roman"/>
          <w:szCs w:val="20"/>
          <w:lang w:val="it-IT" w:eastAsia="zh-CN"/>
        </w:rPr>
        <w:t xml:space="preserve"> non è richiesta per questo medicinale. Tuttavia, il titolare dell’autorizzazione all’immissione in commercio deve presentare i rapporti periodici di aggiornamento sulla sicurezza per questo medicinale se il medicinale è inserito nell’elenco delle date di riferimento per l’Unione europea (elenco EURD) di cui all’articolo 107 quater, par. 7 della direttiva 2010/84/CE e pubblicato sul portale web dei medicinali europei.</w:t>
      </w:r>
    </w:p>
    <w:p w14:paraId="725D5629" w14:textId="77777777" w:rsidR="00C23D88" w:rsidRPr="00496684" w:rsidRDefault="00C23D88" w:rsidP="00C23D88">
      <w:pPr>
        <w:widowControl w:val="0"/>
        <w:autoSpaceDE w:val="0"/>
        <w:autoSpaceDN w:val="0"/>
        <w:adjustRightInd w:val="0"/>
        <w:spacing w:after="0" w:line="280" w:lineRule="atLeast"/>
        <w:ind w:left="127" w:right="120"/>
        <w:rPr>
          <w:rFonts w:ascii="Times New Roman" w:eastAsia="SimSun" w:hAnsi="Times New Roman"/>
          <w:szCs w:val="20"/>
          <w:lang w:val="it-IT" w:eastAsia="zh-CN"/>
        </w:rPr>
      </w:pPr>
    </w:p>
    <w:p w14:paraId="01BF5876" w14:textId="77777777" w:rsidR="00C23D88" w:rsidRPr="00496684" w:rsidRDefault="00C23D88" w:rsidP="00556612">
      <w:pPr>
        <w:pStyle w:val="TitleB"/>
        <w:rPr>
          <w:rFonts w:eastAsia="SimSun"/>
          <w:bCs/>
          <w:szCs w:val="20"/>
          <w:lang w:eastAsia="zh-CN"/>
        </w:rPr>
      </w:pPr>
      <w:r w:rsidRPr="00496684">
        <w:rPr>
          <w:rFonts w:eastAsia="SimSun"/>
          <w:bCs/>
          <w:szCs w:val="20"/>
          <w:lang w:eastAsia="zh-CN"/>
        </w:rPr>
        <w:t>D.</w:t>
      </w:r>
      <w:r w:rsidRPr="00496684">
        <w:rPr>
          <w:rFonts w:eastAsia="SimSun"/>
          <w:bCs/>
          <w:szCs w:val="20"/>
          <w:lang w:eastAsia="zh-CN"/>
        </w:rPr>
        <w:tab/>
      </w:r>
      <w:r w:rsidR="007018C1" w:rsidRPr="00496684">
        <w:t>CONDIZIONI O LIMITAZIONI PER QUANTO RIGUARDA L’USO SICURO ED EFFICACE DEL MEDICINALE</w:t>
      </w:r>
    </w:p>
    <w:p w14:paraId="24B15A32" w14:textId="77777777" w:rsidR="00C23D88" w:rsidRPr="00496684" w:rsidRDefault="00C23D88" w:rsidP="00C23D88">
      <w:pPr>
        <w:widowControl w:val="0"/>
        <w:autoSpaceDE w:val="0"/>
        <w:autoSpaceDN w:val="0"/>
        <w:adjustRightInd w:val="0"/>
        <w:spacing w:after="140" w:line="280" w:lineRule="atLeast"/>
        <w:ind w:left="127" w:right="120"/>
        <w:rPr>
          <w:rFonts w:ascii="Times New Roman" w:eastAsia="SimSun" w:hAnsi="Times New Roman"/>
          <w:szCs w:val="20"/>
          <w:lang w:val="it-IT" w:eastAsia="zh-CN"/>
        </w:rPr>
      </w:pPr>
    </w:p>
    <w:p w14:paraId="42DDF3E7" w14:textId="77777777" w:rsidR="007018C1" w:rsidRPr="00496684" w:rsidRDefault="007018C1" w:rsidP="00D008F2">
      <w:pPr>
        <w:pStyle w:val="EMEABodyText"/>
        <w:numPr>
          <w:ilvl w:val="0"/>
          <w:numId w:val="4"/>
        </w:numPr>
        <w:tabs>
          <w:tab w:val="left" w:pos="567"/>
        </w:tabs>
        <w:ind w:left="0" w:firstLine="0"/>
        <w:rPr>
          <w:b/>
          <w:i/>
          <w:lang w:val="it-IT"/>
        </w:rPr>
      </w:pPr>
      <w:r w:rsidRPr="00496684">
        <w:rPr>
          <w:b/>
          <w:noProof/>
          <w:szCs w:val="24"/>
          <w:lang w:val="it-IT"/>
        </w:rPr>
        <w:t>Piano di gestione del rischio</w:t>
      </w:r>
      <w:r w:rsidRPr="00496684">
        <w:rPr>
          <w:b/>
          <w:i/>
          <w:lang w:val="it-IT"/>
        </w:rPr>
        <w:t xml:space="preserve"> </w:t>
      </w:r>
      <w:r w:rsidRPr="00496684">
        <w:rPr>
          <w:b/>
          <w:noProof/>
          <w:szCs w:val="24"/>
          <w:lang w:val="it-IT"/>
        </w:rPr>
        <w:t>(RMP</w:t>
      </w:r>
      <w:r w:rsidRPr="00496684">
        <w:rPr>
          <w:b/>
          <w:lang w:val="it-IT"/>
        </w:rPr>
        <w:t>)</w:t>
      </w:r>
    </w:p>
    <w:p w14:paraId="2F9A9736" w14:textId="77777777" w:rsidR="007018C1" w:rsidRPr="00496684" w:rsidRDefault="007018C1" w:rsidP="007018C1">
      <w:pPr>
        <w:suppressLineNumbers/>
        <w:ind w:left="567" w:right="567" w:hanging="567"/>
        <w:rPr>
          <w:rFonts w:ascii="Times New Roman" w:eastAsia="SimSun" w:hAnsi="Times New Roman"/>
          <w:szCs w:val="20"/>
          <w:lang w:val="it-IT" w:eastAsia="zh-CN"/>
        </w:rPr>
      </w:pPr>
      <w:bookmarkStart w:id="4" w:name="page_total_master7"/>
      <w:bookmarkStart w:id="5" w:name="page_total"/>
      <w:bookmarkEnd w:id="4"/>
      <w:bookmarkEnd w:id="5"/>
      <w:r w:rsidRPr="00496684">
        <w:rPr>
          <w:rFonts w:ascii="Times New Roman" w:eastAsia="SimSun" w:hAnsi="Times New Roman"/>
          <w:szCs w:val="20"/>
          <w:lang w:val="it-IT" w:eastAsia="zh-CN"/>
        </w:rPr>
        <w:t>Non pertinente.</w:t>
      </w:r>
    </w:p>
    <w:p w14:paraId="376CE0E9" w14:textId="77777777" w:rsidR="00C23D88" w:rsidRPr="00496684" w:rsidRDefault="00C23D88" w:rsidP="00C23D88">
      <w:pPr>
        <w:spacing w:after="0" w:line="240" w:lineRule="auto"/>
        <w:rPr>
          <w:rFonts w:ascii="Times New Roman" w:eastAsia="SimSun" w:hAnsi="Times New Roman"/>
          <w:szCs w:val="20"/>
          <w:lang w:val="it-IT" w:eastAsia="zh-CN"/>
        </w:rPr>
      </w:pPr>
    </w:p>
    <w:p w14:paraId="66FD20CF" w14:textId="77777777" w:rsidR="00F21FA3" w:rsidRPr="00496684" w:rsidRDefault="00C23D88" w:rsidP="005302DA">
      <w:pPr>
        <w:autoSpaceDE w:val="0"/>
        <w:autoSpaceDN w:val="0"/>
        <w:adjustRightInd w:val="0"/>
        <w:spacing w:after="0" w:line="240" w:lineRule="auto"/>
        <w:ind w:left="567" w:hanging="567"/>
        <w:jc w:val="center"/>
        <w:rPr>
          <w:rFonts w:ascii="Times New Roman" w:hAnsi="Times New Roman"/>
          <w:lang w:val="it-IT"/>
        </w:rPr>
      </w:pPr>
      <w:r w:rsidRPr="00496684">
        <w:rPr>
          <w:rFonts w:ascii="Times New Roman" w:hAnsi="Times New Roman"/>
          <w:lang w:val="it-IT"/>
        </w:rPr>
        <w:br w:type="page"/>
      </w:r>
    </w:p>
    <w:p w14:paraId="17E0A10F"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1F8F7998"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5E387816"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763C2DA"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0936FD64"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1DA390CA"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6F65659"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535B5A50"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72A4A1ED"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0E4EC65"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594DBCBA"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164E03D7"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49F60188"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7DA5A19C"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5635CA64"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68A24DBF"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58D760C"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0EF68626"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28526D7"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692FC112"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680ECDDE"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1AFCA0EE" w14:textId="77777777" w:rsidR="00C555AA" w:rsidRPr="00496684" w:rsidRDefault="00C555AA" w:rsidP="00F21FA3">
      <w:pPr>
        <w:autoSpaceDE w:val="0"/>
        <w:autoSpaceDN w:val="0"/>
        <w:adjustRightInd w:val="0"/>
        <w:spacing w:after="0" w:line="240" w:lineRule="auto"/>
        <w:ind w:left="567" w:hanging="567"/>
        <w:jc w:val="center"/>
        <w:rPr>
          <w:rFonts w:ascii="Times New Roman" w:hAnsi="Times New Roman"/>
          <w:lang w:val="it-IT"/>
        </w:rPr>
      </w:pPr>
    </w:p>
    <w:p w14:paraId="68B697C9" w14:textId="77777777" w:rsidR="007018C1" w:rsidRPr="00496684" w:rsidRDefault="007018C1" w:rsidP="007018C1">
      <w:pPr>
        <w:suppressAutoHyphens/>
        <w:jc w:val="center"/>
        <w:rPr>
          <w:rFonts w:ascii="Times New Roman" w:hAnsi="Times New Roman"/>
          <w:b/>
          <w:lang w:val="it-IT"/>
        </w:rPr>
      </w:pPr>
      <w:r w:rsidRPr="00496684">
        <w:rPr>
          <w:rFonts w:ascii="Times New Roman" w:hAnsi="Times New Roman"/>
          <w:b/>
          <w:lang w:val="it-IT"/>
        </w:rPr>
        <w:t>ALLEGATO III</w:t>
      </w:r>
    </w:p>
    <w:p w14:paraId="3FE9E53E" w14:textId="77777777" w:rsidR="007018C1" w:rsidRPr="00496684" w:rsidRDefault="007018C1" w:rsidP="007018C1">
      <w:pPr>
        <w:rPr>
          <w:rFonts w:ascii="Times New Roman" w:hAnsi="Times New Roman"/>
          <w:lang w:val="it-IT"/>
        </w:rPr>
      </w:pPr>
    </w:p>
    <w:p w14:paraId="0B0C5298" w14:textId="77777777" w:rsidR="007018C1" w:rsidRPr="00496684" w:rsidRDefault="007018C1" w:rsidP="007018C1">
      <w:pPr>
        <w:suppressAutoHyphens/>
        <w:jc w:val="center"/>
        <w:rPr>
          <w:rFonts w:ascii="Times New Roman" w:hAnsi="Times New Roman"/>
          <w:lang w:val="it-IT"/>
        </w:rPr>
      </w:pPr>
      <w:r w:rsidRPr="00496684">
        <w:rPr>
          <w:rFonts w:ascii="Times New Roman" w:hAnsi="Times New Roman"/>
          <w:b/>
          <w:lang w:val="it-IT"/>
        </w:rPr>
        <w:t>ETICHETTATURA E FOGLIO ILLUSTRATIVO</w:t>
      </w:r>
    </w:p>
    <w:p w14:paraId="72C9473D"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r w:rsidRPr="00496684">
        <w:rPr>
          <w:rFonts w:ascii="Times New Roman" w:hAnsi="Times New Roman"/>
          <w:lang w:val="it-IT"/>
        </w:rPr>
        <w:br w:type="page"/>
      </w:r>
    </w:p>
    <w:p w14:paraId="2EBEEDF1"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6DBAF6E9"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89F49F9"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51E59CB7"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70B9E85A"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713B6AA"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A5355E0"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A123C1B"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1898A776"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35D1091"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14515515"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0F39C845"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6C4B70A"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3AEC869"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534B2C73"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05F51C7C"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7527952"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2050214"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352D7117"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B583F32"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737D31B6"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24E8F713" w14:textId="77777777" w:rsidR="00F21FA3" w:rsidRPr="00496684" w:rsidRDefault="00F21FA3" w:rsidP="00F21FA3">
      <w:pPr>
        <w:autoSpaceDE w:val="0"/>
        <w:autoSpaceDN w:val="0"/>
        <w:adjustRightInd w:val="0"/>
        <w:spacing w:after="0" w:line="240" w:lineRule="auto"/>
        <w:ind w:left="567" w:hanging="567"/>
        <w:jc w:val="center"/>
        <w:rPr>
          <w:rFonts w:ascii="Times New Roman" w:hAnsi="Times New Roman"/>
          <w:lang w:val="it-IT"/>
        </w:rPr>
      </w:pPr>
    </w:p>
    <w:p w14:paraId="185B535F" w14:textId="77777777" w:rsidR="007018C1" w:rsidRPr="00496684" w:rsidRDefault="007018C1" w:rsidP="00CE7998">
      <w:pPr>
        <w:pStyle w:val="TitleA"/>
      </w:pPr>
      <w:r w:rsidRPr="00496684">
        <w:t>A. ETICHETTATURA</w:t>
      </w:r>
    </w:p>
    <w:p w14:paraId="029A1139" w14:textId="77777777" w:rsidR="00376475" w:rsidRPr="00496684" w:rsidRDefault="000E3C47" w:rsidP="0037647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496684" w14:paraId="5A956F01" w14:textId="77777777" w:rsidTr="003614BD">
        <w:tc>
          <w:tcPr>
            <w:tcW w:w="9546" w:type="dxa"/>
          </w:tcPr>
          <w:p w14:paraId="6B93638A" w14:textId="77777777" w:rsidR="007018C1" w:rsidRPr="00496684" w:rsidRDefault="007018C1" w:rsidP="007018C1">
            <w:pPr>
              <w:shd w:val="clear" w:color="auto" w:fill="FFFFFF"/>
              <w:suppressAutoHyphens/>
              <w:rPr>
                <w:rFonts w:ascii="Times New Roman" w:hAnsi="Times New Roman"/>
                <w:b/>
                <w:bCs/>
                <w:lang w:val="it-IT"/>
              </w:rPr>
            </w:pPr>
            <w:r w:rsidRPr="00496684">
              <w:rPr>
                <w:rFonts w:ascii="Times New Roman" w:hAnsi="Times New Roman"/>
                <w:b/>
                <w:bCs/>
                <w:lang w:val="it-IT"/>
              </w:rPr>
              <w:t xml:space="preserve">INFORMAZIONI DA APPORRE SUL CONFEZIONAMENTO SECONDARIO  </w:t>
            </w:r>
          </w:p>
          <w:p w14:paraId="105E88F1" w14:textId="77777777" w:rsidR="00376475" w:rsidRPr="00496684" w:rsidRDefault="00376475" w:rsidP="003614BD">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CARTON</w:t>
            </w:r>
            <w:r w:rsidR="007018C1" w:rsidRPr="00496684">
              <w:rPr>
                <w:rFonts w:ascii="Times New Roman" w:hAnsi="Times New Roman"/>
                <w:b/>
                <w:bCs/>
                <w:lang w:val="it-IT"/>
              </w:rPr>
              <w:t>E</w:t>
            </w:r>
          </w:p>
          <w:p w14:paraId="15B84E02" w14:textId="77777777" w:rsidR="00376475" w:rsidRPr="00496684" w:rsidRDefault="00376475" w:rsidP="003614BD">
            <w:pPr>
              <w:autoSpaceDE w:val="0"/>
              <w:autoSpaceDN w:val="0"/>
              <w:adjustRightInd w:val="0"/>
              <w:spacing w:after="0" w:line="240" w:lineRule="auto"/>
              <w:rPr>
                <w:rFonts w:ascii="Times New Roman" w:hAnsi="Times New Roman"/>
                <w:lang w:val="it-IT"/>
              </w:rPr>
            </w:pPr>
          </w:p>
        </w:tc>
      </w:tr>
    </w:tbl>
    <w:p w14:paraId="31D04FC2" w14:textId="77777777" w:rsidR="000E3C47" w:rsidRPr="00496684" w:rsidRDefault="000E3C47" w:rsidP="00376475">
      <w:pPr>
        <w:autoSpaceDE w:val="0"/>
        <w:autoSpaceDN w:val="0"/>
        <w:adjustRightInd w:val="0"/>
        <w:spacing w:after="0" w:line="240" w:lineRule="auto"/>
        <w:rPr>
          <w:rFonts w:ascii="Times New Roman" w:hAnsi="Times New Roman"/>
          <w:lang w:val="it-IT"/>
        </w:rPr>
      </w:pPr>
    </w:p>
    <w:p w14:paraId="1F908984" w14:textId="77777777" w:rsidR="00376475" w:rsidRPr="00496684" w:rsidRDefault="00376475"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496684" w14:paraId="7C651249" w14:textId="77777777" w:rsidTr="003614BD">
        <w:tc>
          <w:tcPr>
            <w:tcW w:w="9546" w:type="dxa"/>
          </w:tcPr>
          <w:p w14:paraId="06F83DBC" w14:textId="77777777" w:rsidR="00376475" w:rsidRPr="00496684" w:rsidRDefault="00376475" w:rsidP="003614BD">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1.</w:t>
            </w:r>
            <w:r w:rsidRPr="00496684">
              <w:rPr>
                <w:rFonts w:ascii="Times New Roman" w:hAnsi="Times New Roman"/>
                <w:b/>
                <w:bCs/>
                <w:lang w:val="it-IT"/>
              </w:rPr>
              <w:tab/>
            </w:r>
            <w:r w:rsidR="007018C1" w:rsidRPr="00496684">
              <w:rPr>
                <w:rFonts w:ascii="Times New Roman" w:hAnsi="Times New Roman"/>
                <w:b/>
                <w:lang w:val="it-IT"/>
              </w:rPr>
              <w:t>DENOMINAZIONE DEL MEDICINALE</w:t>
            </w:r>
          </w:p>
        </w:tc>
      </w:tr>
    </w:tbl>
    <w:p w14:paraId="4C7B752D" w14:textId="77777777" w:rsidR="00376475" w:rsidRPr="00496684" w:rsidRDefault="00376475" w:rsidP="00376475">
      <w:pPr>
        <w:autoSpaceDE w:val="0"/>
        <w:autoSpaceDN w:val="0"/>
        <w:adjustRightInd w:val="0"/>
        <w:spacing w:after="0" w:line="240" w:lineRule="auto"/>
        <w:rPr>
          <w:rFonts w:ascii="Times New Roman" w:hAnsi="Times New Roman"/>
          <w:lang w:val="it-IT"/>
        </w:rPr>
      </w:pPr>
    </w:p>
    <w:p w14:paraId="374B2686" w14:textId="77777777" w:rsidR="007E67EC" w:rsidRPr="00496684" w:rsidRDefault="007E67EC" w:rsidP="007E67EC">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Actavis 50 mg </w:t>
      </w:r>
      <w:r w:rsidR="007018C1" w:rsidRPr="00496684">
        <w:rPr>
          <w:rFonts w:ascii="Times New Roman" w:hAnsi="Times New Roman"/>
          <w:lang w:val="it-IT"/>
        </w:rPr>
        <w:t>capsule rigide</w:t>
      </w:r>
    </w:p>
    <w:p w14:paraId="5911C117" w14:textId="77777777" w:rsidR="00376475" w:rsidRPr="00496684" w:rsidRDefault="004C1D13" w:rsidP="0037647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376475" w:rsidRPr="00496684">
        <w:rPr>
          <w:rFonts w:ascii="Times New Roman" w:hAnsi="Times New Roman"/>
          <w:lang w:val="it-IT"/>
        </w:rPr>
        <w:t>matinib</w:t>
      </w:r>
    </w:p>
    <w:p w14:paraId="1929641A" w14:textId="77777777" w:rsidR="00376475" w:rsidRPr="00496684" w:rsidRDefault="00376475" w:rsidP="00376475">
      <w:pPr>
        <w:autoSpaceDE w:val="0"/>
        <w:autoSpaceDN w:val="0"/>
        <w:adjustRightInd w:val="0"/>
        <w:spacing w:after="0" w:line="240" w:lineRule="auto"/>
        <w:rPr>
          <w:rFonts w:ascii="Times New Roman" w:hAnsi="Times New Roman"/>
          <w:lang w:val="it-IT"/>
        </w:rPr>
      </w:pPr>
    </w:p>
    <w:p w14:paraId="63F1FDA1" w14:textId="77777777" w:rsidR="00376475" w:rsidRPr="00496684" w:rsidRDefault="00376475"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496684" w14:paraId="5A1C0BCA" w14:textId="77777777" w:rsidTr="003614BD">
        <w:tc>
          <w:tcPr>
            <w:tcW w:w="9546" w:type="dxa"/>
          </w:tcPr>
          <w:p w14:paraId="559BEE91" w14:textId="77777777" w:rsidR="00376475" w:rsidRPr="00496684" w:rsidRDefault="00376475" w:rsidP="00E13BA7">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b/>
                <w:bCs/>
                <w:lang w:val="it-IT"/>
              </w:rPr>
              <w:t>2.</w:t>
            </w:r>
            <w:r w:rsidRPr="00496684">
              <w:rPr>
                <w:rFonts w:ascii="Times New Roman" w:hAnsi="Times New Roman"/>
                <w:b/>
                <w:bCs/>
                <w:lang w:val="it-IT"/>
              </w:rPr>
              <w:tab/>
            </w:r>
            <w:r w:rsidR="007018C1" w:rsidRPr="00496684">
              <w:rPr>
                <w:rFonts w:ascii="Times New Roman" w:hAnsi="Times New Roman"/>
                <w:b/>
                <w:lang w:val="it-IT"/>
              </w:rPr>
              <w:t>COMPOSIZIONE QUALITATIVA E QUANTITATIVA IN TERMINI DI PRINCIPIO(I) ATTIVO(I)</w:t>
            </w:r>
          </w:p>
        </w:tc>
      </w:tr>
    </w:tbl>
    <w:p w14:paraId="00FD196E" w14:textId="77777777" w:rsidR="00376475" w:rsidRPr="00496684" w:rsidRDefault="00376475" w:rsidP="00376475">
      <w:pPr>
        <w:autoSpaceDE w:val="0"/>
        <w:autoSpaceDN w:val="0"/>
        <w:adjustRightInd w:val="0"/>
        <w:spacing w:after="0" w:line="240" w:lineRule="auto"/>
        <w:rPr>
          <w:rFonts w:ascii="Times New Roman" w:hAnsi="Times New Roman"/>
          <w:lang w:val="it-IT"/>
        </w:rPr>
      </w:pPr>
    </w:p>
    <w:p w14:paraId="08C54AA9" w14:textId="77777777" w:rsidR="007018C1" w:rsidRPr="00496684" w:rsidRDefault="007018C1" w:rsidP="007018C1">
      <w:pPr>
        <w:pStyle w:val="Text"/>
        <w:widowControl w:val="0"/>
        <w:spacing w:before="0"/>
        <w:rPr>
          <w:sz w:val="22"/>
          <w:szCs w:val="22"/>
          <w:lang w:val="it-IT"/>
        </w:rPr>
      </w:pPr>
      <w:r w:rsidRPr="00496684">
        <w:rPr>
          <w:sz w:val="22"/>
          <w:szCs w:val="22"/>
          <w:lang w:val="it-IT"/>
        </w:rPr>
        <w:t>Ogni capsula</w:t>
      </w:r>
      <w:r w:rsidR="00782123" w:rsidRPr="00496684">
        <w:rPr>
          <w:sz w:val="22"/>
          <w:szCs w:val="22"/>
          <w:lang w:val="it-IT"/>
        </w:rPr>
        <w:t xml:space="preserve"> rigida</w:t>
      </w:r>
      <w:r w:rsidRPr="00496684">
        <w:rPr>
          <w:sz w:val="22"/>
          <w:szCs w:val="22"/>
          <w:lang w:val="it-IT"/>
        </w:rPr>
        <w:t xml:space="preserve"> contiene 50 mg di imatinib (come mesilato).</w:t>
      </w:r>
    </w:p>
    <w:p w14:paraId="13CDE3A1" w14:textId="77777777" w:rsidR="00376475" w:rsidRPr="00496684" w:rsidRDefault="00376475" w:rsidP="00376475">
      <w:pPr>
        <w:autoSpaceDE w:val="0"/>
        <w:autoSpaceDN w:val="0"/>
        <w:adjustRightInd w:val="0"/>
        <w:spacing w:after="0" w:line="240" w:lineRule="auto"/>
        <w:rPr>
          <w:rFonts w:ascii="Times New Roman" w:hAnsi="Times New Roman"/>
          <w:lang w:val="it-IT"/>
        </w:rPr>
      </w:pPr>
    </w:p>
    <w:p w14:paraId="5CA2593D" w14:textId="77777777" w:rsidR="00376475" w:rsidRPr="00496684" w:rsidRDefault="00376475"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76475" w:rsidRPr="00496684" w14:paraId="33489004" w14:textId="77777777" w:rsidTr="003614BD">
        <w:tc>
          <w:tcPr>
            <w:tcW w:w="9546" w:type="dxa"/>
          </w:tcPr>
          <w:p w14:paraId="5B464EC4" w14:textId="77777777" w:rsidR="00376475" w:rsidRPr="00496684" w:rsidRDefault="00376475" w:rsidP="003614BD">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3.</w:t>
            </w:r>
            <w:r w:rsidRPr="00496684">
              <w:rPr>
                <w:rFonts w:ascii="Times New Roman" w:hAnsi="Times New Roman"/>
                <w:b/>
                <w:bCs/>
                <w:lang w:val="it-IT"/>
              </w:rPr>
              <w:tab/>
            </w:r>
            <w:r w:rsidR="007018C1" w:rsidRPr="00496684">
              <w:rPr>
                <w:rFonts w:ascii="Times New Roman" w:hAnsi="Times New Roman"/>
                <w:b/>
                <w:lang w:val="it-IT"/>
              </w:rPr>
              <w:t>ELENCO DEGLI ECCIPIENTI</w:t>
            </w:r>
          </w:p>
        </w:tc>
      </w:tr>
    </w:tbl>
    <w:p w14:paraId="01C9C8FE" w14:textId="77777777" w:rsidR="00EE1F8A" w:rsidRPr="00496684" w:rsidRDefault="00EE1F8A" w:rsidP="00376475">
      <w:pPr>
        <w:autoSpaceDE w:val="0"/>
        <w:autoSpaceDN w:val="0"/>
        <w:adjustRightInd w:val="0"/>
        <w:spacing w:after="0" w:line="240" w:lineRule="auto"/>
        <w:rPr>
          <w:rFonts w:ascii="Times New Roman" w:hAnsi="Times New Roman"/>
          <w:lang w:val="it-IT"/>
        </w:rPr>
      </w:pPr>
    </w:p>
    <w:p w14:paraId="35305C17" w14:textId="77777777" w:rsidR="00A75534" w:rsidRPr="00496684" w:rsidRDefault="00A75534"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496684" w14:paraId="75298A7A" w14:textId="77777777" w:rsidTr="003614BD">
        <w:tc>
          <w:tcPr>
            <w:tcW w:w="9546" w:type="dxa"/>
          </w:tcPr>
          <w:p w14:paraId="1B49B175" w14:textId="77777777" w:rsidR="00D86A4C" w:rsidRPr="00496684" w:rsidRDefault="00D86A4C" w:rsidP="003614BD">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4.</w:t>
            </w:r>
            <w:r w:rsidRPr="00496684">
              <w:rPr>
                <w:rFonts w:ascii="Times New Roman" w:hAnsi="Times New Roman"/>
                <w:b/>
                <w:bCs/>
                <w:lang w:val="it-IT"/>
              </w:rPr>
              <w:tab/>
            </w:r>
            <w:r w:rsidR="007018C1" w:rsidRPr="00496684">
              <w:rPr>
                <w:rFonts w:ascii="Times New Roman" w:hAnsi="Times New Roman"/>
                <w:b/>
                <w:lang w:val="it-IT"/>
              </w:rPr>
              <w:t>FORMA FARMACEUTICA E CONTENUTO</w:t>
            </w:r>
          </w:p>
        </w:tc>
      </w:tr>
    </w:tbl>
    <w:p w14:paraId="55B25445" w14:textId="77777777" w:rsidR="00D86A4C" w:rsidRPr="00496684" w:rsidRDefault="00D86A4C" w:rsidP="00376475">
      <w:pPr>
        <w:autoSpaceDE w:val="0"/>
        <w:autoSpaceDN w:val="0"/>
        <w:adjustRightInd w:val="0"/>
        <w:spacing w:after="0" w:line="240" w:lineRule="auto"/>
        <w:rPr>
          <w:rFonts w:ascii="Times New Roman" w:hAnsi="Times New Roman"/>
          <w:lang w:val="it-IT"/>
        </w:rPr>
      </w:pPr>
    </w:p>
    <w:p w14:paraId="3557AEEA" w14:textId="77777777" w:rsidR="007E67EC" w:rsidRPr="00496684" w:rsidRDefault="007E67EC" w:rsidP="007E67EC">
      <w:pPr>
        <w:pStyle w:val="KeinLeerraum"/>
        <w:rPr>
          <w:rFonts w:ascii="Times New Roman" w:hAnsi="Times New Roman"/>
          <w:highlight w:val="lightGray"/>
          <w:lang w:val="it-IT"/>
        </w:rPr>
      </w:pPr>
      <w:r w:rsidRPr="00496684">
        <w:rPr>
          <w:rFonts w:ascii="Times New Roman" w:hAnsi="Times New Roman"/>
          <w:lang w:val="it-IT"/>
        </w:rPr>
        <w:t>30</w:t>
      </w:r>
      <w:r w:rsidR="0061139B" w:rsidRPr="00496684">
        <w:rPr>
          <w:rFonts w:ascii="Times New Roman" w:hAnsi="Times New Roman"/>
          <w:lang w:val="it-IT"/>
        </w:rPr>
        <w:t> </w:t>
      </w:r>
      <w:r w:rsidRPr="00496684">
        <w:rPr>
          <w:rFonts w:ascii="Times New Roman" w:hAnsi="Times New Roman"/>
          <w:lang w:val="it-IT"/>
        </w:rPr>
        <w:t xml:space="preserve"> caps</w:t>
      </w:r>
      <w:r w:rsidR="0020671B" w:rsidRPr="00496684">
        <w:rPr>
          <w:rFonts w:ascii="Times New Roman" w:hAnsi="Times New Roman"/>
          <w:lang w:val="it-IT"/>
        </w:rPr>
        <w:t>u</w:t>
      </w:r>
      <w:r w:rsidRPr="00496684">
        <w:rPr>
          <w:rFonts w:ascii="Times New Roman" w:hAnsi="Times New Roman"/>
          <w:lang w:val="it-IT"/>
        </w:rPr>
        <w:t>le</w:t>
      </w:r>
      <w:r w:rsidR="005553D4" w:rsidRPr="00496684">
        <w:rPr>
          <w:rFonts w:ascii="Times New Roman" w:hAnsi="Times New Roman"/>
          <w:lang w:val="it-IT"/>
        </w:rPr>
        <w:t xml:space="preserve"> rigide</w:t>
      </w:r>
    </w:p>
    <w:p w14:paraId="7FDE044C" w14:textId="77777777" w:rsidR="007E67EC" w:rsidRPr="00496684" w:rsidRDefault="007E67EC" w:rsidP="007E67EC">
      <w:pPr>
        <w:pStyle w:val="KeinLeerraum"/>
        <w:rPr>
          <w:rFonts w:ascii="Times New Roman" w:hAnsi="Times New Roman"/>
          <w:lang w:val="it-IT"/>
        </w:rPr>
      </w:pPr>
      <w:r w:rsidRPr="00496684">
        <w:rPr>
          <w:rFonts w:ascii="Times New Roman" w:hAnsi="Times New Roman"/>
          <w:highlight w:val="lightGray"/>
          <w:lang w:val="it-IT"/>
        </w:rPr>
        <w:t>90</w:t>
      </w:r>
      <w:r w:rsidR="0061139B" w:rsidRPr="00496684">
        <w:rPr>
          <w:rFonts w:ascii="Times New Roman" w:hAnsi="Times New Roman"/>
          <w:highlight w:val="lightGray"/>
          <w:lang w:val="it-IT"/>
        </w:rPr>
        <w:t> </w:t>
      </w:r>
      <w:r w:rsidR="007018C1" w:rsidRPr="00496684">
        <w:rPr>
          <w:rFonts w:ascii="Times New Roman" w:hAnsi="Times New Roman"/>
          <w:highlight w:val="lightGray"/>
          <w:lang w:val="it-IT"/>
        </w:rPr>
        <w:t xml:space="preserve"> capsule</w:t>
      </w:r>
      <w:r w:rsidR="005553D4" w:rsidRPr="00496684">
        <w:rPr>
          <w:rFonts w:ascii="Times New Roman" w:hAnsi="Times New Roman"/>
          <w:lang w:val="it-IT"/>
        </w:rPr>
        <w:t xml:space="preserve"> rigide</w:t>
      </w:r>
    </w:p>
    <w:p w14:paraId="0357C7C8" w14:textId="77777777" w:rsidR="00D86A4C" w:rsidRPr="00496684" w:rsidRDefault="00D86A4C" w:rsidP="00376475">
      <w:pPr>
        <w:autoSpaceDE w:val="0"/>
        <w:autoSpaceDN w:val="0"/>
        <w:adjustRightInd w:val="0"/>
        <w:spacing w:after="0" w:line="240" w:lineRule="auto"/>
        <w:rPr>
          <w:rFonts w:ascii="Times New Roman" w:hAnsi="Times New Roman"/>
          <w:lang w:val="it-IT"/>
        </w:rPr>
      </w:pPr>
    </w:p>
    <w:p w14:paraId="5997F3FC" w14:textId="77777777" w:rsidR="00BE5F51" w:rsidRPr="00496684" w:rsidRDefault="00BE5F51"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496684" w14:paraId="546A5129" w14:textId="77777777" w:rsidTr="003614BD">
        <w:tc>
          <w:tcPr>
            <w:tcW w:w="9546" w:type="dxa"/>
          </w:tcPr>
          <w:p w14:paraId="3577EA75" w14:textId="77777777" w:rsidR="00D86A4C" w:rsidRPr="00496684" w:rsidRDefault="00D86A4C" w:rsidP="003614B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007018C1" w:rsidRPr="00496684">
              <w:rPr>
                <w:rFonts w:ascii="Times New Roman" w:hAnsi="Times New Roman"/>
                <w:b/>
                <w:bCs/>
                <w:lang w:val="it-IT"/>
              </w:rPr>
              <w:t>MODO E VIA(E) DI SOMMINISTRAZIONE</w:t>
            </w:r>
          </w:p>
        </w:tc>
      </w:tr>
    </w:tbl>
    <w:p w14:paraId="0DB876C0" w14:textId="77777777" w:rsidR="00D86A4C" w:rsidRPr="00496684" w:rsidRDefault="00D86A4C" w:rsidP="00376475">
      <w:pPr>
        <w:autoSpaceDE w:val="0"/>
        <w:autoSpaceDN w:val="0"/>
        <w:adjustRightInd w:val="0"/>
        <w:spacing w:after="0" w:line="240" w:lineRule="auto"/>
        <w:rPr>
          <w:rFonts w:ascii="Times New Roman" w:hAnsi="Times New Roman"/>
          <w:lang w:val="it-IT"/>
        </w:rPr>
      </w:pPr>
    </w:p>
    <w:p w14:paraId="78B069F4" w14:textId="77777777" w:rsidR="006B7A41" w:rsidRPr="00496684" w:rsidRDefault="007018C1" w:rsidP="00D86A4C">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Uso orale</w:t>
      </w:r>
      <w:r w:rsidR="00D86A4C" w:rsidRPr="00496684">
        <w:rPr>
          <w:rFonts w:ascii="Times New Roman" w:hAnsi="Times New Roman"/>
          <w:lang w:val="it-IT"/>
        </w:rPr>
        <w:t>.</w:t>
      </w:r>
    </w:p>
    <w:p w14:paraId="22DDBD6A" w14:textId="77777777" w:rsidR="007018C1" w:rsidRPr="00496684" w:rsidRDefault="007018C1" w:rsidP="007018C1">
      <w:pPr>
        <w:suppressAutoHyphens/>
        <w:rPr>
          <w:rFonts w:ascii="Times New Roman" w:hAnsi="Times New Roman"/>
          <w:lang w:val="it-IT"/>
        </w:rPr>
      </w:pPr>
      <w:r w:rsidRPr="00496684">
        <w:rPr>
          <w:rFonts w:ascii="Times New Roman" w:hAnsi="Times New Roman"/>
          <w:lang w:val="it-IT"/>
        </w:rPr>
        <w:t>Leggere il foglio illustrativo prima dell’uso.</w:t>
      </w:r>
    </w:p>
    <w:p w14:paraId="2FB84414" w14:textId="77777777" w:rsidR="00D86A4C" w:rsidRPr="00496684" w:rsidRDefault="00D86A4C"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496684" w14:paraId="08B62D4D" w14:textId="77777777" w:rsidTr="003614BD">
        <w:tc>
          <w:tcPr>
            <w:tcW w:w="9546" w:type="dxa"/>
          </w:tcPr>
          <w:p w14:paraId="4B18926D" w14:textId="77777777" w:rsidR="00D86A4C" w:rsidRPr="00496684" w:rsidRDefault="00D86A4C" w:rsidP="00262A05">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00E14EFA" w:rsidRPr="00496684">
              <w:rPr>
                <w:rFonts w:ascii="Times New Roman" w:hAnsi="Times New Roman"/>
                <w:b/>
                <w:bCs/>
                <w:lang w:val="it-IT"/>
              </w:rPr>
              <w:t>AVVERTENZA PARTICOLARE CHE PRESCRIVA DI TENERE IL MEDICINALE FUORI DALLA VISTA E DALLA PORTATA DEI BAMBINI</w:t>
            </w:r>
          </w:p>
        </w:tc>
      </w:tr>
    </w:tbl>
    <w:p w14:paraId="4FF4A44F" w14:textId="77777777" w:rsidR="00D86A4C" w:rsidRPr="00496684" w:rsidRDefault="00D86A4C" w:rsidP="00262A05">
      <w:pPr>
        <w:keepNext/>
        <w:autoSpaceDE w:val="0"/>
        <w:autoSpaceDN w:val="0"/>
        <w:adjustRightInd w:val="0"/>
        <w:spacing w:after="0" w:line="240" w:lineRule="auto"/>
        <w:rPr>
          <w:rFonts w:ascii="Times New Roman" w:hAnsi="Times New Roman"/>
          <w:lang w:val="it-IT"/>
        </w:rPr>
      </w:pPr>
    </w:p>
    <w:p w14:paraId="77505385" w14:textId="77777777" w:rsidR="00E14EFA" w:rsidRPr="00496684" w:rsidRDefault="00E14EFA" w:rsidP="00262A05">
      <w:pPr>
        <w:keepNext/>
        <w:widowControl w:val="0"/>
        <w:rPr>
          <w:rFonts w:ascii="Times New Roman" w:hAnsi="Times New Roman"/>
          <w:lang w:val="it-IT"/>
        </w:rPr>
      </w:pPr>
      <w:r w:rsidRPr="00496684">
        <w:rPr>
          <w:rFonts w:ascii="Times New Roman" w:hAnsi="Times New Roman"/>
          <w:lang w:val="it-IT"/>
        </w:rPr>
        <w:t>Tenere fuori dalla vista e dalla portata dei bambini.</w:t>
      </w:r>
    </w:p>
    <w:p w14:paraId="5FA119F0" w14:textId="77777777" w:rsidR="00D86A4C" w:rsidRPr="00496684" w:rsidRDefault="00D86A4C"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496684" w14:paraId="69ACCA96" w14:textId="77777777" w:rsidTr="003614BD">
        <w:tc>
          <w:tcPr>
            <w:tcW w:w="9546" w:type="dxa"/>
          </w:tcPr>
          <w:p w14:paraId="426CF982" w14:textId="77777777" w:rsidR="00D86A4C" w:rsidRPr="00496684" w:rsidRDefault="00D86A4C"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7.</w:t>
            </w:r>
            <w:r w:rsidRPr="00496684">
              <w:rPr>
                <w:rFonts w:ascii="Times New Roman" w:hAnsi="Times New Roman"/>
                <w:b/>
                <w:bCs/>
                <w:lang w:val="it-IT"/>
              </w:rPr>
              <w:tab/>
            </w:r>
            <w:r w:rsidR="00E14EFA" w:rsidRPr="00496684">
              <w:rPr>
                <w:rFonts w:ascii="Times New Roman" w:hAnsi="Times New Roman"/>
                <w:b/>
                <w:lang w:val="it-IT"/>
              </w:rPr>
              <w:t>ALTRA(E) AVVERTENZA(E) PARTICOLARE(I), SE NECESSARIO</w:t>
            </w:r>
          </w:p>
        </w:tc>
      </w:tr>
    </w:tbl>
    <w:p w14:paraId="24E4DEF2" w14:textId="77777777" w:rsidR="00D86A4C" w:rsidRPr="00496684" w:rsidRDefault="00D86A4C" w:rsidP="00262A05">
      <w:pPr>
        <w:keepNext/>
        <w:autoSpaceDE w:val="0"/>
        <w:autoSpaceDN w:val="0"/>
        <w:adjustRightInd w:val="0"/>
        <w:spacing w:after="0" w:line="240" w:lineRule="auto"/>
        <w:rPr>
          <w:rFonts w:ascii="Times New Roman" w:hAnsi="Times New Roman"/>
          <w:lang w:val="it-IT"/>
        </w:rPr>
      </w:pPr>
    </w:p>
    <w:p w14:paraId="7B49A674" w14:textId="77777777" w:rsidR="00BA41DC" w:rsidRPr="00496684" w:rsidRDefault="00E14EFA"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Utilizzare solo come prescritto dal medico</w:t>
      </w:r>
    </w:p>
    <w:p w14:paraId="5383A75A" w14:textId="77777777" w:rsidR="00BA41DC" w:rsidRPr="00496684" w:rsidRDefault="00BA41DC" w:rsidP="00376475">
      <w:pPr>
        <w:autoSpaceDE w:val="0"/>
        <w:autoSpaceDN w:val="0"/>
        <w:adjustRightInd w:val="0"/>
        <w:spacing w:after="0" w:line="240" w:lineRule="auto"/>
        <w:rPr>
          <w:rFonts w:ascii="Times New Roman" w:hAnsi="Times New Roman"/>
          <w:lang w:val="it-IT"/>
        </w:rPr>
      </w:pPr>
    </w:p>
    <w:p w14:paraId="7CB8013B" w14:textId="77777777" w:rsidR="0020671B" w:rsidRPr="00496684" w:rsidRDefault="0020671B"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496684" w14:paraId="348D3F07" w14:textId="77777777" w:rsidTr="003614BD">
        <w:tc>
          <w:tcPr>
            <w:tcW w:w="9546" w:type="dxa"/>
          </w:tcPr>
          <w:p w14:paraId="3A1436F6" w14:textId="77777777" w:rsidR="00D86A4C" w:rsidRPr="00496684" w:rsidRDefault="00D86A4C" w:rsidP="00262A05">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8.</w:t>
            </w:r>
            <w:r w:rsidRPr="00496684">
              <w:rPr>
                <w:rFonts w:ascii="Times New Roman" w:hAnsi="Times New Roman"/>
                <w:b/>
                <w:bCs/>
                <w:lang w:val="it-IT"/>
              </w:rPr>
              <w:tab/>
            </w:r>
            <w:r w:rsidR="00E14EFA" w:rsidRPr="00496684">
              <w:rPr>
                <w:rFonts w:ascii="Times New Roman" w:hAnsi="Times New Roman"/>
                <w:b/>
                <w:bCs/>
                <w:lang w:val="it-IT"/>
              </w:rPr>
              <w:t>DATA DI SCADENZA</w:t>
            </w:r>
          </w:p>
        </w:tc>
      </w:tr>
    </w:tbl>
    <w:p w14:paraId="29B7CA35" w14:textId="77777777" w:rsidR="00D86A4C" w:rsidRPr="00496684" w:rsidRDefault="00D86A4C" w:rsidP="00262A05">
      <w:pPr>
        <w:keepNext/>
        <w:autoSpaceDE w:val="0"/>
        <w:autoSpaceDN w:val="0"/>
        <w:adjustRightInd w:val="0"/>
        <w:spacing w:after="0" w:line="240" w:lineRule="auto"/>
        <w:rPr>
          <w:rFonts w:ascii="Times New Roman" w:hAnsi="Times New Roman"/>
          <w:lang w:val="it-IT"/>
        </w:rPr>
      </w:pPr>
    </w:p>
    <w:p w14:paraId="0AD524DB" w14:textId="77777777" w:rsidR="00D86A4C" w:rsidRPr="00496684" w:rsidRDefault="00E14EFA"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2DF3919E" w14:textId="77777777" w:rsidR="00D86A4C" w:rsidRPr="00496684" w:rsidRDefault="00D86A4C" w:rsidP="00376475">
      <w:pPr>
        <w:autoSpaceDE w:val="0"/>
        <w:autoSpaceDN w:val="0"/>
        <w:adjustRightInd w:val="0"/>
        <w:spacing w:after="0" w:line="240" w:lineRule="auto"/>
        <w:rPr>
          <w:rFonts w:ascii="Times New Roman" w:hAnsi="Times New Roman"/>
          <w:lang w:val="it-IT"/>
        </w:rPr>
      </w:pPr>
    </w:p>
    <w:p w14:paraId="74262CBE" w14:textId="77777777" w:rsidR="0020671B" w:rsidRPr="00496684" w:rsidRDefault="0020671B"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86A4C" w:rsidRPr="00496684" w14:paraId="53663CDA" w14:textId="77777777" w:rsidTr="003614BD">
        <w:tc>
          <w:tcPr>
            <w:tcW w:w="9546" w:type="dxa"/>
          </w:tcPr>
          <w:p w14:paraId="778F66C3" w14:textId="77777777" w:rsidR="00D86A4C" w:rsidRPr="00496684" w:rsidRDefault="00D86A4C" w:rsidP="00496684">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9.</w:t>
            </w:r>
            <w:r w:rsidRPr="00496684">
              <w:rPr>
                <w:rFonts w:ascii="Times New Roman" w:hAnsi="Times New Roman"/>
                <w:b/>
                <w:bCs/>
                <w:lang w:val="it-IT"/>
              </w:rPr>
              <w:tab/>
            </w:r>
            <w:r w:rsidR="00E14EFA" w:rsidRPr="00496684">
              <w:rPr>
                <w:rFonts w:ascii="Times New Roman" w:hAnsi="Times New Roman"/>
                <w:b/>
                <w:bCs/>
                <w:lang w:val="it-IT"/>
              </w:rPr>
              <w:t>PRECAUZIONI PARTICOLARI PER LA CONSERVAZIONE</w:t>
            </w:r>
          </w:p>
        </w:tc>
      </w:tr>
    </w:tbl>
    <w:p w14:paraId="14395456" w14:textId="77777777" w:rsidR="0020671B" w:rsidRPr="00496684" w:rsidRDefault="0020671B" w:rsidP="00496684">
      <w:pPr>
        <w:pStyle w:val="Text"/>
        <w:keepNext/>
        <w:widowControl w:val="0"/>
        <w:spacing w:before="0"/>
        <w:jc w:val="left"/>
        <w:rPr>
          <w:sz w:val="22"/>
          <w:szCs w:val="22"/>
          <w:lang w:val="it-IT"/>
        </w:rPr>
      </w:pPr>
    </w:p>
    <w:p w14:paraId="7665123F" w14:textId="77777777" w:rsidR="00E13BA7" w:rsidRPr="00496684" w:rsidRDefault="00E14EFA" w:rsidP="00496684">
      <w:pPr>
        <w:pStyle w:val="Text"/>
        <w:keepNext/>
        <w:widowControl w:val="0"/>
        <w:spacing w:before="0"/>
        <w:jc w:val="left"/>
        <w:rPr>
          <w:sz w:val="22"/>
          <w:szCs w:val="22"/>
          <w:lang w:val="it-IT"/>
        </w:rPr>
      </w:pPr>
      <w:r w:rsidRPr="00496684">
        <w:rPr>
          <w:sz w:val="22"/>
          <w:szCs w:val="22"/>
          <w:lang w:val="it-IT"/>
        </w:rPr>
        <w:t xml:space="preserve">Non conservare a temperatura superiore ai </w:t>
      </w:r>
      <w:r w:rsidR="00804764" w:rsidRPr="00496684">
        <w:rPr>
          <w:sz w:val="22"/>
          <w:szCs w:val="22"/>
          <w:lang w:val="it-IT"/>
        </w:rPr>
        <w:t>25</w:t>
      </w:r>
      <w:r w:rsidRPr="00496684">
        <w:rPr>
          <w:sz w:val="22"/>
          <w:szCs w:val="22"/>
          <w:lang w:val="it-IT"/>
        </w:rPr>
        <w:sym w:font="Symbol" w:char="F0B0"/>
      </w:r>
      <w:r w:rsidRPr="00496684">
        <w:rPr>
          <w:sz w:val="22"/>
          <w:szCs w:val="22"/>
          <w:lang w:val="it-IT"/>
        </w:rPr>
        <w:t xml:space="preserve">C. </w:t>
      </w:r>
    </w:p>
    <w:p w14:paraId="1E7A0522" w14:textId="77777777" w:rsidR="00E14EFA" w:rsidRPr="00496684" w:rsidRDefault="00E14EFA" w:rsidP="00496684">
      <w:pPr>
        <w:pStyle w:val="Text"/>
        <w:keepNext/>
        <w:widowControl w:val="0"/>
        <w:spacing w:before="0"/>
        <w:jc w:val="left"/>
        <w:rPr>
          <w:sz w:val="22"/>
          <w:szCs w:val="22"/>
          <w:lang w:val="it-IT"/>
        </w:rPr>
      </w:pPr>
      <w:r w:rsidRPr="00496684">
        <w:rPr>
          <w:sz w:val="22"/>
          <w:szCs w:val="22"/>
          <w:lang w:val="it-IT"/>
        </w:rPr>
        <w:t>Conservare nella confezione originale per proteggere il medicinale dall’umidità.</w:t>
      </w:r>
    </w:p>
    <w:p w14:paraId="4A23A1C6" w14:textId="77777777" w:rsidR="00D86A4C" w:rsidRPr="00496684" w:rsidRDefault="00D86A4C" w:rsidP="00376475">
      <w:pPr>
        <w:autoSpaceDE w:val="0"/>
        <w:autoSpaceDN w:val="0"/>
        <w:adjustRightInd w:val="0"/>
        <w:spacing w:after="0" w:line="240" w:lineRule="auto"/>
        <w:rPr>
          <w:rFonts w:ascii="Times New Roman" w:hAnsi="Times New Roman"/>
          <w:lang w:val="it-IT"/>
        </w:rPr>
      </w:pPr>
    </w:p>
    <w:p w14:paraId="5401FA27" w14:textId="77777777" w:rsidR="003F1283" w:rsidRPr="00496684" w:rsidRDefault="003F1283"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496684" w14:paraId="27CD9920" w14:textId="77777777" w:rsidTr="003614BD">
        <w:tc>
          <w:tcPr>
            <w:tcW w:w="9546" w:type="dxa"/>
          </w:tcPr>
          <w:p w14:paraId="6AE6801C" w14:textId="77777777" w:rsidR="003F1283" w:rsidRPr="00496684" w:rsidRDefault="003F1283" w:rsidP="00262A05">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10.</w:t>
            </w:r>
            <w:r w:rsidRPr="00496684">
              <w:rPr>
                <w:rFonts w:ascii="Times New Roman" w:hAnsi="Times New Roman"/>
                <w:b/>
                <w:bCs/>
                <w:lang w:val="it-IT"/>
              </w:rPr>
              <w:tab/>
            </w:r>
            <w:r w:rsidR="00E14EFA" w:rsidRPr="00496684">
              <w:rPr>
                <w:rFonts w:ascii="Times New Roman" w:hAnsi="Times New Roman"/>
                <w:b/>
                <w:bCs/>
                <w:lang w:val="it-IT"/>
              </w:rPr>
              <w:t>PRECAUZIONI PARTICOLARI PER LO SMALTIMENTO DEL MEDICINALE NON UTILIZZATO O DEI RIFIUTI DERIVATI DA TALE MEDICINALE, SE NECESSARIO</w:t>
            </w:r>
          </w:p>
        </w:tc>
      </w:tr>
    </w:tbl>
    <w:p w14:paraId="15782A48" w14:textId="77777777" w:rsidR="003F1283" w:rsidRPr="00496684" w:rsidRDefault="003F1283" w:rsidP="00262A05">
      <w:pPr>
        <w:keepNext/>
        <w:autoSpaceDE w:val="0"/>
        <w:autoSpaceDN w:val="0"/>
        <w:adjustRightInd w:val="0"/>
        <w:spacing w:after="0" w:line="240" w:lineRule="auto"/>
        <w:rPr>
          <w:rFonts w:ascii="Times New Roman" w:hAnsi="Times New Roman"/>
          <w:lang w:val="it-IT"/>
        </w:rPr>
      </w:pPr>
    </w:p>
    <w:p w14:paraId="3DFAD4D6" w14:textId="77777777" w:rsidR="003F1283" w:rsidRPr="00496684" w:rsidRDefault="003F1283"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496684" w14:paraId="2AE4AC21" w14:textId="77777777" w:rsidTr="003614BD">
        <w:tc>
          <w:tcPr>
            <w:tcW w:w="9546" w:type="dxa"/>
          </w:tcPr>
          <w:p w14:paraId="5AC3F6EC" w14:textId="77777777" w:rsidR="003F1283" w:rsidRPr="00496684" w:rsidRDefault="003F1283" w:rsidP="00262A05">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11.</w:t>
            </w:r>
            <w:r w:rsidRPr="00496684">
              <w:rPr>
                <w:rFonts w:ascii="Times New Roman" w:hAnsi="Times New Roman"/>
                <w:b/>
                <w:bCs/>
                <w:lang w:val="it-IT"/>
              </w:rPr>
              <w:tab/>
            </w:r>
            <w:r w:rsidR="00E14EFA" w:rsidRPr="00496684">
              <w:rPr>
                <w:rFonts w:ascii="Times New Roman" w:hAnsi="Times New Roman"/>
                <w:b/>
                <w:bCs/>
                <w:lang w:val="it-IT"/>
              </w:rPr>
              <w:t>NOME E INDIRIZZO DEL TITOLARE DELL’AUTORIZZAZIONE ALL’IMMISSIONE IN COMMERCIO</w:t>
            </w:r>
          </w:p>
        </w:tc>
      </w:tr>
    </w:tbl>
    <w:p w14:paraId="21AC3326" w14:textId="77777777" w:rsidR="003F1283" w:rsidRPr="00496684" w:rsidRDefault="003F1283" w:rsidP="00262A05">
      <w:pPr>
        <w:keepNext/>
        <w:autoSpaceDE w:val="0"/>
        <w:autoSpaceDN w:val="0"/>
        <w:adjustRightInd w:val="0"/>
        <w:spacing w:after="0" w:line="240" w:lineRule="auto"/>
        <w:rPr>
          <w:rFonts w:ascii="Times New Roman" w:hAnsi="Times New Roman"/>
          <w:lang w:val="it-IT"/>
        </w:rPr>
      </w:pPr>
    </w:p>
    <w:p w14:paraId="66330561" w14:textId="77777777" w:rsidR="0024063B" w:rsidRPr="00496684" w:rsidRDefault="0024063B"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4E624C81" w14:textId="77777777" w:rsidR="0024063B" w:rsidRPr="00496684" w:rsidRDefault="00782123"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220 </w:t>
      </w:r>
      <w:r w:rsidR="0024063B" w:rsidRPr="00496684">
        <w:rPr>
          <w:rFonts w:ascii="Times New Roman" w:hAnsi="Times New Roman"/>
          <w:lang w:val="it-IT"/>
        </w:rPr>
        <w:t>Hafnarfjörður</w:t>
      </w:r>
    </w:p>
    <w:p w14:paraId="2C1DCAC7" w14:textId="77777777" w:rsidR="0024063B" w:rsidRPr="00496684" w:rsidRDefault="0024063B"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E14EFA" w:rsidRPr="00496684">
        <w:rPr>
          <w:rFonts w:ascii="Times New Roman" w:hAnsi="Times New Roman"/>
          <w:lang w:val="it-IT"/>
        </w:rPr>
        <w:t>slanda</w:t>
      </w:r>
    </w:p>
    <w:p w14:paraId="0DF90CF0" w14:textId="77777777" w:rsidR="003F1283" w:rsidRPr="00496684" w:rsidRDefault="003F1283" w:rsidP="00376475">
      <w:pPr>
        <w:autoSpaceDE w:val="0"/>
        <w:autoSpaceDN w:val="0"/>
        <w:adjustRightInd w:val="0"/>
        <w:spacing w:after="0" w:line="240" w:lineRule="auto"/>
        <w:rPr>
          <w:rFonts w:ascii="Times New Roman" w:hAnsi="Times New Roman"/>
          <w:lang w:val="it-IT"/>
        </w:rPr>
      </w:pPr>
    </w:p>
    <w:p w14:paraId="26720218" w14:textId="77777777" w:rsidR="003F1283" w:rsidRPr="00496684" w:rsidRDefault="003F1283"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496684" w14:paraId="38560F05" w14:textId="77777777" w:rsidTr="003614BD">
        <w:tc>
          <w:tcPr>
            <w:tcW w:w="9546" w:type="dxa"/>
          </w:tcPr>
          <w:p w14:paraId="7EC72151" w14:textId="77777777" w:rsidR="003F1283" w:rsidRPr="00496684" w:rsidRDefault="003F1283" w:rsidP="003614B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12.</w:t>
            </w:r>
            <w:r w:rsidRPr="00496684">
              <w:rPr>
                <w:rFonts w:ascii="Times New Roman" w:hAnsi="Times New Roman"/>
                <w:b/>
                <w:bCs/>
                <w:lang w:val="it-IT"/>
              </w:rPr>
              <w:tab/>
            </w:r>
            <w:r w:rsidR="00E14EFA" w:rsidRPr="00496684">
              <w:rPr>
                <w:rFonts w:ascii="Times New Roman" w:hAnsi="Times New Roman"/>
                <w:b/>
                <w:bCs/>
                <w:lang w:val="it-IT"/>
              </w:rPr>
              <w:t>NUMERO(I) DELL’AUTORIZZAZIONE ALL’IMMISSIONE IN COMMERCIO</w:t>
            </w:r>
          </w:p>
        </w:tc>
      </w:tr>
    </w:tbl>
    <w:p w14:paraId="588B108D" w14:textId="77777777" w:rsidR="003F1283" w:rsidRPr="00496684" w:rsidRDefault="003F1283" w:rsidP="00376475">
      <w:pPr>
        <w:autoSpaceDE w:val="0"/>
        <w:autoSpaceDN w:val="0"/>
        <w:adjustRightInd w:val="0"/>
        <w:spacing w:after="0" w:line="240" w:lineRule="auto"/>
        <w:rPr>
          <w:rFonts w:ascii="Times New Roman" w:hAnsi="Times New Roman"/>
          <w:lang w:val="it-IT"/>
        </w:rPr>
      </w:pPr>
    </w:p>
    <w:p w14:paraId="6A06D3FA" w14:textId="77777777" w:rsidR="00766B31" w:rsidRPr="00496684" w:rsidRDefault="00C51644" w:rsidP="00766B31">
      <w:pPr>
        <w:autoSpaceDE w:val="0"/>
        <w:autoSpaceDN w:val="0"/>
        <w:adjustRightInd w:val="0"/>
        <w:spacing w:after="0" w:line="240" w:lineRule="auto"/>
        <w:rPr>
          <w:rFonts w:ascii="Times New Roman" w:hAnsi="Times New Roman"/>
          <w:highlight w:val="lightGray"/>
          <w:lang w:val="it-IT"/>
        </w:rPr>
      </w:pPr>
      <w:r w:rsidRPr="00496684">
        <w:rPr>
          <w:rFonts w:ascii="Times New Roman" w:hAnsi="Times New Roman"/>
          <w:lang w:val="it-IT"/>
        </w:rPr>
        <w:t xml:space="preserve">EU/1/13/825/001 </w:t>
      </w:r>
      <w:r w:rsidRPr="00496684">
        <w:rPr>
          <w:rFonts w:ascii="Times New Roman" w:hAnsi="Times New Roman"/>
          <w:highlight w:val="lightGray"/>
          <w:lang w:val="it-IT"/>
        </w:rPr>
        <w:t>30  cap</w:t>
      </w:r>
      <w:r w:rsidR="008A774D" w:rsidRPr="00496684">
        <w:rPr>
          <w:rFonts w:ascii="Times New Roman" w:hAnsi="Times New Roman"/>
          <w:highlight w:val="lightGray"/>
          <w:lang w:val="it-IT"/>
        </w:rPr>
        <w:t>sule</w:t>
      </w:r>
    </w:p>
    <w:p w14:paraId="22FF0719" w14:textId="77777777" w:rsidR="003F1283" w:rsidRPr="00496684" w:rsidRDefault="00C51644" w:rsidP="00766B31">
      <w:pPr>
        <w:autoSpaceDE w:val="0"/>
        <w:autoSpaceDN w:val="0"/>
        <w:adjustRightInd w:val="0"/>
        <w:spacing w:after="0" w:line="240" w:lineRule="auto"/>
        <w:rPr>
          <w:rFonts w:ascii="Times New Roman" w:hAnsi="Times New Roman"/>
          <w:lang w:val="it-IT"/>
        </w:rPr>
      </w:pPr>
      <w:r w:rsidRPr="00496684">
        <w:rPr>
          <w:rFonts w:ascii="Times New Roman" w:hAnsi="Times New Roman"/>
          <w:highlight w:val="lightGray"/>
          <w:lang w:val="it-IT"/>
        </w:rPr>
        <w:t>EU/1/13/825/002 90  capsule</w:t>
      </w:r>
    </w:p>
    <w:p w14:paraId="2CC0056D" w14:textId="77777777" w:rsidR="003F1283" w:rsidRPr="00496684" w:rsidRDefault="003F1283" w:rsidP="00376475">
      <w:pPr>
        <w:autoSpaceDE w:val="0"/>
        <w:autoSpaceDN w:val="0"/>
        <w:adjustRightInd w:val="0"/>
        <w:spacing w:after="0" w:line="240" w:lineRule="auto"/>
        <w:rPr>
          <w:rFonts w:ascii="Times New Roman" w:hAnsi="Times New Roman"/>
          <w:lang w:val="it-IT"/>
        </w:rPr>
      </w:pPr>
    </w:p>
    <w:p w14:paraId="5D9CFB0A" w14:textId="77777777" w:rsidR="003F1283" w:rsidRPr="00496684" w:rsidRDefault="003F1283"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496684" w14:paraId="3F2ECCAF" w14:textId="77777777" w:rsidTr="003614BD">
        <w:tc>
          <w:tcPr>
            <w:tcW w:w="9546" w:type="dxa"/>
          </w:tcPr>
          <w:p w14:paraId="6A57A3AB" w14:textId="77777777" w:rsidR="003F1283" w:rsidRPr="00496684" w:rsidRDefault="003F1283" w:rsidP="003614B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13.</w:t>
            </w:r>
            <w:r w:rsidRPr="00496684">
              <w:rPr>
                <w:rFonts w:ascii="Times New Roman" w:hAnsi="Times New Roman"/>
                <w:b/>
                <w:bCs/>
                <w:lang w:val="it-IT"/>
              </w:rPr>
              <w:tab/>
            </w:r>
            <w:r w:rsidR="00E14EFA" w:rsidRPr="00496684">
              <w:rPr>
                <w:rFonts w:ascii="Times New Roman" w:hAnsi="Times New Roman"/>
                <w:b/>
                <w:bCs/>
                <w:lang w:val="it-IT"/>
              </w:rPr>
              <w:t>NUMERO DI LOTTO</w:t>
            </w:r>
          </w:p>
        </w:tc>
      </w:tr>
    </w:tbl>
    <w:p w14:paraId="016F2F31" w14:textId="77777777" w:rsidR="003F1283" w:rsidRPr="00496684" w:rsidRDefault="003F1283" w:rsidP="00376475">
      <w:pPr>
        <w:autoSpaceDE w:val="0"/>
        <w:autoSpaceDN w:val="0"/>
        <w:adjustRightInd w:val="0"/>
        <w:spacing w:after="0" w:line="240" w:lineRule="auto"/>
        <w:rPr>
          <w:rFonts w:ascii="Times New Roman" w:hAnsi="Times New Roman"/>
          <w:lang w:val="it-IT"/>
        </w:rPr>
      </w:pPr>
    </w:p>
    <w:p w14:paraId="21722792" w14:textId="77777777" w:rsidR="003F1283" w:rsidRPr="00496684" w:rsidRDefault="003F1283" w:rsidP="0037647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w:t>
      </w:r>
      <w:r w:rsidR="00E14EFA" w:rsidRPr="00496684">
        <w:rPr>
          <w:rFonts w:ascii="Times New Roman" w:hAnsi="Times New Roman"/>
          <w:lang w:val="it-IT"/>
        </w:rPr>
        <w:t>to</w:t>
      </w:r>
    </w:p>
    <w:p w14:paraId="3364CB6E" w14:textId="77777777" w:rsidR="003F1283" w:rsidRPr="00496684" w:rsidRDefault="003F1283"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496684" w14:paraId="08446048" w14:textId="77777777" w:rsidTr="003614BD">
        <w:tc>
          <w:tcPr>
            <w:tcW w:w="9546" w:type="dxa"/>
          </w:tcPr>
          <w:p w14:paraId="3CDD1390" w14:textId="77777777" w:rsidR="003F1283" w:rsidRPr="00496684" w:rsidRDefault="003F1283" w:rsidP="003614B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14.</w:t>
            </w:r>
            <w:r w:rsidRPr="00496684">
              <w:rPr>
                <w:rFonts w:ascii="Times New Roman" w:hAnsi="Times New Roman"/>
                <w:b/>
                <w:bCs/>
                <w:lang w:val="it-IT"/>
              </w:rPr>
              <w:tab/>
            </w:r>
            <w:r w:rsidR="00E14EFA" w:rsidRPr="00496684">
              <w:rPr>
                <w:rFonts w:ascii="Times New Roman" w:hAnsi="Times New Roman"/>
                <w:b/>
                <w:bCs/>
                <w:lang w:val="it-IT"/>
              </w:rPr>
              <w:t>CONDIZIONE GENERALE DI FORNITURA</w:t>
            </w:r>
          </w:p>
        </w:tc>
      </w:tr>
    </w:tbl>
    <w:p w14:paraId="422E6799" w14:textId="77777777" w:rsidR="003F1283" w:rsidRPr="00496684" w:rsidRDefault="003F1283" w:rsidP="00376475">
      <w:pPr>
        <w:autoSpaceDE w:val="0"/>
        <w:autoSpaceDN w:val="0"/>
        <w:adjustRightInd w:val="0"/>
        <w:spacing w:after="0" w:line="240" w:lineRule="auto"/>
        <w:rPr>
          <w:rFonts w:ascii="Times New Roman" w:hAnsi="Times New Roman"/>
          <w:lang w:val="it-IT"/>
        </w:rPr>
      </w:pPr>
    </w:p>
    <w:p w14:paraId="09493054" w14:textId="77777777" w:rsidR="003F1283" w:rsidRPr="00496684" w:rsidRDefault="003F1283"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496684" w14:paraId="55674ABB" w14:textId="77777777" w:rsidTr="003614BD">
        <w:tc>
          <w:tcPr>
            <w:tcW w:w="9546" w:type="dxa"/>
          </w:tcPr>
          <w:p w14:paraId="57CFAE87" w14:textId="77777777" w:rsidR="003F1283" w:rsidRPr="00496684" w:rsidRDefault="003F1283" w:rsidP="003614BD">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15.</w:t>
            </w:r>
            <w:r w:rsidRPr="00496684">
              <w:rPr>
                <w:rFonts w:ascii="Times New Roman" w:hAnsi="Times New Roman"/>
                <w:b/>
                <w:bCs/>
                <w:lang w:val="it-IT"/>
              </w:rPr>
              <w:tab/>
            </w:r>
            <w:r w:rsidR="00E14EFA" w:rsidRPr="00496684">
              <w:rPr>
                <w:rFonts w:ascii="Times New Roman" w:hAnsi="Times New Roman"/>
                <w:b/>
                <w:bCs/>
                <w:lang w:val="it-IT"/>
              </w:rPr>
              <w:t>ISTRUZIONI PER L’USO</w:t>
            </w:r>
          </w:p>
        </w:tc>
      </w:tr>
    </w:tbl>
    <w:p w14:paraId="76AAD207" w14:textId="77777777" w:rsidR="003F1283" w:rsidRPr="00496684" w:rsidRDefault="003F1283" w:rsidP="00376475">
      <w:pPr>
        <w:autoSpaceDE w:val="0"/>
        <w:autoSpaceDN w:val="0"/>
        <w:adjustRightInd w:val="0"/>
        <w:spacing w:after="0" w:line="240" w:lineRule="auto"/>
        <w:rPr>
          <w:rFonts w:ascii="Times New Roman" w:hAnsi="Times New Roman"/>
          <w:lang w:val="it-IT"/>
        </w:rPr>
      </w:pPr>
    </w:p>
    <w:p w14:paraId="12485E8A" w14:textId="77777777" w:rsidR="003F1283" w:rsidRPr="00496684" w:rsidRDefault="003F1283" w:rsidP="00376475">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F1283" w:rsidRPr="00496684" w14:paraId="58CA9056" w14:textId="77777777" w:rsidTr="003614BD">
        <w:tc>
          <w:tcPr>
            <w:tcW w:w="9546" w:type="dxa"/>
          </w:tcPr>
          <w:p w14:paraId="7D5FA1AE" w14:textId="77777777" w:rsidR="003F1283" w:rsidRPr="00496684" w:rsidRDefault="003F1283" w:rsidP="00262A05">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16.</w:t>
            </w:r>
            <w:r w:rsidRPr="00496684">
              <w:rPr>
                <w:rFonts w:ascii="Times New Roman" w:hAnsi="Times New Roman"/>
                <w:b/>
                <w:bCs/>
                <w:lang w:val="it-IT"/>
              </w:rPr>
              <w:tab/>
            </w:r>
            <w:r w:rsidR="00E14EFA" w:rsidRPr="00496684">
              <w:rPr>
                <w:rFonts w:ascii="Times New Roman" w:hAnsi="Times New Roman"/>
                <w:b/>
                <w:bCs/>
                <w:lang w:val="it-IT"/>
              </w:rPr>
              <w:t>INFORMAZIONI IN BRAILLE</w:t>
            </w:r>
          </w:p>
        </w:tc>
      </w:tr>
    </w:tbl>
    <w:p w14:paraId="6E102475" w14:textId="77777777" w:rsidR="003351C4" w:rsidRPr="00496684" w:rsidRDefault="003351C4" w:rsidP="00262A05">
      <w:pPr>
        <w:keepNext/>
        <w:autoSpaceDE w:val="0"/>
        <w:autoSpaceDN w:val="0"/>
        <w:adjustRightInd w:val="0"/>
        <w:spacing w:after="0" w:line="240" w:lineRule="auto"/>
        <w:rPr>
          <w:rFonts w:ascii="Times New Roman" w:hAnsi="Times New Roman"/>
          <w:lang w:val="it-IT"/>
        </w:rPr>
      </w:pPr>
    </w:p>
    <w:p w14:paraId="7C5387F3" w14:textId="77777777" w:rsidR="003351C4" w:rsidRPr="00496684" w:rsidRDefault="003351C4"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50 mg</w:t>
      </w:r>
    </w:p>
    <w:p w14:paraId="2B936167" w14:textId="77777777" w:rsidR="00EE1F8A" w:rsidRPr="00496684" w:rsidRDefault="00EE1F8A" w:rsidP="003351C4">
      <w:pPr>
        <w:autoSpaceDE w:val="0"/>
        <w:autoSpaceDN w:val="0"/>
        <w:adjustRightInd w:val="0"/>
        <w:spacing w:after="0" w:line="240" w:lineRule="auto"/>
        <w:rPr>
          <w:rFonts w:ascii="Times New Roman" w:hAnsi="Times New Roman"/>
          <w:lang w:val="it-IT"/>
        </w:rPr>
      </w:pPr>
    </w:p>
    <w:p w14:paraId="500C6417" w14:textId="77777777" w:rsidR="0091712F" w:rsidRPr="00496684" w:rsidRDefault="0091712F" w:rsidP="00262A05">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17.      IDENTIFICATIVO UNICO –CODICE A BARRE BIDIMENSIONALE</w:t>
      </w:r>
    </w:p>
    <w:p w14:paraId="06689EA0" w14:textId="77777777" w:rsidR="00C52159" w:rsidRPr="00496684" w:rsidRDefault="00C52159" w:rsidP="00262A05">
      <w:pPr>
        <w:keepNext/>
        <w:suppressAutoHyphens/>
        <w:rPr>
          <w:rFonts w:ascii="Times New Roman" w:hAnsi="Times New Roman"/>
          <w:lang w:val="it-IT"/>
        </w:rPr>
      </w:pPr>
      <w:r w:rsidRPr="00496684">
        <w:rPr>
          <w:rFonts w:ascii="Times New Roman" w:hAnsi="Times New Roman"/>
          <w:shd w:val="pct15" w:color="auto" w:fill="auto"/>
          <w:lang w:val="it-IT"/>
        </w:rPr>
        <w:t>&lt;Codice a barre bidimensionale con identificativo unico incluso.&gt;</w:t>
      </w:r>
    </w:p>
    <w:p w14:paraId="769A128C" w14:textId="77777777" w:rsidR="0091712F" w:rsidRPr="00496684" w:rsidRDefault="0091712F" w:rsidP="0091712F">
      <w:pPr>
        <w:spacing w:line="240" w:lineRule="auto"/>
        <w:rPr>
          <w:b/>
          <w:noProof/>
          <w:lang w:val="it-IT"/>
        </w:rPr>
      </w:pPr>
    </w:p>
    <w:p w14:paraId="0FC68E6E" w14:textId="77777777" w:rsidR="0091712F" w:rsidRPr="00496684" w:rsidRDefault="0091712F" w:rsidP="00262A05">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18.      IDENTIFICATIVO UNICO – DATI LEGGIBILI</w:t>
      </w:r>
    </w:p>
    <w:p w14:paraId="4F52D851" w14:textId="562A2C0D" w:rsidR="00C52159" w:rsidRPr="00496684" w:rsidRDefault="00C52159" w:rsidP="00262A05">
      <w:pPr>
        <w:keepNext/>
        <w:widowControl w:val="0"/>
        <w:tabs>
          <w:tab w:val="left" w:pos="720"/>
        </w:tabs>
        <w:spacing w:after="0" w:line="240" w:lineRule="auto"/>
        <w:rPr>
          <w:rFonts w:ascii="Times New Roman" w:eastAsia="Times New Roman" w:hAnsi="Times New Roman"/>
          <w:lang w:val="it-IT"/>
        </w:rPr>
      </w:pPr>
      <w:r w:rsidRPr="00496684">
        <w:rPr>
          <w:rFonts w:ascii="Times New Roman" w:hAnsi="Times New Roman"/>
          <w:lang w:val="it-IT"/>
        </w:rPr>
        <w:t xml:space="preserve">PC </w:t>
      </w:r>
      <w:r w:rsidRPr="00496684">
        <w:rPr>
          <w:rFonts w:ascii="Times New Roman" w:eastAsia="Times New Roman" w:hAnsi="Times New Roman"/>
          <w:lang w:val="it-IT"/>
        </w:rPr>
        <w:t>{numero}</w:t>
      </w:r>
    </w:p>
    <w:p w14:paraId="38418AC5" w14:textId="3ED63452" w:rsidR="00C52159" w:rsidRPr="00496684" w:rsidRDefault="00C52159" w:rsidP="00262A05">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SN</w:t>
      </w:r>
      <w:r w:rsidR="000A2952">
        <w:rPr>
          <w:rFonts w:ascii="Times New Roman" w:hAnsi="Times New Roman"/>
          <w:lang w:val="it-IT"/>
        </w:rPr>
        <w:t xml:space="preserve"> </w:t>
      </w:r>
      <w:r w:rsidRPr="00496684">
        <w:rPr>
          <w:rFonts w:ascii="Times New Roman" w:eastAsia="Times New Roman" w:hAnsi="Times New Roman"/>
          <w:lang w:val="it-IT"/>
        </w:rPr>
        <w:t>{numero}</w:t>
      </w:r>
    </w:p>
    <w:p w14:paraId="45757E42" w14:textId="3AA2114B" w:rsidR="00C52159" w:rsidRPr="00496684" w:rsidRDefault="00C52159" w:rsidP="00262A05">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 xml:space="preserve">NN </w:t>
      </w:r>
      <w:r w:rsidRPr="00496684">
        <w:rPr>
          <w:rFonts w:ascii="Times New Roman" w:eastAsia="Times New Roman" w:hAnsi="Times New Roman"/>
          <w:lang w:val="it-IT"/>
        </w:rPr>
        <w:t>{numero}</w:t>
      </w:r>
    </w:p>
    <w:p w14:paraId="477989E2" w14:textId="77777777" w:rsidR="003F1283" w:rsidRPr="00496684" w:rsidRDefault="003F1283" w:rsidP="0037647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p w14:paraId="1CAB9020"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71484C9" w14:textId="77777777" w:rsidTr="00DF593A">
        <w:tc>
          <w:tcPr>
            <w:tcW w:w="9546" w:type="dxa"/>
          </w:tcPr>
          <w:p w14:paraId="7CC4DA1D" w14:textId="77777777" w:rsidR="00DF593A" w:rsidRPr="00496684" w:rsidRDefault="00DF593A" w:rsidP="00DF593A">
            <w:pPr>
              <w:shd w:val="clear" w:color="auto" w:fill="FFFFFF"/>
              <w:suppressAutoHyphens/>
              <w:rPr>
                <w:rFonts w:ascii="Times New Roman" w:hAnsi="Times New Roman"/>
                <w:b/>
                <w:bCs/>
                <w:lang w:val="it-IT"/>
              </w:rPr>
            </w:pPr>
            <w:r w:rsidRPr="00496684">
              <w:rPr>
                <w:rFonts w:ascii="Times New Roman" w:hAnsi="Times New Roman"/>
                <w:b/>
                <w:bCs/>
                <w:lang w:val="it-IT"/>
              </w:rPr>
              <w:t xml:space="preserve">INFORMAZIONI DA APPORRE SUL CONFEZIONAMENTO SECONDARIO  </w:t>
            </w:r>
          </w:p>
          <w:p w14:paraId="26F0771C"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CARTONE</w:t>
            </w:r>
          </w:p>
          <w:p w14:paraId="7216284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c>
      </w:tr>
    </w:tbl>
    <w:p w14:paraId="4936EE0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B578386"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6B64BF24" w14:textId="77777777" w:rsidTr="00DF593A">
        <w:tc>
          <w:tcPr>
            <w:tcW w:w="9546" w:type="dxa"/>
          </w:tcPr>
          <w:p w14:paraId="475D8FDC"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1.</w:t>
            </w:r>
            <w:r w:rsidRPr="00496684">
              <w:rPr>
                <w:rFonts w:ascii="Times New Roman" w:hAnsi="Times New Roman"/>
                <w:b/>
                <w:bCs/>
                <w:lang w:val="it-IT"/>
              </w:rPr>
              <w:tab/>
            </w:r>
            <w:r w:rsidRPr="00496684">
              <w:rPr>
                <w:rFonts w:ascii="Times New Roman" w:hAnsi="Times New Roman"/>
                <w:b/>
                <w:lang w:val="it-IT"/>
              </w:rPr>
              <w:t>DENOMINAZIONE DEL MEDICINALE</w:t>
            </w:r>
          </w:p>
        </w:tc>
      </w:tr>
    </w:tbl>
    <w:p w14:paraId="1305A837"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B12FB41"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capsule rigide</w:t>
      </w:r>
    </w:p>
    <w:p w14:paraId="023DCC13" w14:textId="77777777" w:rsidR="00DF593A" w:rsidRPr="00496684" w:rsidRDefault="004C1D13"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DF593A" w:rsidRPr="00496684">
        <w:rPr>
          <w:rFonts w:ascii="Times New Roman" w:hAnsi="Times New Roman"/>
          <w:lang w:val="it-IT"/>
        </w:rPr>
        <w:t>matinib</w:t>
      </w:r>
    </w:p>
    <w:p w14:paraId="17CAB81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70607C1"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CAD9060" w14:textId="77777777" w:rsidTr="00DF593A">
        <w:tc>
          <w:tcPr>
            <w:tcW w:w="9546" w:type="dxa"/>
          </w:tcPr>
          <w:p w14:paraId="1D645214" w14:textId="77777777" w:rsidR="00DF593A" w:rsidRPr="00496684" w:rsidRDefault="00DF593A" w:rsidP="00DF593A">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b/>
                <w:bCs/>
                <w:lang w:val="it-IT"/>
              </w:rPr>
              <w:t>2.</w:t>
            </w:r>
            <w:r w:rsidRPr="00496684">
              <w:rPr>
                <w:rFonts w:ascii="Times New Roman" w:hAnsi="Times New Roman"/>
                <w:b/>
                <w:bCs/>
                <w:lang w:val="it-IT"/>
              </w:rPr>
              <w:tab/>
            </w:r>
            <w:r w:rsidRPr="00496684">
              <w:rPr>
                <w:rFonts w:ascii="Times New Roman" w:hAnsi="Times New Roman"/>
                <w:b/>
                <w:lang w:val="it-IT"/>
              </w:rPr>
              <w:t>COMPOSIZIONE QUALITATIVA E QUANTITATIVA IN TERMINI DI PRINCIPIO(I) ATTIVO(I)</w:t>
            </w:r>
          </w:p>
        </w:tc>
      </w:tr>
    </w:tbl>
    <w:p w14:paraId="198874D1"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2F62369" w14:textId="77777777" w:rsidR="00DF593A" w:rsidRPr="00496684" w:rsidRDefault="00DF593A" w:rsidP="00DF593A">
      <w:pPr>
        <w:pStyle w:val="Text"/>
        <w:widowControl w:val="0"/>
        <w:spacing w:before="0"/>
        <w:rPr>
          <w:sz w:val="22"/>
          <w:szCs w:val="22"/>
          <w:lang w:val="it-IT"/>
        </w:rPr>
      </w:pPr>
      <w:r w:rsidRPr="00496684">
        <w:rPr>
          <w:sz w:val="22"/>
          <w:szCs w:val="22"/>
          <w:lang w:val="it-IT"/>
        </w:rPr>
        <w:t xml:space="preserve">Ogni capsula </w:t>
      </w:r>
      <w:r w:rsidR="00782123" w:rsidRPr="00496684">
        <w:rPr>
          <w:sz w:val="22"/>
          <w:szCs w:val="22"/>
          <w:lang w:val="it-IT"/>
        </w:rPr>
        <w:t xml:space="preserve">rigida </w:t>
      </w:r>
      <w:r w:rsidRPr="00496684">
        <w:rPr>
          <w:sz w:val="22"/>
          <w:szCs w:val="22"/>
          <w:lang w:val="it-IT"/>
        </w:rPr>
        <w:t>contiene 100 mg di imatinib (come mesilato).</w:t>
      </w:r>
    </w:p>
    <w:p w14:paraId="57B9306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684027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C113F45" w14:textId="77777777" w:rsidTr="00DF593A">
        <w:tc>
          <w:tcPr>
            <w:tcW w:w="9546" w:type="dxa"/>
          </w:tcPr>
          <w:p w14:paraId="41607264"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3.</w:t>
            </w:r>
            <w:r w:rsidRPr="00496684">
              <w:rPr>
                <w:rFonts w:ascii="Times New Roman" w:hAnsi="Times New Roman"/>
                <w:b/>
                <w:bCs/>
                <w:lang w:val="it-IT"/>
              </w:rPr>
              <w:tab/>
            </w:r>
            <w:r w:rsidRPr="00496684">
              <w:rPr>
                <w:rFonts w:ascii="Times New Roman" w:hAnsi="Times New Roman"/>
                <w:b/>
                <w:lang w:val="it-IT"/>
              </w:rPr>
              <w:t>ELENCO DEGLI ECCIPIENTI</w:t>
            </w:r>
          </w:p>
        </w:tc>
      </w:tr>
    </w:tbl>
    <w:p w14:paraId="2CB504D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787B6F3"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E90E660" w14:textId="77777777" w:rsidTr="00DF593A">
        <w:tc>
          <w:tcPr>
            <w:tcW w:w="9546" w:type="dxa"/>
          </w:tcPr>
          <w:p w14:paraId="6C825201"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4.</w:t>
            </w:r>
            <w:r w:rsidRPr="00496684">
              <w:rPr>
                <w:rFonts w:ascii="Times New Roman" w:hAnsi="Times New Roman"/>
                <w:b/>
                <w:bCs/>
                <w:lang w:val="it-IT"/>
              </w:rPr>
              <w:tab/>
            </w:r>
            <w:r w:rsidRPr="00496684">
              <w:rPr>
                <w:rFonts w:ascii="Times New Roman" w:hAnsi="Times New Roman"/>
                <w:b/>
                <w:lang w:val="it-IT"/>
              </w:rPr>
              <w:t>FORMA FARMACEUTICA E CONTENUTO</w:t>
            </w:r>
          </w:p>
        </w:tc>
      </w:tr>
    </w:tbl>
    <w:p w14:paraId="77E2CE02"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3061A76" w14:textId="77777777" w:rsidR="00DF593A" w:rsidRPr="00496684" w:rsidRDefault="00DF593A" w:rsidP="00DF593A">
      <w:pPr>
        <w:pStyle w:val="KeinLeerraum"/>
        <w:rPr>
          <w:rFonts w:ascii="Times New Roman" w:hAnsi="Times New Roman"/>
          <w:lang w:val="it-IT"/>
        </w:rPr>
      </w:pPr>
    </w:p>
    <w:p w14:paraId="2C3204E6" w14:textId="77777777" w:rsidR="00DF593A" w:rsidRPr="00496684" w:rsidRDefault="00DF593A" w:rsidP="00DF593A">
      <w:pPr>
        <w:pStyle w:val="KeinLeerraum"/>
        <w:rPr>
          <w:rFonts w:ascii="Times New Roman" w:hAnsi="Times New Roman"/>
          <w:lang w:val="it-IT"/>
        </w:rPr>
      </w:pPr>
      <w:r w:rsidRPr="00496684">
        <w:rPr>
          <w:rFonts w:ascii="Times New Roman" w:hAnsi="Times New Roman"/>
          <w:lang w:val="it-IT"/>
        </w:rPr>
        <w:t>24 capsule</w:t>
      </w:r>
      <w:r w:rsidR="005553D4" w:rsidRPr="00496684">
        <w:rPr>
          <w:rFonts w:ascii="Times New Roman" w:hAnsi="Times New Roman"/>
          <w:lang w:val="it-IT"/>
        </w:rPr>
        <w:t xml:space="preserve"> rigide</w:t>
      </w:r>
    </w:p>
    <w:p w14:paraId="15F2B1D7" w14:textId="77777777" w:rsidR="00DF593A" w:rsidRPr="00496684" w:rsidRDefault="00DF593A" w:rsidP="00DF593A">
      <w:pPr>
        <w:pStyle w:val="KeinLeerraum"/>
        <w:rPr>
          <w:rFonts w:ascii="Times New Roman" w:hAnsi="Times New Roman"/>
          <w:highlight w:val="lightGray"/>
          <w:lang w:val="it-IT"/>
        </w:rPr>
      </w:pPr>
      <w:r w:rsidRPr="00496684">
        <w:rPr>
          <w:rFonts w:ascii="Times New Roman" w:hAnsi="Times New Roman"/>
          <w:highlight w:val="lightGray"/>
          <w:lang w:val="it-IT"/>
        </w:rPr>
        <w:t>48 capsule</w:t>
      </w:r>
      <w:r w:rsidR="005553D4" w:rsidRPr="00496684">
        <w:rPr>
          <w:rFonts w:ascii="Times New Roman" w:hAnsi="Times New Roman"/>
          <w:lang w:val="it-IT"/>
        </w:rPr>
        <w:t xml:space="preserve"> rigide</w:t>
      </w:r>
    </w:p>
    <w:p w14:paraId="1A9D471F" w14:textId="77777777" w:rsidR="007E6EE9" w:rsidRPr="00496684" w:rsidRDefault="007E6EE9" w:rsidP="00DF593A">
      <w:pPr>
        <w:pStyle w:val="KeinLeerraum"/>
        <w:rPr>
          <w:rFonts w:ascii="Times New Roman" w:hAnsi="Times New Roman"/>
          <w:highlight w:val="lightGray"/>
          <w:lang w:val="it-IT"/>
        </w:rPr>
      </w:pPr>
      <w:r w:rsidRPr="00496684">
        <w:rPr>
          <w:rFonts w:ascii="Times New Roman" w:hAnsi="Times New Roman"/>
          <w:highlight w:val="lightGray"/>
          <w:lang w:val="it-IT"/>
        </w:rPr>
        <w:t>60 capsule</w:t>
      </w:r>
      <w:r w:rsidR="005553D4" w:rsidRPr="00496684">
        <w:rPr>
          <w:rFonts w:ascii="Times New Roman" w:hAnsi="Times New Roman"/>
          <w:lang w:val="it-IT"/>
        </w:rPr>
        <w:t xml:space="preserve"> rigide</w:t>
      </w:r>
    </w:p>
    <w:p w14:paraId="1EBE24B7" w14:textId="77777777" w:rsidR="00DF593A" w:rsidRPr="00496684" w:rsidRDefault="00DF593A" w:rsidP="00DF593A">
      <w:pPr>
        <w:pStyle w:val="KeinLeerraum"/>
        <w:rPr>
          <w:rFonts w:ascii="Times New Roman" w:hAnsi="Times New Roman"/>
          <w:highlight w:val="lightGray"/>
          <w:lang w:val="it-IT"/>
        </w:rPr>
      </w:pPr>
      <w:r w:rsidRPr="00496684">
        <w:rPr>
          <w:rFonts w:ascii="Times New Roman" w:hAnsi="Times New Roman"/>
          <w:highlight w:val="lightGray"/>
          <w:lang w:val="it-IT"/>
        </w:rPr>
        <w:t>96 capsule</w:t>
      </w:r>
      <w:r w:rsidR="005553D4" w:rsidRPr="00496684">
        <w:rPr>
          <w:rFonts w:ascii="Times New Roman" w:hAnsi="Times New Roman"/>
          <w:lang w:val="it-IT"/>
        </w:rPr>
        <w:t xml:space="preserve"> rigide</w:t>
      </w:r>
    </w:p>
    <w:p w14:paraId="7F9339A6" w14:textId="77777777" w:rsidR="00DF593A" w:rsidRPr="00496684" w:rsidRDefault="00DF593A" w:rsidP="00DF593A">
      <w:pPr>
        <w:pStyle w:val="KeinLeerraum"/>
        <w:rPr>
          <w:rFonts w:ascii="Times New Roman" w:hAnsi="Times New Roman"/>
          <w:highlight w:val="lightGray"/>
          <w:lang w:val="it-IT"/>
        </w:rPr>
      </w:pPr>
      <w:r w:rsidRPr="00496684">
        <w:rPr>
          <w:rFonts w:ascii="Times New Roman" w:hAnsi="Times New Roman"/>
          <w:highlight w:val="lightGray"/>
          <w:lang w:val="it-IT"/>
        </w:rPr>
        <w:t>120 capsule</w:t>
      </w:r>
      <w:r w:rsidR="005553D4" w:rsidRPr="00496684">
        <w:rPr>
          <w:rFonts w:ascii="Times New Roman" w:hAnsi="Times New Roman"/>
          <w:lang w:val="it-IT"/>
        </w:rPr>
        <w:t xml:space="preserve"> rigide</w:t>
      </w:r>
    </w:p>
    <w:p w14:paraId="4E1785D9" w14:textId="77777777" w:rsidR="00DF593A" w:rsidRPr="00496684" w:rsidRDefault="00DF593A" w:rsidP="00DF593A">
      <w:pPr>
        <w:pStyle w:val="KeinLeerraum"/>
        <w:rPr>
          <w:rFonts w:ascii="Times New Roman" w:hAnsi="Times New Roman"/>
          <w:lang w:val="it-IT"/>
        </w:rPr>
      </w:pPr>
      <w:r w:rsidRPr="00496684">
        <w:rPr>
          <w:rFonts w:ascii="Times New Roman" w:hAnsi="Times New Roman"/>
          <w:highlight w:val="lightGray"/>
          <w:lang w:val="it-IT"/>
        </w:rPr>
        <w:t>180 capsule</w:t>
      </w:r>
      <w:r w:rsidR="005553D4" w:rsidRPr="00496684">
        <w:rPr>
          <w:rFonts w:ascii="Times New Roman" w:hAnsi="Times New Roman"/>
          <w:lang w:val="it-IT"/>
        </w:rPr>
        <w:t xml:space="preserve"> rigide</w:t>
      </w:r>
    </w:p>
    <w:p w14:paraId="7776A913"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E41368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1D4B37DC" w14:textId="77777777" w:rsidTr="00DF593A">
        <w:tc>
          <w:tcPr>
            <w:tcW w:w="9546" w:type="dxa"/>
          </w:tcPr>
          <w:p w14:paraId="46D610B1" w14:textId="77777777" w:rsidR="00DF593A" w:rsidRPr="00496684" w:rsidRDefault="00DF593A" w:rsidP="00262A05">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t>MODO E VIA(E) DI SOMMINISTRAZIONE</w:t>
            </w:r>
          </w:p>
        </w:tc>
      </w:tr>
    </w:tbl>
    <w:p w14:paraId="69AAB96D"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p>
    <w:p w14:paraId="559887E0"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Uso orale.</w:t>
      </w:r>
    </w:p>
    <w:p w14:paraId="57A19130" w14:textId="77777777" w:rsidR="00DF593A" w:rsidRPr="00496684" w:rsidRDefault="00DF593A" w:rsidP="00262A05">
      <w:pPr>
        <w:keepNext/>
        <w:suppressAutoHyphens/>
        <w:rPr>
          <w:rFonts w:ascii="Times New Roman" w:hAnsi="Times New Roman"/>
          <w:lang w:val="it-IT"/>
        </w:rPr>
      </w:pPr>
      <w:r w:rsidRPr="00496684">
        <w:rPr>
          <w:rFonts w:ascii="Times New Roman" w:hAnsi="Times New Roman"/>
          <w:lang w:val="it-IT"/>
        </w:rPr>
        <w:t>Leggere il foglio illustrativo prima dell’uso.</w:t>
      </w:r>
    </w:p>
    <w:p w14:paraId="6C4BBF18"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7554BBE" w14:textId="77777777" w:rsidTr="00DF593A">
        <w:tc>
          <w:tcPr>
            <w:tcW w:w="9546" w:type="dxa"/>
          </w:tcPr>
          <w:p w14:paraId="30EEE1B3" w14:textId="77777777" w:rsidR="00DF593A" w:rsidRPr="00496684" w:rsidRDefault="00DF593A" w:rsidP="00262A05">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t>AVVERTENZA PARTICOLARE CHE PRESCRIVA DI TENERE IL MEDICINALE FUORI DALLA VISTA E DALLA PORTATA DEI BAMBINI</w:t>
            </w:r>
          </w:p>
        </w:tc>
      </w:tr>
    </w:tbl>
    <w:p w14:paraId="7E47AF4E"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p>
    <w:p w14:paraId="1F1D4A22" w14:textId="77777777" w:rsidR="00DF593A" w:rsidRPr="00496684" w:rsidRDefault="00DF593A" w:rsidP="00262A05">
      <w:pPr>
        <w:keepNext/>
        <w:widowControl w:val="0"/>
        <w:rPr>
          <w:rFonts w:ascii="Times New Roman" w:hAnsi="Times New Roman"/>
          <w:lang w:val="it-IT"/>
        </w:rPr>
      </w:pPr>
      <w:r w:rsidRPr="00496684">
        <w:rPr>
          <w:rFonts w:ascii="Times New Roman" w:hAnsi="Times New Roman"/>
          <w:lang w:val="it-IT"/>
        </w:rPr>
        <w:t>Tenere fuori dalla vista e dalla portata dei bambini.</w:t>
      </w:r>
    </w:p>
    <w:p w14:paraId="41B1CB80"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01C35909" w14:textId="77777777" w:rsidTr="00DF593A">
        <w:tc>
          <w:tcPr>
            <w:tcW w:w="9546" w:type="dxa"/>
          </w:tcPr>
          <w:p w14:paraId="5CD8BC79"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7.</w:t>
            </w:r>
            <w:r w:rsidRPr="00496684">
              <w:rPr>
                <w:rFonts w:ascii="Times New Roman" w:hAnsi="Times New Roman"/>
                <w:b/>
                <w:bCs/>
                <w:lang w:val="it-IT"/>
              </w:rPr>
              <w:tab/>
            </w:r>
            <w:r w:rsidRPr="00496684">
              <w:rPr>
                <w:rFonts w:ascii="Times New Roman" w:hAnsi="Times New Roman"/>
                <w:b/>
                <w:lang w:val="it-IT"/>
              </w:rPr>
              <w:t>ALTRA(E) AVVERTENZA(E) PARTICOLARE(I), SE NECESSARIO</w:t>
            </w:r>
          </w:p>
        </w:tc>
      </w:tr>
    </w:tbl>
    <w:p w14:paraId="3E3B5109"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p>
    <w:p w14:paraId="04A0AAE8"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Utilizzare solo come prescritto dal medico</w:t>
      </w:r>
    </w:p>
    <w:p w14:paraId="22C9283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A18F76A" w14:textId="77777777" w:rsidR="0020671B" w:rsidRPr="00496684" w:rsidRDefault="0020671B"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685F9CF1" w14:textId="77777777" w:rsidTr="00DF593A">
        <w:tc>
          <w:tcPr>
            <w:tcW w:w="9546" w:type="dxa"/>
          </w:tcPr>
          <w:p w14:paraId="4AD855C7" w14:textId="77777777" w:rsidR="00DF593A" w:rsidRPr="00496684" w:rsidRDefault="00DF593A" w:rsidP="0056541C">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8.</w:t>
            </w:r>
            <w:r w:rsidRPr="00496684">
              <w:rPr>
                <w:rFonts w:ascii="Times New Roman" w:hAnsi="Times New Roman"/>
                <w:b/>
                <w:bCs/>
                <w:lang w:val="it-IT"/>
              </w:rPr>
              <w:tab/>
              <w:t>DATA DI SCADENZA</w:t>
            </w:r>
          </w:p>
        </w:tc>
      </w:tr>
    </w:tbl>
    <w:p w14:paraId="3714A7BD" w14:textId="77777777" w:rsidR="00DF593A" w:rsidRPr="00496684" w:rsidRDefault="00DF593A" w:rsidP="0056541C">
      <w:pPr>
        <w:keepNext/>
        <w:autoSpaceDE w:val="0"/>
        <w:autoSpaceDN w:val="0"/>
        <w:adjustRightInd w:val="0"/>
        <w:spacing w:after="0" w:line="240" w:lineRule="auto"/>
        <w:rPr>
          <w:rFonts w:ascii="Times New Roman" w:hAnsi="Times New Roman"/>
          <w:lang w:val="it-IT"/>
        </w:rPr>
      </w:pPr>
    </w:p>
    <w:p w14:paraId="2E73BD80" w14:textId="77777777" w:rsidR="00DF593A" w:rsidRPr="00496684" w:rsidRDefault="00DF593A" w:rsidP="0056541C">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2939A80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3F0B851" w14:textId="77777777" w:rsidR="0020671B" w:rsidRPr="00496684" w:rsidRDefault="0020671B"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C97D128" w14:textId="77777777" w:rsidTr="00DF593A">
        <w:tc>
          <w:tcPr>
            <w:tcW w:w="9546" w:type="dxa"/>
          </w:tcPr>
          <w:p w14:paraId="64DBBABD" w14:textId="77777777" w:rsidR="00DF593A" w:rsidRPr="00496684" w:rsidRDefault="00DF593A" w:rsidP="00262A05">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9.</w:t>
            </w:r>
            <w:r w:rsidRPr="00496684">
              <w:rPr>
                <w:rFonts w:ascii="Times New Roman" w:hAnsi="Times New Roman"/>
                <w:b/>
                <w:bCs/>
                <w:lang w:val="it-IT"/>
              </w:rPr>
              <w:tab/>
              <w:t>PRECAUZIONI PARTICOLARI PER LA CONSERVAZIONE</w:t>
            </w:r>
          </w:p>
        </w:tc>
      </w:tr>
    </w:tbl>
    <w:p w14:paraId="473FC5F8" w14:textId="77777777" w:rsidR="0020671B" w:rsidRPr="00496684" w:rsidRDefault="0020671B" w:rsidP="00262A05">
      <w:pPr>
        <w:pStyle w:val="Text"/>
        <w:keepNext/>
        <w:widowControl w:val="0"/>
        <w:spacing w:before="0"/>
        <w:jc w:val="left"/>
        <w:rPr>
          <w:sz w:val="22"/>
          <w:szCs w:val="22"/>
          <w:lang w:val="it-IT"/>
        </w:rPr>
      </w:pPr>
    </w:p>
    <w:p w14:paraId="749A9E25" w14:textId="77777777" w:rsidR="00DF593A" w:rsidRPr="00496684" w:rsidRDefault="00DF593A" w:rsidP="00262A05">
      <w:pPr>
        <w:pStyle w:val="Text"/>
        <w:keepNext/>
        <w:widowControl w:val="0"/>
        <w:spacing w:before="0"/>
        <w:jc w:val="left"/>
        <w:rPr>
          <w:sz w:val="22"/>
          <w:szCs w:val="22"/>
          <w:lang w:val="it-IT"/>
        </w:rPr>
      </w:pPr>
      <w:r w:rsidRPr="00496684">
        <w:rPr>
          <w:sz w:val="22"/>
          <w:szCs w:val="22"/>
          <w:lang w:val="it-IT"/>
        </w:rPr>
        <w:t xml:space="preserve">Non conservare a temperatura superiore ai </w:t>
      </w:r>
      <w:r w:rsidR="00804764" w:rsidRPr="00496684">
        <w:rPr>
          <w:sz w:val="22"/>
          <w:szCs w:val="22"/>
          <w:lang w:val="it-IT"/>
        </w:rPr>
        <w:t>25</w:t>
      </w:r>
      <w:r w:rsidRPr="00496684">
        <w:rPr>
          <w:sz w:val="22"/>
          <w:szCs w:val="22"/>
          <w:lang w:val="it-IT"/>
        </w:rPr>
        <w:sym w:font="Symbol" w:char="F0B0"/>
      </w:r>
      <w:r w:rsidRPr="00496684">
        <w:rPr>
          <w:sz w:val="22"/>
          <w:szCs w:val="22"/>
          <w:lang w:val="it-IT"/>
        </w:rPr>
        <w:t xml:space="preserve">C. </w:t>
      </w:r>
    </w:p>
    <w:p w14:paraId="6AB1F696" w14:textId="77777777" w:rsidR="00DF593A" w:rsidRPr="00496684" w:rsidRDefault="00DF593A" w:rsidP="00262A05">
      <w:pPr>
        <w:pStyle w:val="Text"/>
        <w:keepNext/>
        <w:widowControl w:val="0"/>
        <w:spacing w:before="0"/>
        <w:jc w:val="left"/>
        <w:rPr>
          <w:sz w:val="22"/>
          <w:szCs w:val="22"/>
          <w:lang w:val="it-IT"/>
        </w:rPr>
      </w:pPr>
      <w:r w:rsidRPr="00496684">
        <w:rPr>
          <w:sz w:val="22"/>
          <w:szCs w:val="22"/>
          <w:lang w:val="it-IT"/>
        </w:rPr>
        <w:t>Conservare nella confezione originale per proteggere il medicinale dall’umidità.</w:t>
      </w:r>
    </w:p>
    <w:p w14:paraId="484DD027"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6C37451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0BB7D00A" w14:textId="77777777" w:rsidTr="00DF593A">
        <w:tc>
          <w:tcPr>
            <w:tcW w:w="9546" w:type="dxa"/>
          </w:tcPr>
          <w:p w14:paraId="1F61F319" w14:textId="77777777" w:rsidR="00DF593A" w:rsidRPr="00496684" w:rsidRDefault="00DF593A" w:rsidP="00262A05">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10.</w:t>
            </w:r>
            <w:r w:rsidRPr="00496684">
              <w:rPr>
                <w:rFonts w:ascii="Times New Roman" w:hAnsi="Times New Roman"/>
                <w:b/>
                <w:bCs/>
                <w:lang w:val="it-IT"/>
              </w:rPr>
              <w:tab/>
              <w:t>PRECAUZIONI PARTICOLARI PER LO SMALTIMENTO DEL MEDICINALE NON UTILIZZATO O DEI RIFIUTI DERIVATI DA TALE MEDICINALE, SE NECESSARIO</w:t>
            </w:r>
          </w:p>
        </w:tc>
      </w:tr>
    </w:tbl>
    <w:p w14:paraId="25B4CDD3"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p>
    <w:p w14:paraId="2448E85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42D7B825" w14:textId="77777777" w:rsidTr="00DF593A">
        <w:tc>
          <w:tcPr>
            <w:tcW w:w="9546" w:type="dxa"/>
          </w:tcPr>
          <w:p w14:paraId="1C06903A"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11.</w:t>
            </w:r>
            <w:r w:rsidRPr="00496684">
              <w:rPr>
                <w:rFonts w:ascii="Times New Roman" w:hAnsi="Times New Roman"/>
                <w:b/>
                <w:bCs/>
                <w:lang w:val="it-IT"/>
              </w:rPr>
              <w:tab/>
              <w:t>NOME E INDIRIZZO DEL TITOLARE DELL’AUTORIZZAZIONE ALL’IMMISSIONE IN COMMERCIO</w:t>
            </w:r>
          </w:p>
        </w:tc>
      </w:tr>
    </w:tbl>
    <w:p w14:paraId="68C02A52"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F24858D"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27242C12" w14:textId="77777777" w:rsidR="00DF593A" w:rsidRPr="00496684" w:rsidRDefault="00782123"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220 </w:t>
      </w:r>
      <w:r w:rsidR="00DF593A" w:rsidRPr="00496684">
        <w:rPr>
          <w:rFonts w:ascii="Times New Roman" w:hAnsi="Times New Roman"/>
          <w:lang w:val="it-IT"/>
        </w:rPr>
        <w:t>Hafnarfjörður</w:t>
      </w:r>
    </w:p>
    <w:p w14:paraId="31BB6AB5"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7DF9761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6635715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422366A3" w14:textId="77777777" w:rsidTr="00DF593A">
        <w:tc>
          <w:tcPr>
            <w:tcW w:w="9546" w:type="dxa"/>
          </w:tcPr>
          <w:p w14:paraId="2B499D47"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12.</w:t>
            </w:r>
            <w:r w:rsidRPr="00496684">
              <w:rPr>
                <w:rFonts w:ascii="Times New Roman" w:hAnsi="Times New Roman"/>
                <w:b/>
                <w:bCs/>
                <w:lang w:val="it-IT"/>
              </w:rPr>
              <w:tab/>
              <w:t>NUMERO(I) DELL’AUTORIZZAZIONE ALL’IMMISSIONE IN COMMERCIO</w:t>
            </w:r>
          </w:p>
        </w:tc>
      </w:tr>
    </w:tbl>
    <w:p w14:paraId="63255DB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B8A3CC2" w14:textId="77777777" w:rsidR="00766B31" w:rsidRPr="00666899" w:rsidRDefault="004C7EE6" w:rsidP="00766B31">
      <w:pPr>
        <w:autoSpaceDE w:val="0"/>
        <w:autoSpaceDN w:val="0"/>
        <w:adjustRightInd w:val="0"/>
        <w:spacing w:after="0" w:line="240" w:lineRule="auto"/>
        <w:rPr>
          <w:rFonts w:ascii="Times New Roman" w:hAnsi="Times New Roman"/>
          <w:highlight w:val="lightGray"/>
          <w:lang w:val="fr-FR"/>
        </w:rPr>
      </w:pPr>
      <w:r w:rsidRPr="00666899">
        <w:rPr>
          <w:rFonts w:ascii="Times New Roman" w:hAnsi="Times New Roman"/>
          <w:lang w:val="fr-FR"/>
        </w:rPr>
        <w:t xml:space="preserve">EU/1/13/825/003 </w:t>
      </w:r>
      <w:r w:rsidRPr="00666899">
        <w:rPr>
          <w:rFonts w:ascii="Times New Roman" w:hAnsi="Times New Roman"/>
          <w:highlight w:val="lightGray"/>
          <w:lang w:val="fr-FR"/>
        </w:rPr>
        <w:t>24 capsule</w:t>
      </w:r>
    </w:p>
    <w:p w14:paraId="7149A62E" w14:textId="77777777" w:rsidR="00766B31" w:rsidRPr="00666899" w:rsidRDefault="004C7EE6" w:rsidP="00766B31">
      <w:pPr>
        <w:autoSpaceDE w:val="0"/>
        <w:autoSpaceDN w:val="0"/>
        <w:adjustRightInd w:val="0"/>
        <w:spacing w:after="0" w:line="240" w:lineRule="auto"/>
        <w:rPr>
          <w:rFonts w:ascii="Times New Roman" w:hAnsi="Times New Roman"/>
          <w:highlight w:val="lightGray"/>
          <w:lang w:val="fr-FR"/>
        </w:rPr>
      </w:pPr>
      <w:r w:rsidRPr="00666899">
        <w:rPr>
          <w:rFonts w:ascii="Times New Roman" w:hAnsi="Times New Roman"/>
          <w:highlight w:val="lightGray"/>
          <w:lang w:val="fr-FR"/>
        </w:rPr>
        <w:t>EU/1/13/825/004 48 capsule</w:t>
      </w:r>
    </w:p>
    <w:p w14:paraId="31792C65" w14:textId="77777777" w:rsidR="007E6EE9" w:rsidRPr="00666899" w:rsidRDefault="004C7EE6" w:rsidP="00766B31">
      <w:pPr>
        <w:autoSpaceDE w:val="0"/>
        <w:autoSpaceDN w:val="0"/>
        <w:adjustRightInd w:val="0"/>
        <w:spacing w:after="0" w:line="240" w:lineRule="auto"/>
        <w:rPr>
          <w:rFonts w:ascii="Times New Roman" w:hAnsi="Times New Roman"/>
          <w:highlight w:val="lightGray"/>
          <w:lang w:val="fr-FR"/>
        </w:rPr>
      </w:pPr>
      <w:r w:rsidRPr="00666899">
        <w:rPr>
          <w:rFonts w:ascii="Times New Roman" w:hAnsi="Times New Roman"/>
          <w:highlight w:val="lightGray"/>
          <w:lang w:val="fr-FR"/>
        </w:rPr>
        <w:t>EU/1/13/825/019 60 capsule</w:t>
      </w:r>
    </w:p>
    <w:p w14:paraId="10A8F7EF" w14:textId="77777777" w:rsidR="00766B31" w:rsidRPr="00666899" w:rsidRDefault="004C7EE6" w:rsidP="00766B31">
      <w:pPr>
        <w:autoSpaceDE w:val="0"/>
        <w:autoSpaceDN w:val="0"/>
        <w:adjustRightInd w:val="0"/>
        <w:spacing w:after="0" w:line="240" w:lineRule="auto"/>
        <w:rPr>
          <w:rFonts w:ascii="Times New Roman" w:hAnsi="Times New Roman"/>
          <w:highlight w:val="lightGray"/>
          <w:lang w:val="fr-FR"/>
        </w:rPr>
      </w:pPr>
      <w:r w:rsidRPr="00666899">
        <w:rPr>
          <w:rFonts w:ascii="Times New Roman" w:hAnsi="Times New Roman"/>
          <w:highlight w:val="lightGray"/>
          <w:lang w:val="fr-FR"/>
        </w:rPr>
        <w:t>EU/1/13/825/005 96 capsule</w:t>
      </w:r>
    </w:p>
    <w:p w14:paraId="3D3C4C1D" w14:textId="77777777" w:rsidR="00766B31" w:rsidRPr="00666899" w:rsidRDefault="00C51644" w:rsidP="00766B31">
      <w:pPr>
        <w:autoSpaceDE w:val="0"/>
        <w:autoSpaceDN w:val="0"/>
        <w:adjustRightInd w:val="0"/>
        <w:spacing w:after="0" w:line="240" w:lineRule="auto"/>
        <w:rPr>
          <w:rFonts w:ascii="Times New Roman" w:hAnsi="Times New Roman"/>
          <w:highlight w:val="lightGray"/>
          <w:lang w:val="fr-FR"/>
        </w:rPr>
      </w:pPr>
      <w:r w:rsidRPr="00666899">
        <w:rPr>
          <w:rFonts w:ascii="Times New Roman" w:hAnsi="Times New Roman"/>
          <w:highlight w:val="lightGray"/>
          <w:lang w:val="fr-FR"/>
        </w:rPr>
        <w:t>EU/1/13/825/006 120 cap</w:t>
      </w:r>
      <w:r w:rsidR="008A774D" w:rsidRPr="00666899">
        <w:rPr>
          <w:rFonts w:ascii="Times New Roman" w:hAnsi="Times New Roman"/>
          <w:highlight w:val="lightGray"/>
          <w:lang w:val="fr-FR"/>
        </w:rPr>
        <w:t>sule</w:t>
      </w:r>
    </w:p>
    <w:p w14:paraId="4D40C887" w14:textId="77777777" w:rsidR="00DF593A" w:rsidRPr="00666899" w:rsidRDefault="00766B31" w:rsidP="00766B31">
      <w:pPr>
        <w:autoSpaceDE w:val="0"/>
        <w:autoSpaceDN w:val="0"/>
        <w:adjustRightInd w:val="0"/>
        <w:spacing w:after="0" w:line="240" w:lineRule="auto"/>
        <w:rPr>
          <w:rFonts w:ascii="Times New Roman" w:hAnsi="Times New Roman"/>
          <w:lang w:val="fr-FR"/>
        </w:rPr>
      </w:pPr>
      <w:r w:rsidRPr="00666899">
        <w:rPr>
          <w:rFonts w:ascii="Times New Roman" w:hAnsi="Times New Roman"/>
          <w:highlight w:val="lightGray"/>
          <w:lang w:val="fr-FR"/>
        </w:rPr>
        <w:t>EU/1/13/825/007 180 cap</w:t>
      </w:r>
      <w:r w:rsidR="008A774D" w:rsidRPr="00666899">
        <w:rPr>
          <w:rFonts w:ascii="Times New Roman" w:hAnsi="Times New Roman"/>
          <w:highlight w:val="lightGray"/>
          <w:lang w:val="fr-FR"/>
        </w:rPr>
        <w:t>sule</w:t>
      </w:r>
    </w:p>
    <w:p w14:paraId="4959D4A2" w14:textId="77777777" w:rsidR="00DF593A" w:rsidRPr="00666899" w:rsidRDefault="00DF593A" w:rsidP="00DF593A">
      <w:pPr>
        <w:autoSpaceDE w:val="0"/>
        <w:autoSpaceDN w:val="0"/>
        <w:adjustRightInd w:val="0"/>
        <w:spacing w:after="0" w:line="240" w:lineRule="auto"/>
        <w:rPr>
          <w:rFonts w:ascii="Times New Roman" w:hAnsi="Times New Roman"/>
          <w:lang w:val="fr-FR"/>
        </w:rPr>
      </w:pPr>
    </w:p>
    <w:p w14:paraId="163F32C8" w14:textId="77777777" w:rsidR="00DF593A" w:rsidRPr="00666899" w:rsidRDefault="00DF593A" w:rsidP="00DF593A">
      <w:pPr>
        <w:autoSpaceDE w:val="0"/>
        <w:autoSpaceDN w:val="0"/>
        <w:adjustRightInd w:val="0"/>
        <w:spacing w:after="0" w:line="240" w:lineRule="auto"/>
        <w:rPr>
          <w:rFonts w:ascii="Times New Roman" w:hAnsi="Times New Roman"/>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3C43CC4B" w14:textId="77777777" w:rsidTr="00DF593A">
        <w:tc>
          <w:tcPr>
            <w:tcW w:w="9546" w:type="dxa"/>
          </w:tcPr>
          <w:p w14:paraId="118BD3AA"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13.</w:t>
            </w:r>
            <w:r w:rsidRPr="00496684">
              <w:rPr>
                <w:rFonts w:ascii="Times New Roman" w:hAnsi="Times New Roman"/>
                <w:b/>
                <w:bCs/>
                <w:lang w:val="it-IT"/>
              </w:rPr>
              <w:tab/>
              <w:t>NUMERO DI LOTTO</w:t>
            </w:r>
          </w:p>
        </w:tc>
      </w:tr>
    </w:tbl>
    <w:p w14:paraId="1001212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662A393"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Lotto</w:t>
      </w:r>
    </w:p>
    <w:p w14:paraId="612A0B47"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4FF8A92" w14:textId="77777777" w:rsidR="0020671B" w:rsidRPr="00496684" w:rsidRDefault="0020671B"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4777F1BB" w14:textId="77777777" w:rsidTr="00DF593A">
        <w:tc>
          <w:tcPr>
            <w:tcW w:w="9546" w:type="dxa"/>
          </w:tcPr>
          <w:p w14:paraId="7A73CC77"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14.</w:t>
            </w:r>
            <w:r w:rsidRPr="00496684">
              <w:rPr>
                <w:rFonts w:ascii="Times New Roman" w:hAnsi="Times New Roman"/>
                <w:b/>
                <w:bCs/>
                <w:lang w:val="it-IT"/>
              </w:rPr>
              <w:tab/>
              <w:t>CONDIZIONE GENERALE DI FORNITURA</w:t>
            </w:r>
          </w:p>
        </w:tc>
      </w:tr>
    </w:tbl>
    <w:p w14:paraId="5F81808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62D9777"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693C100" w14:textId="77777777" w:rsidTr="00DF593A">
        <w:tc>
          <w:tcPr>
            <w:tcW w:w="9546" w:type="dxa"/>
          </w:tcPr>
          <w:p w14:paraId="1E185579" w14:textId="77777777" w:rsidR="00DF593A" w:rsidRPr="00496684" w:rsidRDefault="00DF593A" w:rsidP="00262A05">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15.</w:t>
            </w:r>
            <w:r w:rsidRPr="00496684">
              <w:rPr>
                <w:rFonts w:ascii="Times New Roman" w:hAnsi="Times New Roman"/>
                <w:b/>
                <w:bCs/>
                <w:lang w:val="it-IT"/>
              </w:rPr>
              <w:tab/>
              <w:t>ISTRUZIONI PER L’USO</w:t>
            </w:r>
          </w:p>
        </w:tc>
      </w:tr>
    </w:tbl>
    <w:p w14:paraId="0D5FDFC4"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p>
    <w:p w14:paraId="32180F9C"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1498759" w14:textId="77777777" w:rsidTr="00DF593A">
        <w:tc>
          <w:tcPr>
            <w:tcW w:w="9546" w:type="dxa"/>
          </w:tcPr>
          <w:p w14:paraId="601BB05B" w14:textId="77777777" w:rsidR="00DF593A" w:rsidRPr="00496684" w:rsidRDefault="00DF593A" w:rsidP="00262A05">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16.</w:t>
            </w:r>
            <w:r w:rsidRPr="00496684">
              <w:rPr>
                <w:rFonts w:ascii="Times New Roman" w:hAnsi="Times New Roman"/>
                <w:b/>
                <w:bCs/>
                <w:lang w:val="it-IT"/>
              </w:rPr>
              <w:tab/>
              <w:t>INFORMAZIONI IN BRAILLE</w:t>
            </w:r>
          </w:p>
        </w:tc>
      </w:tr>
    </w:tbl>
    <w:p w14:paraId="1CDA3794"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p>
    <w:p w14:paraId="7A92DEDC" w14:textId="77777777" w:rsidR="00DF593A" w:rsidRPr="00496684" w:rsidRDefault="00DF593A" w:rsidP="00262A05">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w:t>
      </w:r>
    </w:p>
    <w:p w14:paraId="6F7CA3A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B9FB9CE" w14:textId="77777777" w:rsidR="0091712F" w:rsidRPr="00496684" w:rsidRDefault="0091712F" w:rsidP="00DF593A">
      <w:pPr>
        <w:autoSpaceDE w:val="0"/>
        <w:autoSpaceDN w:val="0"/>
        <w:adjustRightInd w:val="0"/>
        <w:spacing w:after="0" w:line="240" w:lineRule="auto"/>
        <w:rPr>
          <w:rFonts w:ascii="Times New Roman" w:hAnsi="Times New Roman"/>
          <w:lang w:val="it-IT"/>
        </w:rPr>
      </w:pPr>
    </w:p>
    <w:p w14:paraId="59A7CFDA" w14:textId="77777777" w:rsidR="0091712F" w:rsidRPr="00496684" w:rsidRDefault="0091712F" w:rsidP="00496684">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17.      IDENTIFICATIVO UNICO –CODICE A BARRE BIDIMENSIONALE</w:t>
      </w:r>
    </w:p>
    <w:p w14:paraId="15DDCAFE" w14:textId="77777777" w:rsidR="000629AD" w:rsidRPr="00496684" w:rsidRDefault="004B225F" w:rsidP="00496684">
      <w:pPr>
        <w:keepNext/>
        <w:suppressAutoHyphens/>
        <w:spacing w:line="240" w:lineRule="auto"/>
        <w:rPr>
          <w:rFonts w:ascii="Times New Roman" w:hAnsi="Times New Roman"/>
          <w:shd w:val="pct15" w:color="auto" w:fill="auto"/>
          <w:lang w:val="it-IT"/>
        </w:rPr>
      </w:pPr>
      <w:r w:rsidRPr="00496684">
        <w:rPr>
          <w:rFonts w:ascii="Times New Roman" w:hAnsi="Times New Roman"/>
          <w:shd w:val="pct15" w:color="auto" w:fill="auto"/>
          <w:lang w:val="it-IT"/>
        </w:rPr>
        <w:t>&lt;Codice a barre bidimensionale con identificativo unico incluso.&gt;</w:t>
      </w:r>
    </w:p>
    <w:p w14:paraId="78C14238" w14:textId="77777777" w:rsidR="000629AD" w:rsidRPr="00496684" w:rsidRDefault="000629AD" w:rsidP="00B2027E">
      <w:pPr>
        <w:suppressAutoHyphens/>
        <w:spacing w:line="240" w:lineRule="auto"/>
        <w:rPr>
          <w:rFonts w:ascii="Times New Roman" w:hAnsi="Times New Roman"/>
          <w:shd w:val="pct15" w:color="auto" w:fill="auto"/>
          <w:lang w:val="it-IT"/>
        </w:rPr>
      </w:pPr>
    </w:p>
    <w:p w14:paraId="29165748" w14:textId="77777777" w:rsidR="0091712F" w:rsidRPr="00496684" w:rsidRDefault="0091712F" w:rsidP="00262A05">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18.      IDENTIFICATIVO UNICO – DATI LEGGIBILI</w:t>
      </w:r>
    </w:p>
    <w:p w14:paraId="591F1F39" w14:textId="767E4C79" w:rsidR="000629AD" w:rsidRPr="00496684" w:rsidRDefault="004776A3" w:rsidP="00262A05">
      <w:pPr>
        <w:keepNext/>
        <w:widowControl w:val="0"/>
        <w:tabs>
          <w:tab w:val="left" w:pos="720"/>
        </w:tabs>
        <w:spacing w:after="0" w:line="240" w:lineRule="auto"/>
        <w:rPr>
          <w:rFonts w:ascii="Times New Roman" w:eastAsia="Times New Roman" w:hAnsi="Times New Roman"/>
          <w:lang w:val="it-IT"/>
        </w:rPr>
      </w:pPr>
      <w:r w:rsidRPr="00496684">
        <w:rPr>
          <w:rFonts w:ascii="Times New Roman" w:hAnsi="Times New Roman"/>
          <w:lang w:val="it-IT"/>
        </w:rPr>
        <w:t xml:space="preserve">PC </w:t>
      </w:r>
      <w:r w:rsidRPr="00496684">
        <w:rPr>
          <w:rFonts w:ascii="Times New Roman" w:eastAsia="Times New Roman" w:hAnsi="Times New Roman"/>
          <w:lang w:val="it-IT"/>
        </w:rPr>
        <w:t>{numero}</w:t>
      </w:r>
    </w:p>
    <w:p w14:paraId="19FDC525" w14:textId="6648C32D" w:rsidR="004776A3" w:rsidRPr="00496684" w:rsidRDefault="004776A3" w:rsidP="00262A05">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 xml:space="preserve">SN </w:t>
      </w:r>
      <w:r w:rsidRPr="00496684">
        <w:rPr>
          <w:rFonts w:ascii="Times New Roman" w:eastAsia="Times New Roman" w:hAnsi="Times New Roman"/>
          <w:lang w:val="it-IT"/>
        </w:rPr>
        <w:t>{numero}</w:t>
      </w:r>
    </w:p>
    <w:p w14:paraId="3780E473" w14:textId="107493E8" w:rsidR="004776A3" w:rsidRPr="00496684" w:rsidRDefault="004776A3" w:rsidP="00262A05">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 xml:space="preserve">NN </w:t>
      </w:r>
      <w:r w:rsidRPr="00496684">
        <w:rPr>
          <w:rFonts w:ascii="Times New Roman" w:eastAsia="Times New Roman" w:hAnsi="Times New Roman"/>
          <w:lang w:val="it-IT"/>
        </w:rPr>
        <w:t>{numero}</w:t>
      </w:r>
    </w:p>
    <w:p w14:paraId="66C8D89B" w14:textId="77777777" w:rsidR="0013265B"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527AA201" w14:textId="77777777" w:rsidTr="002E0756">
        <w:tc>
          <w:tcPr>
            <w:tcW w:w="9546" w:type="dxa"/>
          </w:tcPr>
          <w:p w14:paraId="422AA16D" w14:textId="77777777" w:rsidR="0013265B" w:rsidRPr="00496684" w:rsidRDefault="0013265B" w:rsidP="002E0756">
            <w:pPr>
              <w:shd w:val="clear" w:color="auto" w:fill="FFFFFF"/>
              <w:suppressAutoHyphens/>
              <w:rPr>
                <w:rFonts w:ascii="Times New Roman" w:hAnsi="Times New Roman"/>
                <w:b/>
                <w:bCs/>
                <w:lang w:val="it-IT"/>
              </w:rPr>
            </w:pPr>
            <w:r w:rsidRPr="00496684">
              <w:rPr>
                <w:rFonts w:ascii="Times New Roman" w:hAnsi="Times New Roman"/>
                <w:b/>
                <w:bCs/>
                <w:lang w:val="it-IT"/>
              </w:rPr>
              <w:t xml:space="preserve">INFORMAZIONI DA APPORRE SUL CONFEZIONAMENTO SECONDARIO  </w:t>
            </w:r>
          </w:p>
          <w:p w14:paraId="787FBABF"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CARTONE</w:t>
            </w:r>
          </w:p>
          <w:p w14:paraId="572C1DA8" w14:textId="77777777" w:rsidR="0013265B" w:rsidRPr="00496684" w:rsidRDefault="0013265B" w:rsidP="002E0756">
            <w:pPr>
              <w:autoSpaceDE w:val="0"/>
              <w:autoSpaceDN w:val="0"/>
              <w:adjustRightInd w:val="0"/>
              <w:spacing w:after="0" w:line="240" w:lineRule="auto"/>
              <w:rPr>
                <w:rFonts w:ascii="Times New Roman" w:hAnsi="Times New Roman"/>
                <w:lang w:val="it-IT"/>
              </w:rPr>
            </w:pPr>
          </w:p>
        </w:tc>
      </w:tr>
    </w:tbl>
    <w:p w14:paraId="45A5D063"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05383F82"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5DB2140D" w14:textId="77777777" w:rsidTr="002E0756">
        <w:tc>
          <w:tcPr>
            <w:tcW w:w="9546" w:type="dxa"/>
          </w:tcPr>
          <w:p w14:paraId="59E91406"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1.</w:t>
            </w:r>
            <w:r w:rsidRPr="00496684">
              <w:rPr>
                <w:rFonts w:ascii="Times New Roman" w:hAnsi="Times New Roman"/>
                <w:b/>
                <w:bCs/>
                <w:lang w:val="it-IT"/>
              </w:rPr>
              <w:tab/>
            </w:r>
            <w:r w:rsidRPr="00496684">
              <w:rPr>
                <w:rFonts w:ascii="Times New Roman" w:hAnsi="Times New Roman"/>
                <w:b/>
                <w:lang w:val="it-IT"/>
              </w:rPr>
              <w:t>DENOMINAZIONE DEL MEDICINALE</w:t>
            </w:r>
          </w:p>
        </w:tc>
      </w:tr>
    </w:tbl>
    <w:p w14:paraId="13B829D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1B28EA67"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capsule rigide</w:t>
      </w:r>
    </w:p>
    <w:p w14:paraId="0BB54318" w14:textId="77777777" w:rsidR="0013265B" w:rsidRPr="00496684" w:rsidRDefault="004C1D13"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13265B" w:rsidRPr="00496684">
        <w:rPr>
          <w:rFonts w:ascii="Times New Roman" w:hAnsi="Times New Roman"/>
          <w:lang w:val="it-IT"/>
        </w:rPr>
        <w:t>matinib</w:t>
      </w:r>
    </w:p>
    <w:p w14:paraId="43DBA2BF"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BFF479C"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07629A5D" w14:textId="77777777" w:rsidTr="002E0756">
        <w:tc>
          <w:tcPr>
            <w:tcW w:w="9546" w:type="dxa"/>
          </w:tcPr>
          <w:p w14:paraId="6B6B1DC9" w14:textId="77777777" w:rsidR="0013265B" w:rsidRPr="00496684" w:rsidRDefault="0013265B" w:rsidP="002E0756">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b/>
                <w:bCs/>
                <w:lang w:val="it-IT"/>
              </w:rPr>
              <w:t>2.</w:t>
            </w:r>
            <w:r w:rsidRPr="00496684">
              <w:rPr>
                <w:rFonts w:ascii="Times New Roman" w:hAnsi="Times New Roman"/>
                <w:b/>
                <w:bCs/>
                <w:lang w:val="it-IT"/>
              </w:rPr>
              <w:tab/>
            </w:r>
            <w:r w:rsidRPr="00496684">
              <w:rPr>
                <w:rFonts w:ascii="Times New Roman" w:hAnsi="Times New Roman"/>
                <w:b/>
                <w:lang w:val="it-IT"/>
              </w:rPr>
              <w:t>COMPOSIZIONE QUALITATIVA E QUANTITATIVA IN TERMINI DI PRINCIPIO(I) ATTIVO(I)</w:t>
            </w:r>
          </w:p>
        </w:tc>
      </w:tr>
    </w:tbl>
    <w:p w14:paraId="6CC89C74"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726F098" w14:textId="77777777" w:rsidR="0013265B" w:rsidRPr="00496684" w:rsidRDefault="0013265B" w:rsidP="0013265B">
      <w:pPr>
        <w:pStyle w:val="Text"/>
        <w:widowControl w:val="0"/>
        <w:spacing w:before="0"/>
        <w:rPr>
          <w:sz w:val="22"/>
          <w:szCs w:val="22"/>
          <w:lang w:val="it-IT"/>
        </w:rPr>
      </w:pPr>
      <w:r w:rsidRPr="00496684">
        <w:rPr>
          <w:sz w:val="22"/>
          <w:szCs w:val="22"/>
          <w:lang w:val="it-IT"/>
        </w:rPr>
        <w:t>Ogni capsula rigida contiene 400 mg di imatinib (come mesilato).</w:t>
      </w:r>
    </w:p>
    <w:p w14:paraId="5BE8EB22"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1191511E"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04270F76" w14:textId="77777777" w:rsidTr="002E0756">
        <w:tc>
          <w:tcPr>
            <w:tcW w:w="9546" w:type="dxa"/>
          </w:tcPr>
          <w:p w14:paraId="0EE1B69B"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3.</w:t>
            </w:r>
            <w:r w:rsidRPr="00496684">
              <w:rPr>
                <w:rFonts w:ascii="Times New Roman" w:hAnsi="Times New Roman"/>
                <w:b/>
                <w:bCs/>
                <w:lang w:val="it-IT"/>
              </w:rPr>
              <w:tab/>
            </w:r>
            <w:r w:rsidRPr="00496684">
              <w:rPr>
                <w:rFonts w:ascii="Times New Roman" w:hAnsi="Times New Roman"/>
                <w:b/>
                <w:lang w:val="it-IT"/>
              </w:rPr>
              <w:t>ELENCO DEGLI ECCIPIENTI</w:t>
            </w:r>
          </w:p>
        </w:tc>
      </w:tr>
    </w:tbl>
    <w:p w14:paraId="6988C95A"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FA17755"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345C05E1" w14:textId="77777777" w:rsidTr="002E0756">
        <w:tc>
          <w:tcPr>
            <w:tcW w:w="9546" w:type="dxa"/>
          </w:tcPr>
          <w:p w14:paraId="306BD876"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4.</w:t>
            </w:r>
            <w:r w:rsidRPr="00496684">
              <w:rPr>
                <w:rFonts w:ascii="Times New Roman" w:hAnsi="Times New Roman"/>
                <w:b/>
                <w:bCs/>
                <w:lang w:val="it-IT"/>
              </w:rPr>
              <w:tab/>
            </w:r>
            <w:r w:rsidRPr="00496684">
              <w:rPr>
                <w:rFonts w:ascii="Times New Roman" w:hAnsi="Times New Roman"/>
                <w:b/>
                <w:lang w:val="it-IT"/>
              </w:rPr>
              <w:t>FORMA FARMACEUTICA E CONTENUTO</w:t>
            </w:r>
          </w:p>
        </w:tc>
      </w:tr>
    </w:tbl>
    <w:p w14:paraId="495A488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279C4672" w14:textId="77777777" w:rsidR="0013265B" w:rsidRPr="00496684" w:rsidRDefault="0013265B" w:rsidP="0013265B">
      <w:pPr>
        <w:pStyle w:val="KeinLeerraum"/>
        <w:rPr>
          <w:rFonts w:ascii="Times New Roman" w:hAnsi="Times New Roman"/>
          <w:highlight w:val="lightGray"/>
          <w:lang w:val="it-IT"/>
        </w:rPr>
      </w:pPr>
      <w:r w:rsidRPr="00496684">
        <w:rPr>
          <w:rFonts w:ascii="Times New Roman" w:hAnsi="Times New Roman"/>
          <w:lang w:val="it-IT"/>
        </w:rPr>
        <w:t>10  capsule rigide</w:t>
      </w:r>
    </w:p>
    <w:p w14:paraId="31474521" w14:textId="77777777" w:rsidR="0013265B" w:rsidRPr="00496684" w:rsidRDefault="0013265B" w:rsidP="0013265B">
      <w:pPr>
        <w:pStyle w:val="KeinLeerraum"/>
        <w:rPr>
          <w:rFonts w:ascii="Times New Roman" w:hAnsi="Times New Roman"/>
          <w:highlight w:val="lightGray"/>
          <w:lang w:val="it-IT"/>
        </w:rPr>
      </w:pPr>
      <w:r w:rsidRPr="00496684">
        <w:rPr>
          <w:rFonts w:ascii="Times New Roman" w:hAnsi="Times New Roman"/>
          <w:lang w:val="it-IT"/>
        </w:rPr>
        <w:t>30  capsule rigide</w:t>
      </w:r>
    </w:p>
    <w:p w14:paraId="1633C1EE" w14:textId="77777777" w:rsidR="0013265B" w:rsidRPr="00496684" w:rsidRDefault="0013265B" w:rsidP="0013265B">
      <w:pPr>
        <w:pStyle w:val="KeinLeerraum"/>
        <w:rPr>
          <w:rFonts w:ascii="Times New Roman" w:hAnsi="Times New Roman"/>
          <w:highlight w:val="lightGray"/>
          <w:lang w:val="it-IT"/>
        </w:rPr>
      </w:pPr>
      <w:r w:rsidRPr="00496684">
        <w:rPr>
          <w:rFonts w:ascii="Times New Roman" w:hAnsi="Times New Roman"/>
          <w:lang w:val="it-IT"/>
        </w:rPr>
        <w:t>60  capsule rigide</w:t>
      </w:r>
    </w:p>
    <w:p w14:paraId="5AA3911D" w14:textId="77777777" w:rsidR="0013265B" w:rsidRPr="00496684" w:rsidRDefault="0013265B" w:rsidP="0013265B">
      <w:pPr>
        <w:pStyle w:val="KeinLeerraum"/>
        <w:rPr>
          <w:rFonts w:ascii="Times New Roman" w:hAnsi="Times New Roman"/>
          <w:highlight w:val="lightGray"/>
          <w:lang w:val="it-IT"/>
        </w:rPr>
      </w:pPr>
      <w:r w:rsidRPr="00496684">
        <w:rPr>
          <w:rFonts w:ascii="Times New Roman" w:hAnsi="Times New Roman"/>
          <w:lang w:val="it-IT"/>
        </w:rPr>
        <w:t>90  capsule rigide</w:t>
      </w:r>
    </w:p>
    <w:p w14:paraId="5002F494"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1C6DB2F3"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663B41DB" w14:textId="77777777" w:rsidTr="002E0756">
        <w:tc>
          <w:tcPr>
            <w:tcW w:w="9546" w:type="dxa"/>
          </w:tcPr>
          <w:p w14:paraId="3776DE4F" w14:textId="77777777" w:rsidR="0013265B" w:rsidRPr="00496684" w:rsidRDefault="0013265B" w:rsidP="002E075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t>MODO E VIA(E) DI SOMMINISTRAZIONE</w:t>
            </w:r>
          </w:p>
        </w:tc>
      </w:tr>
    </w:tbl>
    <w:p w14:paraId="0A5A618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485B3767"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Uso orale.</w:t>
      </w:r>
    </w:p>
    <w:p w14:paraId="6E694454" w14:textId="77777777" w:rsidR="0013265B" w:rsidRPr="00496684" w:rsidRDefault="0013265B" w:rsidP="0013265B">
      <w:pPr>
        <w:suppressAutoHyphens/>
        <w:rPr>
          <w:rFonts w:ascii="Times New Roman" w:hAnsi="Times New Roman"/>
          <w:lang w:val="it-IT"/>
        </w:rPr>
      </w:pPr>
      <w:r w:rsidRPr="00496684">
        <w:rPr>
          <w:rFonts w:ascii="Times New Roman" w:hAnsi="Times New Roman"/>
          <w:lang w:val="it-IT"/>
        </w:rPr>
        <w:t>Leggere il foglio illustrativo prima dell’uso.</w:t>
      </w:r>
    </w:p>
    <w:p w14:paraId="576F4985"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194450F7" w14:textId="77777777" w:rsidTr="002E0756">
        <w:tc>
          <w:tcPr>
            <w:tcW w:w="9546" w:type="dxa"/>
          </w:tcPr>
          <w:p w14:paraId="636448A8" w14:textId="77777777" w:rsidR="0013265B" w:rsidRPr="00496684" w:rsidRDefault="0013265B"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t>AVVERTENZA PARTICOLARE CHE PRESCRIVA DI TENERE IL MEDICINALE FUORI DALLA VISTA E DALLA PORTATA DEI BAMBINI</w:t>
            </w:r>
          </w:p>
        </w:tc>
      </w:tr>
    </w:tbl>
    <w:p w14:paraId="6CE2D7D6"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p>
    <w:p w14:paraId="557F3137" w14:textId="77777777" w:rsidR="0013265B" w:rsidRPr="00496684" w:rsidRDefault="0013265B" w:rsidP="00AA7ABE">
      <w:pPr>
        <w:keepNext/>
        <w:widowControl w:val="0"/>
        <w:rPr>
          <w:rFonts w:ascii="Times New Roman" w:hAnsi="Times New Roman"/>
          <w:lang w:val="it-IT"/>
        </w:rPr>
      </w:pPr>
      <w:r w:rsidRPr="00496684">
        <w:rPr>
          <w:rFonts w:ascii="Times New Roman" w:hAnsi="Times New Roman"/>
          <w:lang w:val="it-IT"/>
        </w:rPr>
        <w:t>Tenere fuori dalla vista e dalla portata dei bambini.</w:t>
      </w:r>
    </w:p>
    <w:p w14:paraId="0B8FEA38"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7C3A07E2" w14:textId="77777777" w:rsidTr="002E0756">
        <w:tc>
          <w:tcPr>
            <w:tcW w:w="9546" w:type="dxa"/>
          </w:tcPr>
          <w:p w14:paraId="2B1914A7"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7.</w:t>
            </w:r>
            <w:r w:rsidRPr="00496684">
              <w:rPr>
                <w:rFonts w:ascii="Times New Roman" w:hAnsi="Times New Roman"/>
                <w:b/>
                <w:bCs/>
                <w:lang w:val="it-IT"/>
              </w:rPr>
              <w:tab/>
            </w:r>
            <w:r w:rsidRPr="00496684">
              <w:rPr>
                <w:rFonts w:ascii="Times New Roman" w:hAnsi="Times New Roman"/>
                <w:b/>
                <w:lang w:val="it-IT"/>
              </w:rPr>
              <w:t>ALTRA(E) AVVERTENZA(E) PARTICOLARE(I), SE NECESSARIO</w:t>
            </w:r>
          </w:p>
        </w:tc>
      </w:tr>
    </w:tbl>
    <w:p w14:paraId="594D524D"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p>
    <w:p w14:paraId="065B2EB7"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Utilizzare solo come prescritto dal medico</w:t>
      </w:r>
    </w:p>
    <w:p w14:paraId="731BD4AE"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0DBB0BE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71C05DCE" w14:textId="77777777" w:rsidTr="002E0756">
        <w:tc>
          <w:tcPr>
            <w:tcW w:w="9546" w:type="dxa"/>
          </w:tcPr>
          <w:p w14:paraId="5BC3632B" w14:textId="77777777" w:rsidR="0013265B" w:rsidRPr="00496684" w:rsidRDefault="0013265B" w:rsidP="00AA7ABE">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8.</w:t>
            </w:r>
            <w:r w:rsidRPr="00496684">
              <w:rPr>
                <w:rFonts w:ascii="Times New Roman" w:hAnsi="Times New Roman"/>
                <w:b/>
                <w:bCs/>
                <w:lang w:val="it-IT"/>
              </w:rPr>
              <w:tab/>
              <w:t>DATA DI SCADENZA</w:t>
            </w:r>
          </w:p>
        </w:tc>
      </w:tr>
    </w:tbl>
    <w:p w14:paraId="7BDBAB55"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p>
    <w:p w14:paraId="3548D3B1"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45EDF1DC"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464667A"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136A85B8" w14:textId="77777777" w:rsidTr="002E0756">
        <w:tc>
          <w:tcPr>
            <w:tcW w:w="9546" w:type="dxa"/>
          </w:tcPr>
          <w:p w14:paraId="2ABC4331" w14:textId="77777777" w:rsidR="0013265B" w:rsidRPr="00496684" w:rsidRDefault="0013265B" w:rsidP="00AA7ABE">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9.</w:t>
            </w:r>
            <w:r w:rsidRPr="00496684">
              <w:rPr>
                <w:rFonts w:ascii="Times New Roman" w:hAnsi="Times New Roman"/>
                <w:b/>
                <w:bCs/>
                <w:lang w:val="it-IT"/>
              </w:rPr>
              <w:tab/>
              <w:t>PRECAUZIONI PARTICOLARI PER LA CONSERVAZIONE</w:t>
            </w:r>
          </w:p>
        </w:tc>
      </w:tr>
    </w:tbl>
    <w:p w14:paraId="7898B24A" w14:textId="77777777" w:rsidR="0013265B" w:rsidRPr="00496684" w:rsidRDefault="0013265B" w:rsidP="00AA7ABE">
      <w:pPr>
        <w:pStyle w:val="Text"/>
        <w:keepNext/>
        <w:widowControl w:val="0"/>
        <w:spacing w:before="0"/>
        <w:jc w:val="left"/>
        <w:rPr>
          <w:sz w:val="22"/>
          <w:szCs w:val="22"/>
          <w:lang w:val="it-IT"/>
        </w:rPr>
      </w:pPr>
    </w:p>
    <w:p w14:paraId="14FCC7E8" w14:textId="77777777" w:rsidR="0013265B" w:rsidRPr="00496684" w:rsidRDefault="0013265B" w:rsidP="00AA7ABE">
      <w:pPr>
        <w:pStyle w:val="Text"/>
        <w:keepNext/>
        <w:widowControl w:val="0"/>
        <w:spacing w:before="0"/>
        <w:jc w:val="left"/>
        <w:rPr>
          <w:sz w:val="22"/>
          <w:szCs w:val="22"/>
          <w:lang w:val="it-IT"/>
        </w:rPr>
      </w:pPr>
      <w:r w:rsidRPr="00496684">
        <w:rPr>
          <w:sz w:val="22"/>
          <w:szCs w:val="22"/>
          <w:lang w:val="it-IT"/>
        </w:rPr>
        <w:t>Non conservare a temperatura superiore ai 25</w:t>
      </w:r>
      <w:r w:rsidRPr="00496684">
        <w:rPr>
          <w:sz w:val="22"/>
          <w:szCs w:val="22"/>
          <w:lang w:val="it-IT"/>
        </w:rPr>
        <w:sym w:font="Symbol" w:char="F0B0"/>
      </w:r>
      <w:r w:rsidRPr="00496684">
        <w:rPr>
          <w:sz w:val="22"/>
          <w:szCs w:val="22"/>
          <w:lang w:val="it-IT"/>
        </w:rPr>
        <w:t xml:space="preserve">C. </w:t>
      </w:r>
    </w:p>
    <w:p w14:paraId="408DCF0C" w14:textId="77777777" w:rsidR="0013265B" w:rsidRPr="00496684" w:rsidRDefault="0013265B" w:rsidP="00AA7ABE">
      <w:pPr>
        <w:pStyle w:val="Text"/>
        <w:keepNext/>
        <w:widowControl w:val="0"/>
        <w:spacing w:before="0"/>
        <w:jc w:val="left"/>
        <w:rPr>
          <w:sz w:val="22"/>
          <w:szCs w:val="22"/>
          <w:lang w:val="it-IT"/>
        </w:rPr>
      </w:pPr>
      <w:r w:rsidRPr="00496684">
        <w:rPr>
          <w:sz w:val="22"/>
          <w:szCs w:val="22"/>
          <w:lang w:val="it-IT"/>
        </w:rPr>
        <w:t>Conservare nella confezione originale per proteggere il medicinale dall’umidità.</w:t>
      </w:r>
    </w:p>
    <w:p w14:paraId="1B4CC8F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BC58743"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05B6559A" w14:textId="77777777" w:rsidTr="002E0756">
        <w:tc>
          <w:tcPr>
            <w:tcW w:w="9546" w:type="dxa"/>
          </w:tcPr>
          <w:p w14:paraId="13E2FAA5" w14:textId="77777777" w:rsidR="0013265B" w:rsidRPr="00496684" w:rsidRDefault="0013265B"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10.</w:t>
            </w:r>
            <w:r w:rsidRPr="00496684">
              <w:rPr>
                <w:rFonts w:ascii="Times New Roman" w:hAnsi="Times New Roman"/>
                <w:b/>
                <w:bCs/>
                <w:lang w:val="it-IT"/>
              </w:rPr>
              <w:tab/>
              <w:t>PRECAUZIONI PARTICOLARI PER LO SMALTIMENTO DEL MEDICINALE NON UTILIZZATO O DEI RIFIUTI DERIVATI DA TALE MEDICINALE, SE NECESSARIO</w:t>
            </w:r>
          </w:p>
        </w:tc>
      </w:tr>
    </w:tbl>
    <w:p w14:paraId="3EFE9743"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p>
    <w:p w14:paraId="47FDC686"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727B2746" w14:textId="77777777" w:rsidTr="002E0756">
        <w:tc>
          <w:tcPr>
            <w:tcW w:w="9546" w:type="dxa"/>
          </w:tcPr>
          <w:p w14:paraId="6DB5CCB5" w14:textId="77777777" w:rsidR="0013265B" w:rsidRPr="00496684" w:rsidRDefault="0013265B"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11.</w:t>
            </w:r>
            <w:r w:rsidRPr="00496684">
              <w:rPr>
                <w:rFonts w:ascii="Times New Roman" w:hAnsi="Times New Roman"/>
                <w:b/>
                <w:bCs/>
                <w:lang w:val="it-IT"/>
              </w:rPr>
              <w:tab/>
              <w:t>NOME E INDIRIZZO DEL TITOLARE DELL’AUTORIZZAZIONE ALL’IMMISSIONE IN COMMERCIO</w:t>
            </w:r>
          </w:p>
        </w:tc>
      </w:tr>
    </w:tbl>
    <w:p w14:paraId="799E9B71"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p>
    <w:p w14:paraId="54BE375C"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205EA143"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220 Hafnarfjörður</w:t>
      </w:r>
    </w:p>
    <w:p w14:paraId="695D3CD6"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38F3D21B"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7CD03304"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35B2215E" w14:textId="77777777" w:rsidTr="002E0756">
        <w:tc>
          <w:tcPr>
            <w:tcW w:w="9546" w:type="dxa"/>
          </w:tcPr>
          <w:p w14:paraId="5A421F28" w14:textId="77777777" w:rsidR="0013265B" w:rsidRPr="00496684" w:rsidRDefault="0013265B" w:rsidP="00AA7ABE">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12.</w:t>
            </w:r>
            <w:r w:rsidRPr="00496684">
              <w:rPr>
                <w:rFonts w:ascii="Times New Roman" w:hAnsi="Times New Roman"/>
                <w:b/>
                <w:bCs/>
                <w:lang w:val="it-IT"/>
              </w:rPr>
              <w:tab/>
              <w:t>NUMERO(I) DELL’AUTORIZZAZIONE ALL’IMMISSIONE IN COMMERCIO</w:t>
            </w:r>
          </w:p>
        </w:tc>
      </w:tr>
    </w:tbl>
    <w:p w14:paraId="0DB6D2D7"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p>
    <w:p w14:paraId="39C344B8" w14:textId="77777777" w:rsidR="0013265B" w:rsidRPr="00496684" w:rsidRDefault="0013265B" w:rsidP="00AA7ABE">
      <w:pPr>
        <w:keepNext/>
        <w:spacing w:after="0" w:line="240" w:lineRule="auto"/>
        <w:rPr>
          <w:rFonts w:ascii="Times New Roman" w:eastAsia="Times New Roman" w:hAnsi="Times New Roman"/>
          <w:lang w:val="it-IT"/>
        </w:rPr>
      </w:pPr>
      <w:r w:rsidRPr="00496684">
        <w:rPr>
          <w:rFonts w:ascii="Times New Roman" w:eastAsia="Times New Roman" w:hAnsi="Times New Roman"/>
          <w:lang w:val="it-IT"/>
        </w:rPr>
        <w:t>EU/1/13/825/020</w:t>
      </w:r>
    </w:p>
    <w:p w14:paraId="13300CAE" w14:textId="77777777" w:rsidR="0013265B" w:rsidRPr="00496684" w:rsidRDefault="0013265B" w:rsidP="00AA7ABE">
      <w:pPr>
        <w:keepNext/>
        <w:spacing w:after="0" w:line="240" w:lineRule="auto"/>
        <w:rPr>
          <w:rFonts w:ascii="Times New Roman" w:eastAsia="Times New Roman" w:hAnsi="Times New Roman"/>
          <w:lang w:val="it-IT"/>
        </w:rPr>
      </w:pPr>
      <w:r w:rsidRPr="00496684">
        <w:rPr>
          <w:rFonts w:ascii="Times New Roman" w:eastAsia="Times New Roman" w:hAnsi="Times New Roman"/>
          <w:lang w:val="it-IT"/>
        </w:rPr>
        <w:t>EU/1/13/825/021</w:t>
      </w:r>
    </w:p>
    <w:p w14:paraId="35632DC7" w14:textId="77777777" w:rsidR="0013265B" w:rsidRPr="00496684" w:rsidRDefault="0013265B" w:rsidP="00AA7ABE">
      <w:pPr>
        <w:keepNext/>
        <w:spacing w:after="0" w:line="240" w:lineRule="auto"/>
        <w:rPr>
          <w:rFonts w:ascii="Times New Roman" w:eastAsia="Times New Roman" w:hAnsi="Times New Roman"/>
          <w:lang w:val="it-IT"/>
        </w:rPr>
      </w:pPr>
      <w:r w:rsidRPr="00496684">
        <w:rPr>
          <w:rFonts w:ascii="Times New Roman" w:eastAsia="Times New Roman" w:hAnsi="Times New Roman"/>
          <w:lang w:val="it-IT"/>
        </w:rPr>
        <w:t>EU/1/13/825/022</w:t>
      </w:r>
    </w:p>
    <w:p w14:paraId="38DFF878" w14:textId="77777777" w:rsidR="0013265B" w:rsidRPr="00496684" w:rsidRDefault="0013265B" w:rsidP="00AA7ABE">
      <w:pPr>
        <w:keepNext/>
        <w:spacing w:after="0" w:line="240" w:lineRule="auto"/>
        <w:rPr>
          <w:rFonts w:ascii="Times New Roman" w:eastAsia="Times New Roman" w:hAnsi="Times New Roman"/>
          <w:lang w:val="it-IT"/>
        </w:rPr>
      </w:pPr>
      <w:r w:rsidRPr="00496684">
        <w:rPr>
          <w:rFonts w:ascii="Times New Roman" w:eastAsia="Times New Roman" w:hAnsi="Times New Roman"/>
          <w:lang w:val="it-IT"/>
        </w:rPr>
        <w:t>EU/1/13/825/023</w:t>
      </w:r>
    </w:p>
    <w:p w14:paraId="034BF0E2"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1364C70D"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365B1719" w14:textId="77777777" w:rsidTr="002E0756">
        <w:tc>
          <w:tcPr>
            <w:tcW w:w="9546" w:type="dxa"/>
          </w:tcPr>
          <w:p w14:paraId="1C34F300" w14:textId="77777777" w:rsidR="0013265B" w:rsidRPr="00496684" w:rsidRDefault="0013265B" w:rsidP="002E075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13.</w:t>
            </w:r>
            <w:r w:rsidRPr="00496684">
              <w:rPr>
                <w:rFonts w:ascii="Times New Roman" w:hAnsi="Times New Roman"/>
                <w:b/>
                <w:bCs/>
                <w:lang w:val="it-IT"/>
              </w:rPr>
              <w:tab/>
              <w:t>NUMERO DI LOTTO</w:t>
            </w:r>
          </w:p>
        </w:tc>
      </w:tr>
    </w:tbl>
    <w:p w14:paraId="5F91FA97"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7E474AE5"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Lotto</w:t>
      </w:r>
    </w:p>
    <w:p w14:paraId="10111D7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411105F4" w14:textId="77777777" w:rsidTr="002E0756">
        <w:tc>
          <w:tcPr>
            <w:tcW w:w="9546" w:type="dxa"/>
          </w:tcPr>
          <w:p w14:paraId="7BA34167" w14:textId="77777777" w:rsidR="0013265B" w:rsidRPr="00496684" w:rsidRDefault="0013265B" w:rsidP="002E075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14.</w:t>
            </w:r>
            <w:r w:rsidRPr="00496684">
              <w:rPr>
                <w:rFonts w:ascii="Times New Roman" w:hAnsi="Times New Roman"/>
                <w:b/>
                <w:bCs/>
                <w:lang w:val="it-IT"/>
              </w:rPr>
              <w:tab/>
              <w:t>CONDIZIONE GENERALE DI FORNITURA</w:t>
            </w:r>
          </w:p>
        </w:tc>
      </w:tr>
    </w:tbl>
    <w:p w14:paraId="451E2D18"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1B4C830"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1F615613" w14:textId="77777777" w:rsidTr="002E0756">
        <w:tc>
          <w:tcPr>
            <w:tcW w:w="9546" w:type="dxa"/>
          </w:tcPr>
          <w:p w14:paraId="7F70A470" w14:textId="77777777" w:rsidR="0013265B" w:rsidRPr="00496684" w:rsidRDefault="0013265B" w:rsidP="002E075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15.</w:t>
            </w:r>
            <w:r w:rsidRPr="00496684">
              <w:rPr>
                <w:rFonts w:ascii="Times New Roman" w:hAnsi="Times New Roman"/>
                <w:b/>
                <w:bCs/>
                <w:lang w:val="it-IT"/>
              </w:rPr>
              <w:tab/>
              <w:t>ISTRUZIONI PER L’USO</w:t>
            </w:r>
          </w:p>
        </w:tc>
      </w:tr>
    </w:tbl>
    <w:p w14:paraId="742FD444"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9EF2BD6"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7E8A11FF" w14:textId="77777777" w:rsidTr="002E0756">
        <w:tc>
          <w:tcPr>
            <w:tcW w:w="9546" w:type="dxa"/>
          </w:tcPr>
          <w:p w14:paraId="1771A9C1" w14:textId="77777777" w:rsidR="0013265B" w:rsidRPr="00496684" w:rsidRDefault="0013265B" w:rsidP="00AA7ABE">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16.</w:t>
            </w:r>
            <w:r w:rsidRPr="00496684">
              <w:rPr>
                <w:rFonts w:ascii="Times New Roman" w:hAnsi="Times New Roman"/>
                <w:b/>
                <w:bCs/>
                <w:lang w:val="it-IT"/>
              </w:rPr>
              <w:tab/>
              <w:t>INFORMAZIONI IN BRAILLE</w:t>
            </w:r>
          </w:p>
        </w:tc>
      </w:tr>
    </w:tbl>
    <w:p w14:paraId="11E16F62"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p>
    <w:p w14:paraId="107AACF0" w14:textId="77777777" w:rsidR="0013265B" w:rsidRPr="00496684" w:rsidRDefault="0013265B"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w:t>
      </w:r>
    </w:p>
    <w:p w14:paraId="4D493EB7"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0DF7CFEB" w14:textId="77777777" w:rsidR="0091712F" w:rsidRPr="00496684" w:rsidRDefault="0091712F" w:rsidP="00AA7ABE">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17.      IDENTIFICATIVO UNICO –CODICE A BARRE BIDIMENSIONALE</w:t>
      </w:r>
    </w:p>
    <w:p w14:paraId="76F03140" w14:textId="77777777" w:rsidR="004776A3" w:rsidRPr="00496684" w:rsidRDefault="004776A3" w:rsidP="00AA7ABE">
      <w:pPr>
        <w:keepNext/>
        <w:suppressAutoHyphens/>
        <w:rPr>
          <w:rFonts w:ascii="Times New Roman" w:hAnsi="Times New Roman"/>
          <w:lang w:val="it-IT"/>
        </w:rPr>
      </w:pPr>
      <w:r w:rsidRPr="00496684">
        <w:rPr>
          <w:rFonts w:ascii="Times New Roman" w:hAnsi="Times New Roman"/>
          <w:shd w:val="pct15" w:color="auto" w:fill="auto"/>
          <w:lang w:val="it-IT"/>
        </w:rPr>
        <w:t>&lt;Codice a barre bidimensionale con identificativo unico incluso.&gt;</w:t>
      </w:r>
    </w:p>
    <w:p w14:paraId="779E5E01" w14:textId="77777777" w:rsidR="0091712F" w:rsidRPr="00496684" w:rsidRDefault="0091712F" w:rsidP="0091712F">
      <w:pPr>
        <w:spacing w:line="240" w:lineRule="auto"/>
        <w:rPr>
          <w:b/>
          <w:noProof/>
          <w:lang w:val="it-IT"/>
        </w:rPr>
      </w:pPr>
    </w:p>
    <w:p w14:paraId="10EAFEF6" w14:textId="77777777" w:rsidR="00E659C2" w:rsidRPr="00496684" w:rsidRDefault="00E659C2" w:rsidP="0091712F">
      <w:pPr>
        <w:spacing w:line="240" w:lineRule="auto"/>
        <w:rPr>
          <w:b/>
          <w:noProof/>
          <w:lang w:val="it-IT"/>
        </w:rPr>
      </w:pPr>
    </w:p>
    <w:p w14:paraId="11895303" w14:textId="77777777" w:rsidR="0091712F" w:rsidRPr="00496684" w:rsidRDefault="0091712F" w:rsidP="00AA7ABE">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18.      IDENTIFICATIVO UNICO – DATI LEGGIBILI</w:t>
      </w:r>
    </w:p>
    <w:p w14:paraId="5C425D4D" w14:textId="635AD6BD" w:rsidR="004776A3" w:rsidRPr="00496684" w:rsidRDefault="004776A3" w:rsidP="00AA7ABE">
      <w:pPr>
        <w:keepNext/>
        <w:tabs>
          <w:tab w:val="left" w:pos="720"/>
        </w:tabs>
        <w:spacing w:after="0" w:line="240" w:lineRule="auto"/>
        <w:rPr>
          <w:rFonts w:ascii="Times New Roman" w:eastAsia="Times New Roman" w:hAnsi="Times New Roman"/>
          <w:lang w:val="it-IT"/>
        </w:rPr>
      </w:pPr>
      <w:r w:rsidRPr="00496684">
        <w:rPr>
          <w:rFonts w:ascii="Times New Roman" w:hAnsi="Times New Roman"/>
          <w:lang w:val="it-IT"/>
        </w:rPr>
        <w:t xml:space="preserve">PC </w:t>
      </w:r>
      <w:r w:rsidRPr="00496684">
        <w:rPr>
          <w:rFonts w:ascii="Times New Roman" w:eastAsia="Times New Roman" w:hAnsi="Times New Roman"/>
          <w:lang w:val="it-IT"/>
        </w:rPr>
        <w:t>{numero}</w:t>
      </w:r>
    </w:p>
    <w:p w14:paraId="79022A30" w14:textId="2EECF7FD" w:rsidR="000629AD" w:rsidRPr="00496684" w:rsidRDefault="004776A3" w:rsidP="00AA7ABE">
      <w:pPr>
        <w:keepNext/>
        <w:tabs>
          <w:tab w:val="left" w:pos="720"/>
        </w:tabs>
        <w:spacing w:after="0" w:line="240" w:lineRule="auto"/>
        <w:rPr>
          <w:rFonts w:ascii="Times New Roman" w:hAnsi="Times New Roman"/>
          <w:lang w:val="it-IT"/>
        </w:rPr>
      </w:pPr>
      <w:r w:rsidRPr="00496684">
        <w:rPr>
          <w:rFonts w:ascii="Times New Roman" w:hAnsi="Times New Roman"/>
          <w:lang w:val="it-IT"/>
        </w:rPr>
        <w:t xml:space="preserve">SN </w:t>
      </w:r>
      <w:r w:rsidRPr="00496684">
        <w:rPr>
          <w:rFonts w:ascii="Times New Roman" w:eastAsia="Times New Roman" w:hAnsi="Times New Roman"/>
          <w:lang w:val="it-IT"/>
        </w:rPr>
        <w:t>{numero}</w:t>
      </w:r>
    </w:p>
    <w:p w14:paraId="63195DC2" w14:textId="53F26AE4" w:rsidR="004776A3" w:rsidRPr="00496684" w:rsidRDefault="004776A3" w:rsidP="00AA7ABE">
      <w:pPr>
        <w:keepNext/>
        <w:tabs>
          <w:tab w:val="left" w:pos="720"/>
        </w:tabs>
        <w:spacing w:after="0" w:line="240" w:lineRule="auto"/>
        <w:rPr>
          <w:rFonts w:ascii="Times New Roman" w:hAnsi="Times New Roman"/>
          <w:lang w:val="it-IT"/>
        </w:rPr>
      </w:pPr>
      <w:r w:rsidRPr="00496684">
        <w:rPr>
          <w:rFonts w:ascii="Times New Roman" w:hAnsi="Times New Roman"/>
          <w:lang w:val="it-IT"/>
        </w:rPr>
        <w:t xml:space="preserve">NN </w:t>
      </w:r>
      <w:r w:rsidRPr="00496684">
        <w:rPr>
          <w:rFonts w:ascii="Times New Roman" w:eastAsia="Times New Roman" w:hAnsi="Times New Roman"/>
          <w:lang w:val="it-IT"/>
        </w:rPr>
        <w:t>{numero}</w:t>
      </w:r>
    </w:p>
    <w:p w14:paraId="5F2ED216"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p w14:paraId="223E8470"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7C4CFA85" w14:textId="77777777" w:rsidTr="00C034DF">
        <w:tc>
          <w:tcPr>
            <w:tcW w:w="9546" w:type="dxa"/>
          </w:tcPr>
          <w:p w14:paraId="536B8C7C" w14:textId="77777777" w:rsidR="00782123" w:rsidRPr="00496684" w:rsidRDefault="00782123" w:rsidP="00C034DF">
            <w:pPr>
              <w:suppressAutoHyphens/>
              <w:rPr>
                <w:rFonts w:ascii="Times New Roman" w:hAnsi="Times New Roman"/>
                <w:b/>
                <w:bCs/>
                <w:lang w:val="it-IT"/>
              </w:rPr>
            </w:pPr>
            <w:r w:rsidRPr="00496684">
              <w:rPr>
                <w:rFonts w:ascii="Times New Roman" w:hAnsi="Times New Roman"/>
                <w:b/>
                <w:bCs/>
                <w:lang w:val="it-IT"/>
              </w:rPr>
              <w:t>INFORMAZIONI MINIME DA APPORRE SU BLISTER O STRIP</w:t>
            </w:r>
          </w:p>
          <w:p w14:paraId="5FF95C0B" w14:textId="77777777" w:rsidR="00782123" w:rsidRPr="00496684" w:rsidRDefault="00782123" w:rsidP="00C034DF">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BLISTERS</w:t>
            </w:r>
          </w:p>
        </w:tc>
      </w:tr>
    </w:tbl>
    <w:p w14:paraId="3033A911"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48E9C89E"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7375AA83" w14:textId="77777777" w:rsidTr="00C034DF">
        <w:tc>
          <w:tcPr>
            <w:tcW w:w="9546" w:type="dxa"/>
          </w:tcPr>
          <w:p w14:paraId="4BC22E43" w14:textId="77777777" w:rsidR="00782123" w:rsidRPr="00496684" w:rsidRDefault="00782123" w:rsidP="00C034D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t>DENOMINAZIONE DEL MEDICINALE</w:t>
            </w:r>
          </w:p>
        </w:tc>
      </w:tr>
    </w:tbl>
    <w:p w14:paraId="041B4C32" w14:textId="77777777" w:rsidR="00782123" w:rsidRPr="00496684" w:rsidRDefault="00782123" w:rsidP="00782123">
      <w:pPr>
        <w:autoSpaceDE w:val="0"/>
        <w:autoSpaceDN w:val="0"/>
        <w:adjustRightInd w:val="0"/>
        <w:spacing w:after="0" w:line="240" w:lineRule="auto"/>
        <w:rPr>
          <w:rFonts w:ascii="Times New Roman" w:hAnsi="Times New Roman"/>
          <w:b/>
          <w:bCs/>
          <w:lang w:val="it-IT"/>
        </w:rPr>
      </w:pPr>
    </w:p>
    <w:p w14:paraId="2646BD28" w14:textId="77777777" w:rsidR="00782123"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50 mg capsule</w:t>
      </w:r>
    </w:p>
    <w:p w14:paraId="02D37AB5" w14:textId="77777777" w:rsidR="00782123" w:rsidRPr="00496684" w:rsidRDefault="004C1D1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782123" w:rsidRPr="00496684">
        <w:rPr>
          <w:rFonts w:ascii="Times New Roman" w:hAnsi="Times New Roman"/>
          <w:lang w:val="it-IT"/>
        </w:rPr>
        <w:t>matinib</w:t>
      </w:r>
    </w:p>
    <w:p w14:paraId="061716B3"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3ECE7333"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00F562B4" w14:textId="77777777" w:rsidTr="00C034DF">
        <w:tc>
          <w:tcPr>
            <w:tcW w:w="9546" w:type="dxa"/>
          </w:tcPr>
          <w:p w14:paraId="11262F68" w14:textId="77777777" w:rsidR="00782123" w:rsidRPr="00496684" w:rsidRDefault="00782123" w:rsidP="00C034DF">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NOME DEL TITOLARE DELL’AUTORIZZAZIONE ALL’IMMISSIONE IN   COMMERCIO</w:t>
            </w:r>
          </w:p>
        </w:tc>
      </w:tr>
    </w:tbl>
    <w:p w14:paraId="60D85686"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667C494A" w14:textId="77777777" w:rsidR="00782123"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logo]</w:t>
      </w:r>
    </w:p>
    <w:p w14:paraId="491495CA"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35C35487"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769D26FF" w14:textId="77777777" w:rsidTr="00C034DF">
        <w:tc>
          <w:tcPr>
            <w:tcW w:w="9546" w:type="dxa"/>
          </w:tcPr>
          <w:p w14:paraId="218E9955" w14:textId="77777777" w:rsidR="00782123" w:rsidRPr="00496684" w:rsidRDefault="00782123" w:rsidP="00C034DF">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3.</w:t>
            </w:r>
            <w:r w:rsidRPr="00496684">
              <w:rPr>
                <w:rFonts w:ascii="Times New Roman" w:hAnsi="Times New Roman"/>
                <w:b/>
                <w:bCs/>
                <w:lang w:val="it-IT"/>
              </w:rPr>
              <w:tab/>
              <w:t>DATA DI SCADENZA</w:t>
            </w:r>
          </w:p>
        </w:tc>
      </w:tr>
    </w:tbl>
    <w:p w14:paraId="05EDEBAB"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1376A94F" w14:textId="77777777" w:rsidR="008A774D" w:rsidRPr="00496684" w:rsidRDefault="008A774D" w:rsidP="008A774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4A49F94A"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12ED7190"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07CF5ADB" w14:textId="77777777" w:rsidTr="00C034DF">
        <w:tc>
          <w:tcPr>
            <w:tcW w:w="9546" w:type="dxa"/>
          </w:tcPr>
          <w:p w14:paraId="3A2A6772" w14:textId="77777777" w:rsidR="00782123" w:rsidRPr="00496684" w:rsidRDefault="00782123" w:rsidP="00C034DF">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4.</w:t>
            </w:r>
            <w:r w:rsidRPr="00496684">
              <w:rPr>
                <w:rFonts w:ascii="Times New Roman" w:hAnsi="Times New Roman"/>
                <w:b/>
                <w:bCs/>
                <w:lang w:val="it-IT"/>
              </w:rPr>
              <w:tab/>
              <w:t>NUMERO DI LOTTO</w:t>
            </w:r>
          </w:p>
        </w:tc>
      </w:tr>
    </w:tbl>
    <w:p w14:paraId="38DD4040"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1AF6B609" w14:textId="77777777" w:rsidR="00782123"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w:t>
      </w:r>
    </w:p>
    <w:p w14:paraId="05B2487F"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2393DFB8"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70D2A9D4" w14:textId="77777777" w:rsidTr="00C034DF">
        <w:tc>
          <w:tcPr>
            <w:tcW w:w="9546" w:type="dxa"/>
          </w:tcPr>
          <w:p w14:paraId="7AFA566E" w14:textId="77777777" w:rsidR="00782123" w:rsidRPr="00496684" w:rsidRDefault="00782123" w:rsidP="00C034DF">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5.</w:t>
            </w:r>
            <w:r w:rsidRPr="00496684">
              <w:rPr>
                <w:rFonts w:ascii="Times New Roman" w:hAnsi="Times New Roman"/>
                <w:b/>
                <w:bCs/>
                <w:lang w:val="it-IT"/>
              </w:rPr>
              <w:tab/>
              <w:t>ALTRO</w:t>
            </w:r>
          </w:p>
        </w:tc>
      </w:tr>
    </w:tbl>
    <w:p w14:paraId="5CCA0B32"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4E1C6DA2"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33A6ABFB" w14:textId="77777777" w:rsidR="00782123"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p w14:paraId="1C2084A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49CE2AAD" w14:textId="77777777" w:rsidTr="00DF593A">
        <w:tc>
          <w:tcPr>
            <w:tcW w:w="9546" w:type="dxa"/>
          </w:tcPr>
          <w:p w14:paraId="268D53DB" w14:textId="77777777" w:rsidR="00DF593A" w:rsidRPr="00496684" w:rsidRDefault="00DF593A" w:rsidP="00DF593A">
            <w:pPr>
              <w:suppressAutoHyphens/>
              <w:rPr>
                <w:rFonts w:ascii="Times New Roman" w:hAnsi="Times New Roman"/>
                <w:b/>
                <w:bCs/>
                <w:lang w:val="it-IT"/>
              </w:rPr>
            </w:pPr>
            <w:r w:rsidRPr="00496684">
              <w:rPr>
                <w:rFonts w:ascii="Times New Roman" w:hAnsi="Times New Roman"/>
                <w:b/>
                <w:bCs/>
                <w:lang w:val="it-IT"/>
              </w:rPr>
              <w:t>INFORMAZIONI MINIME DA APPORRE SU BLISTER O STRIP</w:t>
            </w:r>
          </w:p>
          <w:p w14:paraId="16D6CEF4"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BLISTERS</w:t>
            </w:r>
          </w:p>
        </w:tc>
      </w:tr>
    </w:tbl>
    <w:p w14:paraId="054805F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71A9E4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9B39FBD" w14:textId="77777777" w:rsidTr="00DF593A">
        <w:tc>
          <w:tcPr>
            <w:tcW w:w="9546" w:type="dxa"/>
          </w:tcPr>
          <w:p w14:paraId="13366B00"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t>DENOMINAZIONE DEL MEDICINALE</w:t>
            </w:r>
          </w:p>
        </w:tc>
      </w:tr>
    </w:tbl>
    <w:p w14:paraId="6B03ED19"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p>
    <w:p w14:paraId="10ABD750"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capsule</w:t>
      </w:r>
    </w:p>
    <w:p w14:paraId="2B6FDC06" w14:textId="77777777" w:rsidR="00DF593A" w:rsidRPr="00496684" w:rsidRDefault="004C1D13"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DF593A" w:rsidRPr="00496684">
        <w:rPr>
          <w:rFonts w:ascii="Times New Roman" w:hAnsi="Times New Roman"/>
          <w:lang w:val="it-IT"/>
        </w:rPr>
        <w:t>matinib</w:t>
      </w:r>
    </w:p>
    <w:p w14:paraId="7D58A25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C593E2C"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69F9F569" w14:textId="77777777" w:rsidTr="00DF593A">
        <w:tc>
          <w:tcPr>
            <w:tcW w:w="9546" w:type="dxa"/>
          </w:tcPr>
          <w:p w14:paraId="16B2F1FB"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NOME DEL TITOLARE DELL’AUTORIZZAZIONE ALL’IMMISSIONE IN   COMMERCIO</w:t>
            </w:r>
          </w:p>
        </w:tc>
      </w:tr>
    </w:tbl>
    <w:p w14:paraId="3548A512"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EF17AE8"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logo]</w:t>
      </w:r>
    </w:p>
    <w:p w14:paraId="5104E82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44BF4A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46D1EEB6" w14:textId="77777777" w:rsidTr="00DF593A">
        <w:tc>
          <w:tcPr>
            <w:tcW w:w="9546" w:type="dxa"/>
          </w:tcPr>
          <w:p w14:paraId="30F51FCE"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3.</w:t>
            </w:r>
            <w:r w:rsidRPr="00496684">
              <w:rPr>
                <w:rFonts w:ascii="Times New Roman" w:hAnsi="Times New Roman"/>
                <w:b/>
                <w:bCs/>
                <w:lang w:val="it-IT"/>
              </w:rPr>
              <w:tab/>
              <w:t>DATA DI SCADENZA</w:t>
            </w:r>
          </w:p>
        </w:tc>
      </w:tr>
    </w:tbl>
    <w:p w14:paraId="7EBFA3E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8FF51A0" w14:textId="77777777" w:rsidR="008A774D" w:rsidRPr="00496684" w:rsidRDefault="008A774D" w:rsidP="008A774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15EB1AE7"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773D71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2AC517F" w14:textId="77777777" w:rsidTr="00DF593A">
        <w:tc>
          <w:tcPr>
            <w:tcW w:w="9546" w:type="dxa"/>
          </w:tcPr>
          <w:p w14:paraId="320FC95A"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4.</w:t>
            </w:r>
            <w:r w:rsidRPr="00496684">
              <w:rPr>
                <w:rFonts w:ascii="Times New Roman" w:hAnsi="Times New Roman"/>
                <w:b/>
                <w:bCs/>
                <w:lang w:val="it-IT"/>
              </w:rPr>
              <w:tab/>
              <w:t>NUMERO DI LOTTO</w:t>
            </w:r>
          </w:p>
        </w:tc>
      </w:tr>
    </w:tbl>
    <w:p w14:paraId="47BF39C5"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E182318"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w:t>
      </w:r>
    </w:p>
    <w:p w14:paraId="4F07121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D4E6D1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6657B3ED" w14:textId="77777777" w:rsidTr="00DF593A">
        <w:tc>
          <w:tcPr>
            <w:tcW w:w="9546" w:type="dxa"/>
          </w:tcPr>
          <w:p w14:paraId="24BC4960"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5.</w:t>
            </w:r>
            <w:r w:rsidRPr="00496684">
              <w:rPr>
                <w:rFonts w:ascii="Times New Roman" w:hAnsi="Times New Roman"/>
                <w:b/>
                <w:bCs/>
                <w:lang w:val="it-IT"/>
              </w:rPr>
              <w:tab/>
              <w:t>ALTRO</w:t>
            </w:r>
          </w:p>
        </w:tc>
      </w:tr>
    </w:tbl>
    <w:p w14:paraId="4D9E72F3"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2ACA4A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43656DE" w14:textId="77777777" w:rsidR="0013265B" w:rsidRPr="00496684" w:rsidRDefault="00BC4F48"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p w14:paraId="73AF4A34"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0B2C0050" w14:textId="77777777" w:rsidTr="002E0756">
        <w:tc>
          <w:tcPr>
            <w:tcW w:w="9546" w:type="dxa"/>
          </w:tcPr>
          <w:p w14:paraId="26BE98A4" w14:textId="77777777" w:rsidR="0013265B" w:rsidRPr="00496684" w:rsidRDefault="0013265B" w:rsidP="002E0756">
            <w:pPr>
              <w:suppressAutoHyphens/>
              <w:rPr>
                <w:rFonts w:ascii="Times New Roman" w:hAnsi="Times New Roman"/>
                <w:b/>
                <w:bCs/>
                <w:lang w:val="it-IT"/>
              </w:rPr>
            </w:pPr>
            <w:r w:rsidRPr="00496684">
              <w:rPr>
                <w:rFonts w:ascii="Times New Roman" w:hAnsi="Times New Roman"/>
                <w:b/>
                <w:bCs/>
                <w:lang w:val="it-IT"/>
              </w:rPr>
              <w:t>INFORMAZIONI MINIME DA APPORRE SU BLISTER O STRIP</w:t>
            </w:r>
          </w:p>
          <w:p w14:paraId="78F286D8"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BLISTERS</w:t>
            </w:r>
          </w:p>
        </w:tc>
      </w:tr>
    </w:tbl>
    <w:p w14:paraId="3214A9A5"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DBCFBB3"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44D1ABA4" w14:textId="77777777" w:rsidTr="002E0756">
        <w:tc>
          <w:tcPr>
            <w:tcW w:w="9546" w:type="dxa"/>
          </w:tcPr>
          <w:p w14:paraId="3610FD49" w14:textId="77777777" w:rsidR="0013265B" w:rsidRPr="00496684" w:rsidRDefault="0013265B" w:rsidP="002E075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t>DENOMINAZIONE DEL MEDICINALE</w:t>
            </w:r>
          </w:p>
        </w:tc>
      </w:tr>
    </w:tbl>
    <w:p w14:paraId="3AB28F6A"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p>
    <w:p w14:paraId="6F34B15E"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capsule</w:t>
      </w:r>
    </w:p>
    <w:p w14:paraId="53855783" w14:textId="77777777" w:rsidR="0013265B" w:rsidRPr="00496684" w:rsidRDefault="004C1D13"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13265B" w:rsidRPr="00496684">
        <w:rPr>
          <w:rFonts w:ascii="Times New Roman" w:hAnsi="Times New Roman"/>
          <w:lang w:val="it-IT"/>
        </w:rPr>
        <w:t>matinib</w:t>
      </w:r>
    </w:p>
    <w:p w14:paraId="3D7B19E0"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69C85AF"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6F7B0513" w14:textId="77777777" w:rsidTr="002E0756">
        <w:tc>
          <w:tcPr>
            <w:tcW w:w="9546" w:type="dxa"/>
          </w:tcPr>
          <w:p w14:paraId="2DC16637" w14:textId="77777777" w:rsidR="0013265B" w:rsidRPr="00496684" w:rsidRDefault="0013265B" w:rsidP="002E0756">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NOME DEL TITOLARE DELL’AUTORIZZAZIONE ALL’IMMISSIONE IN   COMMERCIO</w:t>
            </w:r>
          </w:p>
        </w:tc>
      </w:tr>
    </w:tbl>
    <w:p w14:paraId="5D7E937A"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BEC869C"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logo]</w:t>
      </w:r>
    </w:p>
    <w:p w14:paraId="1BF4FFF7"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210C72C9"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07E32DA1" w14:textId="77777777" w:rsidTr="002E0756">
        <w:tc>
          <w:tcPr>
            <w:tcW w:w="9546" w:type="dxa"/>
          </w:tcPr>
          <w:p w14:paraId="759C4A81"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3.</w:t>
            </w:r>
            <w:r w:rsidRPr="00496684">
              <w:rPr>
                <w:rFonts w:ascii="Times New Roman" w:hAnsi="Times New Roman"/>
                <w:b/>
                <w:bCs/>
                <w:lang w:val="it-IT"/>
              </w:rPr>
              <w:tab/>
              <w:t>DATA DI SCADENZA</w:t>
            </w:r>
          </w:p>
        </w:tc>
      </w:tr>
    </w:tbl>
    <w:p w14:paraId="315A2938"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AEC17DE"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7E5C8745"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EBE6A5D"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580F321C" w14:textId="77777777" w:rsidTr="002E0756">
        <w:tc>
          <w:tcPr>
            <w:tcW w:w="9546" w:type="dxa"/>
          </w:tcPr>
          <w:p w14:paraId="2A0334D9"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4.</w:t>
            </w:r>
            <w:r w:rsidRPr="00496684">
              <w:rPr>
                <w:rFonts w:ascii="Times New Roman" w:hAnsi="Times New Roman"/>
                <w:b/>
                <w:bCs/>
                <w:lang w:val="it-IT"/>
              </w:rPr>
              <w:tab/>
              <w:t>NUMERO DI LOTTO</w:t>
            </w:r>
          </w:p>
        </w:tc>
      </w:tr>
    </w:tbl>
    <w:p w14:paraId="5A024EBC"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25937816"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w:t>
      </w:r>
    </w:p>
    <w:p w14:paraId="2572AC26"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B430492"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3265B" w:rsidRPr="00496684" w14:paraId="1DEE68E9" w14:textId="77777777" w:rsidTr="002E0756">
        <w:tc>
          <w:tcPr>
            <w:tcW w:w="9546" w:type="dxa"/>
          </w:tcPr>
          <w:p w14:paraId="15133BEB" w14:textId="77777777" w:rsidR="0013265B" w:rsidRPr="00496684" w:rsidRDefault="0013265B" w:rsidP="002E0756">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5.</w:t>
            </w:r>
            <w:r w:rsidRPr="00496684">
              <w:rPr>
                <w:rFonts w:ascii="Times New Roman" w:hAnsi="Times New Roman"/>
                <w:b/>
                <w:bCs/>
                <w:lang w:val="it-IT"/>
              </w:rPr>
              <w:tab/>
              <w:t>ALTRO</w:t>
            </w:r>
          </w:p>
        </w:tc>
      </w:tr>
    </w:tbl>
    <w:p w14:paraId="5E3B7182" w14:textId="77777777" w:rsidR="00BC4F48" w:rsidRPr="00496684" w:rsidRDefault="0013265B"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7E21FD7B" w14:textId="77777777" w:rsidTr="00697C6E">
        <w:tc>
          <w:tcPr>
            <w:tcW w:w="9546" w:type="dxa"/>
          </w:tcPr>
          <w:p w14:paraId="297E7147" w14:textId="77777777" w:rsidR="00BC4F48" w:rsidRPr="00496684" w:rsidRDefault="00697D94" w:rsidP="00697C6E">
            <w:pPr>
              <w:autoSpaceDE w:val="0"/>
              <w:autoSpaceDN w:val="0"/>
              <w:adjustRightInd w:val="0"/>
              <w:spacing w:after="0" w:line="240" w:lineRule="auto"/>
              <w:rPr>
                <w:b/>
                <w:lang w:val="it-IT"/>
              </w:rPr>
            </w:pPr>
            <w:r w:rsidRPr="00496684">
              <w:rPr>
                <w:rFonts w:ascii="Times New Roman" w:hAnsi="Times New Roman"/>
                <w:b/>
                <w:bCs/>
                <w:lang w:val="it-IT"/>
              </w:rPr>
              <w:t xml:space="preserve">INFORMAZIONI DA APPORRE SUL CONFEZIONAMENTO SECONDARIO  </w:t>
            </w:r>
          </w:p>
          <w:p w14:paraId="72CC7D97" w14:textId="77777777" w:rsidR="00697D94" w:rsidRPr="00496684" w:rsidRDefault="00697D94" w:rsidP="00697C6E">
            <w:pPr>
              <w:autoSpaceDE w:val="0"/>
              <w:autoSpaceDN w:val="0"/>
              <w:adjustRightInd w:val="0"/>
              <w:spacing w:after="0" w:line="240" w:lineRule="auto"/>
              <w:rPr>
                <w:rFonts w:ascii="Times New Roman" w:hAnsi="Times New Roman"/>
                <w:bCs/>
                <w:lang w:val="it-IT"/>
              </w:rPr>
            </w:pPr>
          </w:p>
          <w:p w14:paraId="29FB1107" w14:textId="77777777" w:rsidR="00BC4F48" w:rsidRPr="00496684" w:rsidRDefault="00BC4F48" w:rsidP="00697C6E">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CARTON</w:t>
            </w:r>
            <w:r w:rsidR="00697D94" w:rsidRPr="00496684">
              <w:rPr>
                <w:rFonts w:ascii="Times New Roman" w:hAnsi="Times New Roman"/>
                <w:b/>
                <w:bCs/>
                <w:lang w:val="it-IT"/>
              </w:rPr>
              <w:t>E</w:t>
            </w:r>
          </w:p>
          <w:p w14:paraId="1FC90719" w14:textId="77777777" w:rsidR="00BC4F48" w:rsidRPr="00496684" w:rsidRDefault="00BC4F48" w:rsidP="00697C6E">
            <w:pPr>
              <w:autoSpaceDE w:val="0"/>
              <w:autoSpaceDN w:val="0"/>
              <w:adjustRightInd w:val="0"/>
              <w:spacing w:after="0" w:line="240" w:lineRule="auto"/>
              <w:rPr>
                <w:rFonts w:ascii="Times New Roman" w:hAnsi="Times New Roman"/>
                <w:lang w:val="it-IT"/>
              </w:rPr>
            </w:pPr>
          </w:p>
        </w:tc>
      </w:tr>
    </w:tbl>
    <w:p w14:paraId="790648BF"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0121CB57" w14:textId="77777777" w:rsidR="00BC4F48" w:rsidRPr="00496684" w:rsidRDefault="00BC4F48" w:rsidP="00BC4F48">
      <w:pPr>
        <w:autoSpaceDE w:val="0"/>
        <w:autoSpaceDN w:val="0"/>
        <w:adjustRightInd w:val="0"/>
        <w:spacing w:after="0" w:line="240" w:lineRule="auto"/>
        <w:rPr>
          <w:rFonts w:ascii="Times New Roman" w:hAnsi="Times New Roman"/>
          <w:b/>
          <w:bCs/>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10214BD7" w14:textId="77777777" w:rsidTr="00697C6E">
        <w:tc>
          <w:tcPr>
            <w:tcW w:w="9546" w:type="dxa"/>
          </w:tcPr>
          <w:p w14:paraId="08827724" w14:textId="77777777" w:rsidR="00BC4F48" w:rsidRPr="00496684" w:rsidRDefault="00BC4F48" w:rsidP="00697C6E">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r>
            <w:r w:rsidR="00697D94" w:rsidRPr="00496684">
              <w:rPr>
                <w:rFonts w:ascii="Times New Roman" w:hAnsi="Times New Roman"/>
                <w:b/>
                <w:bCs/>
                <w:lang w:val="it-IT"/>
              </w:rPr>
              <w:t>DENOMINAZIONE DEL MEDICINALE</w:t>
            </w:r>
          </w:p>
        </w:tc>
      </w:tr>
    </w:tbl>
    <w:p w14:paraId="68673914"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5B059EC6" w14:textId="77777777" w:rsidR="00BC4F48" w:rsidRPr="00496684" w:rsidRDefault="00BC4F48"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Imatinib Actavis 100 mg </w:t>
      </w:r>
      <w:r w:rsidR="00697D94" w:rsidRPr="00496684">
        <w:rPr>
          <w:rFonts w:ascii="Times New Roman" w:hAnsi="Times New Roman"/>
          <w:lang w:val="it-IT"/>
        </w:rPr>
        <w:t>compresse rivestite con film</w:t>
      </w:r>
    </w:p>
    <w:p w14:paraId="01A906AC" w14:textId="77777777" w:rsidR="00BC4F48" w:rsidRPr="00496684" w:rsidRDefault="004C1D13"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BC4F48" w:rsidRPr="00496684">
        <w:rPr>
          <w:rFonts w:ascii="Times New Roman" w:hAnsi="Times New Roman"/>
          <w:lang w:val="it-IT"/>
        </w:rPr>
        <w:t>matinib</w:t>
      </w:r>
    </w:p>
    <w:p w14:paraId="4C71A7CF"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3F3F9A4D"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127EDF37" w14:textId="77777777" w:rsidTr="00697C6E">
        <w:tc>
          <w:tcPr>
            <w:tcW w:w="9546" w:type="dxa"/>
          </w:tcPr>
          <w:p w14:paraId="060F42B5" w14:textId="77777777" w:rsidR="00BC4F48" w:rsidRPr="00496684" w:rsidRDefault="00BC4F48" w:rsidP="00697D94">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r>
            <w:r w:rsidR="00697D94" w:rsidRPr="00496684">
              <w:rPr>
                <w:rFonts w:ascii="Times New Roman" w:hAnsi="Times New Roman"/>
                <w:b/>
                <w:bCs/>
                <w:lang w:val="it-IT"/>
              </w:rPr>
              <w:t>COMPOSIZIONE QUALITATIVA E QUANTITATIVA IN TERMINI DI PRINCIPIO(I) ATTIVO(I)</w:t>
            </w:r>
          </w:p>
        </w:tc>
      </w:tr>
    </w:tbl>
    <w:p w14:paraId="28460312"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20F084F6" w14:textId="77777777" w:rsidR="00697D94" w:rsidRPr="00496684" w:rsidRDefault="00697D94" w:rsidP="00697D94">
      <w:pPr>
        <w:pStyle w:val="Text"/>
        <w:widowControl w:val="0"/>
        <w:spacing w:before="0"/>
        <w:rPr>
          <w:sz w:val="22"/>
          <w:szCs w:val="22"/>
          <w:lang w:val="it-IT"/>
        </w:rPr>
      </w:pPr>
      <w:r w:rsidRPr="00496684">
        <w:rPr>
          <w:sz w:val="22"/>
          <w:szCs w:val="22"/>
          <w:lang w:val="it-IT"/>
        </w:rPr>
        <w:t>Ogni compressa rivestita con film contiene 100 mg di imatinib (come mesilato).</w:t>
      </w:r>
    </w:p>
    <w:p w14:paraId="4629866B" w14:textId="77777777" w:rsidR="00697D94" w:rsidRPr="00496684" w:rsidRDefault="00697D94" w:rsidP="00697D94">
      <w:pPr>
        <w:pStyle w:val="Text"/>
        <w:widowControl w:val="0"/>
        <w:spacing w:before="0"/>
        <w:rPr>
          <w:sz w:val="22"/>
          <w:szCs w:val="22"/>
          <w:lang w:val="it-IT"/>
        </w:rPr>
      </w:pPr>
    </w:p>
    <w:p w14:paraId="4216816D"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08102815" w14:textId="77777777" w:rsidTr="00697C6E">
        <w:tc>
          <w:tcPr>
            <w:tcW w:w="9546" w:type="dxa"/>
          </w:tcPr>
          <w:p w14:paraId="7470022B" w14:textId="77777777" w:rsidR="00BC4F48" w:rsidRPr="00496684" w:rsidRDefault="00BC4F48" w:rsidP="00697C6E">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r>
            <w:r w:rsidR="00697D94" w:rsidRPr="00496684">
              <w:rPr>
                <w:rFonts w:ascii="Times New Roman" w:hAnsi="Times New Roman"/>
                <w:b/>
                <w:bCs/>
                <w:lang w:val="it-IT"/>
              </w:rPr>
              <w:t>ELENCO DEGLI ECCIPIENTI</w:t>
            </w:r>
          </w:p>
        </w:tc>
      </w:tr>
    </w:tbl>
    <w:p w14:paraId="6EDE55DD" w14:textId="77777777" w:rsidR="00BC4F48" w:rsidRPr="00496684" w:rsidRDefault="00BC4F48" w:rsidP="00BC4F48">
      <w:pPr>
        <w:autoSpaceDE w:val="0"/>
        <w:autoSpaceDN w:val="0"/>
        <w:adjustRightInd w:val="0"/>
        <w:spacing w:after="0" w:line="240" w:lineRule="auto"/>
        <w:rPr>
          <w:rFonts w:ascii="Times New Roman" w:hAnsi="Times New Roman"/>
          <w:b/>
          <w:bCs/>
          <w:lang w:val="it-IT"/>
        </w:rPr>
      </w:pPr>
    </w:p>
    <w:p w14:paraId="6290EDE1" w14:textId="77777777" w:rsidR="00BC4F48" w:rsidRPr="00496684" w:rsidRDefault="00697D94" w:rsidP="00BC4F48">
      <w:pPr>
        <w:autoSpaceDE w:val="0"/>
        <w:autoSpaceDN w:val="0"/>
        <w:adjustRightInd w:val="0"/>
        <w:spacing w:after="0" w:line="240" w:lineRule="auto"/>
        <w:rPr>
          <w:rFonts w:ascii="Times New Roman" w:hAnsi="Times New Roman"/>
          <w:bCs/>
          <w:lang w:val="it-IT"/>
        </w:rPr>
      </w:pPr>
      <w:r w:rsidRPr="00496684">
        <w:rPr>
          <w:rFonts w:ascii="Times New Roman" w:hAnsi="Times New Roman"/>
          <w:lang w:val="it-IT"/>
        </w:rPr>
        <w:t>Contiene</w:t>
      </w:r>
      <w:r w:rsidR="00BC4F48" w:rsidRPr="00496684">
        <w:rPr>
          <w:rFonts w:ascii="Times New Roman" w:hAnsi="Times New Roman"/>
          <w:bCs/>
          <w:lang w:val="it-IT"/>
        </w:rPr>
        <w:t xml:space="preserve"> lecitin</w:t>
      </w:r>
      <w:r w:rsidRPr="00496684">
        <w:rPr>
          <w:rFonts w:ascii="Times New Roman" w:hAnsi="Times New Roman"/>
          <w:bCs/>
          <w:lang w:val="it-IT"/>
        </w:rPr>
        <w:t>a (soi</w:t>
      </w:r>
      <w:r w:rsidR="00BC4F48" w:rsidRPr="00496684">
        <w:rPr>
          <w:rFonts w:ascii="Times New Roman" w:hAnsi="Times New Roman"/>
          <w:bCs/>
          <w:lang w:val="it-IT"/>
        </w:rPr>
        <w:t>a) (E322).</w:t>
      </w:r>
    </w:p>
    <w:p w14:paraId="6D02AE79" w14:textId="77777777" w:rsidR="00BC4F48" w:rsidRPr="00496684" w:rsidRDefault="00E13BA7"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Vedere</w:t>
      </w:r>
      <w:r w:rsidR="00697D94" w:rsidRPr="00496684">
        <w:rPr>
          <w:rFonts w:ascii="Times New Roman" w:hAnsi="Times New Roman"/>
          <w:lang w:val="it-IT"/>
        </w:rPr>
        <w:t xml:space="preserve"> il foglio illustrativo per ulteriori informazioni</w:t>
      </w:r>
    </w:p>
    <w:p w14:paraId="1AEC3AB7"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7395418A" w14:textId="77777777" w:rsidR="00EE1F8A" w:rsidRPr="00496684" w:rsidRDefault="00EE1F8A"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63DBB0A5" w14:textId="77777777" w:rsidTr="00697C6E">
        <w:tc>
          <w:tcPr>
            <w:tcW w:w="9546" w:type="dxa"/>
          </w:tcPr>
          <w:p w14:paraId="40003AC7" w14:textId="77777777" w:rsidR="00BC4F48" w:rsidRPr="00496684" w:rsidRDefault="00BC4F48" w:rsidP="00697C6E">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00697D94" w:rsidRPr="00496684">
              <w:rPr>
                <w:rFonts w:ascii="Times New Roman" w:hAnsi="Times New Roman"/>
                <w:b/>
                <w:bCs/>
                <w:lang w:val="it-IT"/>
              </w:rPr>
              <w:t>FORMA FARMACEUTICA E CONTENUTO</w:t>
            </w:r>
          </w:p>
        </w:tc>
      </w:tr>
    </w:tbl>
    <w:p w14:paraId="7E14874C" w14:textId="77777777" w:rsidR="00BC4F48" w:rsidRPr="00496684" w:rsidRDefault="00BC4F48" w:rsidP="00BC4F48">
      <w:pPr>
        <w:autoSpaceDE w:val="0"/>
        <w:autoSpaceDN w:val="0"/>
        <w:adjustRightInd w:val="0"/>
        <w:spacing w:after="0" w:line="240" w:lineRule="auto"/>
        <w:rPr>
          <w:rFonts w:ascii="Times New Roman" w:hAnsi="Times New Roman"/>
          <w:b/>
          <w:bCs/>
          <w:lang w:val="it-IT"/>
        </w:rPr>
      </w:pPr>
    </w:p>
    <w:p w14:paraId="74977B3F" w14:textId="77777777" w:rsidR="00BC4F48" w:rsidRPr="00496684" w:rsidRDefault="00BC4F48" w:rsidP="00BC4F48">
      <w:pPr>
        <w:pStyle w:val="KeinLeerraum"/>
        <w:rPr>
          <w:rFonts w:ascii="Times New Roman" w:hAnsi="Times New Roman"/>
          <w:lang w:val="it-IT"/>
        </w:rPr>
      </w:pPr>
      <w:r w:rsidRPr="00496684">
        <w:rPr>
          <w:rFonts w:ascii="Times New Roman" w:hAnsi="Times New Roman"/>
          <w:lang w:val="it-IT"/>
        </w:rPr>
        <w:t xml:space="preserve">10  </w:t>
      </w:r>
      <w:r w:rsidR="00697D94" w:rsidRPr="00496684">
        <w:rPr>
          <w:rFonts w:ascii="Times New Roman" w:hAnsi="Times New Roman"/>
          <w:lang w:val="it-IT"/>
        </w:rPr>
        <w:t>compresse</w:t>
      </w:r>
      <w:r w:rsidR="005553D4" w:rsidRPr="00496684">
        <w:rPr>
          <w:rFonts w:ascii="Times New Roman" w:hAnsi="Times New Roman"/>
          <w:lang w:val="it-IT"/>
        </w:rPr>
        <w:t xml:space="preserve"> rivestite con film</w:t>
      </w:r>
    </w:p>
    <w:p w14:paraId="72601DD7" w14:textId="77777777" w:rsidR="00BC4F48" w:rsidRPr="00496684" w:rsidRDefault="00BC4F48" w:rsidP="00BC4F48">
      <w:pPr>
        <w:pStyle w:val="KeinLeerraum"/>
        <w:rPr>
          <w:rFonts w:ascii="Times New Roman" w:hAnsi="Times New Roman"/>
          <w:highlight w:val="lightGray"/>
          <w:lang w:val="it-IT"/>
        </w:rPr>
      </w:pPr>
      <w:r w:rsidRPr="00496684">
        <w:rPr>
          <w:rFonts w:ascii="Times New Roman" w:hAnsi="Times New Roman"/>
          <w:highlight w:val="lightGray"/>
          <w:lang w:val="it-IT"/>
        </w:rPr>
        <w:t>20 </w:t>
      </w:r>
      <w:r w:rsidR="00697D94" w:rsidRPr="00496684">
        <w:rPr>
          <w:rFonts w:ascii="Times New Roman" w:hAnsi="Times New Roman"/>
          <w:highlight w:val="lightGray"/>
          <w:lang w:val="it-IT"/>
        </w:rPr>
        <w:t>compresse</w:t>
      </w:r>
      <w:r w:rsidR="005553D4" w:rsidRPr="00496684">
        <w:rPr>
          <w:rFonts w:ascii="Times New Roman" w:hAnsi="Times New Roman"/>
          <w:lang w:val="it-IT"/>
        </w:rPr>
        <w:t xml:space="preserve"> rivestite con film</w:t>
      </w:r>
    </w:p>
    <w:p w14:paraId="6C65A7FB" w14:textId="77777777" w:rsidR="00BC4F48" w:rsidRPr="00496684" w:rsidRDefault="00BC4F48" w:rsidP="00BC4F48">
      <w:pPr>
        <w:pStyle w:val="KeinLeerraum"/>
        <w:rPr>
          <w:rFonts w:ascii="Times New Roman" w:hAnsi="Times New Roman"/>
          <w:highlight w:val="lightGray"/>
          <w:lang w:val="it-IT"/>
        </w:rPr>
      </w:pPr>
      <w:r w:rsidRPr="00496684">
        <w:rPr>
          <w:rFonts w:ascii="Times New Roman" w:hAnsi="Times New Roman"/>
          <w:highlight w:val="lightGray"/>
          <w:lang w:val="it-IT"/>
        </w:rPr>
        <w:t xml:space="preserve">30  </w:t>
      </w:r>
      <w:r w:rsidR="00697D94" w:rsidRPr="00496684">
        <w:rPr>
          <w:rFonts w:ascii="Times New Roman" w:hAnsi="Times New Roman"/>
          <w:highlight w:val="lightGray"/>
          <w:lang w:val="it-IT"/>
        </w:rPr>
        <w:t>compresse</w:t>
      </w:r>
      <w:r w:rsidR="005553D4" w:rsidRPr="00496684">
        <w:rPr>
          <w:rFonts w:ascii="Times New Roman" w:hAnsi="Times New Roman"/>
          <w:lang w:val="it-IT"/>
        </w:rPr>
        <w:t xml:space="preserve"> rivestite con film</w:t>
      </w:r>
    </w:p>
    <w:p w14:paraId="12EA3129" w14:textId="77777777" w:rsidR="00BC4F48" w:rsidRPr="00496684" w:rsidRDefault="00BC4F48" w:rsidP="00BC4F48">
      <w:pPr>
        <w:pStyle w:val="KeinLeerraum"/>
        <w:rPr>
          <w:rFonts w:ascii="Times New Roman" w:hAnsi="Times New Roman"/>
          <w:highlight w:val="lightGray"/>
          <w:lang w:val="it-IT"/>
        </w:rPr>
      </w:pPr>
      <w:r w:rsidRPr="00496684">
        <w:rPr>
          <w:rFonts w:ascii="Times New Roman" w:hAnsi="Times New Roman"/>
          <w:highlight w:val="lightGray"/>
          <w:lang w:val="it-IT"/>
        </w:rPr>
        <w:t>60 </w:t>
      </w:r>
      <w:r w:rsidR="00697D94" w:rsidRPr="00496684">
        <w:rPr>
          <w:rFonts w:ascii="Times New Roman" w:hAnsi="Times New Roman"/>
          <w:highlight w:val="lightGray"/>
          <w:lang w:val="it-IT"/>
        </w:rPr>
        <w:t>compresse</w:t>
      </w:r>
      <w:r w:rsidR="005553D4" w:rsidRPr="00496684">
        <w:rPr>
          <w:rFonts w:ascii="Times New Roman" w:hAnsi="Times New Roman"/>
          <w:lang w:val="it-IT"/>
        </w:rPr>
        <w:t xml:space="preserve"> rivestite con film</w:t>
      </w:r>
    </w:p>
    <w:p w14:paraId="3D6CB7CE" w14:textId="77777777" w:rsidR="00BC4F48" w:rsidRPr="00496684" w:rsidRDefault="00BC4F48" w:rsidP="00BC4F48">
      <w:pPr>
        <w:pStyle w:val="KeinLeerraum"/>
        <w:rPr>
          <w:rFonts w:ascii="Times New Roman" w:hAnsi="Times New Roman"/>
          <w:highlight w:val="lightGray"/>
          <w:lang w:val="it-IT"/>
        </w:rPr>
      </w:pPr>
      <w:r w:rsidRPr="00496684">
        <w:rPr>
          <w:rFonts w:ascii="Times New Roman" w:hAnsi="Times New Roman"/>
          <w:highlight w:val="lightGray"/>
          <w:lang w:val="it-IT"/>
        </w:rPr>
        <w:t xml:space="preserve">90  </w:t>
      </w:r>
      <w:r w:rsidR="00697D94" w:rsidRPr="00496684">
        <w:rPr>
          <w:rFonts w:ascii="Times New Roman" w:hAnsi="Times New Roman"/>
          <w:highlight w:val="lightGray"/>
          <w:lang w:val="it-IT"/>
        </w:rPr>
        <w:t>compresse</w:t>
      </w:r>
      <w:r w:rsidR="005553D4" w:rsidRPr="00496684">
        <w:rPr>
          <w:rFonts w:ascii="Times New Roman" w:hAnsi="Times New Roman"/>
          <w:lang w:val="it-IT"/>
        </w:rPr>
        <w:t xml:space="preserve"> rivestite con film</w:t>
      </w:r>
    </w:p>
    <w:p w14:paraId="0ED41F5F" w14:textId="77777777" w:rsidR="00BC4F48" w:rsidRPr="00496684" w:rsidRDefault="00BC4F48" w:rsidP="00BC4F48">
      <w:pPr>
        <w:pStyle w:val="KeinLeerraum"/>
        <w:rPr>
          <w:rFonts w:ascii="Times New Roman" w:hAnsi="Times New Roman"/>
          <w:highlight w:val="lightGray"/>
          <w:lang w:val="it-IT"/>
        </w:rPr>
      </w:pPr>
      <w:r w:rsidRPr="00496684">
        <w:rPr>
          <w:rFonts w:ascii="Times New Roman" w:hAnsi="Times New Roman"/>
          <w:highlight w:val="lightGray"/>
          <w:lang w:val="it-IT"/>
        </w:rPr>
        <w:t xml:space="preserve">120  </w:t>
      </w:r>
      <w:r w:rsidR="00697D94" w:rsidRPr="00496684">
        <w:rPr>
          <w:rFonts w:ascii="Times New Roman" w:hAnsi="Times New Roman"/>
          <w:highlight w:val="lightGray"/>
          <w:lang w:val="it-IT"/>
        </w:rPr>
        <w:t>compresse</w:t>
      </w:r>
      <w:r w:rsidR="005553D4" w:rsidRPr="00496684">
        <w:rPr>
          <w:rFonts w:ascii="Times New Roman" w:hAnsi="Times New Roman"/>
          <w:lang w:val="it-IT"/>
        </w:rPr>
        <w:t xml:space="preserve"> rivestite con film</w:t>
      </w:r>
    </w:p>
    <w:p w14:paraId="7AC44890" w14:textId="77777777" w:rsidR="00BC4F48" w:rsidRPr="00496684" w:rsidRDefault="00BC4F48" w:rsidP="00BC4F48">
      <w:pPr>
        <w:pStyle w:val="KeinLeerraum"/>
        <w:rPr>
          <w:rFonts w:ascii="Times New Roman" w:hAnsi="Times New Roman"/>
          <w:lang w:val="it-IT"/>
        </w:rPr>
      </w:pPr>
      <w:r w:rsidRPr="00496684">
        <w:rPr>
          <w:rFonts w:ascii="Times New Roman" w:hAnsi="Times New Roman"/>
          <w:highlight w:val="lightGray"/>
          <w:lang w:val="it-IT"/>
        </w:rPr>
        <w:t xml:space="preserve">180  </w:t>
      </w:r>
      <w:r w:rsidR="00697D94" w:rsidRPr="00496684">
        <w:rPr>
          <w:rFonts w:ascii="Times New Roman" w:hAnsi="Times New Roman"/>
          <w:highlight w:val="lightGray"/>
          <w:lang w:val="it-IT"/>
        </w:rPr>
        <w:t>compresse</w:t>
      </w:r>
      <w:r w:rsidR="005553D4" w:rsidRPr="00496684">
        <w:rPr>
          <w:rFonts w:ascii="Times New Roman" w:hAnsi="Times New Roman"/>
          <w:lang w:val="it-IT"/>
        </w:rPr>
        <w:t xml:space="preserve"> rivestite con film</w:t>
      </w:r>
    </w:p>
    <w:p w14:paraId="5720C056"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1E7F7F2E" w14:textId="77777777" w:rsidR="00EE1F8A" w:rsidRPr="00496684" w:rsidRDefault="00EE1F8A"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32A4D84D" w14:textId="77777777" w:rsidTr="00697C6E">
        <w:tc>
          <w:tcPr>
            <w:tcW w:w="9546" w:type="dxa"/>
          </w:tcPr>
          <w:p w14:paraId="1C3EDCAF" w14:textId="77777777" w:rsidR="00BC4F48" w:rsidRPr="00496684" w:rsidRDefault="00BC4F48" w:rsidP="00AA7ABE">
            <w:pPr>
              <w:keepNext/>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00697D94" w:rsidRPr="00496684">
              <w:rPr>
                <w:rFonts w:ascii="Times New Roman" w:hAnsi="Times New Roman"/>
                <w:b/>
                <w:bCs/>
                <w:lang w:val="it-IT"/>
              </w:rPr>
              <w:t>MODO E VIA(E) DI SOMMINISTRAZIONE</w:t>
            </w:r>
          </w:p>
        </w:tc>
      </w:tr>
    </w:tbl>
    <w:p w14:paraId="790ADAAF" w14:textId="77777777" w:rsidR="00BC4F48" w:rsidRPr="00496684" w:rsidRDefault="00BC4F48" w:rsidP="00AA7ABE">
      <w:pPr>
        <w:keepNext/>
        <w:autoSpaceDE w:val="0"/>
        <w:autoSpaceDN w:val="0"/>
        <w:adjustRightInd w:val="0"/>
        <w:spacing w:after="0" w:line="240" w:lineRule="auto"/>
        <w:rPr>
          <w:rFonts w:ascii="Times New Roman" w:hAnsi="Times New Roman"/>
          <w:lang w:val="it-IT"/>
        </w:rPr>
      </w:pPr>
    </w:p>
    <w:p w14:paraId="30746E2D" w14:textId="77777777" w:rsidR="00BC4F48" w:rsidRPr="00496684" w:rsidRDefault="00697D94"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Uso orale</w:t>
      </w:r>
    </w:p>
    <w:p w14:paraId="7DB37EE6" w14:textId="77777777" w:rsidR="00697D94" w:rsidRPr="00496684" w:rsidRDefault="00697D94" w:rsidP="00AA7ABE">
      <w:pPr>
        <w:keepNext/>
        <w:suppressAutoHyphens/>
        <w:rPr>
          <w:rFonts w:ascii="Times New Roman" w:hAnsi="Times New Roman"/>
          <w:lang w:val="it-IT"/>
        </w:rPr>
      </w:pPr>
      <w:r w:rsidRPr="00496684">
        <w:rPr>
          <w:rFonts w:ascii="Times New Roman" w:hAnsi="Times New Roman"/>
          <w:lang w:val="it-IT"/>
        </w:rPr>
        <w:t>Leggere il foglio illustrativo prima dell’uso.</w:t>
      </w:r>
    </w:p>
    <w:p w14:paraId="6A18337D"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628A58EA" w14:textId="77777777" w:rsidTr="00697C6E">
        <w:tc>
          <w:tcPr>
            <w:tcW w:w="9546" w:type="dxa"/>
          </w:tcPr>
          <w:p w14:paraId="3D7C3F04" w14:textId="77777777" w:rsidR="00BC4F48" w:rsidRPr="00496684" w:rsidRDefault="00BC4F48"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00697D94" w:rsidRPr="00496684">
              <w:rPr>
                <w:rFonts w:ascii="Times New Roman" w:hAnsi="Times New Roman"/>
                <w:b/>
                <w:bCs/>
                <w:lang w:val="it-IT"/>
              </w:rPr>
              <w:t>AVVERTENZA PARTICOLARE CHE PRESCRIVA DI TENERE IL MEDICINALE FUORI DALLA VISTA E DALLA PORTATA DEI BAMBINI</w:t>
            </w:r>
          </w:p>
        </w:tc>
      </w:tr>
    </w:tbl>
    <w:p w14:paraId="7081E864" w14:textId="77777777" w:rsidR="00BC4F48" w:rsidRPr="00496684" w:rsidRDefault="00BC4F48" w:rsidP="00AA7ABE">
      <w:pPr>
        <w:keepNext/>
        <w:autoSpaceDE w:val="0"/>
        <w:autoSpaceDN w:val="0"/>
        <w:adjustRightInd w:val="0"/>
        <w:spacing w:after="0" w:line="240" w:lineRule="auto"/>
        <w:rPr>
          <w:rFonts w:ascii="Times New Roman" w:hAnsi="Times New Roman"/>
          <w:lang w:val="it-IT"/>
        </w:rPr>
      </w:pPr>
    </w:p>
    <w:p w14:paraId="42BD26EF" w14:textId="77777777" w:rsidR="00697D94" w:rsidRPr="00496684" w:rsidRDefault="00697D94" w:rsidP="00AA7ABE">
      <w:pPr>
        <w:keepNext/>
        <w:widowControl w:val="0"/>
        <w:rPr>
          <w:rFonts w:ascii="Times New Roman" w:hAnsi="Times New Roman"/>
          <w:lang w:val="it-IT"/>
        </w:rPr>
      </w:pPr>
      <w:r w:rsidRPr="00496684">
        <w:rPr>
          <w:rFonts w:ascii="Times New Roman" w:hAnsi="Times New Roman"/>
          <w:lang w:val="it-IT"/>
        </w:rPr>
        <w:t>Tenere fuori dalla vista e dalla portata dei bambini.</w:t>
      </w:r>
    </w:p>
    <w:p w14:paraId="6D8B7A29"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46C21250" w14:textId="77777777" w:rsidTr="00697C6E">
        <w:tc>
          <w:tcPr>
            <w:tcW w:w="9546" w:type="dxa"/>
          </w:tcPr>
          <w:p w14:paraId="1ADA60D9" w14:textId="77777777" w:rsidR="00BC4F48" w:rsidRPr="00496684" w:rsidRDefault="00BC4F48"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7.</w:t>
            </w:r>
            <w:r w:rsidRPr="00496684">
              <w:rPr>
                <w:rFonts w:ascii="Times New Roman" w:hAnsi="Times New Roman"/>
                <w:b/>
                <w:bCs/>
                <w:lang w:val="it-IT"/>
              </w:rPr>
              <w:tab/>
            </w:r>
            <w:r w:rsidR="00697D94" w:rsidRPr="00496684">
              <w:rPr>
                <w:rFonts w:ascii="Times New Roman" w:hAnsi="Times New Roman"/>
                <w:b/>
                <w:bCs/>
                <w:lang w:val="it-IT"/>
              </w:rPr>
              <w:t>ALTRA(E) AVVERTENZA(E) PARTICOLARE(I), SE NECESSARIO</w:t>
            </w:r>
          </w:p>
        </w:tc>
      </w:tr>
    </w:tbl>
    <w:p w14:paraId="1E456AB8" w14:textId="77777777" w:rsidR="00BC4F48" w:rsidRPr="00496684" w:rsidRDefault="00BC4F48" w:rsidP="00AA7ABE">
      <w:pPr>
        <w:keepNext/>
        <w:autoSpaceDE w:val="0"/>
        <w:autoSpaceDN w:val="0"/>
        <w:adjustRightInd w:val="0"/>
        <w:spacing w:after="0" w:line="240" w:lineRule="auto"/>
        <w:rPr>
          <w:rFonts w:ascii="Times New Roman" w:hAnsi="Times New Roman"/>
          <w:lang w:val="it-IT"/>
        </w:rPr>
      </w:pPr>
    </w:p>
    <w:p w14:paraId="681BDEA5" w14:textId="77777777" w:rsidR="00697D94" w:rsidRPr="00496684" w:rsidRDefault="00697D94" w:rsidP="00AA7ABE">
      <w:pPr>
        <w:pStyle w:val="Endnotentext"/>
        <w:keepNext/>
        <w:widowControl w:val="0"/>
        <w:tabs>
          <w:tab w:val="clear" w:pos="567"/>
        </w:tabs>
        <w:rPr>
          <w:szCs w:val="22"/>
          <w:lang w:val="it-IT"/>
        </w:rPr>
      </w:pPr>
      <w:r w:rsidRPr="00496684">
        <w:rPr>
          <w:szCs w:val="22"/>
          <w:lang w:val="it-IT"/>
        </w:rPr>
        <w:t>Utilizzare solo come prescritto dal medico.</w:t>
      </w:r>
    </w:p>
    <w:p w14:paraId="10395CED" w14:textId="77777777" w:rsidR="00BA41DC" w:rsidRPr="00496684" w:rsidRDefault="00BA41DC" w:rsidP="00BC4F48">
      <w:pPr>
        <w:autoSpaceDE w:val="0"/>
        <w:autoSpaceDN w:val="0"/>
        <w:adjustRightInd w:val="0"/>
        <w:spacing w:after="0" w:line="240" w:lineRule="auto"/>
        <w:rPr>
          <w:rFonts w:ascii="Times New Roman" w:hAnsi="Times New Roman"/>
          <w:b/>
          <w:lang w:val="it-IT"/>
        </w:rPr>
      </w:pPr>
    </w:p>
    <w:p w14:paraId="03AEA2AE" w14:textId="77777777" w:rsidR="00BA41DC" w:rsidRPr="00496684" w:rsidRDefault="00BA41DC"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67168B9A" w14:textId="77777777" w:rsidTr="00697C6E">
        <w:tc>
          <w:tcPr>
            <w:tcW w:w="9546" w:type="dxa"/>
          </w:tcPr>
          <w:p w14:paraId="5DA391A0" w14:textId="77777777" w:rsidR="00BC4F48" w:rsidRPr="00496684" w:rsidRDefault="00BC4F48"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8.</w:t>
            </w:r>
            <w:r w:rsidRPr="00496684">
              <w:rPr>
                <w:rFonts w:ascii="Times New Roman" w:hAnsi="Times New Roman"/>
                <w:b/>
                <w:bCs/>
                <w:lang w:val="it-IT"/>
              </w:rPr>
              <w:tab/>
            </w:r>
            <w:r w:rsidR="00697D94" w:rsidRPr="00496684">
              <w:rPr>
                <w:rFonts w:ascii="Times New Roman" w:hAnsi="Times New Roman"/>
                <w:b/>
                <w:bCs/>
                <w:lang w:val="it-IT"/>
              </w:rPr>
              <w:t>DATA DI SCADENZA</w:t>
            </w:r>
          </w:p>
        </w:tc>
      </w:tr>
    </w:tbl>
    <w:p w14:paraId="66F68309" w14:textId="77777777" w:rsidR="00BC4F48" w:rsidRPr="00496684" w:rsidRDefault="00BC4F48" w:rsidP="00AA7ABE">
      <w:pPr>
        <w:keepNext/>
        <w:autoSpaceDE w:val="0"/>
        <w:autoSpaceDN w:val="0"/>
        <w:adjustRightInd w:val="0"/>
        <w:spacing w:after="0" w:line="240" w:lineRule="auto"/>
        <w:rPr>
          <w:rFonts w:ascii="Times New Roman" w:hAnsi="Times New Roman"/>
          <w:lang w:val="it-IT"/>
        </w:rPr>
      </w:pPr>
    </w:p>
    <w:p w14:paraId="1A0DE649" w14:textId="77777777" w:rsidR="00BC4F48" w:rsidRPr="00496684" w:rsidRDefault="00697D94" w:rsidP="00AA7ABE">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22483538"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472E6FBF"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1FA3E64D" w14:textId="77777777" w:rsidTr="00697C6E">
        <w:tc>
          <w:tcPr>
            <w:tcW w:w="9546" w:type="dxa"/>
          </w:tcPr>
          <w:p w14:paraId="5B81DA63" w14:textId="77777777" w:rsidR="00BC4F48" w:rsidRPr="00496684" w:rsidRDefault="00BC4F48"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9.</w:t>
            </w:r>
            <w:r w:rsidRPr="00496684">
              <w:rPr>
                <w:rFonts w:ascii="Times New Roman" w:hAnsi="Times New Roman"/>
                <w:b/>
                <w:bCs/>
                <w:lang w:val="it-IT"/>
              </w:rPr>
              <w:tab/>
            </w:r>
            <w:r w:rsidR="00697D94" w:rsidRPr="00496684">
              <w:rPr>
                <w:rFonts w:ascii="Times New Roman" w:hAnsi="Times New Roman"/>
                <w:b/>
                <w:bCs/>
                <w:lang w:val="it-IT"/>
              </w:rPr>
              <w:t>PRECAUZIONI PARTICOLARI PER LA CONSERVAZIONE</w:t>
            </w:r>
          </w:p>
        </w:tc>
      </w:tr>
    </w:tbl>
    <w:p w14:paraId="6DC6E5BF" w14:textId="77777777" w:rsidR="00BC4F48" w:rsidRPr="00496684" w:rsidRDefault="00BC4F48" w:rsidP="00AA7ABE">
      <w:pPr>
        <w:keepNext/>
        <w:autoSpaceDE w:val="0"/>
        <w:autoSpaceDN w:val="0"/>
        <w:adjustRightInd w:val="0"/>
        <w:spacing w:after="0" w:line="240" w:lineRule="auto"/>
        <w:rPr>
          <w:rFonts w:ascii="Times New Roman" w:hAnsi="Times New Roman"/>
          <w:lang w:val="it-IT"/>
        </w:rPr>
      </w:pPr>
    </w:p>
    <w:p w14:paraId="0268BF0F" w14:textId="77777777" w:rsidR="00697D94" w:rsidRPr="00496684" w:rsidRDefault="00697D94" w:rsidP="00AA7ABE">
      <w:pPr>
        <w:pStyle w:val="Text"/>
        <w:keepNext/>
        <w:widowControl w:val="0"/>
        <w:spacing w:before="0"/>
        <w:jc w:val="left"/>
        <w:rPr>
          <w:sz w:val="22"/>
          <w:szCs w:val="22"/>
          <w:lang w:val="it-IT"/>
        </w:rPr>
      </w:pPr>
      <w:r w:rsidRPr="00496684">
        <w:rPr>
          <w:sz w:val="22"/>
          <w:szCs w:val="22"/>
          <w:lang w:val="it-IT"/>
        </w:rPr>
        <w:t>Non conservare a temperatura superiore ai 30</w:t>
      </w:r>
      <w:r w:rsidRPr="00496684">
        <w:rPr>
          <w:sz w:val="22"/>
          <w:szCs w:val="22"/>
          <w:lang w:val="it-IT"/>
        </w:rPr>
        <w:sym w:font="Symbol" w:char="F0B0"/>
      </w:r>
      <w:r w:rsidRPr="00496684">
        <w:rPr>
          <w:sz w:val="22"/>
          <w:szCs w:val="22"/>
          <w:lang w:val="it-IT"/>
        </w:rPr>
        <w:t xml:space="preserve">C. </w:t>
      </w:r>
    </w:p>
    <w:p w14:paraId="077660DE" w14:textId="77777777" w:rsidR="00697D94" w:rsidRPr="00496684" w:rsidRDefault="00697D94" w:rsidP="00AA7ABE">
      <w:pPr>
        <w:pStyle w:val="Text"/>
        <w:keepNext/>
        <w:widowControl w:val="0"/>
        <w:spacing w:before="0"/>
        <w:jc w:val="left"/>
        <w:rPr>
          <w:sz w:val="22"/>
          <w:szCs w:val="22"/>
          <w:lang w:val="it-IT"/>
        </w:rPr>
      </w:pPr>
      <w:r w:rsidRPr="00496684">
        <w:rPr>
          <w:sz w:val="22"/>
          <w:szCs w:val="22"/>
          <w:lang w:val="it-IT"/>
        </w:rPr>
        <w:t>Conservare nella confezione originale per proteggere il medicinale dall’umidità.</w:t>
      </w:r>
    </w:p>
    <w:p w14:paraId="636EE3E3"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302977FD"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3904BF4E" w14:textId="77777777" w:rsidTr="00697C6E">
        <w:tc>
          <w:tcPr>
            <w:tcW w:w="9546" w:type="dxa"/>
          </w:tcPr>
          <w:p w14:paraId="41ECEB1E" w14:textId="77777777" w:rsidR="00BC4F48" w:rsidRPr="00496684" w:rsidRDefault="00BC4F48" w:rsidP="00697C6E">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10.</w:t>
            </w:r>
            <w:r w:rsidRPr="00496684">
              <w:rPr>
                <w:rFonts w:ascii="Times New Roman" w:hAnsi="Times New Roman"/>
                <w:b/>
                <w:bCs/>
                <w:lang w:val="it-IT"/>
              </w:rPr>
              <w:tab/>
            </w:r>
            <w:r w:rsidR="00697D94" w:rsidRPr="00496684">
              <w:rPr>
                <w:rFonts w:ascii="Times New Roman" w:hAnsi="Times New Roman"/>
                <w:b/>
                <w:bCs/>
                <w:lang w:val="it-IT"/>
              </w:rPr>
              <w:t>PRECAUZIONI PARTICOLARI PER LO SMALTIMENTO DEL MEDICINALE NON UTILIZZATO O DEI RIFIUTI DERIVATI DA TALE MEDICINALE, SE NECESSARIO</w:t>
            </w:r>
          </w:p>
        </w:tc>
      </w:tr>
    </w:tbl>
    <w:p w14:paraId="062BF246"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5EFA2039"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3EB05344" w14:textId="77777777" w:rsidTr="00697C6E">
        <w:tc>
          <w:tcPr>
            <w:tcW w:w="9546" w:type="dxa"/>
          </w:tcPr>
          <w:p w14:paraId="3CB31EC5" w14:textId="77777777" w:rsidR="00BC4F48" w:rsidRPr="00496684" w:rsidRDefault="00BC4F48" w:rsidP="00697D94">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11.</w:t>
            </w:r>
            <w:r w:rsidRPr="00496684">
              <w:rPr>
                <w:rFonts w:ascii="Times New Roman" w:hAnsi="Times New Roman"/>
                <w:b/>
                <w:bCs/>
                <w:lang w:val="it-IT"/>
              </w:rPr>
              <w:tab/>
            </w:r>
            <w:r w:rsidR="00697D94" w:rsidRPr="00496684">
              <w:rPr>
                <w:rFonts w:ascii="Times New Roman" w:hAnsi="Times New Roman"/>
                <w:b/>
                <w:bCs/>
                <w:lang w:val="it-IT"/>
              </w:rPr>
              <w:t>NOME E INDIRIZZO DEL TITOLARE DELL’AUTORIZZAZIONE ALL’IMMISSIONE IN COMMERCIO</w:t>
            </w:r>
          </w:p>
        </w:tc>
      </w:tr>
    </w:tbl>
    <w:p w14:paraId="0D774088"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32F3594E" w14:textId="77777777" w:rsidR="00BC4F48" w:rsidRPr="00496684" w:rsidRDefault="00BC4F48"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3CB5CC25" w14:textId="77777777" w:rsidR="00BC4F48" w:rsidRPr="00496684" w:rsidRDefault="00782123"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220 </w:t>
      </w:r>
      <w:r w:rsidR="00BC4F48" w:rsidRPr="00496684">
        <w:rPr>
          <w:rFonts w:ascii="Times New Roman" w:hAnsi="Times New Roman"/>
          <w:lang w:val="it-IT"/>
        </w:rPr>
        <w:t>Hafnarfjörður</w:t>
      </w:r>
    </w:p>
    <w:p w14:paraId="256573DF" w14:textId="77777777" w:rsidR="00BC4F48" w:rsidRPr="00496684" w:rsidRDefault="00BC4F48"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697D94" w:rsidRPr="00496684">
        <w:rPr>
          <w:rFonts w:ascii="Times New Roman" w:hAnsi="Times New Roman"/>
          <w:lang w:val="it-IT"/>
        </w:rPr>
        <w:t>slanda</w:t>
      </w:r>
    </w:p>
    <w:p w14:paraId="401AEFFA"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64752BF9"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69C03B6D" w14:textId="77777777" w:rsidTr="00697C6E">
        <w:tc>
          <w:tcPr>
            <w:tcW w:w="9546" w:type="dxa"/>
          </w:tcPr>
          <w:p w14:paraId="7E24EDB5" w14:textId="77777777" w:rsidR="00BC4F48" w:rsidRPr="00496684" w:rsidRDefault="00BC4F48" w:rsidP="00697D94">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12.</w:t>
            </w:r>
            <w:r w:rsidRPr="00496684">
              <w:rPr>
                <w:rFonts w:ascii="Times New Roman" w:hAnsi="Times New Roman"/>
                <w:b/>
                <w:bCs/>
                <w:lang w:val="it-IT"/>
              </w:rPr>
              <w:tab/>
            </w:r>
            <w:r w:rsidR="00697D94" w:rsidRPr="00496684">
              <w:rPr>
                <w:rFonts w:ascii="Times New Roman" w:hAnsi="Times New Roman"/>
                <w:b/>
                <w:bCs/>
                <w:lang w:val="it-IT"/>
              </w:rPr>
              <w:t>NUMERO(I) DELL’AUTORIZZAZIONE ALL’IMMISSIONE IN COMMERCIO</w:t>
            </w:r>
          </w:p>
        </w:tc>
      </w:tr>
    </w:tbl>
    <w:p w14:paraId="0EB4BC69"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46ACCCA1"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lang w:val="pt-BR"/>
        </w:rPr>
        <w:t xml:space="preserve">EU/1/13/825/008 </w:t>
      </w:r>
      <w:r w:rsidRPr="00666899">
        <w:rPr>
          <w:rFonts w:ascii="Times New Roman" w:hAnsi="Times New Roman"/>
          <w:highlight w:val="lightGray"/>
          <w:lang w:val="pt-BR"/>
        </w:rPr>
        <w:t xml:space="preserve">10  </w:t>
      </w:r>
      <w:r w:rsidR="00C51644" w:rsidRPr="00666899">
        <w:rPr>
          <w:rFonts w:ascii="Times New Roman" w:hAnsi="Times New Roman"/>
          <w:highlight w:val="lightGray"/>
          <w:lang w:val="pt-BR"/>
        </w:rPr>
        <w:t>compresse</w:t>
      </w:r>
    </w:p>
    <w:p w14:paraId="6E331713"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highlight w:val="lightGray"/>
          <w:lang w:val="pt-BR"/>
        </w:rPr>
        <w:t xml:space="preserve">EU/1/13/825/009 20  </w:t>
      </w:r>
      <w:r w:rsidR="00C51644" w:rsidRPr="00666899">
        <w:rPr>
          <w:rFonts w:ascii="Times New Roman" w:hAnsi="Times New Roman"/>
          <w:highlight w:val="lightGray"/>
          <w:lang w:val="pt-BR"/>
        </w:rPr>
        <w:t>compresse</w:t>
      </w:r>
    </w:p>
    <w:p w14:paraId="390924E5"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highlight w:val="lightGray"/>
          <w:lang w:val="pt-BR"/>
        </w:rPr>
        <w:t xml:space="preserve">EU/1/13/825/010 30  </w:t>
      </w:r>
      <w:r w:rsidR="00C51644" w:rsidRPr="00666899">
        <w:rPr>
          <w:rFonts w:ascii="Times New Roman" w:hAnsi="Times New Roman"/>
          <w:highlight w:val="lightGray"/>
          <w:lang w:val="pt-BR"/>
        </w:rPr>
        <w:t>compresse</w:t>
      </w:r>
    </w:p>
    <w:p w14:paraId="2ED93BBC"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highlight w:val="lightGray"/>
          <w:lang w:val="pt-BR"/>
        </w:rPr>
        <w:t xml:space="preserve">EU/1/13/825/011 60  </w:t>
      </w:r>
      <w:r w:rsidR="00C51644" w:rsidRPr="00666899">
        <w:rPr>
          <w:rFonts w:ascii="Times New Roman" w:hAnsi="Times New Roman"/>
          <w:highlight w:val="lightGray"/>
          <w:lang w:val="pt-BR"/>
        </w:rPr>
        <w:t>compresse</w:t>
      </w:r>
    </w:p>
    <w:p w14:paraId="5ED56D44"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highlight w:val="lightGray"/>
          <w:lang w:val="pt-BR"/>
        </w:rPr>
        <w:t xml:space="preserve">EU/1/13/825/012 90  </w:t>
      </w:r>
      <w:r w:rsidR="00C51644" w:rsidRPr="00666899">
        <w:rPr>
          <w:rFonts w:ascii="Times New Roman" w:hAnsi="Times New Roman"/>
          <w:highlight w:val="lightGray"/>
          <w:lang w:val="pt-BR"/>
        </w:rPr>
        <w:t>compresse</w:t>
      </w:r>
    </w:p>
    <w:p w14:paraId="3CCDBEF7"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highlight w:val="lightGray"/>
          <w:lang w:val="pt-BR"/>
        </w:rPr>
        <w:t xml:space="preserve">EU/1/13/825/013 120  </w:t>
      </w:r>
      <w:r w:rsidR="00C51644" w:rsidRPr="00666899">
        <w:rPr>
          <w:rFonts w:ascii="Times New Roman" w:hAnsi="Times New Roman"/>
          <w:highlight w:val="lightGray"/>
          <w:lang w:val="pt-BR"/>
        </w:rPr>
        <w:t>compresse</w:t>
      </w:r>
    </w:p>
    <w:p w14:paraId="3C23EDD6" w14:textId="77777777" w:rsidR="00BC4F48" w:rsidRPr="00496684" w:rsidRDefault="00766B31" w:rsidP="00766B31">
      <w:pPr>
        <w:autoSpaceDE w:val="0"/>
        <w:autoSpaceDN w:val="0"/>
        <w:adjustRightInd w:val="0"/>
        <w:spacing w:after="0" w:line="240" w:lineRule="auto"/>
        <w:rPr>
          <w:rFonts w:ascii="Times New Roman" w:hAnsi="Times New Roman"/>
          <w:lang w:val="it-IT"/>
        </w:rPr>
      </w:pPr>
      <w:r w:rsidRPr="00496684">
        <w:rPr>
          <w:rFonts w:ascii="Times New Roman" w:hAnsi="Times New Roman"/>
          <w:highlight w:val="lightGray"/>
          <w:lang w:val="it-IT"/>
        </w:rPr>
        <w:t xml:space="preserve">EU/1/13/825/014 180  </w:t>
      </w:r>
      <w:r w:rsidR="00C51644" w:rsidRPr="00496684">
        <w:rPr>
          <w:rFonts w:ascii="Times New Roman" w:hAnsi="Times New Roman"/>
          <w:highlight w:val="lightGray"/>
          <w:lang w:val="it-IT"/>
        </w:rPr>
        <w:t>compresse</w:t>
      </w:r>
      <w:r w:rsidR="00C51644" w:rsidRPr="00496684" w:rsidDel="00766B31">
        <w:rPr>
          <w:rFonts w:ascii="Times New Roman" w:hAnsi="Times New Roman"/>
          <w:lang w:val="it-IT"/>
        </w:rPr>
        <w:t xml:space="preserve"> </w:t>
      </w:r>
    </w:p>
    <w:p w14:paraId="4967F7FE"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34A1AF87"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21841873" w14:textId="77777777" w:rsidTr="00697C6E">
        <w:tc>
          <w:tcPr>
            <w:tcW w:w="9546" w:type="dxa"/>
          </w:tcPr>
          <w:p w14:paraId="39D7A93B" w14:textId="77777777" w:rsidR="00BC4F48" w:rsidRPr="00496684" w:rsidRDefault="00BC4F48" w:rsidP="00697D94">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13.</w:t>
            </w:r>
            <w:r w:rsidRPr="00496684">
              <w:rPr>
                <w:rFonts w:ascii="Times New Roman" w:hAnsi="Times New Roman"/>
                <w:b/>
                <w:bCs/>
                <w:lang w:val="it-IT"/>
              </w:rPr>
              <w:tab/>
            </w:r>
            <w:r w:rsidR="00697D94" w:rsidRPr="00496684">
              <w:rPr>
                <w:rFonts w:ascii="Times New Roman" w:hAnsi="Times New Roman"/>
                <w:b/>
                <w:bCs/>
                <w:lang w:val="it-IT"/>
              </w:rPr>
              <w:t>NUMERO DI LOTTO</w:t>
            </w:r>
          </w:p>
        </w:tc>
      </w:tr>
    </w:tbl>
    <w:p w14:paraId="63AAA959"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252FB6AA" w14:textId="77777777" w:rsidR="00BC4F48" w:rsidRPr="00496684" w:rsidRDefault="00BC4F48" w:rsidP="00BC4F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w:t>
      </w:r>
      <w:r w:rsidR="00697D94" w:rsidRPr="00496684">
        <w:rPr>
          <w:rFonts w:ascii="Times New Roman" w:hAnsi="Times New Roman"/>
          <w:lang w:val="it-IT"/>
        </w:rPr>
        <w:t>to</w:t>
      </w:r>
    </w:p>
    <w:p w14:paraId="327F70D9"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5E190D8C"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0F89D990" w14:textId="77777777" w:rsidTr="00697C6E">
        <w:tc>
          <w:tcPr>
            <w:tcW w:w="9546" w:type="dxa"/>
          </w:tcPr>
          <w:p w14:paraId="0229901A" w14:textId="77777777" w:rsidR="00BC4F48" w:rsidRPr="00496684" w:rsidRDefault="00BC4F48" w:rsidP="00697D94">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14.</w:t>
            </w:r>
            <w:r w:rsidRPr="00496684">
              <w:rPr>
                <w:rFonts w:ascii="Times New Roman" w:hAnsi="Times New Roman"/>
                <w:b/>
                <w:bCs/>
                <w:lang w:val="it-IT"/>
              </w:rPr>
              <w:tab/>
            </w:r>
            <w:r w:rsidR="00697D94" w:rsidRPr="00496684">
              <w:rPr>
                <w:rFonts w:ascii="Times New Roman" w:hAnsi="Times New Roman"/>
                <w:b/>
                <w:bCs/>
                <w:lang w:val="it-IT"/>
              </w:rPr>
              <w:t>CONDIZIONE GENERALE DI FORNITURA</w:t>
            </w:r>
          </w:p>
        </w:tc>
      </w:tr>
    </w:tbl>
    <w:p w14:paraId="366C31EC" w14:textId="77777777" w:rsidR="00BC4F48" w:rsidRPr="00496684" w:rsidRDefault="00BC4F48" w:rsidP="00BC4F48">
      <w:pPr>
        <w:autoSpaceDE w:val="0"/>
        <w:autoSpaceDN w:val="0"/>
        <w:adjustRightInd w:val="0"/>
        <w:spacing w:after="0" w:line="240" w:lineRule="auto"/>
        <w:rPr>
          <w:rFonts w:ascii="Times New Roman" w:hAnsi="Times New Roman"/>
          <w:lang w:val="it-IT"/>
        </w:rPr>
      </w:pPr>
    </w:p>
    <w:p w14:paraId="6FC3F596"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6FC6F14E" w14:textId="77777777" w:rsidTr="00697C6E">
        <w:tc>
          <w:tcPr>
            <w:tcW w:w="9546" w:type="dxa"/>
          </w:tcPr>
          <w:p w14:paraId="4BB166F0" w14:textId="77777777" w:rsidR="00BC4F48" w:rsidRPr="00496684" w:rsidRDefault="00BC4F48" w:rsidP="00AA7ABE">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15.</w:t>
            </w:r>
            <w:r w:rsidRPr="00496684">
              <w:rPr>
                <w:rFonts w:ascii="Times New Roman" w:hAnsi="Times New Roman"/>
                <w:b/>
                <w:bCs/>
                <w:lang w:val="it-IT"/>
              </w:rPr>
              <w:tab/>
            </w:r>
            <w:r w:rsidR="00697D94" w:rsidRPr="00496684">
              <w:rPr>
                <w:rFonts w:ascii="Times New Roman" w:hAnsi="Times New Roman"/>
                <w:b/>
                <w:bCs/>
                <w:lang w:val="it-IT"/>
              </w:rPr>
              <w:t>ISTRUZIONI PER L’USO</w:t>
            </w:r>
          </w:p>
        </w:tc>
      </w:tr>
    </w:tbl>
    <w:p w14:paraId="3E2441A9" w14:textId="77777777" w:rsidR="00BC4F48" w:rsidRPr="00496684" w:rsidRDefault="00BC4F48" w:rsidP="00AA7ABE">
      <w:pPr>
        <w:keepNext/>
        <w:autoSpaceDE w:val="0"/>
        <w:autoSpaceDN w:val="0"/>
        <w:adjustRightInd w:val="0"/>
        <w:spacing w:after="0" w:line="240" w:lineRule="auto"/>
        <w:rPr>
          <w:rFonts w:ascii="Times New Roman" w:hAnsi="Times New Roman"/>
          <w:lang w:val="it-IT"/>
        </w:rPr>
      </w:pPr>
    </w:p>
    <w:p w14:paraId="0FF7C1D8" w14:textId="77777777" w:rsidR="00BC4F48" w:rsidRPr="00496684" w:rsidRDefault="00BC4F48" w:rsidP="00BC4F48">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BC4F48" w:rsidRPr="00496684" w14:paraId="1FA64E3B" w14:textId="77777777" w:rsidTr="00697C6E">
        <w:tc>
          <w:tcPr>
            <w:tcW w:w="9546" w:type="dxa"/>
          </w:tcPr>
          <w:p w14:paraId="2ED43FF4" w14:textId="77777777" w:rsidR="00BC4F48" w:rsidRPr="00496684" w:rsidRDefault="00BC4F48" w:rsidP="00496684">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16.</w:t>
            </w:r>
            <w:r w:rsidRPr="00496684">
              <w:rPr>
                <w:rFonts w:ascii="Times New Roman" w:hAnsi="Times New Roman"/>
                <w:b/>
                <w:bCs/>
                <w:lang w:val="it-IT"/>
              </w:rPr>
              <w:tab/>
            </w:r>
            <w:r w:rsidR="00697D94" w:rsidRPr="00496684">
              <w:rPr>
                <w:rFonts w:ascii="Times New Roman" w:hAnsi="Times New Roman"/>
                <w:b/>
                <w:bCs/>
                <w:lang w:val="it-IT"/>
              </w:rPr>
              <w:t>INFORMAZIONI IN BRAILLE</w:t>
            </w:r>
          </w:p>
        </w:tc>
      </w:tr>
    </w:tbl>
    <w:p w14:paraId="38895BA6" w14:textId="77777777" w:rsidR="00496684" w:rsidRDefault="00496684" w:rsidP="00496684">
      <w:pPr>
        <w:keepNext/>
        <w:autoSpaceDE w:val="0"/>
        <w:autoSpaceDN w:val="0"/>
        <w:adjustRightInd w:val="0"/>
        <w:spacing w:after="0" w:line="240" w:lineRule="auto"/>
        <w:rPr>
          <w:rFonts w:ascii="Times New Roman" w:hAnsi="Times New Roman"/>
          <w:lang w:val="it-IT"/>
        </w:rPr>
      </w:pPr>
    </w:p>
    <w:p w14:paraId="4A13F810" w14:textId="77777777" w:rsidR="00BC4F48" w:rsidRPr="00496684" w:rsidRDefault="00BC4F48" w:rsidP="00496684">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w:t>
      </w:r>
    </w:p>
    <w:p w14:paraId="7B20545A" w14:textId="77777777" w:rsidR="0016108A" w:rsidRPr="00496684" w:rsidRDefault="0016108A" w:rsidP="00BC4F48">
      <w:pPr>
        <w:keepNext/>
        <w:autoSpaceDE w:val="0"/>
        <w:autoSpaceDN w:val="0"/>
        <w:adjustRightInd w:val="0"/>
        <w:spacing w:after="0" w:line="240" w:lineRule="auto"/>
        <w:rPr>
          <w:rFonts w:ascii="Times New Roman" w:hAnsi="Times New Roman"/>
          <w:lang w:val="it-IT"/>
        </w:rPr>
      </w:pPr>
    </w:p>
    <w:p w14:paraId="2250F908" w14:textId="77777777" w:rsidR="0016108A" w:rsidRPr="00496684" w:rsidRDefault="0016108A" w:rsidP="00AA7ABE">
      <w:pPr>
        <w:widowControl w:val="0"/>
        <w:autoSpaceDE w:val="0"/>
        <w:autoSpaceDN w:val="0"/>
        <w:adjustRightInd w:val="0"/>
        <w:spacing w:after="0" w:line="240" w:lineRule="auto"/>
        <w:rPr>
          <w:rFonts w:ascii="Times New Roman" w:hAnsi="Times New Roman"/>
          <w:lang w:val="it-IT"/>
        </w:rPr>
      </w:pPr>
    </w:p>
    <w:p w14:paraId="176E76F5" w14:textId="77777777" w:rsidR="0091712F" w:rsidRPr="00496684" w:rsidRDefault="0091712F" w:rsidP="00AA7ABE">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17.      IDENTIFICATIVO UNICO –CODICE A BARRE BIDIMENSIONALE</w:t>
      </w:r>
    </w:p>
    <w:p w14:paraId="03D660AF" w14:textId="77777777" w:rsidR="0091712F" w:rsidRPr="00496684" w:rsidRDefault="004776A3" w:rsidP="00AA7ABE">
      <w:pPr>
        <w:keepNext/>
        <w:spacing w:line="240" w:lineRule="auto"/>
        <w:rPr>
          <w:rFonts w:ascii="Times New Roman" w:hAnsi="Times New Roman"/>
          <w:shd w:val="pct15" w:color="auto" w:fill="auto"/>
          <w:lang w:val="it-IT"/>
        </w:rPr>
      </w:pPr>
      <w:r w:rsidRPr="00496684">
        <w:rPr>
          <w:rFonts w:ascii="Times New Roman" w:hAnsi="Times New Roman"/>
          <w:shd w:val="pct15" w:color="auto" w:fill="auto"/>
          <w:lang w:val="it-IT"/>
        </w:rPr>
        <w:t>&lt;Codice a barre bidimensionale con identificativo unico incluso.&gt;</w:t>
      </w:r>
    </w:p>
    <w:p w14:paraId="5247DE95" w14:textId="77777777" w:rsidR="000629AD" w:rsidRPr="00496684" w:rsidRDefault="000629AD" w:rsidP="0091712F">
      <w:pPr>
        <w:spacing w:line="240" w:lineRule="auto"/>
        <w:rPr>
          <w:b/>
          <w:noProof/>
          <w:lang w:val="it-IT"/>
        </w:rPr>
      </w:pPr>
    </w:p>
    <w:p w14:paraId="2A32DF22" w14:textId="77777777" w:rsidR="0091712F" w:rsidRPr="00496684" w:rsidRDefault="0091712F" w:rsidP="00AA7ABE">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18.      IDENTIFICATIVO UNICO – DATI LEGGIBILI</w:t>
      </w:r>
    </w:p>
    <w:p w14:paraId="7CA6EF7E" w14:textId="15FB9FB2" w:rsidR="004776A3" w:rsidRPr="00496684" w:rsidRDefault="004776A3" w:rsidP="00AA7ABE">
      <w:pPr>
        <w:keepNext/>
        <w:widowControl w:val="0"/>
        <w:tabs>
          <w:tab w:val="left" w:pos="720"/>
        </w:tabs>
        <w:spacing w:after="0" w:line="240" w:lineRule="auto"/>
        <w:rPr>
          <w:rFonts w:ascii="Times New Roman" w:eastAsia="Times New Roman" w:hAnsi="Times New Roman"/>
          <w:lang w:val="it-IT"/>
        </w:rPr>
      </w:pPr>
      <w:r w:rsidRPr="00496684">
        <w:rPr>
          <w:rFonts w:ascii="Times New Roman" w:hAnsi="Times New Roman"/>
          <w:lang w:val="it-IT"/>
        </w:rPr>
        <w:t xml:space="preserve">PC </w:t>
      </w:r>
      <w:r w:rsidRPr="00496684">
        <w:rPr>
          <w:rFonts w:ascii="Times New Roman" w:eastAsia="Times New Roman" w:hAnsi="Times New Roman"/>
          <w:lang w:val="it-IT"/>
        </w:rPr>
        <w:t>{numero}</w:t>
      </w:r>
    </w:p>
    <w:p w14:paraId="2B3EB44E" w14:textId="712A3498" w:rsidR="004776A3" w:rsidRPr="00496684" w:rsidRDefault="004776A3" w:rsidP="00AA7ABE">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 xml:space="preserve">SN </w:t>
      </w:r>
      <w:r w:rsidRPr="00496684">
        <w:rPr>
          <w:rFonts w:ascii="Times New Roman" w:eastAsia="Times New Roman" w:hAnsi="Times New Roman"/>
          <w:lang w:val="it-IT"/>
        </w:rPr>
        <w:t>{numero}</w:t>
      </w:r>
    </w:p>
    <w:p w14:paraId="1F97CDCF" w14:textId="7B30AF9D" w:rsidR="004776A3" w:rsidRPr="00496684" w:rsidRDefault="004776A3" w:rsidP="00AA7ABE">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 xml:space="preserve">NN </w:t>
      </w:r>
      <w:r w:rsidRPr="00496684">
        <w:rPr>
          <w:rFonts w:ascii="Times New Roman" w:eastAsia="Times New Roman" w:hAnsi="Times New Roman"/>
          <w:lang w:val="it-IT"/>
        </w:rPr>
        <w:t>{numero}</w:t>
      </w:r>
    </w:p>
    <w:p w14:paraId="1DBF3DE4" w14:textId="77777777" w:rsidR="00DF593A" w:rsidRPr="00496684" w:rsidRDefault="00BC4F48"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198AA375" w14:textId="77777777" w:rsidTr="00DF593A">
        <w:tc>
          <w:tcPr>
            <w:tcW w:w="9546" w:type="dxa"/>
          </w:tcPr>
          <w:p w14:paraId="4CB61670" w14:textId="77777777" w:rsidR="00DF593A" w:rsidRPr="00496684" w:rsidRDefault="00DF593A" w:rsidP="00DF593A">
            <w:pPr>
              <w:autoSpaceDE w:val="0"/>
              <w:autoSpaceDN w:val="0"/>
              <w:adjustRightInd w:val="0"/>
              <w:spacing w:after="0" w:line="240" w:lineRule="auto"/>
              <w:rPr>
                <w:b/>
                <w:lang w:val="it-IT"/>
              </w:rPr>
            </w:pPr>
            <w:r w:rsidRPr="00496684">
              <w:rPr>
                <w:rFonts w:ascii="Times New Roman" w:hAnsi="Times New Roman"/>
                <w:b/>
                <w:bCs/>
                <w:lang w:val="it-IT"/>
              </w:rPr>
              <w:t xml:space="preserve">INFORMAZIONI DA APPORRE SUL CONFEZIONAMENTO SECONDARIO  </w:t>
            </w:r>
          </w:p>
          <w:p w14:paraId="0087B2E3"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p>
          <w:p w14:paraId="70E66D07"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CARTONE</w:t>
            </w:r>
          </w:p>
          <w:p w14:paraId="52F19915"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c>
      </w:tr>
    </w:tbl>
    <w:p w14:paraId="76AD7766"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7CA7139"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74DEEE69" w14:textId="77777777" w:rsidTr="00DF593A">
        <w:tc>
          <w:tcPr>
            <w:tcW w:w="9546" w:type="dxa"/>
          </w:tcPr>
          <w:p w14:paraId="2C668A93"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t>DENOMINAZIONE DEL MEDICINALE</w:t>
            </w:r>
          </w:p>
        </w:tc>
      </w:tr>
    </w:tbl>
    <w:p w14:paraId="276D1726"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F1DE0F4"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compresse rivestite con film</w:t>
      </w:r>
    </w:p>
    <w:p w14:paraId="584BA371" w14:textId="77777777" w:rsidR="00DF593A" w:rsidRPr="00496684" w:rsidRDefault="004C1D13"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DF593A" w:rsidRPr="00496684">
        <w:rPr>
          <w:rFonts w:ascii="Times New Roman" w:hAnsi="Times New Roman"/>
          <w:lang w:val="it-IT"/>
        </w:rPr>
        <w:t>matinib</w:t>
      </w:r>
    </w:p>
    <w:p w14:paraId="68CA05B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94AD56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4C35CADE" w14:textId="77777777" w:rsidTr="00DF593A">
        <w:tc>
          <w:tcPr>
            <w:tcW w:w="9546" w:type="dxa"/>
          </w:tcPr>
          <w:p w14:paraId="36EA0E5D"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COMPOSIZIONE QUALITATIVA E QUANTITATIVA IN TERMINI DI PRINCIPIO(I) ATTIVO(I)</w:t>
            </w:r>
          </w:p>
        </w:tc>
      </w:tr>
    </w:tbl>
    <w:p w14:paraId="46B4929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869ADCA" w14:textId="77777777" w:rsidR="00DF593A" w:rsidRPr="00496684" w:rsidRDefault="00DF593A" w:rsidP="00DF593A">
      <w:pPr>
        <w:pStyle w:val="Text"/>
        <w:widowControl w:val="0"/>
        <w:spacing w:before="0"/>
        <w:rPr>
          <w:sz w:val="22"/>
          <w:szCs w:val="22"/>
          <w:lang w:val="it-IT"/>
        </w:rPr>
      </w:pPr>
      <w:r w:rsidRPr="00496684">
        <w:rPr>
          <w:sz w:val="22"/>
          <w:szCs w:val="22"/>
          <w:lang w:val="it-IT"/>
        </w:rPr>
        <w:t>Ogni compressa rivestita con film contiene 400 mg di imatinib (come mesilato).</w:t>
      </w:r>
    </w:p>
    <w:p w14:paraId="293CD190" w14:textId="77777777" w:rsidR="00DF593A" w:rsidRPr="00496684" w:rsidRDefault="00DF593A" w:rsidP="00DF593A">
      <w:pPr>
        <w:pStyle w:val="Text"/>
        <w:widowControl w:val="0"/>
        <w:spacing w:before="0"/>
        <w:rPr>
          <w:sz w:val="22"/>
          <w:szCs w:val="22"/>
          <w:lang w:val="it-IT"/>
        </w:rPr>
      </w:pPr>
    </w:p>
    <w:p w14:paraId="1D40371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6373F416" w14:textId="77777777" w:rsidTr="00DF593A">
        <w:tc>
          <w:tcPr>
            <w:tcW w:w="9546" w:type="dxa"/>
          </w:tcPr>
          <w:p w14:paraId="438F170C"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t>ELENCO DEGLI ECCIPIENTI</w:t>
            </w:r>
          </w:p>
        </w:tc>
      </w:tr>
    </w:tbl>
    <w:p w14:paraId="7267C9D4"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p>
    <w:p w14:paraId="12B6C20E"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r w:rsidRPr="00496684">
        <w:rPr>
          <w:rFonts w:ascii="Times New Roman" w:hAnsi="Times New Roman"/>
          <w:lang w:val="it-IT"/>
        </w:rPr>
        <w:t>Contiene</w:t>
      </w:r>
      <w:r w:rsidRPr="00496684">
        <w:rPr>
          <w:rFonts w:ascii="Times New Roman" w:hAnsi="Times New Roman"/>
          <w:bCs/>
          <w:lang w:val="it-IT"/>
        </w:rPr>
        <w:t xml:space="preserve"> lecitina (soia) (E322).</w:t>
      </w:r>
    </w:p>
    <w:p w14:paraId="083F4644"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Vedere il foglio illustrativo per ulteriori informazioni</w:t>
      </w:r>
    </w:p>
    <w:p w14:paraId="7E775480"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2F19C60"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0E05CA8" w14:textId="77777777" w:rsidTr="00DF593A">
        <w:tc>
          <w:tcPr>
            <w:tcW w:w="9546" w:type="dxa"/>
          </w:tcPr>
          <w:p w14:paraId="4A08DBAD"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t>FORMA FARMACEUTICA E CONTENUTO</w:t>
            </w:r>
          </w:p>
        </w:tc>
      </w:tr>
    </w:tbl>
    <w:p w14:paraId="4A4F6695" w14:textId="77777777" w:rsidR="00DF593A" w:rsidRPr="00496684" w:rsidRDefault="00DF593A" w:rsidP="00DF593A">
      <w:pPr>
        <w:pStyle w:val="KeinLeerraum"/>
        <w:rPr>
          <w:rFonts w:ascii="Times New Roman" w:hAnsi="Times New Roman"/>
          <w:lang w:val="it-IT"/>
        </w:rPr>
      </w:pPr>
    </w:p>
    <w:p w14:paraId="631F3BE4" w14:textId="77777777" w:rsidR="00DF593A" w:rsidRPr="00496684" w:rsidRDefault="00DF593A" w:rsidP="00DF593A">
      <w:pPr>
        <w:pStyle w:val="KeinLeerraum"/>
        <w:rPr>
          <w:rFonts w:ascii="Times New Roman" w:hAnsi="Times New Roman"/>
          <w:lang w:val="it-IT"/>
        </w:rPr>
      </w:pPr>
      <w:r w:rsidRPr="00496684">
        <w:rPr>
          <w:rFonts w:ascii="Times New Roman" w:hAnsi="Times New Roman"/>
          <w:lang w:val="it-IT"/>
        </w:rPr>
        <w:t>10  compresse</w:t>
      </w:r>
      <w:r w:rsidR="005553D4" w:rsidRPr="00496684">
        <w:rPr>
          <w:rFonts w:ascii="Times New Roman" w:hAnsi="Times New Roman"/>
          <w:lang w:val="it-IT"/>
        </w:rPr>
        <w:t xml:space="preserve"> rivestite con film</w:t>
      </w:r>
    </w:p>
    <w:p w14:paraId="40498AE5" w14:textId="77777777" w:rsidR="00DF593A" w:rsidRPr="00496684" w:rsidRDefault="00DF593A" w:rsidP="00DF593A">
      <w:pPr>
        <w:pStyle w:val="KeinLeerraum"/>
        <w:rPr>
          <w:rFonts w:ascii="Times New Roman" w:hAnsi="Times New Roman"/>
          <w:highlight w:val="lightGray"/>
          <w:lang w:val="it-IT"/>
        </w:rPr>
      </w:pPr>
      <w:r w:rsidRPr="00496684">
        <w:rPr>
          <w:rFonts w:ascii="Times New Roman" w:hAnsi="Times New Roman"/>
          <w:highlight w:val="lightGray"/>
          <w:lang w:val="it-IT"/>
        </w:rPr>
        <w:t>30  compresse</w:t>
      </w:r>
      <w:r w:rsidR="005553D4" w:rsidRPr="00496684">
        <w:rPr>
          <w:rFonts w:ascii="Times New Roman" w:hAnsi="Times New Roman"/>
          <w:lang w:val="it-IT"/>
        </w:rPr>
        <w:t xml:space="preserve"> rivestite con film</w:t>
      </w:r>
    </w:p>
    <w:p w14:paraId="606250B3" w14:textId="77777777" w:rsidR="00DF593A" w:rsidRPr="00496684" w:rsidRDefault="00DF593A" w:rsidP="00DF593A">
      <w:pPr>
        <w:pStyle w:val="KeinLeerraum"/>
        <w:rPr>
          <w:rFonts w:ascii="Times New Roman" w:hAnsi="Times New Roman"/>
          <w:highlight w:val="lightGray"/>
          <w:lang w:val="it-IT"/>
        </w:rPr>
      </w:pPr>
      <w:r w:rsidRPr="00496684">
        <w:rPr>
          <w:rFonts w:ascii="Times New Roman" w:hAnsi="Times New Roman"/>
          <w:highlight w:val="lightGray"/>
          <w:lang w:val="it-IT"/>
        </w:rPr>
        <w:t>60  compresse</w:t>
      </w:r>
      <w:r w:rsidR="005553D4" w:rsidRPr="00496684">
        <w:rPr>
          <w:rFonts w:ascii="Times New Roman" w:hAnsi="Times New Roman"/>
          <w:lang w:val="it-IT"/>
        </w:rPr>
        <w:t xml:space="preserve"> rivestite con film</w:t>
      </w:r>
    </w:p>
    <w:p w14:paraId="36BED73E" w14:textId="77777777" w:rsidR="00DF593A" w:rsidRPr="00496684" w:rsidRDefault="00DF593A" w:rsidP="00DF593A">
      <w:pPr>
        <w:pStyle w:val="KeinLeerraum"/>
        <w:rPr>
          <w:rFonts w:ascii="Times New Roman" w:hAnsi="Times New Roman"/>
          <w:lang w:val="it-IT"/>
        </w:rPr>
      </w:pPr>
      <w:r w:rsidRPr="00496684">
        <w:rPr>
          <w:rFonts w:ascii="Times New Roman" w:hAnsi="Times New Roman"/>
          <w:highlight w:val="lightGray"/>
          <w:lang w:val="it-IT"/>
        </w:rPr>
        <w:t>90  compresse</w:t>
      </w:r>
      <w:r w:rsidR="005553D4" w:rsidRPr="00496684">
        <w:rPr>
          <w:rFonts w:ascii="Times New Roman" w:hAnsi="Times New Roman"/>
          <w:lang w:val="it-IT"/>
        </w:rPr>
        <w:t xml:space="preserve"> rivestite con film</w:t>
      </w:r>
    </w:p>
    <w:p w14:paraId="525434CC"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37A56B2"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07F1F3D5" w14:textId="77777777" w:rsidTr="00DF593A">
        <w:tc>
          <w:tcPr>
            <w:tcW w:w="9546" w:type="dxa"/>
          </w:tcPr>
          <w:p w14:paraId="075CA350"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t>MODO E VIA(E) DI SOMMINISTRAZIONE</w:t>
            </w:r>
          </w:p>
        </w:tc>
      </w:tr>
    </w:tbl>
    <w:p w14:paraId="6823D598"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1C6104B"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Uso orale</w:t>
      </w:r>
    </w:p>
    <w:p w14:paraId="666BF28C" w14:textId="77777777" w:rsidR="00DF593A" w:rsidRPr="00496684" w:rsidRDefault="00DF593A" w:rsidP="00DF593A">
      <w:pPr>
        <w:suppressAutoHyphens/>
        <w:rPr>
          <w:rFonts w:ascii="Times New Roman" w:hAnsi="Times New Roman"/>
          <w:lang w:val="it-IT"/>
        </w:rPr>
      </w:pPr>
      <w:r w:rsidRPr="00496684">
        <w:rPr>
          <w:rFonts w:ascii="Times New Roman" w:hAnsi="Times New Roman"/>
          <w:lang w:val="it-IT"/>
        </w:rPr>
        <w:t>Leggere il foglio illustrativo prima dell’uso.</w:t>
      </w:r>
    </w:p>
    <w:p w14:paraId="5644D4E0"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1A8FDE0E" w14:textId="77777777" w:rsidTr="00DF593A">
        <w:tc>
          <w:tcPr>
            <w:tcW w:w="9546" w:type="dxa"/>
          </w:tcPr>
          <w:p w14:paraId="29A7846C" w14:textId="77777777" w:rsidR="00DF593A" w:rsidRPr="00496684" w:rsidRDefault="00DF593A" w:rsidP="00745E39">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t>AVVERTENZA PARTICOLARE CHE PRESCRIVA DI TENERE IL MEDICINALE FUORI DALLA VISTA E DALLA PORTATA DEI BAMBINI</w:t>
            </w:r>
          </w:p>
        </w:tc>
      </w:tr>
    </w:tbl>
    <w:p w14:paraId="1C46891E"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p>
    <w:p w14:paraId="5907090E" w14:textId="77777777" w:rsidR="00DF593A" w:rsidRPr="00496684" w:rsidRDefault="00DF593A" w:rsidP="00745E39">
      <w:pPr>
        <w:keepNext/>
        <w:widowControl w:val="0"/>
        <w:rPr>
          <w:rFonts w:ascii="Times New Roman" w:hAnsi="Times New Roman"/>
          <w:lang w:val="it-IT"/>
        </w:rPr>
      </w:pPr>
      <w:r w:rsidRPr="00496684">
        <w:rPr>
          <w:rFonts w:ascii="Times New Roman" w:hAnsi="Times New Roman"/>
          <w:lang w:val="it-IT"/>
        </w:rPr>
        <w:t>Tenere fuori dalla vista e dalla portata dei bambini.</w:t>
      </w:r>
    </w:p>
    <w:p w14:paraId="7DF35106"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730D0066" w14:textId="77777777" w:rsidTr="00DF593A">
        <w:tc>
          <w:tcPr>
            <w:tcW w:w="9546" w:type="dxa"/>
          </w:tcPr>
          <w:p w14:paraId="7A784571" w14:textId="77777777" w:rsidR="00DF593A" w:rsidRPr="00496684" w:rsidRDefault="00DF593A" w:rsidP="00745E39">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7.</w:t>
            </w:r>
            <w:r w:rsidRPr="00496684">
              <w:rPr>
                <w:rFonts w:ascii="Times New Roman" w:hAnsi="Times New Roman"/>
                <w:b/>
                <w:bCs/>
                <w:lang w:val="it-IT"/>
              </w:rPr>
              <w:tab/>
              <w:t>ALTRA(E) AVVERTENZA(E) PARTICOLARE(I), SE NECESSARIO</w:t>
            </w:r>
          </w:p>
        </w:tc>
      </w:tr>
    </w:tbl>
    <w:p w14:paraId="54D54F1A"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p>
    <w:p w14:paraId="164870A4" w14:textId="77777777" w:rsidR="00DF593A" w:rsidRPr="00496684" w:rsidRDefault="00DF593A" w:rsidP="00745E39">
      <w:pPr>
        <w:pStyle w:val="Endnotentext"/>
        <w:keepNext/>
        <w:widowControl w:val="0"/>
        <w:tabs>
          <w:tab w:val="clear" w:pos="567"/>
        </w:tabs>
        <w:rPr>
          <w:szCs w:val="22"/>
          <w:lang w:val="it-IT"/>
        </w:rPr>
      </w:pPr>
      <w:r w:rsidRPr="00496684">
        <w:rPr>
          <w:szCs w:val="22"/>
          <w:lang w:val="it-IT"/>
        </w:rPr>
        <w:t>Utilizzare solo come prescritto dal medico.</w:t>
      </w:r>
    </w:p>
    <w:p w14:paraId="7415EF09" w14:textId="77777777" w:rsidR="00DF593A" w:rsidRPr="00496684" w:rsidRDefault="00DF593A" w:rsidP="00DF593A">
      <w:pPr>
        <w:autoSpaceDE w:val="0"/>
        <w:autoSpaceDN w:val="0"/>
        <w:adjustRightInd w:val="0"/>
        <w:spacing w:after="0" w:line="240" w:lineRule="auto"/>
        <w:rPr>
          <w:rFonts w:ascii="Times New Roman" w:hAnsi="Times New Roman"/>
          <w:b/>
          <w:lang w:val="it-IT"/>
        </w:rPr>
      </w:pPr>
    </w:p>
    <w:p w14:paraId="0880139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B45590D" w14:textId="77777777" w:rsidTr="00DF593A">
        <w:tc>
          <w:tcPr>
            <w:tcW w:w="9546" w:type="dxa"/>
          </w:tcPr>
          <w:p w14:paraId="347C9AA4" w14:textId="77777777" w:rsidR="00DF593A" w:rsidRPr="00496684" w:rsidRDefault="00DF593A" w:rsidP="00496684">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8.</w:t>
            </w:r>
            <w:r w:rsidRPr="00496684">
              <w:rPr>
                <w:rFonts w:ascii="Times New Roman" w:hAnsi="Times New Roman"/>
                <w:b/>
                <w:bCs/>
                <w:lang w:val="it-IT"/>
              </w:rPr>
              <w:tab/>
              <w:t>DATA DI SCADENZA</w:t>
            </w:r>
          </w:p>
        </w:tc>
      </w:tr>
    </w:tbl>
    <w:p w14:paraId="1E76088A" w14:textId="77777777" w:rsidR="00DF593A" w:rsidRPr="00496684" w:rsidRDefault="00DF593A" w:rsidP="00496684">
      <w:pPr>
        <w:keepNext/>
        <w:autoSpaceDE w:val="0"/>
        <w:autoSpaceDN w:val="0"/>
        <w:adjustRightInd w:val="0"/>
        <w:spacing w:after="0" w:line="240" w:lineRule="auto"/>
        <w:rPr>
          <w:rFonts w:ascii="Times New Roman" w:hAnsi="Times New Roman"/>
          <w:lang w:val="it-IT"/>
        </w:rPr>
      </w:pPr>
    </w:p>
    <w:p w14:paraId="31324E2E" w14:textId="77777777" w:rsidR="00DF593A" w:rsidRPr="00496684" w:rsidRDefault="00DF593A" w:rsidP="00496684">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71EE0F74" w14:textId="77777777" w:rsidR="00DF593A" w:rsidRPr="00496684" w:rsidRDefault="00DF593A" w:rsidP="00496684">
      <w:pPr>
        <w:keepNext/>
        <w:autoSpaceDE w:val="0"/>
        <w:autoSpaceDN w:val="0"/>
        <w:adjustRightInd w:val="0"/>
        <w:spacing w:after="0" w:line="240" w:lineRule="auto"/>
        <w:rPr>
          <w:rFonts w:ascii="Times New Roman" w:hAnsi="Times New Roman"/>
          <w:lang w:val="it-IT"/>
        </w:rPr>
      </w:pPr>
    </w:p>
    <w:p w14:paraId="54D3BFB0"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3BD93C4F" w14:textId="77777777" w:rsidTr="00DF593A">
        <w:tc>
          <w:tcPr>
            <w:tcW w:w="9546" w:type="dxa"/>
          </w:tcPr>
          <w:p w14:paraId="5A6DA82A" w14:textId="77777777" w:rsidR="00DF593A" w:rsidRPr="00496684" w:rsidRDefault="00DF593A" w:rsidP="00745E39">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9.</w:t>
            </w:r>
            <w:r w:rsidRPr="00496684">
              <w:rPr>
                <w:rFonts w:ascii="Times New Roman" w:hAnsi="Times New Roman"/>
                <w:b/>
                <w:bCs/>
                <w:lang w:val="it-IT"/>
              </w:rPr>
              <w:tab/>
              <w:t>PRECAUZIONI PARTICOLARI PER LA CONSERVAZIONE</w:t>
            </w:r>
          </w:p>
        </w:tc>
      </w:tr>
    </w:tbl>
    <w:p w14:paraId="17EB6F81"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p>
    <w:p w14:paraId="3E21624F" w14:textId="77777777" w:rsidR="00DF593A" w:rsidRPr="00496684" w:rsidRDefault="00DF593A" w:rsidP="00745E39">
      <w:pPr>
        <w:pStyle w:val="Text"/>
        <w:keepNext/>
        <w:widowControl w:val="0"/>
        <w:spacing w:before="0"/>
        <w:jc w:val="left"/>
        <w:rPr>
          <w:sz w:val="22"/>
          <w:szCs w:val="22"/>
          <w:lang w:val="it-IT"/>
        </w:rPr>
      </w:pPr>
      <w:r w:rsidRPr="00496684">
        <w:rPr>
          <w:sz w:val="22"/>
          <w:szCs w:val="22"/>
          <w:lang w:val="it-IT"/>
        </w:rPr>
        <w:t>Non conservare a temperatura superiore ai 30</w:t>
      </w:r>
      <w:r w:rsidRPr="00496684">
        <w:rPr>
          <w:sz w:val="22"/>
          <w:szCs w:val="22"/>
          <w:lang w:val="it-IT"/>
        </w:rPr>
        <w:sym w:font="Symbol" w:char="F0B0"/>
      </w:r>
      <w:r w:rsidRPr="00496684">
        <w:rPr>
          <w:sz w:val="22"/>
          <w:szCs w:val="22"/>
          <w:lang w:val="it-IT"/>
        </w:rPr>
        <w:t xml:space="preserve">C. </w:t>
      </w:r>
    </w:p>
    <w:p w14:paraId="21C53E41" w14:textId="77777777" w:rsidR="00DF593A" w:rsidRPr="00496684" w:rsidRDefault="00DF593A" w:rsidP="00745E39">
      <w:pPr>
        <w:pStyle w:val="Text"/>
        <w:keepNext/>
        <w:widowControl w:val="0"/>
        <w:spacing w:before="0"/>
        <w:jc w:val="left"/>
        <w:rPr>
          <w:sz w:val="22"/>
          <w:szCs w:val="22"/>
          <w:lang w:val="it-IT"/>
        </w:rPr>
      </w:pPr>
      <w:r w:rsidRPr="00496684">
        <w:rPr>
          <w:sz w:val="22"/>
          <w:szCs w:val="22"/>
          <w:lang w:val="it-IT"/>
        </w:rPr>
        <w:t>Conservare nella confezione originale per proteggere il medicinale dall’umidità.</w:t>
      </w:r>
    </w:p>
    <w:p w14:paraId="26F1F70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B9E1F2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A99B6D8" w14:textId="77777777" w:rsidTr="00DF593A">
        <w:tc>
          <w:tcPr>
            <w:tcW w:w="9546" w:type="dxa"/>
          </w:tcPr>
          <w:p w14:paraId="6C1E1F0A" w14:textId="77777777" w:rsidR="00DF593A" w:rsidRPr="00496684" w:rsidRDefault="00DF593A" w:rsidP="00745E39">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10.</w:t>
            </w:r>
            <w:r w:rsidRPr="00496684">
              <w:rPr>
                <w:rFonts w:ascii="Times New Roman" w:hAnsi="Times New Roman"/>
                <w:b/>
                <w:bCs/>
                <w:lang w:val="it-IT"/>
              </w:rPr>
              <w:tab/>
              <w:t>PRECAUZIONI PARTICOLARI PER LO SMALTIMENTO DEL MEDICINALE NON UTILIZZATO O DEI RIFIUTI DERIVATI DA TALE MEDICINALE, SE NECESSARIO</w:t>
            </w:r>
          </w:p>
        </w:tc>
      </w:tr>
    </w:tbl>
    <w:p w14:paraId="5608722E"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p>
    <w:p w14:paraId="1D11364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9C62E93" w14:textId="77777777" w:rsidTr="00DF593A">
        <w:tc>
          <w:tcPr>
            <w:tcW w:w="9546" w:type="dxa"/>
          </w:tcPr>
          <w:p w14:paraId="385B833B" w14:textId="77777777" w:rsidR="00DF593A" w:rsidRPr="00496684" w:rsidRDefault="00DF593A" w:rsidP="00745E39">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11.</w:t>
            </w:r>
            <w:r w:rsidRPr="00496684">
              <w:rPr>
                <w:rFonts w:ascii="Times New Roman" w:hAnsi="Times New Roman"/>
                <w:b/>
                <w:bCs/>
                <w:lang w:val="it-IT"/>
              </w:rPr>
              <w:tab/>
              <w:t>NOME E INDIRIZZO DEL TITOLARE DELL’AUTORIZZAZIONE ALL’IMMISSIONE IN COMMERCIO</w:t>
            </w:r>
          </w:p>
        </w:tc>
      </w:tr>
    </w:tbl>
    <w:p w14:paraId="32F58376"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p>
    <w:p w14:paraId="0FC11957"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7DF5DF6A" w14:textId="77777777" w:rsidR="00DF593A" w:rsidRPr="00496684" w:rsidRDefault="00AE0012" w:rsidP="00745E39">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220 </w:t>
      </w:r>
      <w:r w:rsidR="00DF593A" w:rsidRPr="00496684">
        <w:rPr>
          <w:rFonts w:ascii="Times New Roman" w:hAnsi="Times New Roman"/>
          <w:lang w:val="it-IT"/>
        </w:rPr>
        <w:t>Hafnarfjörður</w:t>
      </w:r>
    </w:p>
    <w:p w14:paraId="5C88EA48"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0B90A0E7"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679821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769763CA" w14:textId="77777777" w:rsidTr="00DF593A">
        <w:tc>
          <w:tcPr>
            <w:tcW w:w="9546" w:type="dxa"/>
          </w:tcPr>
          <w:p w14:paraId="3E810486"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12.</w:t>
            </w:r>
            <w:r w:rsidRPr="00496684">
              <w:rPr>
                <w:rFonts w:ascii="Times New Roman" w:hAnsi="Times New Roman"/>
                <w:b/>
                <w:bCs/>
                <w:lang w:val="it-IT"/>
              </w:rPr>
              <w:tab/>
              <w:t>NUMERO(I) DELL’AUTORIZZAZIONE ALL’IMMISSIONE IN COMMERCIO</w:t>
            </w:r>
          </w:p>
        </w:tc>
      </w:tr>
    </w:tbl>
    <w:p w14:paraId="28DC37C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3552085"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lang w:val="pt-BR"/>
        </w:rPr>
        <w:t xml:space="preserve">EU/1/13/825/015 </w:t>
      </w:r>
      <w:r w:rsidRPr="00666899">
        <w:rPr>
          <w:rFonts w:ascii="Times New Roman" w:hAnsi="Times New Roman"/>
          <w:highlight w:val="lightGray"/>
          <w:lang w:val="pt-BR"/>
        </w:rPr>
        <w:t xml:space="preserve">10  </w:t>
      </w:r>
      <w:r w:rsidR="00C51644" w:rsidRPr="00666899">
        <w:rPr>
          <w:rFonts w:ascii="Times New Roman" w:hAnsi="Times New Roman"/>
          <w:highlight w:val="lightGray"/>
          <w:lang w:val="pt-BR"/>
        </w:rPr>
        <w:t>compresse</w:t>
      </w:r>
    </w:p>
    <w:p w14:paraId="13CD4385"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highlight w:val="lightGray"/>
          <w:lang w:val="pt-BR"/>
        </w:rPr>
        <w:t xml:space="preserve">EU/1/13/825/016 30  </w:t>
      </w:r>
      <w:r w:rsidR="00C51644" w:rsidRPr="00666899">
        <w:rPr>
          <w:rFonts w:ascii="Times New Roman" w:hAnsi="Times New Roman"/>
          <w:highlight w:val="lightGray"/>
          <w:lang w:val="pt-BR"/>
        </w:rPr>
        <w:t>compresse</w:t>
      </w:r>
    </w:p>
    <w:p w14:paraId="44A3F772" w14:textId="77777777" w:rsidR="00766B31" w:rsidRPr="00666899" w:rsidRDefault="00766B31" w:rsidP="00766B31">
      <w:pPr>
        <w:autoSpaceDE w:val="0"/>
        <w:autoSpaceDN w:val="0"/>
        <w:adjustRightInd w:val="0"/>
        <w:spacing w:after="0" w:line="240" w:lineRule="auto"/>
        <w:rPr>
          <w:rFonts w:ascii="Times New Roman" w:hAnsi="Times New Roman"/>
          <w:highlight w:val="lightGray"/>
          <w:lang w:val="pt-BR"/>
        </w:rPr>
      </w:pPr>
      <w:r w:rsidRPr="00666899">
        <w:rPr>
          <w:rFonts w:ascii="Times New Roman" w:hAnsi="Times New Roman"/>
          <w:highlight w:val="lightGray"/>
          <w:lang w:val="pt-BR"/>
        </w:rPr>
        <w:t xml:space="preserve">EU/1/13/825/017 60  </w:t>
      </w:r>
      <w:r w:rsidR="00C51644" w:rsidRPr="00666899">
        <w:rPr>
          <w:rFonts w:ascii="Times New Roman" w:hAnsi="Times New Roman"/>
          <w:highlight w:val="lightGray"/>
          <w:lang w:val="pt-BR"/>
        </w:rPr>
        <w:t>compresse</w:t>
      </w:r>
    </w:p>
    <w:p w14:paraId="615897BE" w14:textId="77777777" w:rsidR="00DF593A" w:rsidRPr="00496684" w:rsidRDefault="00766B31" w:rsidP="00766B31">
      <w:pPr>
        <w:autoSpaceDE w:val="0"/>
        <w:autoSpaceDN w:val="0"/>
        <w:adjustRightInd w:val="0"/>
        <w:spacing w:after="0" w:line="240" w:lineRule="auto"/>
        <w:rPr>
          <w:rFonts w:ascii="Times New Roman" w:hAnsi="Times New Roman"/>
          <w:lang w:val="it-IT"/>
        </w:rPr>
      </w:pPr>
      <w:r w:rsidRPr="00496684">
        <w:rPr>
          <w:rFonts w:ascii="Times New Roman" w:hAnsi="Times New Roman"/>
          <w:highlight w:val="lightGray"/>
          <w:lang w:val="it-IT"/>
        </w:rPr>
        <w:t xml:space="preserve">EU/1/13/825/018 90  </w:t>
      </w:r>
      <w:r w:rsidR="00C51644" w:rsidRPr="00496684">
        <w:rPr>
          <w:rFonts w:ascii="Times New Roman" w:hAnsi="Times New Roman"/>
          <w:highlight w:val="lightGray"/>
          <w:lang w:val="it-IT"/>
        </w:rPr>
        <w:t>compresse</w:t>
      </w:r>
      <w:r w:rsidR="00C51644" w:rsidRPr="00496684" w:rsidDel="00766B31">
        <w:rPr>
          <w:rFonts w:ascii="Times New Roman" w:hAnsi="Times New Roman"/>
          <w:lang w:val="it-IT"/>
        </w:rPr>
        <w:t xml:space="preserve"> </w:t>
      </w:r>
    </w:p>
    <w:p w14:paraId="1EC2513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FB30BE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61A7A89F" w14:textId="77777777" w:rsidTr="00DF593A">
        <w:tc>
          <w:tcPr>
            <w:tcW w:w="9546" w:type="dxa"/>
          </w:tcPr>
          <w:p w14:paraId="32DCF4CA"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13.</w:t>
            </w:r>
            <w:r w:rsidRPr="00496684">
              <w:rPr>
                <w:rFonts w:ascii="Times New Roman" w:hAnsi="Times New Roman"/>
                <w:b/>
                <w:bCs/>
                <w:lang w:val="it-IT"/>
              </w:rPr>
              <w:tab/>
              <w:t>NUMERO DI LOTTO</w:t>
            </w:r>
          </w:p>
        </w:tc>
      </w:tr>
    </w:tbl>
    <w:p w14:paraId="77FCC14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6901271"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Lotto</w:t>
      </w:r>
    </w:p>
    <w:p w14:paraId="50205BE1"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471B6FC"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35429263" w14:textId="77777777" w:rsidTr="00DF593A">
        <w:tc>
          <w:tcPr>
            <w:tcW w:w="9546" w:type="dxa"/>
          </w:tcPr>
          <w:p w14:paraId="198598C6"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14.</w:t>
            </w:r>
            <w:r w:rsidRPr="00496684">
              <w:rPr>
                <w:rFonts w:ascii="Times New Roman" w:hAnsi="Times New Roman"/>
                <w:b/>
                <w:bCs/>
                <w:lang w:val="it-IT"/>
              </w:rPr>
              <w:tab/>
              <w:t>CONDIZIONE GENERALE DI FORNITURA</w:t>
            </w:r>
          </w:p>
        </w:tc>
      </w:tr>
    </w:tbl>
    <w:p w14:paraId="55F6AB1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30F7ED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0B8464F6" w14:textId="77777777" w:rsidTr="00DF593A">
        <w:tc>
          <w:tcPr>
            <w:tcW w:w="9546" w:type="dxa"/>
          </w:tcPr>
          <w:p w14:paraId="3482730C"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15.</w:t>
            </w:r>
            <w:r w:rsidRPr="00496684">
              <w:rPr>
                <w:rFonts w:ascii="Times New Roman" w:hAnsi="Times New Roman"/>
                <w:b/>
                <w:bCs/>
                <w:lang w:val="it-IT"/>
              </w:rPr>
              <w:tab/>
              <w:t>ISTRUZIONI PER L’USO</w:t>
            </w:r>
          </w:p>
        </w:tc>
      </w:tr>
    </w:tbl>
    <w:p w14:paraId="7121DD6C"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B3870F2"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7E274F9D" w14:textId="77777777" w:rsidTr="00DF593A">
        <w:tc>
          <w:tcPr>
            <w:tcW w:w="9546" w:type="dxa"/>
          </w:tcPr>
          <w:p w14:paraId="7F51BF5D" w14:textId="77777777" w:rsidR="00DF593A" w:rsidRPr="00496684" w:rsidRDefault="00DF593A" w:rsidP="00745E39">
            <w:pPr>
              <w:keepNext/>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16.</w:t>
            </w:r>
            <w:r w:rsidRPr="00496684">
              <w:rPr>
                <w:rFonts w:ascii="Times New Roman" w:hAnsi="Times New Roman"/>
                <w:b/>
                <w:bCs/>
                <w:lang w:val="it-IT"/>
              </w:rPr>
              <w:tab/>
              <w:t>INFORMAZIONI IN BRAILLE</w:t>
            </w:r>
          </w:p>
        </w:tc>
      </w:tr>
    </w:tbl>
    <w:p w14:paraId="45262B8D"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p>
    <w:p w14:paraId="6461A141" w14:textId="77777777" w:rsidR="00DF593A" w:rsidRPr="00496684" w:rsidRDefault="00DF593A" w:rsidP="00745E39">
      <w:pPr>
        <w:keepNext/>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w:t>
      </w:r>
    </w:p>
    <w:p w14:paraId="10741D13" w14:textId="77777777" w:rsidR="00DF593A" w:rsidRPr="00496684" w:rsidRDefault="00DF593A" w:rsidP="00DF593A">
      <w:pPr>
        <w:keepNext/>
        <w:autoSpaceDE w:val="0"/>
        <w:autoSpaceDN w:val="0"/>
        <w:adjustRightInd w:val="0"/>
        <w:spacing w:after="0" w:line="240" w:lineRule="auto"/>
        <w:rPr>
          <w:rFonts w:ascii="Times New Roman" w:hAnsi="Times New Roman"/>
          <w:lang w:val="it-IT"/>
        </w:rPr>
      </w:pPr>
    </w:p>
    <w:p w14:paraId="518C08F0" w14:textId="77777777" w:rsidR="00DF593A" w:rsidRPr="00496684" w:rsidRDefault="00DF593A" w:rsidP="00745E39">
      <w:pPr>
        <w:widowControl w:val="0"/>
        <w:autoSpaceDE w:val="0"/>
        <w:autoSpaceDN w:val="0"/>
        <w:adjustRightInd w:val="0"/>
        <w:spacing w:after="0" w:line="240" w:lineRule="auto"/>
        <w:rPr>
          <w:rFonts w:ascii="Times New Roman" w:hAnsi="Times New Roman"/>
          <w:lang w:val="it-IT"/>
        </w:rPr>
      </w:pPr>
    </w:p>
    <w:p w14:paraId="043FD162" w14:textId="77777777" w:rsidR="0091712F" w:rsidRPr="00496684" w:rsidRDefault="0091712F" w:rsidP="00745E39">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17.      IDENTIFICATIVO UNICO –CODICE A BARRE BIDIMENSIONALE</w:t>
      </w:r>
    </w:p>
    <w:p w14:paraId="1F504930" w14:textId="77777777" w:rsidR="00736B20" w:rsidRPr="00496684" w:rsidRDefault="00736B20" w:rsidP="00745E39">
      <w:pPr>
        <w:keepNext/>
        <w:suppressAutoHyphens/>
        <w:rPr>
          <w:rFonts w:ascii="Times New Roman" w:hAnsi="Times New Roman"/>
          <w:lang w:val="it-IT"/>
        </w:rPr>
      </w:pPr>
      <w:r w:rsidRPr="00496684">
        <w:rPr>
          <w:rFonts w:ascii="Times New Roman" w:hAnsi="Times New Roman"/>
          <w:shd w:val="pct15" w:color="auto" w:fill="auto"/>
          <w:lang w:val="it-IT"/>
        </w:rPr>
        <w:t>&lt;Codice a barre bidimensionale con identificativo unico incluso.&gt;</w:t>
      </w:r>
    </w:p>
    <w:p w14:paraId="66146CD5" w14:textId="77777777" w:rsidR="0091712F" w:rsidRPr="00496684" w:rsidRDefault="0091712F" w:rsidP="0091712F">
      <w:pPr>
        <w:spacing w:line="240" w:lineRule="auto"/>
        <w:rPr>
          <w:b/>
          <w:noProof/>
          <w:lang w:val="it-IT"/>
        </w:rPr>
      </w:pPr>
    </w:p>
    <w:p w14:paraId="38A022A3" w14:textId="77777777" w:rsidR="0091712F" w:rsidRPr="00496684" w:rsidRDefault="0091712F" w:rsidP="00745E39">
      <w:pPr>
        <w:keepNext/>
        <w:pBdr>
          <w:top w:val="single" w:sz="4" w:space="1" w:color="auto"/>
          <w:left w:val="single" w:sz="4" w:space="4" w:color="auto"/>
          <w:bottom w:val="single" w:sz="4" w:space="1" w:color="auto"/>
          <w:right w:val="single" w:sz="4" w:space="4" w:color="auto"/>
        </w:pBdr>
        <w:spacing w:line="240" w:lineRule="auto"/>
        <w:outlineLvl w:val="0"/>
        <w:rPr>
          <w:rFonts w:ascii="Times New Roman" w:hAnsi="Times New Roman"/>
          <w:noProof/>
          <w:lang w:val="it-IT"/>
        </w:rPr>
      </w:pPr>
      <w:r w:rsidRPr="00496684">
        <w:rPr>
          <w:rFonts w:ascii="Times New Roman" w:hAnsi="Times New Roman"/>
          <w:b/>
          <w:noProof/>
          <w:lang w:val="it-IT"/>
        </w:rPr>
        <w:t>18.      IDENTIFICATIVO UNICO – DATI LEGGIBILI</w:t>
      </w:r>
    </w:p>
    <w:p w14:paraId="725D9955" w14:textId="15CE18BE" w:rsidR="00736B20" w:rsidRPr="00496684" w:rsidRDefault="00736B20" w:rsidP="00745E39">
      <w:pPr>
        <w:keepNext/>
        <w:widowControl w:val="0"/>
        <w:tabs>
          <w:tab w:val="left" w:pos="720"/>
        </w:tabs>
        <w:spacing w:after="0" w:line="240" w:lineRule="auto"/>
        <w:rPr>
          <w:rFonts w:ascii="Times New Roman" w:eastAsia="Times New Roman" w:hAnsi="Times New Roman"/>
          <w:lang w:val="it-IT"/>
        </w:rPr>
      </w:pPr>
      <w:r w:rsidRPr="00496684">
        <w:rPr>
          <w:rFonts w:ascii="Times New Roman" w:hAnsi="Times New Roman"/>
          <w:lang w:val="it-IT"/>
        </w:rPr>
        <w:t xml:space="preserve">PC </w:t>
      </w:r>
      <w:r w:rsidRPr="00496684">
        <w:rPr>
          <w:rFonts w:ascii="Times New Roman" w:eastAsia="Times New Roman" w:hAnsi="Times New Roman"/>
          <w:lang w:val="it-IT"/>
        </w:rPr>
        <w:t>{numero}</w:t>
      </w:r>
    </w:p>
    <w:p w14:paraId="0BD05515" w14:textId="1E97EA7F" w:rsidR="00736B20" w:rsidRPr="00496684" w:rsidRDefault="00736B20" w:rsidP="00745E39">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 xml:space="preserve">SN </w:t>
      </w:r>
      <w:r w:rsidRPr="00496684">
        <w:rPr>
          <w:rFonts w:ascii="Times New Roman" w:eastAsia="Times New Roman" w:hAnsi="Times New Roman"/>
          <w:lang w:val="it-IT"/>
        </w:rPr>
        <w:t>{numero}</w:t>
      </w:r>
    </w:p>
    <w:p w14:paraId="525CBC34" w14:textId="450BC9D3" w:rsidR="00736B20" w:rsidRPr="00496684" w:rsidRDefault="00736B20" w:rsidP="00745E39">
      <w:pPr>
        <w:keepNext/>
        <w:widowControl w:val="0"/>
        <w:tabs>
          <w:tab w:val="left" w:pos="720"/>
        </w:tabs>
        <w:spacing w:after="0" w:line="240" w:lineRule="auto"/>
        <w:rPr>
          <w:rFonts w:ascii="Times New Roman" w:hAnsi="Times New Roman"/>
          <w:lang w:val="it-IT"/>
        </w:rPr>
      </w:pPr>
      <w:r w:rsidRPr="00496684">
        <w:rPr>
          <w:rFonts w:ascii="Times New Roman" w:hAnsi="Times New Roman"/>
          <w:lang w:val="it-IT"/>
        </w:rPr>
        <w:t xml:space="preserve">NN </w:t>
      </w:r>
      <w:r w:rsidRPr="00496684">
        <w:rPr>
          <w:rFonts w:ascii="Times New Roman" w:eastAsia="Times New Roman" w:hAnsi="Times New Roman"/>
          <w:lang w:val="it-IT"/>
        </w:rPr>
        <w:t>{numero}</w:t>
      </w:r>
    </w:p>
    <w:p w14:paraId="4AACEBDC" w14:textId="77777777" w:rsidR="00782123" w:rsidRPr="00496684" w:rsidRDefault="00782123"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3F60AA13" w14:textId="77777777" w:rsidTr="00C034DF">
        <w:tc>
          <w:tcPr>
            <w:tcW w:w="9546" w:type="dxa"/>
          </w:tcPr>
          <w:p w14:paraId="66E13002" w14:textId="77777777" w:rsidR="00782123" w:rsidRPr="00496684" w:rsidRDefault="00782123" w:rsidP="00C034DF">
            <w:pPr>
              <w:suppressAutoHyphens/>
              <w:rPr>
                <w:rFonts w:ascii="Times New Roman" w:hAnsi="Times New Roman"/>
                <w:b/>
                <w:bCs/>
                <w:lang w:val="it-IT"/>
              </w:rPr>
            </w:pPr>
            <w:r w:rsidRPr="00496684">
              <w:rPr>
                <w:rFonts w:ascii="Times New Roman" w:hAnsi="Times New Roman"/>
                <w:b/>
                <w:bCs/>
                <w:lang w:val="it-IT"/>
              </w:rPr>
              <w:t>INFORMAZIONI MINIME DA APPORRE SU BLISTER O STRIP</w:t>
            </w:r>
          </w:p>
          <w:p w14:paraId="67FBBBCE" w14:textId="77777777" w:rsidR="00782123" w:rsidRPr="00496684" w:rsidRDefault="00782123" w:rsidP="00C034DF">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BLISTERS</w:t>
            </w:r>
          </w:p>
        </w:tc>
      </w:tr>
    </w:tbl>
    <w:p w14:paraId="7A696561"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38632935"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19F1999E" w14:textId="77777777" w:rsidTr="00C034DF">
        <w:tc>
          <w:tcPr>
            <w:tcW w:w="9546" w:type="dxa"/>
          </w:tcPr>
          <w:p w14:paraId="4F30B08B" w14:textId="77777777" w:rsidR="00782123" w:rsidRPr="00496684" w:rsidRDefault="00782123" w:rsidP="00C034D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t>DENOMINAZIONE DEL MEDICINALE</w:t>
            </w:r>
          </w:p>
        </w:tc>
      </w:tr>
    </w:tbl>
    <w:p w14:paraId="649F030F"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43454D49" w14:textId="77777777" w:rsidR="00782123"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100 mg compresse</w:t>
      </w:r>
    </w:p>
    <w:p w14:paraId="54B2C681" w14:textId="77777777" w:rsidR="00782123" w:rsidRPr="00496684" w:rsidRDefault="004C1D1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782123" w:rsidRPr="00496684">
        <w:rPr>
          <w:rFonts w:ascii="Times New Roman" w:hAnsi="Times New Roman"/>
          <w:lang w:val="it-IT"/>
        </w:rPr>
        <w:t>matinib</w:t>
      </w:r>
    </w:p>
    <w:p w14:paraId="69762CA9"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759C3B83"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02C32675" w14:textId="77777777" w:rsidTr="00C034DF">
        <w:tc>
          <w:tcPr>
            <w:tcW w:w="9546" w:type="dxa"/>
          </w:tcPr>
          <w:p w14:paraId="05A414EB" w14:textId="77777777" w:rsidR="00782123" w:rsidRPr="00496684" w:rsidRDefault="00782123" w:rsidP="00C034DF">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NOME DEL TITOLARE DELL’AUTORIZZAZIONE ALL’IMMISSIONE IN COMMERCIO</w:t>
            </w:r>
          </w:p>
        </w:tc>
      </w:tr>
    </w:tbl>
    <w:p w14:paraId="13A71AFE"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0CC33681" w14:textId="77777777" w:rsidR="00782123"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logo]</w:t>
      </w:r>
    </w:p>
    <w:p w14:paraId="380EAE22"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263B1BD4"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65200863" w14:textId="77777777" w:rsidTr="00C034DF">
        <w:tc>
          <w:tcPr>
            <w:tcW w:w="9546" w:type="dxa"/>
          </w:tcPr>
          <w:p w14:paraId="44A766D0" w14:textId="77777777" w:rsidR="00782123" w:rsidRPr="00496684" w:rsidRDefault="00782123" w:rsidP="00C034D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t>DATA DI SCADENZA</w:t>
            </w:r>
          </w:p>
        </w:tc>
      </w:tr>
    </w:tbl>
    <w:p w14:paraId="18EE9B1A"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14C105D2" w14:textId="77777777" w:rsidR="008A774D" w:rsidRPr="00496684" w:rsidRDefault="008A774D" w:rsidP="008A774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4C0906CE"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1156EB8C"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1751469A" w14:textId="77777777" w:rsidTr="00C034DF">
        <w:tc>
          <w:tcPr>
            <w:tcW w:w="9546" w:type="dxa"/>
          </w:tcPr>
          <w:p w14:paraId="4E97241D" w14:textId="77777777" w:rsidR="00782123" w:rsidRPr="00496684" w:rsidRDefault="00782123" w:rsidP="00C034D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t>NUMERO DI LOTTO</w:t>
            </w:r>
          </w:p>
        </w:tc>
      </w:tr>
    </w:tbl>
    <w:p w14:paraId="240E4229"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520CEBEC" w14:textId="77777777" w:rsidR="00782123" w:rsidRPr="00496684" w:rsidRDefault="00782123" w:rsidP="0078212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w:t>
      </w:r>
    </w:p>
    <w:p w14:paraId="54C38C15"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6CE1E92D" w14:textId="77777777" w:rsidR="00782123" w:rsidRPr="00496684" w:rsidRDefault="00782123" w:rsidP="00782123">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82123" w:rsidRPr="00496684" w14:paraId="7D0F2828" w14:textId="77777777" w:rsidTr="00C034DF">
        <w:tc>
          <w:tcPr>
            <w:tcW w:w="9546" w:type="dxa"/>
          </w:tcPr>
          <w:p w14:paraId="31BB649A" w14:textId="77777777" w:rsidR="00782123" w:rsidRPr="00496684" w:rsidRDefault="00782123" w:rsidP="00C034D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t>ALTRO</w:t>
            </w:r>
          </w:p>
        </w:tc>
      </w:tr>
    </w:tbl>
    <w:p w14:paraId="498479EC" w14:textId="77777777" w:rsidR="00782123" w:rsidRPr="00496684" w:rsidRDefault="00782123" w:rsidP="00782123">
      <w:pPr>
        <w:autoSpaceDE w:val="0"/>
        <w:autoSpaceDN w:val="0"/>
        <w:adjustRightInd w:val="0"/>
        <w:spacing w:after="0" w:line="240" w:lineRule="auto"/>
        <w:rPr>
          <w:rFonts w:ascii="Times New Roman" w:hAnsi="Times New Roman"/>
          <w:lang w:val="it-IT"/>
        </w:rPr>
      </w:pPr>
    </w:p>
    <w:p w14:paraId="7A462215"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FD1D5E6" w14:textId="77777777" w:rsidTr="00DF593A">
        <w:tc>
          <w:tcPr>
            <w:tcW w:w="9546" w:type="dxa"/>
          </w:tcPr>
          <w:p w14:paraId="6F96672D" w14:textId="77777777" w:rsidR="00DF593A" w:rsidRPr="00496684" w:rsidRDefault="00DF593A" w:rsidP="00DF593A">
            <w:pPr>
              <w:suppressAutoHyphens/>
              <w:rPr>
                <w:rFonts w:ascii="Times New Roman" w:hAnsi="Times New Roman"/>
                <w:b/>
                <w:bCs/>
                <w:lang w:val="it-IT"/>
              </w:rPr>
            </w:pPr>
            <w:r w:rsidRPr="00496684">
              <w:rPr>
                <w:rFonts w:ascii="Times New Roman" w:hAnsi="Times New Roman"/>
                <w:b/>
                <w:bCs/>
                <w:lang w:val="it-IT"/>
              </w:rPr>
              <w:t>INFORMAZIONI MINIME DA APPORRE SU BLISTER O STRIP</w:t>
            </w:r>
          </w:p>
          <w:p w14:paraId="78012ABF"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b/>
                <w:bCs/>
                <w:lang w:val="it-IT"/>
              </w:rPr>
              <w:t>BLISTERS</w:t>
            </w:r>
          </w:p>
        </w:tc>
      </w:tr>
    </w:tbl>
    <w:p w14:paraId="1007C3C8"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4EE805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6C1A4E9D" w14:textId="77777777" w:rsidTr="00DF593A">
        <w:tc>
          <w:tcPr>
            <w:tcW w:w="9546" w:type="dxa"/>
          </w:tcPr>
          <w:p w14:paraId="1CBF25D0"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1.</w:t>
            </w:r>
            <w:r w:rsidRPr="00496684">
              <w:rPr>
                <w:rFonts w:ascii="Times New Roman" w:hAnsi="Times New Roman"/>
                <w:b/>
                <w:bCs/>
                <w:lang w:val="it-IT"/>
              </w:rPr>
              <w:tab/>
              <w:t>DENOMINAZIONE DEL MEDICINALE</w:t>
            </w:r>
          </w:p>
        </w:tc>
      </w:tr>
    </w:tbl>
    <w:p w14:paraId="4846C3C3"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DD0EAE0"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Imatinib Actavis 400 mg compresse</w:t>
      </w:r>
    </w:p>
    <w:p w14:paraId="32CF87D1" w14:textId="77777777" w:rsidR="00DF593A" w:rsidRPr="00496684" w:rsidRDefault="004C1D13"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DF593A" w:rsidRPr="00496684">
        <w:rPr>
          <w:rFonts w:ascii="Times New Roman" w:hAnsi="Times New Roman"/>
          <w:lang w:val="it-IT"/>
        </w:rPr>
        <w:t>matinib</w:t>
      </w:r>
    </w:p>
    <w:p w14:paraId="5E9A1AB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900BF3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2C084198" w14:textId="77777777" w:rsidTr="00DF593A">
        <w:tc>
          <w:tcPr>
            <w:tcW w:w="9546" w:type="dxa"/>
          </w:tcPr>
          <w:p w14:paraId="0CB58DA9" w14:textId="77777777" w:rsidR="00DF593A" w:rsidRPr="00496684" w:rsidRDefault="00DF593A" w:rsidP="00DF593A">
            <w:pPr>
              <w:autoSpaceDE w:val="0"/>
              <w:autoSpaceDN w:val="0"/>
              <w:adjustRightInd w:val="0"/>
              <w:spacing w:after="0" w:line="240" w:lineRule="auto"/>
              <w:ind w:left="567" w:hanging="567"/>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NOME DEL TITOLARE DELL’AUTORIZZAZIONE ALL’IMMISSIONE IN COMMERCIO</w:t>
            </w:r>
          </w:p>
        </w:tc>
      </w:tr>
    </w:tbl>
    <w:p w14:paraId="53C93CB5"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6A2AD972"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logo]</w:t>
      </w:r>
    </w:p>
    <w:p w14:paraId="08E4E79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096863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1E3EB894" w14:textId="77777777" w:rsidTr="00DF593A">
        <w:tc>
          <w:tcPr>
            <w:tcW w:w="9546" w:type="dxa"/>
          </w:tcPr>
          <w:p w14:paraId="39A8DD4D"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t>DATA DI SCADENZA</w:t>
            </w:r>
          </w:p>
        </w:tc>
      </w:tr>
    </w:tbl>
    <w:p w14:paraId="673BC4E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AFEBD04" w14:textId="77777777" w:rsidR="008A774D" w:rsidRPr="00496684" w:rsidRDefault="008A774D" w:rsidP="008A774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Scad.</w:t>
      </w:r>
    </w:p>
    <w:p w14:paraId="19A64B80"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BAB2985"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7E6B2AB2" w14:textId="77777777" w:rsidTr="00DF593A">
        <w:tc>
          <w:tcPr>
            <w:tcW w:w="9546" w:type="dxa"/>
          </w:tcPr>
          <w:p w14:paraId="106499C1"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t>NUMERO DI LOTTO</w:t>
            </w:r>
          </w:p>
        </w:tc>
      </w:tr>
    </w:tbl>
    <w:p w14:paraId="7051E79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12EB905"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Lot</w:t>
      </w:r>
    </w:p>
    <w:p w14:paraId="487C9F9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003A5E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DF593A" w:rsidRPr="00496684" w14:paraId="5F53C59E" w14:textId="77777777" w:rsidTr="00DF593A">
        <w:tc>
          <w:tcPr>
            <w:tcW w:w="9546" w:type="dxa"/>
          </w:tcPr>
          <w:p w14:paraId="57011371"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t>ALTRO</w:t>
            </w:r>
          </w:p>
        </w:tc>
      </w:tr>
    </w:tbl>
    <w:p w14:paraId="2BD129F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244EF2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998A5DA" w14:textId="77777777" w:rsidR="00EE1F8A" w:rsidRPr="00496684" w:rsidRDefault="00EE1F8A" w:rsidP="00BC4F48">
      <w:pPr>
        <w:autoSpaceDE w:val="0"/>
        <w:autoSpaceDN w:val="0"/>
        <w:adjustRightInd w:val="0"/>
        <w:spacing w:after="0" w:line="240" w:lineRule="auto"/>
        <w:rPr>
          <w:rFonts w:ascii="Times New Roman" w:hAnsi="Times New Roman"/>
          <w:lang w:val="it-IT"/>
        </w:rPr>
      </w:pPr>
    </w:p>
    <w:p w14:paraId="701F9CD8" w14:textId="77777777" w:rsidR="003F1283" w:rsidRPr="00496684" w:rsidRDefault="003F1283" w:rsidP="00176FF5">
      <w:pPr>
        <w:autoSpaceDE w:val="0"/>
        <w:autoSpaceDN w:val="0"/>
        <w:adjustRightInd w:val="0"/>
        <w:spacing w:after="0" w:line="240" w:lineRule="auto"/>
        <w:jc w:val="center"/>
        <w:rPr>
          <w:rFonts w:ascii="Times New Roman" w:hAnsi="Times New Roman"/>
          <w:lang w:val="it-IT"/>
        </w:rPr>
      </w:pPr>
      <w:r w:rsidRPr="00496684">
        <w:rPr>
          <w:rFonts w:ascii="Times New Roman" w:hAnsi="Times New Roman"/>
          <w:lang w:val="it-IT"/>
        </w:rPr>
        <w:br w:type="page"/>
      </w:r>
    </w:p>
    <w:p w14:paraId="07D10607"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78E1023F"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6B202491"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4B27CE47"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51216085"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0880A948"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4AEAF643"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32F650A4"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2E80776D"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11724DE4"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6922EDA1"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7C033677"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224D7289"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102FBCA0"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12640B36"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230EDC3A"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0C236D19"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461D0B42"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6345BF23"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05C28B98"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1371EC96"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148DE9F9" w14:textId="77777777" w:rsidR="00176FF5" w:rsidRPr="00496684" w:rsidRDefault="00176FF5" w:rsidP="00176FF5">
      <w:pPr>
        <w:autoSpaceDE w:val="0"/>
        <w:autoSpaceDN w:val="0"/>
        <w:adjustRightInd w:val="0"/>
        <w:spacing w:after="0" w:line="240" w:lineRule="auto"/>
        <w:jc w:val="center"/>
        <w:rPr>
          <w:rFonts w:ascii="Times New Roman" w:hAnsi="Times New Roman"/>
          <w:lang w:val="it-IT"/>
        </w:rPr>
      </w:pPr>
    </w:p>
    <w:p w14:paraId="2355A0C5" w14:textId="77777777" w:rsidR="00697D94" w:rsidRPr="00496684" w:rsidRDefault="00697D94" w:rsidP="00CE7998">
      <w:pPr>
        <w:pStyle w:val="TitleA"/>
      </w:pPr>
      <w:r w:rsidRPr="00496684">
        <w:t>B. FOGLIO ILLUSTRATIVO</w:t>
      </w:r>
    </w:p>
    <w:p w14:paraId="27055898" w14:textId="77777777" w:rsidR="00EE1F8A" w:rsidRPr="00496684" w:rsidRDefault="00EE1F8A" w:rsidP="00176FF5">
      <w:pPr>
        <w:autoSpaceDE w:val="0"/>
        <w:autoSpaceDN w:val="0"/>
        <w:adjustRightInd w:val="0"/>
        <w:spacing w:after="0" w:line="240" w:lineRule="auto"/>
        <w:jc w:val="center"/>
        <w:rPr>
          <w:rFonts w:ascii="Times New Roman" w:hAnsi="Times New Roman"/>
          <w:lang w:val="it-IT"/>
        </w:rPr>
      </w:pPr>
    </w:p>
    <w:p w14:paraId="13248D72" w14:textId="77777777" w:rsidR="00025757" w:rsidRPr="00496684" w:rsidRDefault="00176FF5" w:rsidP="00BE3648">
      <w:pPr>
        <w:spacing w:before="80" w:after="0" w:line="240" w:lineRule="auto"/>
        <w:ind w:right="48"/>
        <w:jc w:val="center"/>
        <w:rPr>
          <w:rFonts w:ascii="Times New Roman" w:eastAsia="Times New Roman" w:hAnsi="Times New Roman"/>
          <w:lang w:val="it-IT"/>
        </w:rPr>
      </w:pPr>
      <w:r w:rsidRPr="00496684">
        <w:rPr>
          <w:rFonts w:ascii="Times New Roman" w:hAnsi="Times New Roman"/>
          <w:lang w:val="it-IT"/>
        </w:rPr>
        <w:br w:type="page"/>
      </w:r>
      <w:r w:rsidR="00BE3648" w:rsidRPr="00496684">
        <w:rPr>
          <w:rFonts w:ascii="Times New Roman" w:hAnsi="Times New Roman"/>
          <w:b/>
          <w:lang w:val="it-IT"/>
        </w:rPr>
        <w:t>Foglio illustrativo: informazioni per l’utilizzatore</w:t>
      </w:r>
    </w:p>
    <w:p w14:paraId="7C531A2A" w14:textId="77777777" w:rsidR="00FE0E06" w:rsidRPr="00496684" w:rsidRDefault="00FE0E06" w:rsidP="00FE0E06">
      <w:pPr>
        <w:autoSpaceDE w:val="0"/>
        <w:autoSpaceDN w:val="0"/>
        <w:adjustRightInd w:val="0"/>
        <w:spacing w:after="0" w:line="240" w:lineRule="auto"/>
        <w:jc w:val="center"/>
        <w:rPr>
          <w:rFonts w:ascii="Times New Roman" w:hAnsi="Times New Roman"/>
          <w:bCs/>
          <w:lang w:val="it-IT"/>
        </w:rPr>
      </w:pPr>
    </w:p>
    <w:p w14:paraId="1B1FAF9A" w14:textId="77777777" w:rsidR="00FE0E06" w:rsidRPr="00496684" w:rsidRDefault="00FE0E06" w:rsidP="00FE0E06">
      <w:pPr>
        <w:widowControl w:val="0"/>
        <w:tabs>
          <w:tab w:val="left" w:pos="9356"/>
        </w:tabs>
        <w:autoSpaceDE w:val="0"/>
        <w:autoSpaceDN w:val="0"/>
        <w:adjustRightInd w:val="0"/>
        <w:spacing w:after="0" w:line="240" w:lineRule="auto"/>
        <w:ind w:right="50"/>
        <w:jc w:val="center"/>
        <w:rPr>
          <w:rFonts w:ascii="Times New Roman" w:hAnsi="Times New Roman"/>
          <w:lang w:val="it-IT"/>
        </w:rPr>
      </w:pPr>
      <w:r w:rsidRPr="00496684">
        <w:rPr>
          <w:rFonts w:ascii="Times New Roman" w:hAnsi="Times New Roman"/>
          <w:b/>
          <w:bCs/>
          <w:spacing w:val="-1"/>
          <w:lang w:val="it-IT"/>
        </w:rPr>
        <w:t>Imatinib Actavis</w:t>
      </w:r>
      <w:r w:rsidRPr="00496684">
        <w:rPr>
          <w:rFonts w:ascii="Times New Roman" w:hAnsi="Times New Roman"/>
          <w:b/>
          <w:bCs/>
          <w:spacing w:val="1"/>
          <w:lang w:val="it-IT"/>
        </w:rPr>
        <w:t xml:space="preserve"> 50</w:t>
      </w:r>
      <w:r w:rsidRPr="00496684">
        <w:rPr>
          <w:rFonts w:ascii="Times New Roman" w:hAnsi="Times New Roman"/>
          <w:b/>
          <w:bCs/>
          <w:lang w:val="it-IT"/>
        </w:rPr>
        <w:t> </w:t>
      </w:r>
      <w:r w:rsidRPr="00496684">
        <w:rPr>
          <w:rFonts w:ascii="Times New Roman" w:hAnsi="Times New Roman"/>
          <w:b/>
          <w:bCs/>
          <w:spacing w:val="1"/>
          <w:lang w:val="it-IT"/>
        </w:rPr>
        <w:t>m</w:t>
      </w:r>
      <w:r w:rsidRPr="00496684">
        <w:rPr>
          <w:rFonts w:ascii="Times New Roman" w:hAnsi="Times New Roman"/>
          <w:b/>
          <w:bCs/>
          <w:lang w:val="it-IT"/>
        </w:rPr>
        <w:t xml:space="preserve">g </w:t>
      </w:r>
      <w:r w:rsidR="00BE3648" w:rsidRPr="00496684">
        <w:rPr>
          <w:rFonts w:ascii="Times New Roman" w:hAnsi="Times New Roman"/>
          <w:b/>
          <w:bCs/>
          <w:lang w:val="it-IT"/>
        </w:rPr>
        <w:t>capsule rigide</w:t>
      </w:r>
    </w:p>
    <w:p w14:paraId="29A0619E" w14:textId="77777777" w:rsidR="00FE0E06" w:rsidRPr="00496684" w:rsidRDefault="000629AD" w:rsidP="00FE0E06">
      <w:pPr>
        <w:autoSpaceDE w:val="0"/>
        <w:autoSpaceDN w:val="0"/>
        <w:adjustRightInd w:val="0"/>
        <w:spacing w:after="0" w:line="240" w:lineRule="auto"/>
        <w:jc w:val="center"/>
        <w:rPr>
          <w:rFonts w:ascii="Times New Roman" w:hAnsi="Times New Roman"/>
          <w:lang w:val="it-IT"/>
        </w:rPr>
      </w:pPr>
      <w:r w:rsidRPr="00496684">
        <w:rPr>
          <w:rFonts w:ascii="Times New Roman" w:hAnsi="Times New Roman"/>
          <w:lang w:val="it-IT"/>
        </w:rPr>
        <w:t>i</w:t>
      </w:r>
      <w:r w:rsidR="00FE0E06" w:rsidRPr="00496684">
        <w:rPr>
          <w:rFonts w:ascii="Times New Roman" w:hAnsi="Times New Roman"/>
          <w:lang w:val="it-IT"/>
        </w:rPr>
        <w:t>matinib</w:t>
      </w:r>
    </w:p>
    <w:p w14:paraId="08CDA67F"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5478FD2C" w14:textId="77777777" w:rsidR="00BE3648" w:rsidRPr="00496684" w:rsidRDefault="00BE3648" w:rsidP="00E13BA7">
      <w:pPr>
        <w:widowControl w:val="0"/>
        <w:spacing w:after="0" w:line="240" w:lineRule="auto"/>
        <w:jc w:val="center"/>
        <w:rPr>
          <w:rFonts w:ascii="Times New Roman" w:hAnsi="Times New Roman"/>
          <w:lang w:val="it-IT"/>
        </w:rPr>
      </w:pPr>
    </w:p>
    <w:p w14:paraId="4095732D" w14:textId="77777777" w:rsidR="00BE3648" w:rsidRPr="00496684" w:rsidRDefault="00BE3648" w:rsidP="00E13BA7">
      <w:pPr>
        <w:widowControl w:val="0"/>
        <w:spacing w:after="0" w:line="240" w:lineRule="auto"/>
        <w:ind w:right="-2"/>
        <w:rPr>
          <w:rFonts w:ascii="Times New Roman" w:hAnsi="Times New Roman"/>
          <w:lang w:val="it-IT"/>
        </w:rPr>
      </w:pPr>
      <w:r w:rsidRPr="00496684">
        <w:rPr>
          <w:rFonts w:ascii="Times New Roman" w:hAnsi="Times New Roman"/>
          <w:b/>
          <w:lang w:val="it-IT"/>
        </w:rPr>
        <w:t>Legga attentamente questo foglio prima di prendere questo medicinale perchè contiene importanti informazioni per lei.</w:t>
      </w:r>
    </w:p>
    <w:p w14:paraId="4070584B" w14:textId="77777777" w:rsidR="00BE3648" w:rsidRPr="00496684" w:rsidRDefault="00BE3648" w:rsidP="00BE3648">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Conservi questo foglio. Potrebbe aver bisogno di leggerlo di nuovo.</w:t>
      </w:r>
    </w:p>
    <w:p w14:paraId="30F81202" w14:textId="77777777" w:rsidR="00BE3648" w:rsidRPr="00496684" w:rsidRDefault="00BE3648" w:rsidP="00BE3648">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Se ha qualsiasi dubbio, si rivolga al medico, al farmacista o all’infermiere.</w:t>
      </w:r>
    </w:p>
    <w:p w14:paraId="37D7AB9F" w14:textId="77777777" w:rsidR="00BE3648" w:rsidRPr="00496684" w:rsidRDefault="00BE3648" w:rsidP="00BE3648">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Questo medicinale è stato prescritto soltanto per lei. Non lo dia ad altre persone, anche se i sintomi della malattia sono uguali ai suoi, perché potrebbe essere pericoloso.</w:t>
      </w:r>
    </w:p>
    <w:p w14:paraId="67DFC4E2" w14:textId="77777777" w:rsidR="00BE3648" w:rsidRPr="00496684" w:rsidRDefault="00BE3648" w:rsidP="00BE3648">
      <w:pPr>
        <w:widowControl w:val="0"/>
        <w:numPr>
          <w:ilvl w:val="0"/>
          <w:numId w:val="5"/>
        </w:numPr>
        <w:tabs>
          <w:tab w:val="clear" w:pos="644"/>
        </w:tabs>
        <w:spacing w:after="0" w:line="240" w:lineRule="auto"/>
        <w:ind w:hanging="567"/>
        <w:rPr>
          <w:rFonts w:ascii="Times New Roman" w:hAnsi="Times New Roman"/>
          <w:lang w:val="it-IT"/>
        </w:rPr>
      </w:pPr>
      <w:r w:rsidRPr="00496684">
        <w:rPr>
          <w:rFonts w:ascii="Times New Roman" w:hAnsi="Times New Roman"/>
          <w:lang w:val="it-IT"/>
        </w:rPr>
        <w:t>Se si manifesta un qualsiasi effetto indesiderato, compresi quelli non elencati in questo foglio, si rivolga al medico, al farmacista o all’infermiere.</w:t>
      </w:r>
      <w:r w:rsidR="004B0559" w:rsidRPr="00496684">
        <w:rPr>
          <w:rFonts w:ascii="Times New Roman" w:hAnsi="Times New Roman"/>
          <w:lang w:val="it-IT"/>
        </w:rPr>
        <w:t xml:space="preserve"> </w:t>
      </w:r>
      <w:r w:rsidR="004B0559" w:rsidRPr="00496684">
        <w:rPr>
          <w:rFonts w:ascii="TimesNewRoman" w:eastAsia="SimSun" w:hAnsi="TimesNewRoman" w:cs="TimesNewRoman"/>
          <w:lang w:val="it-IT" w:eastAsia="it-IT"/>
        </w:rPr>
        <w:t>Vedere paragrafo 4.</w:t>
      </w:r>
    </w:p>
    <w:p w14:paraId="0E90EEF1" w14:textId="77777777" w:rsidR="00BE3648" w:rsidRPr="00496684" w:rsidRDefault="00BE3648" w:rsidP="00FE0E06">
      <w:pPr>
        <w:autoSpaceDE w:val="0"/>
        <w:autoSpaceDN w:val="0"/>
        <w:adjustRightInd w:val="0"/>
        <w:spacing w:after="0" w:line="240" w:lineRule="auto"/>
        <w:rPr>
          <w:rFonts w:ascii="Times New Roman" w:hAnsi="Times New Roman"/>
          <w:lang w:val="it-IT"/>
        </w:rPr>
      </w:pPr>
    </w:p>
    <w:p w14:paraId="692B490C" w14:textId="77777777" w:rsidR="00BE3648" w:rsidRPr="00496684" w:rsidRDefault="00BE3648" w:rsidP="00BE3648">
      <w:pPr>
        <w:widowControl w:val="0"/>
        <w:numPr>
          <w:ilvl w:val="12"/>
          <w:numId w:val="0"/>
        </w:numPr>
        <w:ind w:right="-2"/>
        <w:rPr>
          <w:rFonts w:ascii="Times New Roman" w:hAnsi="Times New Roman"/>
          <w:lang w:val="it-IT"/>
        </w:rPr>
      </w:pPr>
      <w:r w:rsidRPr="00496684">
        <w:rPr>
          <w:rFonts w:ascii="Times New Roman" w:hAnsi="Times New Roman"/>
          <w:b/>
          <w:lang w:val="it-IT"/>
        </w:rPr>
        <w:t>Contenuto di questo foglio</w:t>
      </w:r>
    </w:p>
    <w:p w14:paraId="3C9E45B9" w14:textId="7AD86C81" w:rsidR="00BE3648" w:rsidRPr="00496684" w:rsidRDefault="00BE3648" w:rsidP="00BE36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1.</w:t>
      </w:r>
      <w:r w:rsidRPr="00496684">
        <w:rPr>
          <w:rFonts w:ascii="Times New Roman" w:hAnsi="Times New Roman"/>
          <w:lang w:val="it-IT"/>
        </w:rPr>
        <w:tab/>
        <w:t xml:space="preserve">Cos’è </w:t>
      </w:r>
      <w:r w:rsidR="00521ABE" w:rsidRPr="00496684">
        <w:rPr>
          <w:rFonts w:ascii="Times New Roman" w:hAnsi="Times New Roman"/>
          <w:lang w:val="it-IT"/>
        </w:rPr>
        <w:t>Imatinib Actavis</w:t>
      </w:r>
      <w:r w:rsidRPr="00496684">
        <w:rPr>
          <w:rFonts w:ascii="Times New Roman" w:hAnsi="Times New Roman"/>
          <w:lang w:val="it-IT"/>
        </w:rPr>
        <w:t xml:space="preserve"> e a cosa serve</w:t>
      </w:r>
    </w:p>
    <w:p w14:paraId="1EE5A76C" w14:textId="77777777" w:rsidR="00BE3648" w:rsidRPr="00496684" w:rsidRDefault="00BE3648" w:rsidP="00BE36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w:t>
      </w:r>
      <w:r w:rsidRPr="00496684">
        <w:rPr>
          <w:rFonts w:ascii="Times New Roman" w:hAnsi="Times New Roman"/>
          <w:lang w:val="it-IT"/>
        </w:rPr>
        <w:tab/>
        <w:t xml:space="preserve">Cosa deve sapere prima di prendere </w:t>
      </w:r>
      <w:r w:rsidR="00521ABE" w:rsidRPr="00496684">
        <w:rPr>
          <w:rFonts w:ascii="Times New Roman" w:hAnsi="Times New Roman"/>
          <w:lang w:val="it-IT"/>
        </w:rPr>
        <w:t>Imatinib Actavis</w:t>
      </w:r>
    </w:p>
    <w:p w14:paraId="6B548C36" w14:textId="77777777" w:rsidR="00BE3648" w:rsidRPr="00496684" w:rsidRDefault="00BE3648" w:rsidP="00BE36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3.</w:t>
      </w:r>
      <w:r w:rsidRPr="00496684">
        <w:rPr>
          <w:rFonts w:ascii="Times New Roman" w:hAnsi="Times New Roman"/>
          <w:lang w:val="it-IT"/>
        </w:rPr>
        <w:tab/>
        <w:t xml:space="preserve">Come prendere </w:t>
      </w:r>
      <w:r w:rsidR="00521ABE" w:rsidRPr="00496684">
        <w:rPr>
          <w:rFonts w:ascii="Times New Roman" w:hAnsi="Times New Roman"/>
          <w:lang w:val="it-IT"/>
        </w:rPr>
        <w:t>Imatinib Actavis</w:t>
      </w:r>
    </w:p>
    <w:p w14:paraId="2593D361" w14:textId="77777777" w:rsidR="00BE3648" w:rsidRPr="00496684" w:rsidRDefault="00BE3648" w:rsidP="00BE36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4.</w:t>
      </w:r>
      <w:r w:rsidRPr="00496684">
        <w:rPr>
          <w:rFonts w:ascii="Times New Roman" w:hAnsi="Times New Roman"/>
          <w:lang w:val="it-IT"/>
        </w:rPr>
        <w:tab/>
        <w:t>Possibili effetti indesiderati</w:t>
      </w:r>
    </w:p>
    <w:p w14:paraId="3320E91C" w14:textId="77777777" w:rsidR="00BE3648" w:rsidRPr="00496684" w:rsidRDefault="00BE3648" w:rsidP="00BE36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5.</w:t>
      </w:r>
      <w:r w:rsidRPr="00496684">
        <w:rPr>
          <w:rFonts w:ascii="Times New Roman" w:hAnsi="Times New Roman"/>
          <w:lang w:val="it-IT"/>
        </w:rPr>
        <w:tab/>
        <w:t xml:space="preserve">Come conservare </w:t>
      </w:r>
      <w:r w:rsidR="00521ABE" w:rsidRPr="00496684">
        <w:rPr>
          <w:rFonts w:ascii="Times New Roman" w:hAnsi="Times New Roman"/>
          <w:lang w:val="it-IT"/>
        </w:rPr>
        <w:t>Imatinib Actavis</w:t>
      </w:r>
    </w:p>
    <w:p w14:paraId="109BABD8" w14:textId="77777777" w:rsidR="00BE3648" w:rsidRPr="00496684" w:rsidRDefault="00BE3648" w:rsidP="00BE364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6.</w:t>
      </w:r>
      <w:r w:rsidRPr="00496684">
        <w:rPr>
          <w:rFonts w:ascii="Times New Roman" w:hAnsi="Times New Roman"/>
          <w:lang w:val="it-IT"/>
        </w:rPr>
        <w:tab/>
        <w:t>Contenuto della confezione e altre informazioni</w:t>
      </w:r>
    </w:p>
    <w:p w14:paraId="3F1C3AB0"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390434C6"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71696AAA" w14:textId="5BC7957C" w:rsidR="00FE0E06" w:rsidRPr="00496684" w:rsidRDefault="00FE0E06" w:rsidP="00FE0E06">
      <w:pPr>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1.</w:t>
      </w:r>
      <w:r w:rsidRPr="00496684">
        <w:rPr>
          <w:rFonts w:ascii="Times New Roman" w:hAnsi="Times New Roman"/>
          <w:b/>
          <w:bCs/>
          <w:lang w:val="it-IT"/>
        </w:rPr>
        <w:tab/>
      </w:r>
      <w:r w:rsidR="00BE3648" w:rsidRPr="00496684">
        <w:rPr>
          <w:rFonts w:ascii="Times New Roman" w:hAnsi="Times New Roman"/>
          <w:b/>
          <w:lang w:val="it-IT"/>
        </w:rPr>
        <w:t xml:space="preserve">Cos’è </w:t>
      </w:r>
      <w:r w:rsidR="00521ABE" w:rsidRPr="00496684">
        <w:rPr>
          <w:rFonts w:ascii="Times New Roman" w:hAnsi="Times New Roman"/>
          <w:b/>
          <w:lang w:val="it-IT"/>
        </w:rPr>
        <w:t>Imatinib Actavis</w:t>
      </w:r>
      <w:r w:rsidR="00BE3648" w:rsidRPr="00496684">
        <w:rPr>
          <w:rFonts w:ascii="Times New Roman" w:hAnsi="Times New Roman"/>
          <w:b/>
          <w:lang w:val="it-IT"/>
        </w:rPr>
        <w:t xml:space="preserve"> e a cosa serve</w:t>
      </w:r>
    </w:p>
    <w:p w14:paraId="742DFAAF" w14:textId="77777777" w:rsidR="00FE0E06" w:rsidRPr="00496684" w:rsidRDefault="00FE0E06" w:rsidP="00FE0E06">
      <w:pPr>
        <w:autoSpaceDE w:val="0"/>
        <w:autoSpaceDN w:val="0"/>
        <w:adjustRightInd w:val="0"/>
        <w:spacing w:after="0" w:line="240" w:lineRule="auto"/>
        <w:rPr>
          <w:rFonts w:ascii="Times New Roman" w:hAnsi="Times New Roman"/>
          <w:bCs/>
          <w:lang w:val="it-IT"/>
        </w:rPr>
      </w:pPr>
    </w:p>
    <w:p w14:paraId="22F70064" w14:textId="77777777" w:rsidR="00BE3648" w:rsidRPr="00496684" w:rsidRDefault="00521ABE" w:rsidP="00BE3648">
      <w:pPr>
        <w:pStyle w:val="Text"/>
        <w:widowControl w:val="0"/>
        <w:spacing w:before="0"/>
        <w:jc w:val="left"/>
        <w:rPr>
          <w:sz w:val="22"/>
          <w:szCs w:val="22"/>
          <w:lang w:val="it-IT"/>
        </w:rPr>
      </w:pPr>
      <w:r w:rsidRPr="00496684">
        <w:rPr>
          <w:sz w:val="22"/>
          <w:szCs w:val="22"/>
          <w:lang w:val="it-IT"/>
        </w:rPr>
        <w:t>Imatinib Actavis</w:t>
      </w:r>
      <w:r w:rsidR="00BE3648" w:rsidRPr="00496684">
        <w:rPr>
          <w:sz w:val="22"/>
          <w:szCs w:val="22"/>
          <w:lang w:val="it-IT"/>
        </w:rPr>
        <w:t xml:space="preserve"> è un medicinale contenente un principio attivo chiamato imatinib. Questo medicinale agisce inibendo la crescita di cellule anormali </w:t>
      </w:r>
      <w:r w:rsidR="00836099" w:rsidRPr="00496684">
        <w:rPr>
          <w:sz w:val="22"/>
          <w:szCs w:val="22"/>
          <w:lang w:val="it-IT"/>
        </w:rPr>
        <w:t>nelle patologie di seguito elencate</w:t>
      </w:r>
      <w:r w:rsidR="00BE3648" w:rsidRPr="00496684">
        <w:rPr>
          <w:sz w:val="22"/>
          <w:szCs w:val="22"/>
          <w:lang w:val="it-IT"/>
        </w:rPr>
        <w:t>.</w:t>
      </w:r>
      <w:r w:rsidR="00836099" w:rsidRPr="00496684">
        <w:rPr>
          <w:sz w:val="22"/>
          <w:szCs w:val="22"/>
          <w:lang w:val="it-IT"/>
        </w:rPr>
        <w:t xml:space="preserve"> Queste comprendono alcuni tipi di cancro.</w:t>
      </w:r>
    </w:p>
    <w:p w14:paraId="78D6B6B2" w14:textId="77777777" w:rsidR="00BE3648" w:rsidRPr="00496684" w:rsidRDefault="00BE3648" w:rsidP="00FE0E06">
      <w:pPr>
        <w:autoSpaceDE w:val="0"/>
        <w:autoSpaceDN w:val="0"/>
        <w:adjustRightInd w:val="0"/>
        <w:spacing w:after="0" w:line="240" w:lineRule="auto"/>
        <w:rPr>
          <w:rFonts w:ascii="Times New Roman" w:hAnsi="Times New Roman"/>
          <w:lang w:val="it-IT"/>
        </w:rPr>
      </w:pPr>
    </w:p>
    <w:p w14:paraId="602BB79C" w14:textId="3D64FD73" w:rsidR="00E3305D" w:rsidRPr="00496684" w:rsidRDefault="00E3305D" w:rsidP="00950E14">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 xml:space="preserve">Imatinib Actavis </w:t>
      </w:r>
      <w:r w:rsidR="00BF48F7" w:rsidRPr="00496684">
        <w:rPr>
          <w:rFonts w:ascii="Times New Roman" w:hAnsi="Times New Roman"/>
          <w:b/>
          <w:bCs/>
          <w:lang w:val="it-IT"/>
        </w:rPr>
        <w:t>è un trattamento per:</w:t>
      </w:r>
    </w:p>
    <w:p w14:paraId="082FB9B6" w14:textId="77777777" w:rsidR="00E3305D" w:rsidRPr="00496684" w:rsidRDefault="00E3305D" w:rsidP="00950E14">
      <w:pPr>
        <w:autoSpaceDE w:val="0"/>
        <w:autoSpaceDN w:val="0"/>
        <w:adjustRightInd w:val="0"/>
        <w:spacing w:after="0" w:line="240" w:lineRule="auto"/>
        <w:rPr>
          <w:rFonts w:ascii="Times New Roman" w:hAnsi="Times New Roman"/>
          <w:b/>
          <w:bCs/>
          <w:lang w:val="it-IT"/>
        </w:rPr>
      </w:pPr>
    </w:p>
    <w:p w14:paraId="29F42D05" w14:textId="77777777" w:rsidR="00950E14" w:rsidRPr="00496684" w:rsidRDefault="00E3305D" w:rsidP="00D008F2">
      <w:pPr>
        <w:numPr>
          <w:ilvl w:val="0"/>
          <w:numId w:val="5"/>
        </w:numPr>
        <w:tabs>
          <w:tab w:val="clear" w:pos="644"/>
          <w:tab w:val="num" w:pos="567"/>
        </w:tabs>
        <w:autoSpaceDE w:val="0"/>
        <w:autoSpaceDN w:val="0"/>
        <w:adjustRightInd w:val="0"/>
        <w:spacing w:after="0" w:line="240" w:lineRule="auto"/>
        <w:ind w:hanging="567"/>
        <w:rPr>
          <w:rFonts w:ascii="Times New Roman" w:eastAsia="Times New Roman" w:hAnsi="Times New Roman"/>
          <w:lang w:val="it-IT" w:eastAsia="it-IT"/>
        </w:rPr>
      </w:pPr>
      <w:r w:rsidRPr="00496684">
        <w:rPr>
          <w:rFonts w:ascii="Times New Roman" w:hAnsi="Times New Roman"/>
          <w:b/>
          <w:bCs/>
          <w:lang w:val="it-IT"/>
        </w:rPr>
        <w:t>L</w:t>
      </w:r>
      <w:r w:rsidR="00BE3648" w:rsidRPr="00496684">
        <w:rPr>
          <w:rFonts w:ascii="Times New Roman" w:hAnsi="Times New Roman"/>
          <w:b/>
          <w:bCs/>
          <w:lang w:val="it-IT"/>
        </w:rPr>
        <w:t>eucemia mieloide cronica (LMC).</w:t>
      </w:r>
    </w:p>
    <w:p w14:paraId="3C94AA84" w14:textId="665C0B5A" w:rsidR="00830BE4" w:rsidRPr="00496684" w:rsidRDefault="00BE3648" w:rsidP="00E3305D">
      <w:pPr>
        <w:autoSpaceDE w:val="0"/>
        <w:autoSpaceDN w:val="0"/>
        <w:adjustRightInd w:val="0"/>
        <w:spacing w:after="0" w:line="240" w:lineRule="auto"/>
        <w:ind w:left="567"/>
        <w:rPr>
          <w:rFonts w:ascii="Times New Roman" w:hAnsi="Times New Roman"/>
          <w:lang w:val="it-IT"/>
        </w:rPr>
      </w:pPr>
      <w:r w:rsidRPr="00496684">
        <w:rPr>
          <w:rFonts w:ascii="Times New Roman" w:hAnsi="Times New Roman"/>
          <w:lang w:val="it-IT"/>
        </w:rPr>
        <w:t>La leucemia è un tumore dei globuli bianchi. I globuli bianchi normalmente aiutano l’organismo a combattere le infezioni. La leucemia mieloide cronica è una forma di leucemia nella quale certi globuli bianchi anormali (chiamati cellule mieloidi) iniziano a crescere senza controllo.</w:t>
      </w:r>
    </w:p>
    <w:p w14:paraId="2E5E5050" w14:textId="77777777" w:rsidR="00BE3648" w:rsidRPr="00496684" w:rsidRDefault="00BE3648" w:rsidP="00E3305D">
      <w:pPr>
        <w:autoSpaceDE w:val="0"/>
        <w:autoSpaceDN w:val="0"/>
        <w:adjustRightInd w:val="0"/>
        <w:spacing w:after="0" w:line="240" w:lineRule="auto"/>
        <w:ind w:left="567"/>
        <w:rPr>
          <w:rFonts w:ascii="Times New Roman" w:hAnsi="Times New Roman"/>
          <w:bCs/>
          <w:lang w:val="it-IT"/>
        </w:rPr>
      </w:pPr>
    </w:p>
    <w:p w14:paraId="733BD60A" w14:textId="77777777" w:rsidR="00327148" w:rsidRPr="00496684" w:rsidRDefault="00BE3648" w:rsidP="00B653CE">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Nei pazienti adulti, Imatinib Actavis è indicato per l'uso nella fase più avanzata della malattia (crisi blastica). Nei bambini e adolescenti</w:t>
      </w:r>
      <w:r w:rsidR="00327148" w:rsidRPr="00496684">
        <w:rPr>
          <w:rFonts w:ascii="Times New Roman" w:hAnsi="Times New Roman"/>
          <w:lang w:val="it-IT"/>
        </w:rPr>
        <w:t xml:space="preserve">, Imatinib Actavis </w:t>
      </w:r>
      <w:r w:rsidRPr="00496684">
        <w:rPr>
          <w:rFonts w:ascii="Times New Roman" w:hAnsi="Times New Roman"/>
          <w:lang w:val="it-IT"/>
        </w:rPr>
        <w:t>può essere usato in fasi differenti della malattia</w:t>
      </w:r>
      <w:r w:rsidR="00BC5536" w:rsidRPr="00496684">
        <w:rPr>
          <w:rFonts w:ascii="Times New Roman" w:hAnsi="Times New Roman"/>
          <w:lang w:val="it-IT"/>
        </w:rPr>
        <w:t xml:space="preserve"> </w:t>
      </w:r>
      <w:r w:rsidRPr="00496684">
        <w:rPr>
          <w:rFonts w:ascii="Times New Roman" w:hAnsi="Times New Roman"/>
          <w:lang w:val="it-IT"/>
        </w:rPr>
        <w:t>(fase c</w:t>
      </w:r>
      <w:r w:rsidR="00327148" w:rsidRPr="00496684">
        <w:rPr>
          <w:rFonts w:ascii="Times New Roman" w:hAnsi="Times New Roman"/>
          <w:lang w:val="it-IT"/>
        </w:rPr>
        <w:t>ronic</w:t>
      </w:r>
      <w:r w:rsidRPr="00496684">
        <w:rPr>
          <w:rFonts w:ascii="Times New Roman" w:hAnsi="Times New Roman"/>
          <w:lang w:val="it-IT"/>
        </w:rPr>
        <w:t>a</w:t>
      </w:r>
      <w:r w:rsidR="00327148" w:rsidRPr="00496684">
        <w:rPr>
          <w:rFonts w:ascii="Times New Roman" w:hAnsi="Times New Roman"/>
          <w:lang w:val="it-IT"/>
        </w:rPr>
        <w:t>, accelerat</w:t>
      </w:r>
      <w:r w:rsidRPr="00496684">
        <w:rPr>
          <w:rFonts w:ascii="Times New Roman" w:hAnsi="Times New Roman"/>
          <w:lang w:val="it-IT"/>
        </w:rPr>
        <w:t xml:space="preserve">a e </w:t>
      </w:r>
      <w:r w:rsidR="00327148" w:rsidRPr="00496684">
        <w:rPr>
          <w:rFonts w:ascii="Times New Roman" w:hAnsi="Times New Roman"/>
          <w:lang w:val="it-IT"/>
        </w:rPr>
        <w:t>crisi</w:t>
      </w:r>
      <w:r w:rsidRPr="00496684">
        <w:rPr>
          <w:rFonts w:ascii="Times New Roman" w:hAnsi="Times New Roman"/>
          <w:lang w:val="it-IT"/>
        </w:rPr>
        <w:t xml:space="preserve"> blastica</w:t>
      </w:r>
      <w:r w:rsidR="00327148" w:rsidRPr="00496684">
        <w:rPr>
          <w:rFonts w:ascii="Times New Roman" w:hAnsi="Times New Roman"/>
          <w:lang w:val="it-IT"/>
        </w:rPr>
        <w:t>).</w:t>
      </w:r>
    </w:p>
    <w:p w14:paraId="598F3AB0"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616BE227" w14:textId="77777777" w:rsidR="00EE7A07" w:rsidRPr="00496684" w:rsidRDefault="00EE7A07" w:rsidP="00D008F2">
      <w:pPr>
        <w:numPr>
          <w:ilvl w:val="0"/>
          <w:numId w:val="5"/>
        </w:numPr>
        <w:tabs>
          <w:tab w:val="clear" w:pos="644"/>
          <w:tab w:val="num" w:pos="567"/>
        </w:tabs>
        <w:autoSpaceDE w:val="0"/>
        <w:autoSpaceDN w:val="0"/>
        <w:adjustRightInd w:val="0"/>
        <w:spacing w:after="0" w:line="240" w:lineRule="auto"/>
        <w:ind w:hanging="567"/>
        <w:rPr>
          <w:rFonts w:ascii="Times New Roman" w:hAnsi="Times New Roman"/>
          <w:lang w:val="it-IT"/>
        </w:rPr>
      </w:pPr>
      <w:r w:rsidRPr="00496684">
        <w:rPr>
          <w:rFonts w:ascii="Times New Roman" w:hAnsi="Times New Roman"/>
          <w:b/>
          <w:bCs/>
          <w:lang w:val="it-IT"/>
        </w:rPr>
        <w:t>Leucemia linfoblastica acuta positiva al cromosoma philadelphia (LLA Ph+).</w:t>
      </w:r>
    </w:p>
    <w:p w14:paraId="02CFDF1E" w14:textId="77777777" w:rsidR="003A3302" w:rsidRPr="00496684" w:rsidRDefault="00EE7A07" w:rsidP="00CE7998">
      <w:pPr>
        <w:pStyle w:val="Default"/>
        <w:ind w:left="567"/>
        <w:rPr>
          <w:sz w:val="22"/>
          <w:szCs w:val="22"/>
          <w:lang w:val="it-IT"/>
        </w:rPr>
      </w:pPr>
      <w:r w:rsidRPr="00496684">
        <w:rPr>
          <w:sz w:val="22"/>
          <w:szCs w:val="22"/>
          <w:lang w:val="it-IT"/>
        </w:rPr>
        <w:t>La leucemia è un tumore dei globuli bianchi. I globuli bianchi normalmente aiutano l’organismo a combattere le infezioni. La leucemia linfoblastica acuta è una forma di leucemia nella quale certi globuli bianchi anormali (chiamati linfoblasti) inizia</w:t>
      </w:r>
      <w:r w:rsidR="00CA40C1" w:rsidRPr="00496684">
        <w:rPr>
          <w:sz w:val="22"/>
          <w:szCs w:val="22"/>
          <w:lang w:val="it-IT"/>
        </w:rPr>
        <w:t>no a crescere senza controllo. Imatinib Actavis</w:t>
      </w:r>
      <w:r w:rsidRPr="00496684">
        <w:rPr>
          <w:sz w:val="22"/>
          <w:szCs w:val="22"/>
          <w:lang w:val="it-IT"/>
        </w:rPr>
        <w:t xml:space="preserve"> inibisce la crescita di queste cellule. </w:t>
      </w:r>
    </w:p>
    <w:p w14:paraId="7BAF396B" w14:textId="77777777" w:rsidR="00A07CCB" w:rsidRPr="00496684" w:rsidRDefault="00A07CCB" w:rsidP="00A07CCB">
      <w:pPr>
        <w:pStyle w:val="Text"/>
        <w:widowControl w:val="0"/>
        <w:spacing w:before="0"/>
        <w:jc w:val="left"/>
        <w:rPr>
          <w:b/>
          <w:sz w:val="22"/>
          <w:szCs w:val="22"/>
          <w:lang w:val="it-IT"/>
        </w:rPr>
      </w:pPr>
    </w:p>
    <w:p w14:paraId="0C3AAE92" w14:textId="77777777" w:rsidR="00A07CCB" w:rsidRPr="00496684" w:rsidRDefault="00BF48F7" w:rsidP="00A07CCB">
      <w:pPr>
        <w:pStyle w:val="Text"/>
        <w:widowControl w:val="0"/>
        <w:spacing w:before="0"/>
        <w:jc w:val="left"/>
        <w:rPr>
          <w:b/>
          <w:sz w:val="22"/>
          <w:szCs w:val="22"/>
          <w:lang w:val="it-IT"/>
        </w:rPr>
      </w:pPr>
      <w:r w:rsidRPr="00496684">
        <w:rPr>
          <w:b/>
          <w:bCs/>
          <w:sz w:val="22"/>
          <w:szCs w:val="22"/>
          <w:lang w:val="it-IT"/>
        </w:rPr>
        <w:t xml:space="preserve">Imatinib Actavis </w:t>
      </w:r>
      <w:r w:rsidR="00A07CCB" w:rsidRPr="00496684">
        <w:rPr>
          <w:b/>
          <w:sz w:val="22"/>
          <w:szCs w:val="22"/>
          <w:lang w:val="it-IT"/>
        </w:rPr>
        <w:t>è anche indicato nei pazienti adulti per il trattamento di:</w:t>
      </w:r>
    </w:p>
    <w:p w14:paraId="4247C26C" w14:textId="77777777" w:rsidR="003A3302" w:rsidRPr="00496684" w:rsidRDefault="003A3302" w:rsidP="00CE7998">
      <w:pPr>
        <w:pStyle w:val="Default"/>
        <w:ind w:left="567"/>
        <w:rPr>
          <w:sz w:val="22"/>
          <w:szCs w:val="22"/>
          <w:lang w:val="it-IT"/>
        </w:rPr>
      </w:pPr>
    </w:p>
    <w:p w14:paraId="55FA8997" w14:textId="77777777" w:rsidR="00D27F05" w:rsidRPr="00496684" w:rsidRDefault="00D27F05" w:rsidP="00D008F2">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Malattie mielodisplastiche/mieloproliferative (MDS/MPD)</w:t>
      </w:r>
    </w:p>
    <w:p w14:paraId="077D5654" w14:textId="77777777" w:rsidR="00D27F05" w:rsidRPr="00496684" w:rsidRDefault="00D27F05" w:rsidP="00D008F2">
      <w:pPr>
        <w:pStyle w:val="Default"/>
        <w:ind w:left="567" w:hanging="283"/>
        <w:rPr>
          <w:sz w:val="22"/>
          <w:szCs w:val="22"/>
          <w:lang w:val="it-IT"/>
        </w:rPr>
      </w:pPr>
      <w:r w:rsidRPr="00496684">
        <w:rPr>
          <w:sz w:val="22"/>
          <w:szCs w:val="22"/>
          <w:lang w:val="it-IT"/>
        </w:rPr>
        <w:t xml:space="preserve">Queste sono un gruppo di malattie ematologiche nelle quali alcune cellule del sangue iniziano a crescere senza controllo. Imatinib Actavis inibisce la crescita di queste cellule in certi sottotipi di queste malattie. </w:t>
      </w:r>
    </w:p>
    <w:p w14:paraId="6E657A47" w14:textId="77777777" w:rsidR="00EE7A07" w:rsidRPr="00496684" w:rsidRDefault="007A4E0F" w:rsidP="00D008F2">
      <w:pPr>
        <w:numPr>
          <w:ilvl w:val="0"/>
          <w:numId w:val="5"/>
        </w:numPr>
        <w:tabs>
          <w:tab w:val="clear" w:pos="644"/>
          <w:tab w:val="num" w:pos="567"/>
        </w:tabs>
        <w:autoSpaceDE w:val="0"/>
        <w:autoSpaceDN w:val="0"/>
        <w:adjustRightInd w:val="0"/>
        <w:spacing w:after="0" w:line="240" w:lineRule="auto"/>
        <w:ind w:hanging="567"/>
        <w:rPr>
          <w:rFonts w:ascii="Times New Roman" w:hAnsi="Times New Roman"/>
          <w:b/>
          <w:bCs/>
          <w:lang w:val="it-IT"/>
        </w:rPr>
      </w:pPr>
      <w:r w:rsidRPr="00496684">
        <w:rPr>
          <w:rFonts w:ascii="Times New Roman" w:hAnsi="Times New Roman"/>
          <w:b/>
          <w:bCs/>
          <w:lang w:val="it-IT"/>
        </w:rPr>
        <w:t>Sindrome ipereosinofila (HES) e/o leucemia eosinofila cronica (LEC)</w:t>
      </w:r>
    </w:p>
    <w:p w14:paraId="4610E49D" w14:textId="77777777" w:rsidR="007A4E0F" w:rsidRPr="00496684" w:rsidRDefault="007A4E0F" w:rsidP="00D008F2">
      <w:pPr>
        <w:pStyle w:val="Default"/>
        <w:ind w:left="567" w:hanging="283"/>
        <w:rPr>
          <w:sz w:val="22"/>
          <w:szCs w:val="22"/>
          <w:lang w:val="it-IT"/>
        </w:rPr>
      </w:pPr>
      <w:r w:rsidRPr="00496684">
        <w:rPr>
          <w:sz w:val="22"/>
          <w:szCs w:val="22"/>
          <w:lang w:val="it-IT"/>
        </w:rPr>
        <w:t xml:space="preserve">Sono malattie del sangue dove delle cellule del sangue (chiamate eosinofili) iniziano a crescere senza controllo. Imatinib Actavis inibisce la crescita di queste cellule in un certo sottotipo di queste malattie. </w:t>
      </w:r>
    </w:p>
    <w:p w14:paraId="111F2764" w14:textId="77777777" w:rsidR="007A4E0F" w:rsidRPr="00496684" w:rsidRDefault="007A4E0F" w:rsidP="00D008F2">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Dermatofibrosarcoma protuberans (DFSP)</w:t>
      </w:r>
    </w:p>
    <w:p w14:paraId="7336DE53" w14:textId="77777777" w:rsidR="007A4E0F" w:rsidRPr="00496684" w:rsidRDefault="007A4E0F" w:rsidP="00D008F2">
      <w:pPr>
        <w:pStyle w:val="Default"/>
        <w:ind w:left="567" w:hanging="283"/>
        <w:rPr>
          <w:sz w:val="22"/>
          <w:szCs w:val="22"/>
          <w:lang w:val="it-IT"/>
        </w:rPr>
      </w:pPr>
      <w:r w:rsidRPr="00496684">
        <w:rPr>
          <w:sz w:val="22"/>
          <w:szCs w:val="22"/>
          <w:lang w:val="it-IT"/>
        </w:rPr>
        <w:t xml:space="preserve">DFSP è un tumore del tessuto sottocutaneo nel quale alcune cellule iniziano a crescere senza controllo. Imatinib Actavis inibisce la crescita di queste cellule. </w:t>
      </w:r>
    </w:p>
    <w:p w14:paraId="1AFBFC6F" w14:textId="77777777" w:rsidR="00A07CCB" w:rsidRPr="00496684" w:rsidRDefault="00A07CCB" w:rsidP="00D008F2">
      <w:pPr>
        <w:autoSpaceDE w:val="0"/>
        <w:autoSpaceDN w:val="0"/>
        <w:adjustRightInd w:val="0"/>
        <w:spacing w:after="0" w:line="240" w:lineRule="auto"/>
        <w:rPr>
          <w:rFonts w:ascii="Times New Roman" w:hAnsi="Times New Roman"/>
          <w:lang w:val="it-IT"/>
        </w:rPr>
      </w:pPr>
    </w:p>
    <w:p w14:paraId="500FDF8D" w14:textId="77777777" w:rsidR="007A4E0F" w:rsidRPr="00496684" w:rsidRDefault="007A4E0F" w:rsidP="00D008F2">
      <w:pPr>
        <w:autoSpaceDE w:val="0"/>
        <w:autoSpaceDN w:val="0"/>
        <w:adjustRightInd w:val="0"/>
        <w:spacing w:after="0" w:line="240" w:lineRule="auto"/>
        <w:rPr>
          <w:lang w:val="it-IT"/>
        </w:rPr>
      </w:pPr>
      <w:r w:rsidRPr="00496684">
        <w:rPr>
          <w:rFonts w:ascii="Times New Roman" w:hAnsi="Times New Roman"/>
          <w:lang w:val="it-IT"/>
        </w:rPr>
        <w:t>Nel resto di questo foglio illustrativo si useranno le abbreviazioni quando si parlerà di queste malattie</w:t>
      </w:r>
    </w:p>
    <w:p w14:paraId="0C000B07" w14:textId="77777777" w:rsidR="007A4E0F" w:rsidRPr="00496684" w:rsidRDefault="007A4E0F" w:rsidP="00D008F2">
      <w:pPr>
        <w:autoSpaceDE w:val="0"/>
        <w:autoSpaceDN w:val="0"/>
        <w:adjustRightInd w:val="0"/>
        <w:spacing w:after="0" w:line="240" w:lineRule="auto"/>
        <w:ind w:left="284"/>
        <w:rPr>
          <w:rFonts w:ascii="Times New Roman" w:hAnsi="Times New Roman"/>
          <w:lang w:val="it-IT"/>
        </w:rPr>
      </w:pPr>
    </w:p>
    <w:p w14:paraId="78B3C71C" w14:textId="77777777" w:rsidR="00FE0E06" w:rsidRPr="00496684" w:rsidRDefault="00BE3648" w:rsidP="008A774D">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Se ha delle domande riguardo a come </w:t>
      </w:r>
      <w:r w:rsidR="00521ABE" w:rsidRPr="00496684">
        <w:rPr>
          <w:rFonts w:ascii="Times New Roman" w:hAnsi="Times New Roman"/>
          <w:lang w:val="it-IT"/>
        </w:rPr>
        <w:t>Imatinib Actavis</w:t>
      </w:r>
      <w:r w:rsidRPr="00496684">
        <w:rPr>
          <w:rFonts w:ascii="Times New Roman" w:hAnsi="Times New Roman"/>
          <w:lang w:val="it-IT"/>
        </w:rPr>
        <w:t xml:space="preserve"> agisce o sul motivo per cui le è stato prescritto </w:t>
      </w:r>
      <w:r w:rsidR="00521ABE" w:rsidRPr="00496684">
        <w:rPr>
          <w:rFonts w:ascii="Times New Roman" w:hAnsi="Times New Roman"/>
          <w:lang w:val="it-IT"/>
        </w:rPr>
        <w:t>Imatinib Actavis</w:t>
      </w:r>
      <w:r w:rsidRPr="00496684">
        <w:rPr>
          <w:rFonts w:ascii="Times New Roman" w:hAnsi="Times New Roman"/>
          <w:lang w:val="it-IT"/>
        </w:rPr>
        <w:t>, consulti il medico</w:t>
      </w:r>
      <w:r w:rsidR="00E13BA7" w:rsidRPr="00496684">
        <w:rPr>
          <w:rFonts w:ascii="Times New Roman" w:hAnsi="Times New Roman"/>
          <w:lang w:val="it-IT"/>
        </w:rPr>
        <w:t>.</w:t>
      </w:r>
    </w:p>
    <w:p w14:paraId="23EA6686"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726BE523" w14:textId="77777777" w:rsidR="0020671B" w:rsidRPr="00496684" w:rsidRDefault="0020671B" w:rsidP="00FE0E06">
      <w:pPr>
        <w:autoSpaceDE w:val="0"/>
        <w:autoSpaceDN w:val="0"/>
        <w:adjustRightInd w:val="0"/>
        <w:spacing w:after="0" w:line="240" w:lineRule="auto"/>
        <w:rPr>
          <w:rFonts w:ascii="Times New Roman" w:hAnsi="Times New Roman"/>
          <w:lang w:val="it-IT"/>
        </w:rPr>
      </w:pPr>
    </w:p>
    <w:p w14:paraId="30427457" w14:textId="77777777" w:rsidR="00FE0E06" w:rsidRPr="00496684" w:rsidRDefault="00FE0E06" w:rsidP="00FE0E0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r>
      <w:r w:rsidR="00BE3648" w:rsidRPr="00496684">
        <w:rPr>
          <w:rFonts w:ascii="Times New Roman" w:hAnsi="Times New Roman"/>
          <w:b/>
          <w:bCs/>
          <w:lang w:val="it-IT"/>
        </w:rPr>
        <w:t xml:space="preserve">Cosa deve sapere prima di prendere </w:t>
      </w:r>
      <w:r w:rsidRPr="00496684">
        <w:rPr>
          <w:rFonts w:ascii="Times New Roman" w:hAnsi="Times New Roman"/>
          <w:b/>
          <w:bCs/>
          <w:lang w:val="it-IT"/>
        </w:rPr>
        <w:t>Imatinib Actavis</w:t>
      </w:r>
    </w:p>
    <w:p w14:paraId="0075F491" w14:textId="77777777" w:rsidR="00BE3648" w:rsidRPr="00496684" w:rsidRDefault="00BE3648" w:rsidP="00FE0E06">
      <w:pPr>
        <w:autoSpaceDE w:val="0"/>
        <w:autoSpaceDN w:val="0"/>
        <w:adjustRightInd w:val="0"/>
        <w:spacing w:after="0" w:line="240" w:lineRule="auto"/>
        <w:rPr>
          <w:rFonts w:ascii="Times New Roman" w:hAnsi="Times New Roman"/>
          <w:lang w:val="it-IT"/>
        </w:rPr>
      </w:pPr>
    </w:p>
    <w:p w14:paraId="483412AD" w14:textId="77777777" w:rsidR="00BE3648" w:rsidRPr="00496684" w:rsidRDefault="00521ABE" w:rsidP="00E13BA7">
      <w:pPr>
        <w:pStyle w:val="Textkrper3"/>
        <w:spacing w:after="0" w:line="240" w:lineRule="auto"/>
        <w:rPr>
          <w:rFonts w:ascii="Times New Roman" w:hAnsi="Times New Roman"/>
          <w:sz w:val="22"/>
          <w:szCs w:val="22"/>
          <w:lang w:val="it-IT"/>
        </w:rPr>
      </w:pPr>
      <w:r w:rsidRPr="00496684">
        <w:rPr>
          <w:rFonts w:ascii="Times New Roman" w:hAnsi="Times New Roman"/>
          <w:sz w:val="22"/>
          <w:szCs w:val="22"/>
          <w:lang w:val="it-IT"/>
        </w:rPr>
        <w:t>Imatinib Actavis</w:t>
      </w:r>
      <w:r w:rsidR="00BE3648" w:rsidRPr="00496684">
        <w:rPr>
          <w:rFonts w:ascii="Times New Roman" w:hAnsi="Times New Roman"/>
          <w:sz w:val="22"/>
          <w:szCs w:val="22"/>
          <w:lang w:val="it-IT"/>
        </w:rPr>
        <w:t xml:space="preserve"> le verrà prescritto solo da medici con esperienza in medicinali per il trattamento dei tumori del sangue</w:t>
      </w:r>
      <w:r w:rsidR="00547417" w:rsidRPr="00496684">
        <w:rPr>
          <w:rFonts w:ascii="Times New Roman" w:hAnsi="Times New Roman"/>
          <w:sz w:val="22"/>
          <w:szCs w:val="22"/>
          <w:lang w:val="it-IT"/>
        </w:rPr>
        <w:t xml:space="preserve"> o tumori solidi</w:t>
      </w:r>
      <w:r w:rsidR="00BE3648" w:rsidRPr="00496684">
        <w:rPr>
          <w:rFonts w:ascii="Times New Roman" w:hAnsi="Times New Roman"/>
          <w:sz w:val="22"/>
          <w:szCs w:val="22"/>
          <w:lang w:val="it-IT"/>
        </w:rPr>
        <w:t>.</w:t>
      </w:r>
    </w:p>
    <w:p w14:paraId="10BD52F0" w14:textId="77777777" w:rsidR="00E13BA7" w:rsidRPr="00496684" w:rsidRDefault="00E13BA7" w:rsidP="00E13BA7">
      <w:pPr>
        <w:pStyle w:val="Textkrper3"/>
        <w:spacing w:after="0" w:line="240" w:lineRule="auto"/>
        <w:rPr>
          <w:rFonts w:ascii="Times New Roman" w:hAnsi="Times New Roman"/>
          <w:sz w:val="22"/>
          <w:szCs w:val="22"/>
          <w:lang w:val="it-IT"/>
        </w:rPr>
      </w:pPr>
    </w:p>
    <w:p w14:paraId="4A238931" w14:textId="77777777" w:rsidR="00BE3648" w:rsidRPr="00496684" w:rsidRDefault="00BE3648" w:rsidP="00E13BA7">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Segua attentamente tutte le istruzioni del medico, anche se differiscono dalle informazioni generali contenute in questo foglio.</w:t>
      </w:r>
    </w:p>
    <w:p w14:paraId="50530BFE" w14:textId="77777777" w:rsidR="00547417" w:rsidRPr="00496684" w:rsidRDefault="00547417" w:rsidP="00E13BA7">
      <w:pPr>
        <w:widowControl w:val="0"/>
        <w:numPr>
          <w:ilvl w:val="12"/>
          <w:numId w:val="0"/>
        </w:numPr>
        <w:spacing w:after="0" w:line="240" w:lineRule="auto"/>
        <w:ind w:right="-2"/>
        <w:rPr>
          <w:rFonts w:ascii="Times New Roman" w:hAnsi="Times New Roman"/>
          <w:lang w:val="it-IT"/>
        </w:rPr>
      </w:pPr>
    </w:p>
    <w:p w14:paraId="1CFFFE65" w14:textId="704A8CA0" w:rsidR="00BE3648" w:rsidRPr="00496684" w:rsidRDefault="00BE3648" w:rsidP="00E13BA7">
      <w:pPr>
        <w:widowControl w:val="0"/>
        <w:numPr>
          <w:ilvl w:val="12"/>
          <w:numId w:val="0"/>
        </w:numPr>
        <w:spacing w:after="0" w:line="240" w:lineRule="auto"/>
        <w:rPr>
          <w:rFonts w:ascii="Times New Roman" w:hAnsi="Times New Roman"/>
          <w:lang w:val="it-IT"/>
        </w:rPr>
      </w:pPr>
      <w:r w:rsidRPr="00496684">
        <w:rPr>
          <w:rFonts w:ascii="Times New Roman" w:hAnsi="Times New Roman"/>
          <w:b/>
          <w:lang w:val="it-IT"/>
        </w:rPr>
        <w:t xml:space="preserve">Non prenda </w:t>
      </w:r>
      <w:r w:rsidR="00521ABE" w:rsidRPr="00496684">
        <w:rPr>
          <w:rFonts w:ascii="Times New Roman" w:hAnsi="Times New Roman"/>
          <w:b/>
          <w:lang w:val="it-IT"/>
        </w:rPr>
        <w:t>Imatinib Actavis</w:t>
      </w:r>
    </w:p>
    <w:p w14:paraId="23CF2A7B" w14:textId="77777777" w:rsidR="00BE3648" w:rsidRPr="00496684" w:rsidRDefault="00BE3648" w:rsidP="00E13BA7">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se è allergico a imatinib o ad uno qualsiasi degli altri componenti di questo medicinale (elencati al paragrafo 6).</w:t>
      </w:r>
    </w:p>
    <w:p w14:paraId="5D9D7697" w14:textId="77777777" w:rsidR="00E13BA7" w:rsidRPr="00496684" w:rsidRDefault="00E13BA7" w:rsidP="00E13BA7">
      <w:pPr>
        <w:widowControl w:val="0"/>
        <w:numPr>
          <w:ilvl w:val="12"/>
          <w:numId w:val="0"/>
        </w:numPr>
        <w:spacing w:after="0" w:line="240" w:lineRule="auto"/>
        <w:ind w:left="567" w:hanging="567"/>
        <w:rPr>
          <w:rFonts w:ascii="Times New Roman" w:hAnsi="Times New Roman"/>
          <w:lang w:val="it-IT"/>
        </w:rPr>
      </w:pPr>
    </w:p>
    <w:p w14:paraId="7CDB6AC0" w14:textId="77777777" w:rsidR="00BE3648" w:rsidRPr="00496684" w:rsidRDefault="00BE3648" w:rsidP="00E13BA7">
      <w:pPr>
        <w:pStyle w:val="Endnotentext"/>
        <w:widowControl w:val="0"/>
        <w:numPr>
          <w:ilvl w:val="12"/>
          <w:numId w:val="0"/>
        </w:numPr>
        <w:tabs>
          <w:tab w:val="clear" w:pos="567"/>
        </w:tabs>
        <w:rPr>
          <w:szCs w:val="22"/>
          <w:lang w:val="it-IT"/>
        </w:rPr>
      </w:pPr>
      <w:r w:rsidRPr="00496684">
        <w:rPr>
          <w:szCs w:val="22"/>
          <w:lang w:val="it-IT"/>
        </w:rPr>
        <w:t xml:space="preserve">Se è in questa situazione, </w:t>
      </w:r>
      <w:r w:rsidRPr="00496684">
        <w:rPr>
          <w:b/>
          <w:szCs w:val="22"/>
          <w:lang w:val="it-IT"/>
        </w:rPr>
        <w:t xml:space="preserve">consulti il medico senza prendere </w:t>
      </w:r>
      <w:r w:rsidR="00521ABE" w:rsidRPr="00496684">
        <w:rPr>
          <w:b/>
          <w:szCs w:val="22"/>
          <w:lang w:val="it-IT"/>
        </w:rPr>
        <w:t>Imatinib Actavis</w:t>
      </w:r>
      <w:r w:rsidRPr="00496684">
        <w:rPr>
          <w:b/>
          <w:szCs w:val="22"/>
          <w:lang w:val="it-IT"/>
        </w:rPr>
        <w:t>.</w:t>
      </w:r>
    </w:p>
    <w:p w14:paraId="089B372C" w14:textId="77777777" w:rsidR="00BE3648" w:rsidRPr="00496684" w:rsidRDefault="00BE3648" w:rsidP="00E13BA7">
      <w:pPr>
        <w:widowControl w:val="0"/>
        <w:numPr>
          <w:ilvl w:val="12"/>
          <w:numId w:val="0"/>
        </w:numPr>
        <w:spacing w:after="0" w:line="240" w:lineRule="auto"/>
        <w:ind w:left="567" w:hanging="567"/>
        <w:rPr>
          <w:rFonts w:ascii="Times New Roman" w:hAnsi="Times New Roman"/>
          <w:lang w:val="it-IT"/>
        </w:rPr>
      </w:pPr>
    </w:p>
    <w:p w14:paraId="45A04A5B" w14:textId="77777777" w:rsidR="00BE3648" w:rsidRPr="00496684" w:rsidRDefault="00BE3648" w:rsidP="00E13BA7">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Se pensa di poter essere allergico ma non è sicuro, chieda consiglio al medico.</w:t>
      </w:r>
    </w:p>
    <w:p w14:paraId="315167D1"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1B087FD7" w14:textId="77777777" w:rsidR="00BE3648" w:rsidRPr="00496684" w:rsidRDefault="00BE3648" w:rsidP="00BE3648">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Avvertenze e precauzioni</w:t>
      </w:r>
    </w:p>
    <w:p w14:paraId="301D1673" w14:textId="77777777" w:rsidR="00BE3648" w:rsidRPr="00496684" w:rsidRDefault="00BE3648" w:rsidP="00BE3648">
      <w:pPr>
        <w:widowControl w:val="0"/>
        <w:spacing w:after="0" w:line="240" w:lineRule="auto"/>
        <w:rPr>
          <w:rFonts w:ascii="Times New Roman" w:hAnsi="Times New Roman"/>
          <w:lang w:val="it-IT"/>
        </w:rPr>
      </w:pPr>
      <w:r w:rsidRPr="00496684">
        <w:rPr>
          <w:rFonts w:ascii="Times New Roman" w:hAnsi="Times New Roman"/>
          <w:lang w:val="it-IT"/>
        </w:rPr>
        <w:t xml:space="preserve">Si rivolga al medico prima di prendere </w:t>
      </w:r>
      <w:r w:rsidR="00521ABE" w:rsidRPr="00496684">
        <w:rPr>
          <w:rFonts w:ascii="Times New Roman" w:hAnsi="Times New Roman"/>
          <w:lang w:val="it-IT"/>
        </w:rPr>
        <w:t>Imatinib Actavis</w:t>
      </w:r>
      <w:r w:rsidRPr="00496684">
        <w:rPr>
          <w:rFonts w:ascii="Times New Roman" w:hAnsi="Times New Roman"/>
          <w:lang w:val="it-IT"/>
        </w:rPr>
        <w:t>:</w:t>
      </w:r>
    </w:p>
    <w:p w14:paraId="66F30E38" w14:textId="77777777" w:rsidR="00BE3648" w:rsidRPr="00496684" w:rsidRDefault="00BE3648" w:rsidP="00BE3648">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 xml:space="preserve">se ha o ha avuto disturbi al fegato, </w:t>
      </w:r>
      <w:r w:rsidR="00BC5536" w:rsidRPr="00496684">
        <w:rPr>
          <w:rFonts w:ascii="Times New Roman" w:hAnsi="Times New Roman"/>
          <w:lang w:val="it-IT"/>
        </w:rPr>
        <w:t xml:space="preserve">ai reni </w:t>
      </w:r>
      <w:r w:rsidRPr="00496684">
        <w:rPr>
          <w:rFonts w:ascii="Times New Roman" w:hAnsi="Times New Roman"/>
          <w:lang w:val="it-IT"/>
        </w:rPr>
        <w:t xml:space="preserve">o </w:t>
      </w:r>
      <w:r w:rsidR="00BC5536" w:rsidRPr="00496684">
        <w:rPr>
          <w:rFonts w:ascii="Times New Roman" w:hAnsi="Times New Roman"/>
          <w:lang w:val="it-IT"/>
        </w:rPr>
        <w:t>al cuore</w:t>
      </w:r>
      <w:r w:rsidRPr="00496684">
        <w:rPr>
          <w:rFonts w:ascii="Times New Roman" w:hAnsi="Times New Roman"/>
          <w:lang w:val="it-IT"/>
        </w:rPr>
        <w:t>.</w:t>
      </w:r>
    </w:p>
    <w:p w14:paraId="15756F62" w14:textId="77777777" w:rsidR="0091712F" w:rsidRPr="00496684" w:rsidRDefault="00BE3648" w:rsidP="0091712F">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sta assumendo il medicinale levotiroxina poichè le è stata asportata la tiroide.</w:t>
      </w:r>
    </w:p>
    <w:p w14:paraId="553ED1CD" w14:textId="4E53122B" w:rsidR="0091712F" w:rsidRPr="00496684" w:rsidRDefault="0091712F" w:rsidP="0091712F">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 xml:space="preserve">se lei ha mai avuto o </w:t>
      </w:r>
      <w:r w:rsidR="00761BB3" w:rsidRPr="00496684">
        <w:rPr>
          <w:rFonts w:ascii="Times New Roman" w:hAnsi="Times New Roman"/>
          <w:lang w:val="it-IT"/>
        </w:rPr>
        <w:t>può</w:t>
      </w:r>
      <w:r w:rsidRPr="00496684">
        <w:rPr>
          <w:rFonts w:ascii="Times New Roman" w:hAnsi="Times New Roman"/>
          <w:lang w:val="it-IT"/>
        </w:rPr>
        <w:t xml:space="preserve"> avere in corso un’infezione da epatite B . Questo perché Imatinib Act</w:t>
      </w:r>
      <w:r w:rsidR="004D3CF6" w:rsidRPr="00496684">
        <w:rPr>
          <w:rFonts w:ascii="Times New Roman" w:hAnsi="Times New Roman"/>
          <w:lang w:val="it-IT"/>
        </w:rPr>
        <w:t>a</w:t>
      </w:r>
      <w:r w:rsidRPr="00496684">
        <w:rPr>
          <w:rFonts w:ascii="Times New Roman" w:hAnsi="Times New Roman"/>
          <w:lang w:val="it-IT"/>
        </w:rPr>
        <w:t xml:space="preserve">vis </w:t>
      </w:r>
      <w:r w:rsidR="00761BB3" w:rsidRPr="00496684">
        <w:rPr>
          <w:rFonts w:ascii="Times New Roman" w:hAnsi="Times New Roman"/>
          <w:lang w:val="it-IT"/>
        </w:rPr>
        <w:t>può</w:t>
      </w:r>
      <w:r w:rsidRPr="00496684">
        <w:rPr>
          <w:rFonts w:ascii="Times New Roman" w:hAnsi="Times New Roman"/>
          <w:lang w:val="it-IT"/>
        </w:rPr>
        <w:t xml:space="preserve"> causare la riattivazione dell’epatite B, che in alcuni casi può essere fatale. I pazienti verranno esaminati attentamente dal medico per i segni di questa infezione prima di iniziare il trattamento.</w:t>
      </w:r>
    </w:p>
    <w:p w14:paraId="4D9667BA" w14:textId="1E162AA1" w:rsidR="00761BB3" w:rsidRPr="00496684" w:rsidRDefault="00761BB3" w:rsidP="0091712F">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se presenta lividi, sanguinamento, febbre, stanchezza e confusione durante l’assunzione di Imatinib Actavis, contatti il medico. Questo può essere un segno di danno ai vasi sanguigni noto come microangiopatia trombotica (TMA).</w:t>
      </w:r>
    </w:p>
    <w:p w14:paraId="66037F16" w14:textId="77777777" w:rsidR="00BE3648" w:rsidRPr="00496684" w:rsidRDefault="00BE3648" w:rsidP="00BE3648">
      <w:pPr>
        <w:pStyle w:val="Endnotentext"/>
        <w:widowControl w:val="0"/>
        <w:numPr>
          <w:ilvl w:val="12"/>
          <w:numId w:val="0"/>
        </w:numPr>
        <w:tabs>
          <w:tab w:val="clear" w:pos="567"/>
        </w:tabs>
        <w:rPr>
          <w:szCs w:val="22"/>
          <w:lang w:val="it-IT"/>
        </w:rPr>
      </w:pPr>
      <w:r w:rsidRPr="00496684">
        <w:rPr>
          <w:szCs w:val="22"/>
          <w:lang w:val="it-IT"/>
        </w:rPr>
        <w:t xml:space="preserve">Se è in una di queste situazioni, </w:t>
      </w:r>
      <w:r w:rsidRPr="00496684">
        <w:rPr>
          <w:b/>
          <w:szCs w:val="22"/>
          <w:lang w:val="it-IT"/>
        </w:rPr>
        <w:t xml:space="preserve">consulti il medico prima di prendere </w:t>
      </w:r>
      <w:r w:rsidR="00521ABE" w:rsidRPr="00496684">
        <w:rPr>
          <w:b/>
          <w:szCs w:val="22"/>
          <w:lang w:val="it-IT"/>
        </w:rPr>
        <w:t>Imatinib Actavis</w:t>
      </w:r>
      <w:r w:rsidRPr="00496684">
        <w:rPr>
          <w:b/>
          <w:szCs w:val="22"/>
          <w:lang w:val="it-IT"/>
        </w:rPr>
        <w:t>.</w:t>
      </w:r>
    </w:p>
    <w:p w14:paraId="2F2F5220" w14:textId="77777777" w:rsidR="00BE3648" w:rsidRPr="00496684" w:rsidRDefault="00BE3648" w:rsidP="00BE3648">
      <w:pPr>
        <w:pStyle w:val="Endnotentext"/>
        <w:widowControl w:val="0"/>
        <w:numPr>
          <w:ilvl w:val="12"/>
          <w:numId w:val="0"/>
        </w:numPr>
        <w:tabs>
          <w:tab w:val="clear" w:pos="567"/>
        </w:tabs>
        <w:rPr>
          <w:szCs w:val="22"/>
          <w:lang w:val="it-IT"/>
        </w:rPr>
      </w:pPr>
    </w:p>
    <w:p w14:paraId="456E5504" w14:textId="77777777" w:rsidR="00B56712" w:rsidRPr="00496684" w:rsidRDefault="00B56712" w:rsidP="00B56712">
      <w:pPr>
        <w:pStyle w:val="Endnotentext"/>
        <w:widowControl w:val="0"/>
        <w:numPr>
          <w:ilvl w:val="12"/>
          <w:numId w:val="0"/>
        </w:numPr>
        <w:tabs>
          <w:tab w:val="clear" w:pos="567"/>
        </w:tabs>
        <w:rPr>
          <w:szCs w:val="22"/>
          <w:lang w:val="it-IT"/>
        </w:rPr>
      </w:pPr>
      <w:r w:rsidRPr="00496684">
        <w:rPr>
          <w:szCs w:val="22"/>
          <w:lang w:val="it-IT"/>
        </w:rPr>
        <w:t>Durante il trattamento con Imatinib Actavis può diventare più sensibile al sole. E’ importante coprire le aree della pelle esposte al sole e utilizzare un filtro solare con un elevato fattore di protezione solare (SPF). Queste precauzioni si applicano anche ai bambini.</w:t>
      </w:r>
    </w:p>
    <w:p w14:paraId="34C0478E" w14:textId="77777777" w:rsidR="00B56712" w:rsidRPr="00496684" w:rsidRDefault="00B56712" w:rsidP="00BE3648">
      <w:pPr>
        <w:pStyle w:val="Endnotentext"/>
        <w:widowControl w:val="0"/>
        <w:numPr>
          <w:ilvl w:val="12"/>
          <w:numId w:val="0"/>
        </w:numPr>
        <w:tabs>
          <w:tab w:val="clear" w:pos="567"/>
        </w:tabs>
        <w:rPr>
          <w:b/>
          <w:szCs w:val="22"/>
          <w:lang w:val="it-IT"/>
        </w:rPr>
      </w:pPr>
    </w:p>
    <w:p w14:paraId="4F85E8E7" w14:textId="77777777" w:rsidR="00BE3648" w:rsidRPr="00496684" w:rsidRDefault="00BE3648" w:rsidP="00BE3648">
      <w:pPr>
        <w:pStyle w:val="Endnotentext"/>
        <w:widowControl w:val="0"/>
        <w:numPr>
          <w:ilvl w:val="12"/>
          <w:numId w:val="0"/>
        </w:numPr>
        <w:tabs>
          <w:tab w:val="clear" w:pos="567"/>
        </w:tabs>
        <w:rPr>
          <w:szCs w:val="22"/>
          <w:lang w:val="it-IT"/>
        </w:rPr>
      </w:pPr>
      <w:r w:rsidRPr="00496684">
        <w:rPr>
          <w:b/>
          <w:szCs w:val="22"/>
          <w:lang w:val="it-IT"/>
        </w:rPr>
        <w:t xml:space="preserve">Durante il trattamento con </w:t>
      </w:r>
      <w:r w:rsidR="00521ABE" w:rsidRPr="00496684">
        <w:rPr>
          <w:b/>
          <w:szCs w:val="22"/>
          <w:lang w:val="it-IT"/>
        </w:rPr>
        <w:t>Imatinib Actavis</w:t>
      </w:r>
      <w:r w:rsidRPr="00496684">
        <w:rPr>
          <w:b/>
          <w:szCs w:val="22"/>
          <w:lang w:val="it-IT"/>
        </w:rPr>
        <w:t>, informi immediatamente il medico</w:t>
      </w:r>
      <w:r w:rsidRPr="00496684">
        <w:rPr>
          <w:szCs w:val="22"/>
          <w:lang w:val="it-IT"/>
        </w:rPr>
        <w:t xml:space="preserve"> se aumenta di peso molto velocemente. </w:t>
      </w:r>
      <w:r w:rsidR="00521ABE" w:rsidRPr="00496684">
        <w:rPr>
          <w:szCs w:val="22"/>
          <w:lang w:val="it-IT"/>
        </w:rPr>
        <w:t>Imatinib Actavis</w:t>
      </w:r>
      <w:r w:rsidRPr="00496684">
        <w:rPr>
          <w:szCs w:val="22"/>
          <w:lang w:val="it-IT"/>
        </w:rPr>
        <w:t xml:space="preserve"> può far trattenere al suo corpo acqua (grave ritenzione di </w:t>
      </w:r>
      <w:r w:rsidR="00BC5536" w:rsidRPr="00496684">
        <w:rPr>
          <w:szCs w:val="22"/>
          <w:lang w:val="it-IT"/>
        </w:rPr>
        <w:t>liquidi</w:t>
      </w:r>
      <w:r w:rsidRPr="00496684">
        <w:rPr>
          <w:szCs w:val="22"/>
          <w:lang w:val="it-IT"/>
        </w:rPr>
        <w:t>).</w:t>
      </w:r>
    </w:p>
    <w:p w14:paraId="5F44C959"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6CED3698" w14:textId="77777777" w:rsidR="00D76DDC" w:rsidRPr="00496684" w:rsidRDefault="00D76DDC" w:rsidP="00D76DDC">
      <w:pPr>
        <w:pStyle w:val="Endnotentext"/>
        <w:widowControl w:val="0"/>
        <w:numPr>
          <w:ilvl w:val="12"/>
          <w:numId w:val="0"/>
        </w:numPr>
        <w:tabs>
          <w:tab w:val="clear" w:pos="567"/>
        </w:tabs>
        <w:rPr>
          <w:szCs w:val="22"/>
          <w:lang w:val="it-IT"/>
        </w:rPr>
      </w:pPr>
      <w:r w:rsidRPr="00496684">
        <w:rPr>
          <w:szCs w:val="22"/>
          <w:lang w:val="it-IT"/>
        </w:rPr>
        <w:t xml:space="preserve">Mentre sta assumendo </w:t>
      </w:r>
      <w:r w:rsidR="00521ABE" w:rsidRPr="00496684">
        <w:rPr>
          <w:szCs w:val="22"/>
          <w:lang w:val="it-IT"/>
        </w:rPr>
        <w:t>Imatinib Actavis</w:t>
      </w:r>
      <w:r w:rsidRPr="00496684">
        <w:rPr>
          <w:szCs w:val="22"/>
          <w:lang w:val="it-IT"/>
        </w:rPr>
        <w:t>, il medico dovrà regolarmente controllare se il medicinale è efficace. Inoltre le verranno fatti esami del sangue e verrà pesato regolarmente.</w:t>
      </w:r>
    </w:p>
    <w:p w14:paraId="63544832"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3362A46B" w14:textId="77777777" w:rsidR="00D76DDC" w:rsidRPr="00496684" w:rsidRDefault="00D76DDC" w:rsidP="00D76DDC">
      <w:pPr>
        <w:pStyle w:val="Endnotentext"/>
        <w:widowControl w:val="0"/>
        <w:numPr>
          <w:ilvl w:val="12"/>
          <w:numId w:val="0"/>
        </w:numPr>
        <w:tabs>
          <w:tab w:val="clear" w:pos="567"/>
        </w:tabs>
        <w:rPr>
          <w:b/>
          <w:szCs w:val="22"/>
          <w:lang w:val="it-IT"/>
        </w:rPr>
      </w:pPr>
      <w:r w:rsidRPr="00496684">
        <w:rPr>
          <w:b/>
          <w:szCs w:val="22"/>
          <w:lang w:val="it-IT"/>
        </w:rPr>
        <w:t>Bambini e adolescenti</w:t>
      </w:r>
    </w:p>
    <w:p w14:paraId="6A4A792E" w14:textId="23513759" w:rsidR="00FE0E06" w:rsidRPr="00496684" w:rsidRDefault="00521ABE" w:rsidP="00D76DDC">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w:t>
      </w:r>
      <w:r w:rsidR="00D76DDC" w:rsidRPr="00496684">
        <w:rPr>
          <w:rFonts w:ascii="Times New Roman" w:eastAsia="Times New Roman" w:hAnsi="Times New Roman"/>
          <w:lang w:val="it-IT" w:eastAsia="it-IT"/>
        </w:rPr>
        <w:t xml:space="preserve"> è anche un trattamento per i bambini con LMC. Non c’è esperienza nei bambini con LMC di età inferiore a 2 anni.</w:t>
      </w:r>
      <w:r w:rsidR="00547417" w:rsidRPr="00496684">
        <w:rPr>
          <w:rFonts w:ascii="Times New Roman" w:eastAsia="Times New Roman" w:hAnsi="Times New Roman"/>
          <w:lang w:val="it-IT" w:eastAsia="it-IT"/>
        </w:rPr>
        <w:t xml:space="preserve"> C’è una limitata esperienza nei bambini con LLA Ph+ e molto limitata esperienza nei bambini con MDS/MPD, DFSP, GIST e HES/LEC.</w:t>
      </w:r>
    </w:p>
    <w:p w14:paraId="4617D185" w14:textId="77777777" w:rsidR="00D76DDC" w:rsidRPr="00496684" w:rsidRDefault="00D76DDC" w:rsidP="00D76DDC">
      <w:pPr>
        <w:autoSpaceDE w:val="0"/>
        <w:autoSpaceDN w:val="0"/>
        <w:adjustRightInd w:val="0"/>
        <w:spacing w:after="0" w:line="240" w:lineRule="auto"/>
        <w:rPr>
          <w:rFonts w:ascii="Times New Roman" w:hAnsi="Times New Roman"/>
          <w:lang w:val="it-IT"/>
        </w:rPr>
      </w:pPr>
    </w:p>
    <w:p w14:paraId="1ACDC62B" w14:textId="77777777" w:rsidR="00327148" w:rsidRPr="00496684" w:rsidRDefault="00D76DDC" w:rsidP="00FE0E06">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Alcuni bambini e adolescenti che assumono </w:t>
      </w:r>
      <w:r w:rsidR="00521ABE" w:rsidRPr="00496684">
        <w:rPr>
          <w:rFonts w:ascii="Times New Roman" w:eastAsia="Times New Roman" w:hAnsi="Times New Roman"/>
          <w:lang w:val="it-IT" w:eastAsia="it-IT"/>
        </w:rPr>
        <w:t>Imatinib Actavis</w:t>
      </w:r>
      <w:r w:rsidRPr="00496684">
        <w:rPr>
          <w:rFonts w:ascii="Times New Roman" w:eastAsia="Times New Roman" w:hAnsi="Times New Roman"/>
          <w:lang w:val="it-IT" w:eastAsia="it-IT"/>
        </w:rPr>
        <w:t xml:space="preserve"> possono avere una crescita più lenta del normale. Il medico controllerà la crescita a intervalli regolari</w:t>
      </w:r>
      <w:r w:rsidR="00BC5536" w:rsidRPr="00496684">
        <w:rPr>
          <w:rFonts w:ascii="Times New Roman" w:eastAsia="Times New Roman" w:hAnsi="Times New Roman"/>
          <w:lang w:val="it-IT" w:eastAsia="it-IT"/>
        </w:rPr>
        <w:t>.</w:t>
      </w:r>
    </w:p>
    <w:p w14:paraId="633813D8"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795E3675" w14:textId="77777777" w:rsidR="00D76DDC" w:rsidRPr="00496684" w:rsidRDefault="00D76DDC" w:rsidP="00D76DDC">
      <w:pPr>
        <w:pStyle w:val="Endnotentext"/>
        <w:widowControl w:val="0"/>
        <w:numPr>
          <w:ilvl w:val="12"/>
          <w:numId w:val="0"/>
        </w:numPr>
        <w:tabs>
          <w:tab w:val="clear" w:pos="567"/>
        </w:tabs>
        <w:rPr>
          <w:b/>
          <w:szCs w:val="22"/>
          <w:lang w:val="it-IT"/>
        </w:rPr>
      </w:pPr>
      <w:r w:rsidRPr="00496684">
        <w:rPr>
          <w:b/>
          <w:szCs w:val="22"/>
          <w:lang w:val="it-IT"/>
        </w:rPr>
        <w:t xml:space="preserve">Altri medicinali e </w:t>
      </w:r>
      <w:r w:rsidR="00521ABE" w:rsidRPr="00496684">
        <w:rPr>
          <w:b/>
          <w:szCs w:val="22"/>
          <w:lang w:val="it-IT"/>
        </w:rPr>
        <w:t>Imatinib Actavis</w:t>
      </w:r>
    </w:p>
    <w:p w14:paraId="2E5C2369" w14:textId="77777777" w:rsidR="00D76DDC" w:rsidRPr="00496684" w:rsidRDefault="00D76DDC" w:rsidP="00D76DDC">
      <w:pPr>
        <w:pStyle w:val="Endnotentext"/>
        <w:widowControl w:val="0"/>
        <w:numPr>
          <w:ilvl w:val="12"/>
          <w:numId w:val="0"/>
        </w:numPr>
        <w:tabs>
          <w:tab w:val="clear" w:pos="567"/>
        </w:tabs>
        <w:rPr>
          <w:szCs w:val="22"/>
          <w:lang w:val="it-IT"/>
        </w:rPr>
      </w:pPr>
      <w:r w:rsidRPr="00496684">
        <w:rPr>
          <w:szCs w:val="22"/>
          <w:lang w:val="it-IT"/>
        </w:rPr>
        <w:t xml:space="preserve">Informi il medico o il farmacista se sta assumendo, ha recentemente assunto o potrebbe assumere qualsiasi altro medicinale, compresi quelli senza prescrizione medica (come il paracetamolo) e inclusi i medicinali a base di </w:t>
      </w:r>
      <w:r w:rsidR="00027729" w:rsidRPr="00496684">
        <w:rPr>
          <w:szCs w:val="22"/>
          <w:lang w:val="it-IT"/>
        </w:rPr>
        <w:t xml:space="preserve">piante medicinali </w:t>
      </w:r>
      <w:r w:rsidRPr="00496684">
        <w:rPr>
          <w:szCs w:val="22"/>
          <w:lang w:val="it-IT"/>
        </w:rPr>
        <w:t xml:space="preserve">(come l’erba di San Giovanni). Alcuni medicinali possono interferire con l’effetto di </w:t>
      </w:r>
      <w:r w:rsidR="00521ABE" w:rsidRPr="00496684">
        <w:rPr>
          <w:szCs w:val="22"/>
          <w:lang w:val="it-IT"/>
        </w:rPr>
        <w:t>Imatinib Actavis</w:t>
      </w:r>
      <w:r w:rsidRPr="00496684">
        <w:rPr>
          <w:szCs w:val="22"/>
          <w:lang w:val="it-IT"/>
        </w:rPr>
        <w:t xml:space="preserve"> quando assunti insieme. Possono aumentare o diminuire l’effetto di </w:t>
      </w:r>
      <w:r w:rsidR="00521ABE" w:rsidRPr="00496684">
        <w:rPr>
          <w:szCs w:val="22"/>
          <w:lang w:val="it-IT"/>
        </w:rPr>
        <w:t>Imatinib Actavis</w:t>
      </w:r>
      <w:r w:rsidRPr="00496684">
        <w:rPr>
          <w:szCs w:val="22"/>
          <w:lang w:val="it-IT"/>
        </w:rPr>
        <w:t xml:space="preserve"> portando ad un aumento degli effetti indesiderati o rendendo </w:t>
      </w:r>
      <w:r w:rsidR="00521ABE" w:rsidRPr="00496684">
        <w:rPr>
          <w:szCs w:val="22"/>
          <w:lang w:val="it-IT"/>
        </w:rPr>
        <w:t>Imatinib Actavis</w:t>
      </w:r>
      <w:r w:rsidRPr="00496684">
        <w:rPr>
          <w:szCs w:val="22"/>
          <w:lang w:val="it-IT"/>
        </w:rPr>
        <w:t xml:space="preserve"> meno efficace. </w:t>
      </w:r>
      <w:r w:rsidR="00521ABE" w:rsidRPr="00496684">
        <w:rPr>
          <w:szCs w:val="22"/>
          <w:lang w:val="it-IT"/>
        </w:rPr>
        <w:t>Imatinib Actavis</w:t>
      </w:r>
      <w:r w:rsidRPr="00496684">
        <w:rPr>
          <w:szCs w:val="22"/>
          <w:lang w:val="it-IT"/>
        </w:rPr>
        <w:t xml:space="preserve"> può fare lo stesso nei confronti di altri medicinali.</w:t>
      </w:r>
    </w:p>
    <w:p w14:paraId="1FC74531" w14:textId="77777777" w:rsidR="00D76DDC" w:rsidRPr="00496684" w:rsidRDefault="00D76DDC" w:rsidP="00D76DDC">
      <w:pPr>
        <w:pStyle w:val="Endnotentext"/>
        <w:widowControl w:val="0"/>
        <w:numPr>
          <w:ilvl w:val="12"/>
          <w:numId w:val="0"/>
        </w:numPr>
        <w:tabs>
          <w:tab w:val="clear" w:pos="567"/>
        </w:tabs>
        <w:rPr>
          <w:szCs w:val="22"/>
          <w:lang w:val="it-IT"/>
        </w:rPr>
      </w:pPr>
    </w:p>
    <w:p w14:paraId="3AB63EAB" w14:textId="77777777" w:rsidR="00D76DDC" w:rsidRPr="00496684" w:rsidRDefault="00D76DDC" w:rsidP="00D76DDC">
      <w:pPr>
        <w:pStyle w:val="Endnotentext"/>
        <w:widowControl w:val="0"/>
        <w:numPr>
          <w:ilvl w:val="12"/>
          <w:numId w:val="0"/>
        </w:numPr>
        <w:tabs>
          <w:tab w:val="clear" w:pos="567"/>
        </w:tabs>
        <w:rPr>
          <w:szCs w:val="22"/>
          <w:lang w:val="it-IT"/>
        </w:rPr>
      </w:pPr>
      <w:r w:rsidRPr="00496684">
        <w:rPr>
          <w:szCs w:val="22"/>
          <w:lang w:val="it-IT"/>
        </w:rPr>
        <w:t>Informi il medico se sta usando medicinali che prevengono la formazione di coaguli di sangue.</w:t>
      </w:r>
    </w:p>
    <w:p w14:paraId="7C8F061A" w14:textId="77777777" w:rsidR="00D76DDC" w:rsidRPr="00496684" w:rsidRDefault="00D76DDC" w:rsidP="00D76DDC">
      <w:pPr>
        <w:pStyle w:val="Endnotentext"/>
        <w:widowControl w:val="0"/>
        <w:numPr>
          <w:ilvl w:val="12"/>
          <w:numId w:val="0"/>
        </w:numPr>
        <w:tabs>
          <w:tab w:val="clear" w:pos="567"/>
        </w:tabs>
        <w:rPr>
          <w:szCs w:val="22"/>
          <w:lang w:val="it-IT"/>
        </w:rPr>
      </w:pPr>
    </w:p>
    <w:p w14:paraId="15EA0770" w14:textId="77777777" w:rsidR="00D76DDC" w:rsidRPr="00496684" w:rsidRDefault="00E13BA7" w:rsidP="00D76DDC">
      <w:pPr>
        <w:pStyle w:val="Endnotentext"/>
        <w:widowControl w:val="0"/>
        <w:numPr>
          <w:ilvl w:val="12"/>
          <w:numId w:val="0"/>
        </w:numPr>
        <w:tabs>
          <w:tab w:val="clear" w:pos="567"/>
        </w:tabs>
        <w:rPr>
          <w:b/>
          <w:szCs w:val="22"/>
          <w:lang w:val="it-IT"/>
        </w:rPr>
      </w:pPr>
      <w:r w:rsidRPr="00496684">
        <w:rPr>
          <w:b/>
          <w:szCs w:val="22"/>
          <w:lang w:val="it-IT"/>
        </w:rPr>
        <w:t xml:space="preserve">Gravidanza, </w:t>
      </w:r>
      <w:r w:rsidR="00D76DDC" w:rsidRPr="00496684">
        <w:rPr>
          <w:b/>
          <w:szCs w:val="22"/>
          <w:lang w:val="it-IT"/>
        </w:rPr>
        <w:t>allattamento e fertilità</w:t>
      </w:r>
    </w:p>
    <w:p w14:paraId="4E2C0E0E" w14:textId="77777777" w:rsidR="00D76DDC" w:rsidRPr="00496684" w:rsidRDefault="00D76DDC" w:rsidP="00D76DDC">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Se è in corso una gravidanza, se sospetta o sta pianificando una gravidanza, o se sta allattando con latte materno chieda consiglio al medico prima di prendere questo medicinale.</w:t>
      </w:r>
    </w:p>
    <w:p w14:paraId="0B241C09" w14:textId="77777777" w:rsidR="00D76DDC" w:rsidRPr="00496684" w:rsidRDefault="00521ABE" w:rsidP="00D76DDC">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Imatinib Actavis</w:t>
      </w:r>
      <w:r w:rsidR="00D76DDC" w:rsidRPr="00496684">
        <w:rPr>
          <w:rFonts w:ascii="Times New Roman" w:hAnsi="Times New Roman"/>
          <w:lang w:val="it-IT"/>
        </w:rPr>
        <w:t xml:space="preserve"> non è raccomandato durante la gravidanza a meno che non sia strettamente necessario in quanto può </w:t>
      </w:r>
      <w:r w:rsidR="00027729" w:rsidRPr="00496684">
        <w:rPr>
          <w:rFonts w:ascii="Times New Roman" w:hAnsi="Times New Roman"/>
          <w:lang w:val="it-IT"/>
        </w:rPr>
        <w:t>essere dannoso per i</w:t>
      </w:r>
      <w:r w:rsidR="00D76DDC" w:rsidRPr="00496684">
        <w:rPr>
          <w:rFonts w:ascii="Times New Roman" w:hAnsi="Times New Roman"/>
          <w:lang w:val="it-IT"/>
        </w:rPr>
        <w:t xml:space="preserve">l bambino. Il medico discuterà con lei i possibili rischi dell’assunzione di </w:t>
      </w:r>
      <w:r w:rsidRPr="00496684">
        <w:rPr>
          <w:rFonts w:ascii="Times New Roman" w:hAnsi="Times New Roman"/>
          <w:lang w:val="it-IT"/>
        </w:rPr>
        <w:t>Imatinib Actavis</w:t>
      </w:r>
      <w:r w:rsidR="00D76DDC" w:rsidRPr="00496684">
        <w:rPr>
          <w:rFonts w:ascii="Times New Roman" w:hAnsi="Times New Roman"/>
          <w:lang w:val="it-IT"/>
        </w:rPr>
        <w:t xml:space="preserve"> durante la gravidanza.</w:t>
      </w:r>
    </w:p>
    <w:p w14:paraId="03543CCC" w14:textId="77723F06" w:rsidR="00D76DDC" w:rsidRPr="00496684" w:rsidRDefault="00D76DDC"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Alle donne che </w:t>
      </w:r>
      <w:r w:rsidR="00D90292" w:rsidRPr="00496684">
        <w:rPr>
          <w:rFonts w:ascii="Times New Roman" w:hAnsi="Times New Roman"/>
          <w:lang w:val="it-IT"/>
        </w:rPr>
        <w:t>possono</w:t>
      </w:r>
      <w:r w:rsidRPr="00496684">
        <w:rPr>
          <w:rFonts w:ascii="Times New Roman" w:hAnsi="Times New Roman"/>
          <w:lang w:val="it-IT"/>
        </w:rPr>
        <w:t xml:space="preserve"> rimanere in stato di gravidanza si consiglia l’utilizzo di un’efficace contraccezione durante il trattamento</w:t>
      </w:r>
      <w:r w:rsidR="006B5718">
        <w:rPr>
          <w:rFonts w:ascii="Times New Roman" w:hAnsi="Times New Roman"/>
          <w:lang w:val="it-IT"/>
        </w:rPr>
        <w:t xml:space="preserve"> e per 15 </w:t>
      </w:r>
      <w:r w:rsidR="001E057E">
        <w:rPr>
          <w:rFonts w:ascii="Times New Roman" w:hAnsi="Times New Roman"/>
          <w:lang w:val="it-IT"/>
        </w:rPr>
        <w:t xml:space="preserve">giorni dopo </w:t>
      </w:r>
      <w:r w:rsidR="006B5718" w:rsidRPr="00EB262F">
        <w:rPr>
          <w:rFonts w:ascii="Times New Roman" w:hAnsi="Times New Roman"/>
          <w:lang w:val="it-IT"/>
        </w:rPr>
        <w:t>la fine</w:t>
      </w:r>
      <w:r w:rsidR="001E057E">
        <w:rPr>
          <w:rFonts w:ascii="Times New Roman" w:hAnsi="Times New Roman"/>
          <w:lang w:val="it-IT"/>
        </w:rPr>
        <w:t xml:space="preserve"> del trattamento</w:t>
      </w:r>
      <w:r w:rsidRPr="00496684">
        <w:rPr>
          <w:rFonts w:ascii="Times New Roman" w:hAnsi="Times New Roman"/>
          <w:lang w:val="it-IT"/>
        </w:rPr>
        <w:t>.</w:t>
      </w:r>
    </w:p>
    <w:p w14:paraId="51AD0213" w14:textId="076F1FCB" w:rsidR="00D76DDC" w:rsidRPr="00496684" w:rsidRDefault="00D76DDC"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Non allatti durante il trattamento con </w:t>
      </w:r>
      <w:r w:rsidR="00521ABE" w:rsidRPr="00496684">
        <w:rPr>
          <w:rFonts w:ascii="Times New Roman" w:hAnsi="Times New Roman"/>
          <w:lang w:val="it-IT"/>
        </w:rPr>
        <w:t>Imatinib Actavis</w:t>
      </w:r>
      <w:r w:rsidR="006B5718">
        <w:rPr>
          <w:rFonts w:ascii="Times New Roman" w:hAnsi="Times New Roman"/>
          <w:lang w:val="it-IT"/>
        </w:rPr>
        <w:t xml:space="preserve"> e per 15 </w:t>
      </w:r>
      <w:r w:rsidR="001E057E">
        <w:rPr>
          <w:rFonts w:ascii="Times New Roman" w:hAnsi="Times New Roman"/>
          <w:lang w:val="it-IT"/>
        </w:rPr>
        <w:t xml:space="preserve">giorni dopo </w:t>
      </w:r>
      <w:r w:rsidR="006B5718" w:rsidRPr="00EB262F">
        <w:rPr>
          <w:rFonts w:ascii="Times New Roman" w:hAnsi="Times New Roman"/>
          <w:lang w:val="it-IT"/>
        </w:rPr>
        <w:t>la fine</w:t>
      </w:r>
      <w:r w:rsidR="001E057E">
        <w:rPr>
          <w:rFonts w:ascii="Times New Roman" w:hAnsi="Times New Roman"/>
          <w:lang w:val="it-IT"/>
        </w:rPr>
        <w:t xml:space="preserve"> del trattamento, </w:t>
      </w:r>
      <w:r w:rsidR="006B5718" w:rsidRPr="00EB262F">
        <w:rPr>
          <w:rFonts w:ascii="Times New Roman" w:hAnsi="Times New Roman"/>
          <w:lang w:val="it-IT"/>
        </w:rPr>
        <w:t xml:space="preserve">perchè </w:t>
      </w:r>
      <w:r w:rsidR="001E057E">
        <w:rPr>
          <w:rFonts w:ascii="Times New Roman" w:hAnsi="Times New Roman"/>
          <w:lang w:val="it-IT"/>
        </w:rPr>
        <w:t>può nuocere al bambino</w:t>
      </w:r>
      <w:r w:rsidRPr="00496684">
        <w:rPr>
          <w:rFonts w:ascii="Times New Roman" w:hAnsi="Times New Roman"/>
          <w:lang w:val="it-IT"/>
        </w:rPr>
        <w:t>.</w:t>
      </w:r>
    </w:p>
    <w:p w14:paraId="753573EF" w14:textId="77777777" w:rsidR="00D76DDC" w:rsidRPr="00496684" w:rsidRDefault="00D76DDC" w:rsidP="00D76DDC">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Ai pazienti che sono preoccupati per la loro fertilità durante il trattamento con </w:t>
      </w:r>
      <w:r w:rsidR="00521ABE" w:rsidRPr="00496684">
        <w:rPr>
          <w:rFonts w:ascii="Times New Roman" w:hAnsi="Times New Roman"/>
          <w:lang w:val="it-IT"/>
        </w:rPr>
        <w:t>Imatinib Actavis</w:t>
      </w:r>
      <w:r w:rsidRPr="00496684">
        <w:rPr>
          <w:rFonts w:ascii="Times New Roman" w:hAnsi="Times New Roman"/>
          <w:lang w:val="it-IT"/>
        </w:rPr>
        <w:t xml:space="preserve"> si consiglia di consultare il medico.</w:t>
      </w:r>
    </w:p>
    <w:p w14:paraId="1EAD9149" w14:textId="77777777" w:rsidR="00D76DDC" w:rsidRPr="00496684" w:rsidRDefault="00D76DDC" w:rsidP="00D76DDC">
      <w:pPr>
        <w:widowControl w:val="0"/>
        <w:numPr>
          <w:ilvl w:val="12"/>
          <w:numId w:val="0"/>
        </w:numPr>
        <w:spacing w:after="0" w:line="240" w:lineRule="auto"/>
        <w:ind w:right="-2"/>
        <w:rPr>
          <w:rFonts w:ascii="Times New Roman" w:hAnsi="Times New Roman"/>
          <w:b/>
          <w:lang w:val="it-IT"/>
        </w:rPr>
      </w:pPr>
    </w:p>
    <w:p w14:paraId="03AB61EF" w14:textId="77777777" w:rsidR="00D76DDC" w:rsidRPr="00496684" w:rsidRDefault="00D76DDC" w:rsidP="00D76DDC">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Guida di veicoli e utilizzo di macchinari</w:t>
      </w:r>
    </w:p>
    <w:p w14:paraId="60D8BB14" w14:textId="77777777" w:rsidR="00D76DDC" w:rsidRPr="00496684" w:rsidRDefault="00D76DDC" w:rsidP="00D76DDC">
      <w:pPr>
        <w:widowControl w:val="0"/>
        <w:numPr>
          <w:ilvl w:val="12"/>
          <w:numId w:val="0"/>
        </w:numPr>
        <w:spacing w:after="0" w:line="240" w:lineRule="auto"/>
        <w:ind w:right="-29"/>
        <w:rPr>
          <w:rFonts w:ascii="Times New Roman" w:hAnsi="Times New Roman"/>
          <w:lang w:val="it-IT"/>
        </w:rPr>
      </w:pPr>
      <w:r w:rsidRPr="00496684">
        <w:rPr>
          <w:rFonts w:ascii="Times New Roman" w:hAnsi="Times New Roman"/>
          <w:lang w:val="it-IT"/>
        </w:rPr>
        <w:t xml:space="preserve">Si possono avere </w:t>
      </w:r>
      <w:r w:rsidR="00027729" w:rsidRPr="00496684">
        <w:rPr>
          <w:rFonts w:ascii="Times New Roman" w:hAnsi="Times New Roman"/>
          <w:lang w:val="it-IT"/>
        </w:rPr>
        <w:t xml:space="preserve">capogiri </w:t>
      </w:r>
      <w:r w:rsidRPr="00496684">
        <w:rPr>
          <w:rFonts w:ascii="Times New Roman" w:hAnsi="Times New Roman"/>
          <w:lang w:val="it-IT"/>
        </w:rPr>
        <w:t>o sonnolenza o offuscamento della vista mentre si assume questo medicinale. Se ciò accade, non guidi un veicolo o non usi strumenti o macchinari finchè si sente di nuovo bene.</w:t>
      </w:r>
    </w:p>
    <w:p w14:paraId="564CB2BD" w14:textId="77777777" w:rsidR="00D90292" w:rsidRPr="00496684" w:rsidRDefault="00D90292" w:rsidP="00D76DDC">
      <w:pPr>
        <w:widowControl w:val="0"/>
        <w:numPr>
          <w:ilvl w:val="12"/>
          <w:numId w:val="0"/>
        </w:numPr>
        <w:spacing w:after="0" w:line="240" w:lineRule="auto"/>
        <w:ind w:right="-29"/>
        <w:rPr>
          <w:rFonts w:ascii="Times New Roman" w:hAnsi="Times New Roman"/>
          <w:lang w:val="it-IT"/>
        </w:rPr>
      </w:pPr>
    </w:p>
    <w:p w14:paraId="5771DB71" w14:textId="18F445FC" w:rsidR="00D90292" w:rsidRPr="00496684" w:rsidRDefault="00D90292" w:rsidP="00D76DDC">
      <w:pPr>
        <w:widowControl w:val="0"/>
        <w:numPr>
          <w:ilvl w:val="12"/>
          <w:numId w:val="0"/>
        </w:numPr>
        <w:spacing w:after="0" w:line="240" w:lineRule="auto"/>
        <w:ind w:right="-29"/>
        <w:rPr>
          <w:rFonts w:ascii="Times New Roman" w:hAnsi="Times New Roman"/>
          <w:b/>
          <w:lang w:val="it-IT"/>
        </w:rPr>
      </w:pPr>
      <w:r w:rsidRPr="00496684">
        <w:rPr>
          <w:rFonts w:ascii="Times New Roman" w:hAnsi="Times New Roman"/>
          <w:b/>
          <w:lang w:val="it-IT"/>
        </w:rPr>
        <w:t>Imatinib Actavis contiene sodio</w:t>
      </w:r>
    </w:p>
    <w:p w14:paraId="08EC4FB9" w14:textId="6CBB29F2" w:rsidR="00D90292" w:rsidRPr="00496684" w:rsidRDefault="00D90292" w:rsidP="00D76DDC">
      <w:pPr>
        <w:widowControl w:val="0"/>
        <w:numPr>
          <w:ilvl w:val="12"/>
          <w:numId w:val="0"/>
        </w:numPr>
        <w:spacing w:after="0" w:line="240" w:lineRule="auto"/>
        <w:ind w:right="-29"/>
        <w:rPr>
          <w:rFonts w:ascii="Times New Roman" w:hAnsi="Times New Roman"/>
          <w:lang w:val="it-IT"/>
        </w:rPr>
      </w:pPr>
      <w:r w:rsidRPr="00496684">
        <w:rPr>
          <w:rFonts w:ascii="Times New Roman" w:hAnsi="Times New Roman"/>
          <w:lang w:val="it-IT"/>
        </w:rPr>
        <w:t>Questo medicinale contiene meno di 1 mmol (23 mg) di sodio per capsula rigida, cioè essenzialmente ‘senza sodio’.</w:t>
      </w:r>
    </w:p>
    <w:p w14:paraId="758DE360"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5F58D667" w14:textId="77777777" w:rsidR="0020671B" w:rsidRPr="00496684" w:rsidRDefault="0020671B" w:rsidP="00FE0E06">
      <w:pPr>
        <w:autoSpaceDE w:val="0"/>
        <w:autoSpaceDN w:val="0"/>
        <w:adjustRightInd w:val="0"/>
        <w:spacing w:after="0" w:line="240" w:lineRule="auto"/>
        <w:rPr>
          <w:rFonts w:ascii="Times New Roman" w:hAnsi="Times New Roman"/>
          <w:lang w:val="it-IT"/>
        </w:rPr>
      </w:pPr>
    </w:p>
    <w:p w14:paraId="6E26296C" w14:textId="77777777" w:rsidR="00FE0E06" w:rsidRPr="00496684" w:rsidRDefault="00FE0E06" w:rsidP="00FE0E0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r>
      <w:r w:rsidR="00D76DDC" w:rsidRPr="00496684">
        <w:rPr>
          <w:rFonts w:ascii="Times New Roman" w:hAnsi="Times New Roman"/>
          <w:b/>
          <w:lang w:val="it-IT"/>
        </w:rPr>
        <w:t xml:space="preserve">Come prendere </w:t>
      </w:r>
      <w:r w:rsidRPr="00496684">
        <w:rPr>
          <w:rFonts w:ascii="Times New Roman" w:hAnsi="Times New Roman"/>
          <w:b/>
          <w:bCs/>
          <w:lang w:val="it-IT"/>
        </w:rPr>
        <w:t>Imatinib Actavis</w:t>
      </w:r>
    </w:p>
    <w:p w14:paraId="491005AD" w14:textId="77777777" w:rsidR="00FE0E06" w:rsidRPr="00496684" w:rsidRDefault="00FE0E06" w:rsidP="00FE0E06">
      <w:pPr>
        <w:autoSpaceDE w:val="0"/>
        <w:autoSpaceDN w:val="0"/>
        <w:adjustRightInd w:val="0"/>
        <w:spacing w:after="0" w:line="240" w:lineRule="auto"/>
        <w:rPr>
          <w:rFonts w:ascii="Times New Roman" w:hAnsi="Times New Roman"/>
          <w:bCs/>
          <w:lang w:val="it-IT"/>
        </w:rPr>
      </w:pPr>
    </w:p>
    <w:p w14:paraId="06B697FD" w14:textId="77777777" w:rsidR="00D76DDC" w:rsidRPr="00496684" w:rsidRDefault="00D76DDC" w:rsidP="00D76DDC">
      <w:pPr>
        <w:pStyle w:val="Text"/>
        <w:widowControl w:val="0"/>
        <w:spacing w:before="0"/>
        <w:jc w:val="left"/>
        <w:rPr>
          <w:sz w:val="22"/>
          <w:szCs w:val="22"/>
          <w:lang w:val="it-IT"/>
        </w:rPr>
      </w:pPr>
      <w:r w:rsidRPr="00496684">
        <w:rPr>
          <w:sz w:val="22"/>
          <w:szCs w:val="22"/>
          <w:lang w:val="it-IT"/>
        </w:rPr>
        <w:t xml:space="preserve">Il medico le ha prescritto </w:t>
      </w:r>
      <w:r w:rsidR="00521ABE" w:rsidRPr="00496684">
        <w:rPr>
          <w:sz w:val="22"/>
          <w:szCs w:val="22"/>
          <w:lang w:val="it-IT"/>
        </w:rPr>
        <w:t>Imatinib Actavis</w:t>
      </w:r>
      <w:r w:rsidRPr="00496684">
        <w:rPr>
          <w:sz w:val="22"/>
          <w:szCs w:val="22"/>
          <w:lang w:val="it-IT"/>
        </w:rPr>
        <w:t xml:space="preserve"> perché lei soffre di una grave condizione. </w:t>
      </w:r>
      <w:r w:rsidR="00521ABE" w:rsidRPr="00496684">
        <w:rPr>
          <w:sz w:val="22"/>
          <w:szCs w:val="22"/>
          <w:lang w:val="it-IT"/>
        </w:rPr>
        <w:t>Imatinib Actavis</w:t>
      </w:r>
      <w:r w:rsidRPr="00496684">
        <w:rPr>
          <w:sz w:val="22"/>
          <w:szCs w:val="22"/>
          <w:lang w:val="it-IT"/>
        </w:rPr>
        <w:t xml:space="preserve"> può aiutarla a combattere questa condizione.</w:t>
      </w:r>
    </w:p>
    <w:p w14:paraId="25F18C18" w14:textId="77777777" w:rsidR="00D76DDC" w:rsidRPr="00496684" w:rsidRDefault="00D76DDC" w:rsidP="00D76DDC">
      <w:pPr>
        <w:pStyle w:val="Text"/>
        <w:widowControl w:val="0"/>
        <w:spacing w:before="0"/>
        <w:jc w:val="left"/>
        <w:rPr>
          <w:sz w:val="22"/>
          <w:szCs w:val="22"/>
          <w:lang w:val="it-IT"/>
        </w:rPr>
      </w:pPr>
    </w:p>
    <w:p w14:paraId="3E983DA0" w14:textId="77777777" w:rsidR="00D76DDC" w:rsidRPr="00496684" w:rsidRDefault="00D76DDC" w:rsidP="00D76DDC">
      <w:pPr>
        <w:pStyle w:val="Text"/>
        <w:widowControl w:val="0"/>
        <w:spacing w:before="0"/>
        <w:jc w:val="left"/>
        <w:rPr>
          <w:sz w:val="22"/>
          <w:szCs w:val="22"/>
          <w:lang w:val="it-IT"/>
        </w:rPr>
      </w:pPr>
      <w:r w:rsidRPr="00496684">
        <w:rPr>
          <w:sz w:val="22"/>
          <w:szCs w:val="22"/>
          <w:lang w:val="it-IT"/>
        </w:rPr>
        <w:t>Comunque, prenda questo medicinale seguendo sempre esattamente le istruzioni del medico o del farmacista. E’ importante che faccia ciò finchè non lo dice il medico o il farmacista. Se ha dubbi consulti il medico o il farmacista.</w:t>
      </w:r>
    </w:p>
    <w:p w14:paraId="7180F2D9" w14:textId="77777777" w:rsidR="00D76DDC" w:rsidRPr="00496684" w:rsidRDefault="00D76DDC" w:rsidP="00D76DDC">
      <w:pPr>
        <w:pStyle w:val="Text"/>
        <w:widowControl w:val="0"/>
        <w:spacing w:before="0"/>
        <w:jc w:val="left"/>
        <w:rPr>
          <w:sz w:val="22"/>
          <w:szCs w:val="22"/>
          <w:lang w:val="it-IT"/>
        </w:rPr>
      </w:pPr>
    </w:p>
    <w:p w14:paraId="7AF152DC" w14:textId="77777777" w:rsidR="00D76DDC" w:rsidRPr="00496684" w:rsidRDefault="00D76DDC" w:rsidP="00D76DDC">
      <w:pPr>
        <w:pStyle w:val="Text"/>
        <w:widowControl w:val="0"/>
        <w:spacing w:before="0"/>
        <w:jc w:val="left"/>
        <w:rPr>
          <w:sz w:val="22"/>
          <w:szCs w:val="22"/>
          <w:lang w:val="it-IT"/>
        </w:rPr>
      </w:pPr>
      <w:r w:rsidRPr="00496684">
        <w:rPr>
          <w:sz w:val="22"/>
          <w:szCs w:val="22"/>
          <w:lang w:val="it-IT"/>
        </w:rPr>
        <w:t xml:space="preserve">Non smetta di pendere </w:t>
      </w:r>
      <w:r w:rsidR="00521ABE" w:rsidRPr="00496684">
        <w:rPr>
          <w:sz w:val="22"/>
          <w:szCs w:val="22"/>
          <w:lang w:val="it-IT"/>
        </w:rPr>
        <w:t>Imatinib Actavis</w:t>
      </w:r>
      <w:r w:rsidRPr="00496684">
        <w:rPr>
          <w:sz w:val="22"/>
          <w:szCs w:val="22"/>
          <w:lang w:val="it-IT"/>
        </w:rPr>
        <w:t xml:space="preserve"> a meno che lo dica il medico. Se non è in grado di prendere il medicinale come prescritto dal medico o sente di non averne più bisogno, contatti il medico immediatamente.</w:t>
      </w:r>
    </w:p>
    <w:p w14:paraId="1704AEA5" w14:textId="77777777" w:rsidR="00D76DDC" w:rsidRPr="00496684" w:rsidRDefault="00D76DDC" w:rsidP="00FE0E06">
      <w:pPr>
        <w:autoSpaceDE w:val="0"/>
        <w:autoSpaceDN w:val="0"/>
        <w:adjustRightInd w:val="0"/>
        <w:spacing w:after="0" w:line="240" w:lineRule="auto"/>
        <w:rPr>
          <w:rFonts w:ascii="Times New Roman" w:hAnsi="Times New Roman"/>
          <w:lang w:val="it-IT"/>
        </w:rPr>
      </w:pPr>
    </w:p>
    <w:p w14:paraId="29ACB900" w14:textId="77777777" w:rsidR="00D76DDC" w:rsidRPr="00496684" w:rsidRDefault="00D76DDC" w:rsidP="00DC09C1">
      <w:pPr>
        <w:pStyle w:val="berschrift2"/>
        <w:keepNext w:val="0"/>
        <w:widowControl w:val="0"/>
        <w:spacing w:before="0" w:after="0" w:line="240" w:lineRule="auto"/>
        <w:rPr>
          <w:rFonts w:ascii="Times New Roman" w:hAnsi="Times New Roman"/>
          <w:i w:val="0"/>
          <w:sz w:val="22"/>
          <w:szCs w:val="22"/>
          <w:lang w:val="it-IT"/>
        </w:rPr>
      </w:pPr>
      <w:r w:rsidRPr="00496684">
        <w:rPr>
          <w:rFonts w:ascii="Times New Roman" w:hAnsi="Times New Roman"/>
          <w:i w:val="0"/>
          <w:sz w:val="22"/>
          <w:szCs w:val="22"/>
          <w:lang w:val="it-IT"/>
        </w:rPr>
        <w:t xml:space="preserve">Quanto </w:t>
      </w:r>
      <w:r w:rsidR="00521ABE" w:rsidRPr="00496684">
        <w:rPr>
          <w:rFonts w:ascii="Times New Roman" w:hAnsi="Times New Roman"/>
          <w:i w:val="0"/>
          <w:sz w:val="22"/>
          <w:szCs w:val="22"/>
          <w:lang w:val="it-IT"/>
        </w:rPr>
        <w:t>Imatinib Actavis</w:t>
      </w:r>
      <w:r w:rsidRPr="00496684">
        <w:rPr>
          <w:rFonts w:ascii="Times New Roman" w:hAnsi="Times New Roman"/>
          <w:i w:val="0"/>
          <w:sz w:val="22"/>
          <w:szCs w:val="22"/>
          <w:lang w:val="it-IT"/>
        </w:rPr>
        <w:t xml:space="preserve"> prendere</w:t>
      </w:r>
    </w:p>
    <w:p w14:paraId="6241EC4C" w14:textId="77777777" w:rsidR="00FE0E06" w:rsidRPr="00496684" w:rsidRDefault="00FE0E06" w:rsidP="00DC09C1">
      <w:pPr>
        <w:autoSpaceDE w:val="0"/>
        <w:autoSpaceDN w:val="0"/>
        <w:adjustRightInd w:val="0"/>
        <w:spacing w:after="0" w:line="240" w:lineRule="auto"/>
        <w:rPr>
          <w:rFonts w:ascii="Times New Roman" w:hAnsi="Times New Roman"/>
          <w:bCs/>
          <w:lang w:val="it-IT"/>
        </w:rPr>
      </w:pPr>
    </w:p>
    <w:p w14:paraId="1612FB66" w14:textId="77777777" w:rsidR="00D76DDC" w:rsidRPr="00496684" w:rsidRDefault="00D76DDC" w:rsidP="00DC09C1">
      <w:pPr>
        <w:spacing w:after="0" w:line="240" w:lineRule="auto"/>
        <w:rPr>
          <w:rFonts w:ascii="Times New Roman" w:hAnsi="Times New Roman"/>
          <w:b/>
          <w:lang w:val="it-IT"/>
        </w:rPr>
      </w:pPr>
      <w:r w:rsidRPr="00496684">
        <w:rPr>
          <w:rFonts w:ascii="Times New Roman" w:hAnsi="Times New Roman"/>
          <w:b/>
          <w:lang w:val="it-IT"/>
        </w:rPr>
        <w:t>Uso negli adulti</w:t>
      </w:r>
    </w:p>
    <w:p w14:paraId="71433F16" w14:textId="77777777" w:rsidR="00D76DDC" w:rsidRPr="00496684" w:rsidRDefault="00D76DDC" w:rsidP="00DC09C1">
      <w:pPr>
        <w:pStyle w:val="Text"/>
        <w:widowControl w:val="0"/>
        <w:spacing w:before="0"/>
        <w:jc w:val="left"/>
        <w:rPr>
          <w:sz w:val="22"/>
          <w:szCs w:val="22"/>
          <w:lang w:val="it-IT"/>
        </w:rPr>
      </w:pPr>
      <w:r w:rsidRPr="00496684">
        <w:rPr>
          <w:sz w:val="22"/>
          <w:szCs w:val="22"/>
          <w:lang w:val="it-IT"/>
        </w:rPr>
        <w:t xml:space="preserve">Il medico le dirà esattamente quante capsule di </w:t>
      </w:r>
      <w:r w:rsidR="00521ABE" w:rsidRPr="00496684">
        <w:rPr>
          <w:sz w:val="22"/>
          <w:szCs w:val="22"/>
          <w:lang w:val="it-IT"/>
        </w:rPr>
        <w:t>Imatinib Actavis</w:t>
      </w:r>
      <w:r w:rsidRPr="00496684">
        <w:rPr>
          <w:sz w:val="22"/>
          <w:szCs w:val="22"/>
          <w:lang w:val="it-IT"/>
        </w:rPr>
        <w:t xml:space="preserve"> dovrà prendere.</w:t>
      </w:r>
    </w:p>
    <w:p w14:paraId="3BD81053" w14:textId="77777777" w:rsidR="009838A3" w:rsidRPr="00496684" w:rsidRDefault="009838A3" w:rsidP="00D008F2">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LMC: </w:t>
      </w:r>
    </w:p>
    <w:p w14:paraId="7E87686F" w14:textId="77777777" w:rsidR="008A39EF" w:rsidRPr="00496684" w:rsidRDefault="008A39EF" w:rsidP="00D008F2">
      <w:pPr>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 xml:space="preserve">La dose iniziale </w:t>
      </w:r>
      <w:r w:rsidR="009838A3" w:rsidRPr="00496684">
        <w:rPr>
          <w:rFonts w:ascii="Times New Roman" w:eastAsia="Times New Roman" w:hAnsi="Times New Roman"/>
          <w:lang w:val="it-IT" w:eastAsia="it-IT"/>
        </w:rPr>
        <w:t>usuale</w:t>
      </w:r>
      <w:r w:rsidRPr="00496684">
        <w:rPr>
          <w:rFonts w:ascii="Times New Roman" w:eastAsia="Times New Roman" w:hAnsi="Times New Roman"/>
          <w:lang w:val="it-IT" w:eastAsia="it-IT"/>
        </w:rPr>
        <w:t xml:space="preserve"> è di 600</w:t>
      </w:r>
      <w:r w:rsidR="00027729" w:rsidRPr="00496684">
        <w:rPr>
          <w:rFonts w:ascii="Times New Roman" w:eastAsia="Times New Roman" w:hAnsi="Times New Roman"/>
          <w:lang w:val="it-IT" w:eastAsia="it-IT"/>
        </w:rPr>
        <w:t xml:space="preserve"> </w:t>
      </w:r>
      <w:r w:rsidRPr="00496684">
        <w:rPr>
          <w:rFonts w:ascii="Times New Roman" w:eastAsia="Times New Roman" w:hAnsi="Times New Roman"/>
          <w:lang w:val="it-IT" w:eastAsia="it-IT"/>
        </w:rPr>
        <w:t>mg</w:t>
      </w:r>
      <w:r w:rsidRPr="00496684">
        <w:rPr>
          <w:rFonts w:ascii="Times New Roman" w:eastAsia="Times New Roman" w:hAnsi="Times New Roman"/>
          <w:b/>
          <w:lang w:val="it-IT" w:eastAsia="it-IT"/>
        </w:rPr>
        <w:t xml:space="preserve"> </w:t>
      </w:r>
      <w:r w:rsidRPr="00496684">
        <w:rPr>
          <w:rFonts w:ascii="Times New Roman" w:eastAsia="Times New Roman" w:hAnsi="Times New Roman"/>
          <w:lang w:val="it-IT" w:eastAsia="it-IT"/>
        </w:rPr>
        <w:t xml:space="preserve">da assumere come 12 capsule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w:t>
      </w:r>
    </w:p>
    <w:p w14:paraId="2BBE5BFE" w14:textId="77777777" w:rsidR="008A39EF" w:rsidRPr="00496684" w:rsidRDefault="008A39EF" w:rsidP="00DC09C1">
      <w:pPr>
        <w:spacing w:after="0" w:line="240" w:lineRule="auto"/>
        <w:rPr>
          <w:rFonts w:ascii="Times New Roman" w:eastAsia="Times New Roman" w:hAnsi="Times New Roman"/>
          <w:lang w:val="it-IT" w:eastAsia="it-IT"/>
        </w:rPr>
      </w:pPr>
    </w:p>
    <w:p w14:paraId="40DBE7E1" w14:textId="77777777" w:rsidR="008A39EF" w:rsidRPr="00496684" w:rsidRDefault="008A39EF" w:rsidP="00DC09C1">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Il medico potrà prescrivere un dosaggio maggiore o minore a seconda di come risponderà al trattamento</w:t>
      </w:r>
      <w:r w:rsidR="00027729" w:rsidRPr="00496684">
        <w:rPr>
          <w:rFonts w:ascii="Times New Roman" w:eastAsia="Times New Roman" w:hAnsi="Times New Roman"/>
          <w:lang w:val="it-IT" w:eastAsia="it-IT"/>
        </w:rPr>
        <w:t>.</w:t>
      </w:r>
    </w:p>
    <w:p w14:paraId="4F5B7CF4" w14:textId="77777777" w:rsidR="00327148" w:rsidRPr="00496684" w:rsidRDefault="00327148" w:rsidP="00C9786A">
      <w:pPr>
        <w:autoSpaceDE w:val="0"/>
        <w:autoSpaceDN w:val="0"/>
        <w:adjustRightInd w:val="0"/>
        <w:spacing w:after="0" w:line="240" w:lineRule="auto"/>
        <w:rPr>
          <w:rFonts w:ascii="Times New Roman" w:hAnsi="Times New Roman"/>
          <w:lang w:val="it-IT"/>
        </w:rPr>
      </w:pPr>
    </w:p>
    <w:p w14:paraId="03D56ACB" w14:textId="77777777" w:rsidR="008A39EF" w:rsidRPr="00496684" w:rsidRDefault="008A39EF" w:rsidP="00C9786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la sua dose giornaliera è di 800</w:t>
      </w:r>
      <w:r w:rsidR="00027729" w:rsidRPr="00496684">
        <w:rPr>
          <w:rFonts w:ascii="Times New Roman" w:hAnsi="Times New Roman"/>
          <w:lang w:val="it-IT"/>
        </w:rPr>
        <w:t xml:space="preserve"> </w:t>
      </w:r>
      <w:r w:rsidRPr="00496684">
        <w:rPr>
          <w:rFonts w:ascii="Times New Roman" w:hAnsi="Times New Roman"/>
          <w:lang w:val="it-IT"/>
        </w:rPr>
        <w:t>mg (16 capsule), lei deve prendere 8 capsule alla mattina e 8 capsule alla sera.</w:t>
      </w:r>
    </w:p>
    <w:p w14:paraId="2D6EB288" w14:textId="77777777" w:rsidR="009838A3" w:rsidRPr="00496684" w:rsidRDefault="009838A3" w:rsidP="00D008F2">
      <w:pPr>
        <w:pStyle w:val="Text"/>
        <w:widowControl w:val="0"/>
        <w:spacing w:before="0"/>
        <w:jc w:val="left"/>
        <w:rPr>
          <w:sz w:val="22"/>
          <w:szCs w:val="22"/>
          <w:lang w:val="it-IT"/>
        </w:rPr>
      </w:pPr>
    </w:p>
    <w:p w14:paraId="0AC3DB82" w14:textId="77777777" w:rsidR="009838A3" w:rsidRPr="00496684" w:rsidRDefault="009838A3" w:rsidP="00D008F2">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 Se è in trattamento per la LLA Ph+: </w:t>
      </w:r>
    </w:p>
    <w:p w14:paraId="16C8C460" w14:textId="77777777" w:rsidR="009838A3" w:rsidRPr="00496684" w:rsidRDefault="009838A3" w:rsidP="00D008F2">
      <w:pPr>
        <w:pStyle w:val="Text"/>
        <w:widowControl w:val="0"/>
        <w:spacing w:before="0"/>
        <w:ind w:left="567"/>
        <w:jc w:val="left"/>
        <w:rPr>
          <w:sz w:val="22"/>
          <w:szCs w:val="22"/>
          <w:lang w:val="it-IT"/>
        </w:rPr>
      </w:pPr>
      <w:r w:rsidRPr="00496684">
        <w:rPr>
          <w:sz w:val="22"/>
          <w:szCs w:val="22"/>
          <w:lang w:val="it-IT"/>
        </w:rPr>
        <w:t xml:space="preserve">La dose iniziale è di 600 mg da assumere come 12 capsule una volta al giorno. </w:t>
      </w:r>
    </w:p>
    <w:p w14:paraId="2F22488E" w14:textId="77777777" w:rsidR="009838A3" w:rsidRPr="00496684" w:rsidRDefault="009838A3" w:rsidP="00D008F2">
      <w:pPr>
        <w:pStyle w:val="Text"/>
        <w:widowControl w:val="0"/>
        <w:spacing w:before="0"/>
        <w:jc w:val="left"/>
        <w:rPr>
          <w:sz w:val="22"/>
          <w:szCs w:val="22"/>
          <w:lang w:val="it-IT"/>
        </w:rPr>
      </w:pPr>
    </w:p>
    <w:p w14:paraId="51463378" w14:textId="77777777" w:rsidR="009838A3" w:rsidRPr="00496684" w:rsidRDefault="009838A3" w:rsidP="00D008F2">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le MSD/MPD: </w:t>
      </w:r>
    </w:p>
    <w:p w14:paraId="0D31722A" w14:textId="77777777" w:rsidR="009838A3" w:rsidRPr="00496684" w:rsidRDefault="009838A3" w:rsidP="00D008F2">
      <w:pPr>
        <w:pStyle w:val="Text"/>
        <w:widowControl w:val="0"/>
        <w:spacing w:before="0"/>
        <w:ind w:left="567"/>
        <w:jc w:val="left"/>
        <w:rPr>
          <w:sz w:val="22"/>
          <w:szCs w:val="22"/>
          <w:lang w:val="it-IT"/>
        </w:rPr>
      </w:pPr>
      <w:r w:rsidRPr="00496684">
        <w:rPr>
          <w:sz w:val="22"/>
          <w:szCs w:val="22"/>
          <w:lang w:val="it-IT"/>
        </w:rPr>
        <w:t xml:space="preserve">La dose iniziale è di 400 mg, da assumere come 8 capsule </w:t>
      </w:r>
      <w:r w:rsidRPr="00496684">
        <w:rPr>
          <w:b/>
          <w:sz w:val="22"/>
          <w:szCs w:val="22"/>
          <w:lang w:val="it-IT"/>
        </w:rPr>
        <w:t>una volta</w:t>
      </w:r>
      <w:r w:rsidRPr="00496684">
        <w:rPr>
          <w:sz w:val="22"/>
          <w:szCs w:val="22"/>
          <w:lang w:val="it-IT"/>
        </w:rPr>
        <w:t xml:space="preserve"> al giorno. </w:t>
      </w:r>
    </w:p>
    <w:p w14:paraId="3CF57A7E" w14:textId="77777777" w:rsidR="009838A3" w:rsidRPr="00496684" w:rsidRDefault="009838A3" w:rsidP="00D008F2">
      <w:pPr>
        <w:pStyle w:val="Text"/>
        <w:widowControl w:val="0"/>
        <w:spacing w:before="0"/>
        <w:jc w:val="left"/>
        <w:rPr>
          <w:sz w:val="22"/>
          <w:szCs w:val="22"/>
          <w:lang w:val="it-IT"/>
        </w:rPr>
      </w:pPr>
    </w:p>
    <w:p w14:paraId="30690752" w14:textId="77777777" w:rsidR="009838A3" w:rsidRPr="00496684" w:rsidRDefault="009838A3" w:rsidP="00D008F2">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HES/LEC: </w:t>
      </w:r>
    </w:p>
    <w:p w14:paraId="484A9C92" w14:textId="77777777" w:rsidR="009838A3" w:rsidRPr="00496684" w:rsidRDefault="009838A3" w:rsidP="00D008F2">
      <w:pPr>
        <w:pStyle w:val="Text"/>
        <w:widowControl w:val="0"/>
        <w:spacing w:before="0"/>
        <w:ind w:left="567"/>
        <w:jc w:val="left"/>
        <w:rPr>
          <w:sz w:val="22"/>
          <w:szCs w:val="22"/>
          <w:lang w:val="it-IT"/>
        </w:rPr>
      </w:pPr>
      <w:r w:rsidRPr="00496684">
        <w:rPr>
          <w:sz w:val="22"/>
          <w:szCs w:val="22"/>
          <w:lang w:val="it-IT"/>
        </w:rPr>
        <w:t xml:space="preserve">La dose iniziale è di 100 mg, da assumere come 2 capsule </w:t>
      </w:r>
      <w:r w:rsidRPr="00496684">
        <w:rPr>
          <w:b/>
          <w:sz w:val="22"/>
          <w:szCs w:val="22"/>
          <w:lang w:val="it-IT"/>
        </w:rPr>
        <w:t>una volta</w:t>
      </w:r>
      <w:r w:rsidRPr="00496684">
        <w:rPr>
          <w:sz w:val="22"/>
          <w:szCs w:val="22"/>
          <w:lang w:val="it-IT"/>
        </w:rPr>
        <w:t xml:space="preserve"> al giorno. Il medico può decidere di aumentare il dosaggio a 400 mg, da assumere come 8 capsule </w:t>
      </w:r>
      <w:r w:rsidRPr="00496684">
        <w:rPr>
          <w:b/>
          <w:sz w:val="22"/>
          <w:szCs w:val="22"/>
          <w:lang w:val="it-IT"/>
        </w:rPr>
        <w:t>una volta</w:t>
      </w:r>
      <w:r w:rsidRPr="00496684">
        <w:rPr>
          <w:sz w:val="22"/>
          <w:szCs w:val="22"/>
          <w:lang w:val="it-IT"/>
        </w:rPr>
        <w:t xml:space="preserve"> al giorno sulla base della sua risposta al trattamento. </w:t>
      </w:r>
    </w:p>
    <w:p w14:paraId="71656753" w14:textId="77777777" w:rsidR="009838A3" w:rsidRPr="00496684" w:rsidRDefault="009838A3" w:rsidP="00D008F2">
      <w:pPr>
        <w:pStyle w:val="Text"/>
        <w:widowControl w:val="0"/>
        <w:spacing w:before="0"/>
        <w:jc w:val="left"/>
        <w:rPr>
          <w:sz w:val="22"/>
          <w:szCs w:val="22"/>
          <w:lang w:val="it-IT"/>
        </w:rPr>
      </w:pPr>
    </w:p>
    <w:p w14:paraId="5A39D6A2" w14:textId="77777777" w:rsidR="009838A3" w:rsidRPr="00496684" w:rsidRDefault="009838A3" w:rsidP="00D008F2">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il DFSP: </w:t>
      </w:r>
    </w:p>
    <w:p w14:paraId="77EBEBE0" w14:textId="77777777" w:rsidR="009838A3" w:rsidRPr="00496684" w:rsidRDefault="009838A3" w:rsidP="00D008F2">
      <w:pPr>
        <w:pStyle w:val="Text"/>
        <w:widowControl w:val="0"/>
        <w:spacing w:before="0"/>
        <w:ind w:left="567"/>
        <w:jc w:val="left"/>
        <w:rPr>
          <w:lang w:val="it-IT"/>
        </w:rPr>
      </w:pPr>
      <w:r w:rsidRPr="00496684">
        <w:rPr>
          <w:sz w:val="22"/>
          <w:szCs w:val="22"/>
          <w:lang w:val="it-IT"/>
        </w:rPr>
        <w:t>La dose è di 800 mg al giorno (16 capsule), da assumere come 8 capsule al mattino e 8 capsule alla sera.</w:t>
      </w:r>
    </w:p>
    <w:p w14:paraId="30C4E736" w14:textId="77777777" w:rsidR="008A39EF" w:rsidRPr="00496684" w:rsidRDefault="008A39EF" w:rsidP="00C9786A">
      <w:pPr>
        <w:autoSpaceDE w:val="0"/>
        <w:autoSpaceDN w:val="0"/>
        <w:adjustRightInd w:val="0"/>
        <w:spacing w:after="0" w:line="240" w:lineRule="auto"/>
        <w:rPr>
          <w:rFonts w:ascii="Times New Roman" w:hAnsi="Times New Roman"/>
          <w:lang w:val="it-IT"/>
        </w:rPr>
      </w:pPr>
    </w:p>
    <w:p w14:paraId="0CE6DFC2" w14:textId="77777777" w:rsidR="008A39EF" w:rsidRPr="00496684" w:rsidRDefault="008A39EF" w:rsidP="008A39EF">
      <w:pPr>
        <w:pStyle w:val="Text"/>
        <w:widowControl w:val="0"/>
        <w:spacing w:before="0"/>
        <w:jc w:val="left"/>
        <w:rPr>
          <w:b/>
          <w:sz w:val="22"/>
          <w:szCs w:val="22"/>
          <w:lang w:val="it-IT"/>
        </w:rPr>
      </w:pPr>
      <w:r w:rsidRPr="00496684">
        <w:rPr>
          <w:b/>
          <w:sz w:val="22"/>
          <w:szCs w:val="22"/>
          <w:lang w:val="it-IT"/>
        </w:rPr>
        <w:t>Uso nei bambini e negli adolescenti</w:t>
      </w:r>
    </w:p>
    <w:p w14:paraId="1022C07D" w14:textId="77777777" w:rsidR="00AE0012" w:rsidRPr="00496684" w:rsidRDefault="008A39EF" w:rsidP="008A39EF">
      <w:pPr>
        <w:pStyle w:val="Text"/>
        <w:widowControl w:val="0"/>
        <w:spacing w:before="0"/>
        <w:jc w:val="left"/>
        <w:rPr>
          <w:sz w:val="22"/>
          <w:szCs w:val="22"/>
          <w:lang w:val="it-IT"/>
        </w:rPr>
      </w:pPr>
      <w:r w:rsidRPr="00496684">
        <w:rPr>
          <w:sz w:val="22"/>
          <w:szCs w:val="22"/>
          <w:lang w:val="it-IT"/>
        </w:rPr>
        <w:t xml:space="preserve">Il medico le dirà quante capsule di </w:t>
      </w:r>
      <w:r w:rsidR="00521ABE" w:rsidRPr="00496684">
        <w:rPr>
          <w:sz w:val="22"/>
          <w:szCs w:val="22"/>
          <w:lang w:val="it-IT"/>
        </w:rPr>
        <w:t>Imatinib Actavis</w:t>
      </w:r>
      <w:r w:rsidRPr="00496684">
        <w:rPr>
          <w:sz w:val="22"/>
          <w:szCs w:val="22"/>
          <w:lang w:val="it-IT"/>
        </w:rPr>
        <w:t xml:space="preserve"> vanno somministrate al bambino. La quantità di </w:t>
      </w:r>
      <w:r w:rsidR="00521ABE" w:rsidRPr="00496684">
        <w:rPr>
          <w:sz w:val="22"/>
          <w:szCs w:val="22"/>
          <w:lang w:val="it-IT"/>
        </w:rPr>
        <w:t>Imatinib Actavis</w:t>
      </w:r>
      <w:r w:rsidRPr="00496684">
        <w:rPr>
          <w:sz w:val="22"/>
          <w:szCs w:val="22"/>
          <w:lang w:val="it-IT"/>
        </w:rPr>
        <w:t xml:space="preserve"> somministrata dipenderà dalle condizioni del bambino, dal suo peso ed altezza. </w:t>
      </w:r>
    </w:p>
    <w:p w14:paraId="3477BACF" w14:textId="0FCB4C06" w:rsidR="008A39EF" w:rsidRPr="00496684" w:rsidRDefault="008A39EF" w:rsidP="008A39EF">
      <w:pPr>
        <w:pStyle w:val="Text"/>
        <w:widowControl w:val="0"/>
        <w:spacing w:before="0"/>
        <w:jc w:val="left"/>
        <w:rPr>
          <w:sz w:val="22"/>
          <w:szCs w:val="22"/>
          <w:lang w:val="it-IT"/>
        </w:rPr>
      </w:pPr>
      <w:r w:rsidRPr="00496684">
        <w:rPr>
          <w:sz w:val="22"/>
          <w:szCs w:val="22"/>
          <w:lang w:val="it-IT"/>
        </w:rPr>
        <w:t>Nei bambini</w:t>
      </w:r>
      <w:r w:rsidR="00AE0012" w:rsidRPr="00496684">
        <w:rPr>
          <w:sz w:val="22"/>
          <w:szCs w:val="22"/>
          <w:lang w:val="it-IT"/>
        </w:rPr>
        <w:t xml:space="preserve"> </w:t>
      </w:r>
      <w:r w:rsidRPr="00496684">
        <w:rPr>
          <w:sz w:val="22"/>
          <w:szCs w:val="22"/>
          <w:lang w:val="it-IT"/>
        </w:rPr>
        <w:t>la dose totale giornaliera non deve superare 800 mg</w:t>
      </w:r>
      <w:r w:rsidR="00AE0012" w:rsidRPr="00496684">
        <w:rPr>
          <w:sz w:val="22"/>
          <w:szCs w:val="22"/>
          <w:lang w:val="it-IT"/>
        </w:rPr>
        <w:t xml:space="preserve"> per la LMC</w:t>
      </w:r>
      <w:r w:rsidR="00E42458" w:rsidRPr="00496684">
        <w:rPr>
          <w:rFonts w:ascii="Calibri" w:eastAsia="Calibri" w:hAnsi="Calibri"/>
          <w:sz w:val="22"/>
          <w:szCs w:val="22"/>
          <w:lang w:val="it-IT" w:eastAsia="en-US"/>
        </w:rPr>
        <w:t xml:space="preserve"> </w:t>
      </w:r>
      <w:r w:rsidR="00E42458" w:rsidRPr="00496684">
        <w:rPr>
          <w:sz w:val="22"/>
          <w:szCs w:val="22"/>
          <w:lang w:val="it-IT"/>
        </w:rPr>
        <w:t>e 600 mg per la LLA Ph+</w:t>
      </w:r>
      <w:r w:rsidRPr="00496684">
        <w:rPr>
          <w:sz w:val="22"/>
          <w:szCs w:val="22"/>
          <w:lang w:val="it-IT"/>
        </w:rPr>
        <w:t>. Il trattamento può essere somministrato al bambino come dose singola giornaliera o, in alternativa, la dose giornaliera può essere suddivisa in due somministrazioni (metà al mattino e metà alla sera).</w:t>
      </w:r>
    </w:p>
    <w:p w14:paraId="70466173"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57157934" w14:textId="77777777" w:rsidR="008A39EF" w:rsidRPr="00496684" w:rsidRDefault="008A39EF" w:rsidP="008A39EF">
      <w:pPr>
        <w:pStyle w:val="Text"/>
        <w:widowControl w:val="0"/>
        <w:spacing w:before="0"/>
        <w:jc w:val="left"/>
        <w:rPr>
          <w:b/>
          <w:sz w:val="22"/>
          <w:szCs w:val="22"/>
          <w:lang w:val="it-IT"/>
        </w:rPr>
      </w:pPr>
      <w:r w:rsidRPr="00496684">
        <w:rPr>
          <w:b/>
          <w:sz w:val="22"/>
          <w:szCs w:val="22"/>
          <w:lang w:val="it-IT"/>
        </w:rPr>
        <w:t xml:space="preserve">Quando e come prendere </w:t>
      </w:r>
      <w:r w:rsidR="00521ABE" w:rsidRPr="00496684">
        <w:rPr>
          <w:b/>
          <w:sz w:val="22"/>
          <w:szCs w:val="22"/>
          <w:lang w:val="it-IT"/>
        </w:rPr>
        <w:t>Imatinib Actavis</w:t>
      </w:r>
    </w:p>
    <w:p w14:paraId="6DD7A69D" w14:textId="77777777" w:rsidR="008A39EF" w:rsidRPr="00496684" w:rsidRDefault="008A39EF" w:rsidP="008A39EF">
      <w:pPr>
        <w:pStyle w:val="Text"/>
        <w:widowControl w:val="0"/>
        <w:numPr>
          <w:ilvl w:val="0"/>
          <w:numId w:val="7"/>
        </w:numPr>
        <w:spacing w:before="0"/>
        <w:jc w:val="left"/>
        <w:rPr>
          <w:sz w:val="22"/>
          <w:szCs w:val="22"/>
          <w:lang w:val="it-IT"/>
        </w:rPr>
      </w:pPr>
      <w:r w:rsidRPr="00496684">
        <w:rPr>
          <w:b/>
          <w:sz w:val="22"/>
          <w:szCs w:val="22"/>
          <w:lang w:val="it-IT"/>
        </w:rPr>
        <w:t xml:space="preserve">Prenda </w:t>
      </w:r>
      <w:r w:rsidR="00521ABE" w:rsidRPr="00496684">
        <w:rPr>
          <w:b/>
          <w:sz w:val="22"/>
          <w:szCs w:val="22"/>
          <w:lang w:val="it-IT"/>
        </w:rPr>
        <w:t>Imatinib Actavis</w:t>
      </w:r>
      <w:r w:rsidRPr="00496684">
        <w:rPr>
          <w:b/>
          <w:sz w:val="22"/>
          <w:szCs w:val="22"/>
          <w:lang w:val="it-IT"/>
        </w:rPr>
        <w:t xml:space="preserve"> con un pasto.</w:t>
      </w:r>
      <w:r w:rsidRPr="00496684">
        <w:rPr>
          <w:sz w:val="22"/>
          <w:szCs w:val="22"/>
          <w:lang w:val="it-IT"/>
        </w:rPr>
        <w:t xml:space="preserve"> Questo la aiuterà a proteggere lo stomaco quando prende </w:t>
      </w:r>
      <w:r w:rsidR="00521ABE" w:rsidRPr="00496684">
        <w:rPr>
          <w:sz w:val="22"/>
          <w:szCs w:val="22"/>
          <w:lang w:val="it-IT"/>
        </w:rPr>
        <w:t>Imatinib Actavis</w:t>
      </w:r>
      <w:r w:rsidRPr="00496684">
        <w:rPr>
          <w:sz w:val="22"/>
          <w:szCs w:val="22"/>
          <w:lang w:val="it-IT"/>
        </w:rPr>
        <w:t>.</w:t>
      </w:r>
    </w:p>
    <w:p w14:paraId="051FD65E" w14:textId="77777777" w:rsidR="008A39EF" w:rsidRPr="00496684" w:rsidRDefault="00027729" w:rsidP="008A39EF">
      <w:pPr>
        <w:pStyle w:val="Text"/>
        <w:widowControl w:val="0"/>
        <w:numPr>
          <w:ilvl w:val="0"/>
          <w:numId w:val="7"/>
        </w:numPr>
        <w:spacing w:before="0"/>
        <w:jc w:val="left"/>
        <w:rPr>
          <w:sz w:val="22"/>
          <w:szCs w:val="22"/>
          <w:lang w:val="it-IT"/>
        </w:rPr>
      </w:pPr>
      <w:r w:rsidRPr="00496684">
        <w:rPr>
          <w:b/>
          <w:sz w:val="22"/>
          <w:szCs w:val="22"/>
          <w:lang w:val="it-IT"/>
        </w:rPr>
        <w:t xml:space="preserve">Ingoi </w:t>
      </w:r>
      <w:r w:rsidR="008A39EF" w:rsidRPr="00496684">
        <w:rPr>
          <w:b/>
          <w:sz w:val="22"/>
          <w:szCs w:val="22"/>
          <w:lang w:val="it-IT"/>
        </w:rPr>
        <w:t xml:space="preserve">le capsule intere con un grosso bicchiere d'acqua. </w:t>
      </w:r>
      <w:r w:rsidR="008A39EF" w:rsidRPr="00496684">
        <w:rPr>
          <w:sz w:val="22"/>
          <w:szCs w:val="22"/>
          <w:lang w:val="it-IT"/>
        </w:rPr>
        <w:t>Non apra o rompa le capsule a meno che non abbia difficoltà a ingoiare (es. nei bambini).</w:t>
      </w:r>
    </w:p>
    <w:p w14:paraId="316F750B" w14:textId="77777777" w:rsidR="008A39EF" w:rsidRPr="00496684" w:rsidRDefault="008A39EF" w:rsidP="008A39EF">
      <w:pPr>
        <w:pStyle w:val="Text"/>
        <w:widowControl w:val="0"/>
        <w:numPr>
          <w:ilvl w:val="0"/>
          <w:numId w:val="7"/>
        </w:numPr>
        <w:spacing w:before="0"/>
        <w:jc w:val="left"/>
        <w:rPr>
          <w:sz w:val="22"/>
          <w:szCs w:val="22"/>
          <w:lang w:val="it-IT"/>
        </w:rPr>
      </w:pPr>
      <w:r w:rsidRPr="00496684">
        <w:rPr>
          <w:sz w:val="22"/>
          <w:szCs w:val="22"/>
          <w:lang w:val="it-IT"/>
        </w:rPr>
        <w:t>Se non è in grado di deglutire le capsule, può aprirle e versare la polvere in un bicchiere d’acqua o di succo di mela.</w:t>
      </w:r>
    </w:p>
    <w:p w14:paraId="1BE9F6DF" w14:textId="12DC5DFA" w:rsidR="008A39EF" w:rsidRPr="00496684" w:rsidRDefault="008A39EF" w:rsidP="008A39EF">
      <w:pPr>
        <w:pStyle w:val="Text"/>
        <w:widowControl w:val="0"/>
        <w:numPr>
          <w:ilvl w:val="0"/>
          <w:numId w:val="7"/>
        </w:numPr>
        <w:spacing w:before="0"/>
        <w:jc w:val="left"/>
        <w:rPr>
          <w:sz w:val="22"/>
          <w:szCs w:val="22"/>
          <w:lang w:val="it-IT"/>
        </w:rPr>
      </w:pPr>
      <w:r w:rsidRPr="00496684">
        <w:rPr>
          <w:sz w:val="22"/>
          <w:szCs w:val="22"/>
          <w:lang w:val="it-IT"/>
        </w:rPr>
        <w:t xml:space="preserve">Se è in gravidanza o </w:t>
      </w:r>
      <w:r w:rsidR="000B2C9C" w:rsidRPr="00496684">
        <w:rPr>
          <w:sz w:val="22"/>
          <w:szCs w:val="22"/>
          <w:lang w:val="it-IT"/>
        </w:rPr>
        <w:t>può</w:t>
      </w:r>
      <w:r w:rsidRPr="00496684">
        <w:rPr>
          <w:sz w:val="22"/>
          <w:szCs w:val="22"/>
          <w:lang w:val="it-IT"/>
        </w:rPr>
        <w:t xml:space="preserve"> diventarlo e sta cercando di aprire le capsule, deve maneggiare il contenuto con cautela per evitare il contatto con la cute e con gli occhi o l’inalazione. Si deve lavare le mani immediatamente dopo l’apertura delle capsule.</w:t>
      </w:r>
    </w:p>
    <w:p w14:paraId="79B0949C" w14:textId="77777777" w:rsidR="008A39EF" w:rsidRPr="00496684" w:rsidRDefault="008A39EF" w:rsidP="00FE0E06">
      <w:pPr>
        <w:autoSpaceDE w:val="0"/>
        <w:autoSpaceDN w:val="0"/>
        <w:adjustRightInd w:val="0"/>
        <w:spacing w:after="0" w:line="240" w:lineRule="auto"/>
        <w:rPr>
          <w:rFonts w:ascii="Times New Roman" w:hAnsi="Times New Roman"/>
          <w:lang w:val="it-IT"/>
        </w:rPr>
      </w:pPr>
    </w:p>
    <w:p w14:paraId="06422F71" w14:textId="77777777" w:rsidR="008A39EF" w:rsidRPr="00496684" w:rsidRDefault="008A39EF" w:rsidP="008A39EF">
      <w:pPr>
        <w:pStyle w:val="Text"/>
        <w:widowControl w:val="0"/>
        <w:spacing w:before="0"/>
        <w:jc w:val="left"/>
        <w:rPr>
          <w:b/>
          <w:sz w:val="22"/>
          <w:szCs w:val="22"/>
          <w:lang w:val="it-IT"/>
        </w:rPr>
      </w:pPr>
      <w:r w:rsidRPr="00496684">
        <w:rPr>
          <w:b/>
          <w:sz w:val="22"/>
          <w:szCs w:val="22"/>
          <w:lang w:val="it-IT"/>
        </w:rPr>
        <w:t xml:space="preserve">Per quanto tempo prendere </w:t>
      </w:r>
      <w:r w:rsidR="00521ABE" w:rsidRPr="00496684">
        <w:rPr>
          <w:b/>
          <w:sz w:val="22"/>
          <w:szCs w:val="22"/>
          <w:lang w:val="it-IT"/>
        </w:rPr>
        <w:t>Imatinib Actavis</w:t>
      </w:r>
    </w:p>
    <w:p w14:paraId="3422C4D0" w14:textId="77777777" w:rsidR="008A39EF" w:rsidRPr="00496684" w:rsidRDefault="008A39EF" w:rsidP="008A39EF">
      <w:pPr>
        <w:pStyle w:val="Text"/>
        <w:widowControl w:val="0"/>
        <w:spacing w:before="0"/>
        <w:jc w:val="left"/>
        <w:rPr>
          <w:sz w:val="22"/>
          <w:szCs w:val="22"/>
          <w:lang w:val="it-IT"/>
        </w:rPr>
      </w:pPr>
      <w:r w:rsidRPr="00496684">
        <w:rPr>
          <w:sz w:val="22"/>
          <w:szCs w:val="22"/>
          <w:lang w:val="it-IT"/>
        </w:rPr>
        <w:t xml:space="preserve">Continui a prendere </w:t>
      </w:r>
      <w:r w:rsidR="00521ABE" w:rsidRPr="00496684">
        <w:rPr>
          <w:sz w:val="22"/>
          <w:szCs w:val="22"/>
          <w:lang w:val="it-IT"/>
        </w:rPr>
        <w:t>Imatinib Actavis</w:t>
      </w:r>
      <w:r w:rsidRPr="00496684">
        <w:rPr>
          <w:sz w:val="22"/>
          <w:szCs w:val="22"/>
          <w:lang w:val="it-IT"/>
        </w:rPr>
        <w:t xml:space="preserve"> ogni giorno per tutto il tempo che le dice il medico.</w:t>
      </w:r>
    </w:p>
    <w:p w14:paraId="34E53355" w14:textId="77777777" w:rsidR="008A39EF" w:rsidRPr="00496684" w:rsidRDefault="008A39EF" w:rsidP="008A39EF">
      <w:pPr>
        <w:pStyle w:val="Text"/>
        <w:widowControl w:val="0"/>
        <w:spacing w:before="0"/>
        <w:jc w:val="left"/>
        <w:rPr>
          <w:sz w:val="22"/>
          <w:szCs w:val="22"/>
          <w:lang w:val="it-IT"/>
        </w:rPr>
      </w:pPr>
    </w:p>
    <w:p w14:paraId="57EF2090" w14:textId="77777777" w:rsidR="008A39EF" w:rsidRPr="00496684" w:rsidRDefault="008A39EF" w:rsidP="00D07589">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 xml:space="preserve">Se prende più </w:t>
      </w:r>
      <w:r w:rsidR="00521ABE" w:rsidRPr="00496684">
        <w:rPr>
          <w:rFonts w:ascii="Times New Roman" w:hAnsi="Times New Roman"/>
          <w:b/>
          <w:lang w:val="it-IT"/>
        </w:rPr>
        <w:t>Imatinib Actavis</w:t>
      </w:r>
      <w:r w:rsidRPr="00496684">
        <w:rPr>
          <w:rFonts w:ascii="Times New Roman" w:hAnsi="Times New Roman"/>
          <w:b/>
          <w:lang w:val="it-IT"/>
        </w:rPr>
        <w:t xml:space="preserve"> di quanto deve</w:t>
      </w:r>
    </w:p>
    <w:p w14:paraId="0BC1289B" w14:textId="77777777" w:rsidR="008A39EF" w:rsidRPr="00496684" w:rsidRDefault="008A39EF" w:rsidP="00D07589">
      <w:pPr>
        <w:pStyle w:val="Text"/>
        <w:widowControl w:val="0"/>
        <w:spacing w:before="0"/>
        <w:jc w:val="left"/>
        <w:rPr>
          <w:sz w:val="22"/>
          <w:szCs w:val="22"/>
          <w:lang w:val="it-IT"/>
        </w:rPr>
      </w:pPr>
      <w:r w:rsidRPr="00496684">
        <w:rPr>
          <w:sz w:val="22"/>
          <w:szCs w:val="22"/>
          <w:lang w:val="it-IT"/>
        </w:rPr>
        <w:t xml:space="preserve">Se ha preso accidentalmente troppe capsule contatti </w:t>
      </w:r>
      <w:r w:rsidRPr="00496684">
        <w:rPr>
          <w:b/>
          <w:sz w:val="22"/>
          <w:szCs w:val="22"/>
          <w:lang w:val="it-IT"/>
        </w:rPr>
        <w:t>immediatamente</w:t>
      </w:r>
      <w:r w:rsidRPr="00496684">
        <w:rPr>
          <w:sz w:val="22"/>
          <w:szCs w:val="22"/>
          <w:lang w:val="it-IT"/>
        </w:rPr>
        <w:t xml:space="preserve"> il medico. Può aver bisogno di assistenza medica. Porti con sé la scatola del medicinale.</w:t>
      </w:r>
    </w:p>
    <w:p w14:paraId="0C3F7231" w14:textId="77777777" w:rsidR="008A39EF" w:rsidRPr="00496684" w:rsidRDefault="008A39EF" w:rsidP="00D07589">
      <w:pPr>
        <w:widowControl w:val="0"/>
        <w:numPr>
          <w:ilvl w:val="12"/>
          <w:numId w:val="0"/>
        </w:numPr>
        <w:spacing w:after="0" w:line="240" w:lineRule="auto"/>
        <w:ind w:right="-2"/>
        <w:rPr>
          <w:rFonts w:ascii="Times New Roman" w:hAnsi="Times New Roman"/>
          <w:lang w:val="it-IT"/>
        </w:rPr>
      </w:pPr>
    </w:p>
    <w:p w14:paraId="790C77E5" w14:textId="77777777" w:rsidR="008A39EF" w:rsidRPr="00496684" w:rsidRDefault="008A39EF" w:rsidP="00D07589">
      <w:pPr>
        <w:widowControl w:val="0"/>
        <w:numPr>
          <w:ilvl w:val="12"/>
          <w:numId w:val="0"/>
        </w:numPr>
        <w:spacing w:after="0" w:line="240" w:lineRule="auto"/>
        <w:ind w:right="-2"/>
        <w:rPr>
          <w:rFonts w:ascii="Times New Roman" w:hAnsi="Times New Roman"/>
          <w:b/>
          <w:lang w:val="it-IT"/>
        </w:rPr>
      </w:pPr>
      <w:r w:rsidRPr="00496684">
        <w:rPr>
          <w:rFonts w:ascii="Times New Roman" w:hAnsi="Times New Roman"/>
          <w:b/>
          <w:lang w:val="it-IT"/>
        </w:rPr>
        <w:t xml:space="preserve">Se dimentica di prendere </w:t>
      </w:r>
      <w:r w:rsidR="00521ABE" w:rsidRPr="00496684">
        <w:rPr>
          <w:rFonts w:ascii="Times New Roman" w:hAnsi="Times New Roman"/>
          <w:b/>
          <w:lang w:val="it-IT"/>
        </w:rPr>
        <w:t>Imatinib Actavis</w:t>
      </w:r>
    </w:p>
    <w:p w14:paraId="6E6091F0" w14:textId="77777777" w:rsidR="008A39EF" w:rsidRPr="00496684" w:rsidRDefault="008A39EF" w:rsidP="00D07589">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Se dimentica una dose, la prenda appena si ricorda. Tuttavia se è quasi il tempo per la prossima dose, salti la dose dimenticata.</w:t>
      </w:r>
    </w:p>
    <w:p w14:paraId="09CB86DF" w14:textId="77777777" w:rsidR="008A39EF" w:rsidRPr="00496684" w:rsidRDefault="008A39EF" w:rsidP="00D07589">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Quindi continui con il dosaggio normale.</w:t>
      </w:r>
    </w:p>
    <w:p w14:paraId="6001D507" w14:textId="77777777" w:rsidR="008A39EF" w:rsidRPr="00496684" w:rsidRDefault="008A39EF" w:rsidP="00D07589">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Non prenda una dose doppia per compensare la dimenticanza della dose.</w:t>
      </w:r>
    </w:p>
    <w:p w14:paraId="41565A57" w14:textId="77777777" w:rsidR="008A39EF" w:rsidRPr="00496684" w:rsidRDefault="008A39EF" w:rsidP="00D07589">
      <w:pPr>
        <w:widowControl w:val="0"/>
        <w:numPr>
          <w:ilvl w:val="12"/>
          <w:numId w:val="0"/>
        </w:numPr>
        <w:spacing w:after="0" w:line="240" w:lineRule="auto"/>
        <w:ind w:right="-2"/>
        <w:rPr>
          <w:rFonts w:ascii="Times New Roman" w:hAnsi="Times New Roman"/>
          <w:lang w:val="it-IT"/>
        </w:rPr>
      </w:pPr>
    </w:p>
    <w:p w14:paraId="28D48B8E" w14:textId="77777777" w:rsidR="008A39EF" w:rsidRPr="00496684" w:rsidRDefault="008A39EF" w:rsidP="00D07589">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 ha qualsiasi dubbio sull’uso di questo medicinale, si rivolga al medico, al farmacista o all’infermiere.</w:t>
      </w:r>
    </w:p>
    <w:p w14:paraId="7CFA9927"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34D273D1" w14:textId="77777777" w:rsidR="0020671B" w:rsidRPr="00496684" w:rsidRDefault="0020671B" w:rsidP="00FE0E06">
      <w:pPr>
        <w:autoSpaceDE w:val="0"/>
        <w:autoSpaceDN w:val="0"/>
        <w:adjustRightInd w:val="0"/>
        <w:spacing w:after="0" w:line="240" w:lineRule="auto"/>
        <w:rPr>
          <w:rFonts w:ascii="Times New Roman" w:hAnsi="Times New Roman"/>
          <w:lang w:val="it-IT"/>
        </w:rPr>
      </w:pPr>
    </w:p>
    <w:p w14:paraId="08B1DC24" w14:textId="77777777" w:rsidR="00FE0E06" w:rsidRPr="00496684" w:rsidRDefault="00FE0E06" w:rsidP="00FE0E0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008A39EF" w:rsidRPr="00496684">
        <w:rPr>
          <w:rFonts w:ascii="Times New Roman" w:hAnsi="Times New Roman"/>
          <w:b/>
          <w:lang w:val="it-IT"/>
        </w:rPr>
        <w:t>Possibili effetti indesiderati</w:t>
      </w:r>
    </w:p>
    <w:p w14:paraId="2A5701EF" w14:textId="77777777" w:rsidR="00FE0E06" w:rsidRPr="00496684" w:rsidRDefault="00FE0E06" w:rsidP="00FE0E06">
      <w:pPr>
        <w:autoSpaceDE w:val="0"/>
        <w:autoSpaceDN w:val="0"/>
        <w:adjustRightInd w:val="0"/>
        <w:spacing w:after="0" w:line="240" w:lineRule="auto"/>
        <w:rPr>
          <w:rFonts w:ascii="Times New Roman" w:hAnsi="Times New Roman"/>
          <w:bCs/>
          <w:lang w:val="it-IT"/>
        </w:rPr>
      </w:pPr>
    </w:p>
    <w:p w14:paraId="66F1F1C8" w14:textId="77777777" w:rsidR="008A39EF" w:rsidRPr="00496684" w:rsidRDefault="008A39EF" w:rsidP="008A39EF">
      <w:pPr>
        <w:pStyle w:val="Text"/>
        <w:widowControl w:val="0"/>
        <w:spacing w:before="0"/>
        <w:jc w:val="left"/>
        <w:rPr>
          <w:sz w:val="22"/>
          <w:szCs w:val="22"/>
          <w:lang w:val="it-IT"/>
        </w:rPr>
      </w:pPr>
      <w:r w:rsidRPr="00496684">
        <w:rPr>
          <w:sz w:val="22"/>
          <w:szCs w:val="22"/>
          <w:lang w:val="it-IT"/>
        </w:rPr>
        <w:t>Come tutti i medicinali, questo medicinale può causare effetti indesiderati sebbene non tutte le persone li manifestino. Questi sono generalmente da lievi a moderati.</w:t>
      </w:r>
    </w:p>
    <w:p w14:paraId="6AD57C31" w14:textId="77777777" w:rsidR="008A39EF" w:rsidRPr="00496684" w:rsidRDefault="008A39EF" w:rsidP="00FE0E06">
      <w:pPr>
        <w:autoSpaceDE w:val="0"/>
        <w:autoSpaceDN w:val="0"/>
        <w:adjustRightInd w:val="0"/>
        <w:spacing w:after="0" w:line="240" w:lineRule="auto"/>
        <w:rPr>
          <w:rFonts w:ascii="Times New Roman" w:hAnsi="Times New Roman"/>
          <w:bCs/>
          <w:lang w:val="it-IT"/>
        </w:rPr>
      </w:pPr>
    </w:p>
    <w:p w14:paraId="1B0A4B48" w14:textId="77777777" w:rsidR="008A39EF" w:rsidRPr="00496684" w:rsidRDefault="008A39EF" w:rsidP="008A39EF">
      <w:pPr>
        <w:pStyle w:val="Text"/>
        <w:widowControl w:val="0"/>
        <w:spacing w:before="0"/>
        <w:jc w:val="left"/>
        <w:rPr>
          <w:b/>
          <w:sz w:val="22"/>
          <w:szCs w:val="22"/>
          <w:lang w:val="it-IT"/>
        </w:rPr>
      </w:pPr>
      <w:r w:rsidRPr="00496684">
        <w:rPr>
          <w:b/>
          <w:sz w:val="22"/>
          <w:szCs w:val="22"/>
          <w:lang w:val="it-IT"/>
        </w:rPr>
        <w:t>Alcuni effetti indesiderati possono essere gravi. Informi il medico immediatamente se manifesta uno dei seguenti effetti:</w:t>
      </w:r>
    </w:p>
    <w:p w14:paraId="74F6B6C9"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37CF2E9D" w14:textId="05302D44" w:rsidR="008A39EF" w:rsidRPr="00496684" w:rsidRDefault="00A07CCB" w:rsidP="008A39EF">
      <w:pPr>
        <w:pStyle w:val="Text"/>
        <w:widowControl w:val="0"/>
        <w:spacing w:before="0"/>
        <w:jc w:val="left"/>
        <w:rPr>
          <w:b/>
          <w:sz w:val="22"/>
          <w:szCs w:val="22"/>
          <w:lang w:val="it-IT"/>
        </w:rPr>
      </w:pPr>
      <w:r w:rsidRPr="00496684">
        <w:rPr>
          <w:b/>
          <w:sz w:val="22"/>
          <w:szCs w:val="22"/>
          <w:lang w:val="it-IT"/>
        </w:rPr>
        <w:t>M</w:t>
      </w:r>
      <w:r w:rsidR="008A39EF" w:rsidRPr="00496684">
        <w:rPr>
          <w:b/>
          <w:sz w:val="22"/>
          <w:szCs w:val="22"/>
          <w:lang w:val="it-IT"/>
        </w:rPr>
        <w:t>olto comuni (</w:t>
      </w:r>
      <w:r w:rsidR="008A39EF" w:rsidRPr="00496684">
        <w:rPr>
          <w:sz w:val="22"/>
          <w:szCs w:val="22"/>
          <w:lang w:val="it-IT"/>
        </w:rPr>
        <w:t xml:space="preserve">può interessare più di 1 persona su 10) </w:t>
      </w:r>
      <w:r w:rsidR="008A39EF" w:rsidRPr="00496684">
        <w:rPr>
          <w:b/>
          <w:sz w:val="22"/>
          <w:szCs w:val="22"/>
          <w:lang w:val="it-IT"/>
        </w:rPr>
        <w:t>o comuni (</w:t>
      </w:r>
      <w:r w:rsidR="008A39EF" w:rsidRPr="00496684">
        <w:rPr>
          <w:sz w:val="22"/>
          <w:szCs w:val="22"/>
          <w:lang w:val="it-IT"/>
        </w:rPr>
        <w:t>può interessare fino a 1 persona su 10)</w:t>
      </w:r>
      <w:r w:rsidR="008A39EF" w:rsidRPr="00496684">
        <w:rPr>
          <w:b/>
          <w:sz w:val="22"/>
          <w:szCs w:val="22"/>
          <w:lang w:val="it-IT"/>
        </w:rPr>
        <w:t>:</w:t>
      </w:r>
    </w:p>
    <w:p w14:paraId="223BFE99" w14:textId="77777777" w:rsidR="008A39EF" w:rsidRPr="00496684" w:rsidRDefault="008A39EF" w:rsidP="003E577B">
      <w:pPr>
        <w:pStyle w:val="Text"/>
        <w:widowControl w:val="0"/>
        <w:numPr>
          <w:ilvl w:val="0"/>
          <w:numId w:val="21"/>
        </w:numPr>
        <w:spacing w:before="0"/>
        <w:jc w:val="left"/>
        <w:rPr>
          <w:sz w:val="22"/>
          <w:szCs w:val="22"/>
          <w:lang w:val="it-IT"/>
        </w:rPr>
      </w:pPr>
      <w:r w:rsidRPr="00496684">
        <w:rPr>
          <w:sz w:val="22"/>
          <w:szCs w:val="22"/>
          <w:lang w:val="it-IT"/>
        </w:rPr>
        <w:t xml:space="preserve">Rapido aumento di peso. </w:t>
      </w:r>
      <w:r w:rsidR="00521ABE" w:rsidRPr="00496684">
        <w:rPr>
          <w:sz w:val="22"/>
          <w:szCs w:val="22"/>
          <w:lang w:val="it-IT"/>
        </w:rPr>
        <w:t>Imatinib Actavis</w:t>
      </w:r>
      <w:r w:rsidRPr="00496684">
        <w:rPr>
          <w:sz w:val="22"/>
          <w:szCs w:val="22"/>
          <w:lang w:val="it-IT"/>
        </w:rPr>
        <w:t xml:space="preserve"> può far trattenere al suo corpo acqua (grave ritenzione di liquidi).</w:t>
      </w:r>
    </w:p>
    <w:p w14:paraId="72A30AF2" w14:textId="2B0E0475" w:rsidR="008A39EF" w:rsidRPr="00496684" w:rsidRDefault="008A39EF" w:rsidP="003E577B">
      <w:pPr>
        <w:pStyle w:val="Text"/>
        <w:widowControl w:val="0"/>
        <w:numPr>
          <w:ilvl w:val="0"/>
          <w:numId w:val="21"/>
        </w:numPr>
        <w:spacing w:before="0"/>
        <w:jc w:val="left"/>
        <w:rPr>
          <w:sz w:val="22"/>
          <w:szCs w:val="22"/>
          <w:lang w:val="it-IT"/>
        </w:rPr>
      </w:pPr>
      <w:r w:rsidRPr="00496684">
        <w:rPr>
          <w:sz w:val="22"/>
          <w:szCs w:val="22"/>
          <w:lang w:val="it-IT"/>
        </w:rPr>
        <w:t xml:space="preserve">Segni di infezione quali febbre, brividi intensi, faringite o ulcerazioni della bocca. </w:t>
      </w:r>
      <w:r w:rsidR="00521ABE" w:rsidRPr="00496684">
        <w:rPr>
          <w:sz w:val="22"/>
          <w:szCs w:val="22"/>
          <w:lang w:val="it-IT"/>
        </w:rPr>
        <w:t>Imatinib Actavis</w:t>
      </w:r>
      <w:r w:rsidRPr="00496684">
        <w:rPr>
          <w:sz w:val="22"/>
          <w:szCs w:val="22"/>
          <w:lang w:val="it-IT"/>
        </w:rPr>
        <w:t xml:space="preserve"> può ridurre il numero dei globuli bianchi così </w:t>
      </w:r>
      <w:r w:rsidR="000B2C9C" w:rsidRPr="00496684">
        <w:rPr>
          <w:sz w:val="22"/>
          <w:szCs w:val="22"/>
          <w:lang w:val="it-IT"/>
        </w:rPr>
        <w:t>può</w:t>
      </w:r>
      <w:r w:rsidRPr="00496684">
        <w:rPr>
          <w:sz w:val="22"/>
          <w:szCs w:val="22"/>
          <w:lang w:val="it-IT"/>
        </w:rPr>
        <w:t xml:space="preserve"> prendere più facilmente delle infezioni.</w:t>
      </w:r>
    </w:p>
    <w:p w14:paraId="73E7DE2C" w14:textId="77777777" w:rsidR="008A39EF" w:rsidRPr="00496684" w:rsidRDefault="008A39EF" w:rsidP="003E577B">
      <w:pPr>
        <w:pStyle w:val="Text"/>
        <w:widowControl w:val="0"/>
        <w:numPr>
          <w:ilvl w:val="0"/>
          <w:numId w:val="21"/>
        </w:numPr>
        <w:spacing w:before="0"/>
        <w:jc w:val="left"/>
        <w:rPr>
          <w:sz w:val="22"/>
          <w:szCs w:val="22"/>
          <w:lang w:val="it-IT"/>
        </w:rPr>
      </w:pPr>
      <w:r w:rsidRPr="00496684">
        <w:rPr>
          <w:sz w:val="22"/>
          <w:szCs w:val="22"/>
          <w:lang w:val="it-IT"/>
        </w:rPr>
        <w:t>Sanguinamenti inattesi o ecchimosi (quando non si è fatto male da solo).</w:t>
      </w:r>
    </w:p>
    <w:p w14:paraId="21432C5B" w14:textId="77777777" w:rsidR="008A39EF" w:rsidRPr="00496684" w:rsidRDefault="008A39EF" w:rsidP="008A39EF">
      <w:pPr>
        <w:pStyle w:val="Text"/>
        <w:widowControl w:val="0"/>
        <w:spacing w:before="0"/>
        <w:jc w:val="left"/>
        <w:rPr>
          <w:sz w:val="22"/>
          <w:szCs w:val="22"/>
          <w:lang w:val="it-IT"/>
        </w:rPr>
      </w:pPr>
    </w:p>
    <w:p w14:paraId="290967F7" w14:textId="24454E31" w:rsidR="008A39EF" w:rsidRPr="00496684" w:rsidRDefault="00A07CCB" w:rsidP="008A39EF">
      <w:pPr>
        <w:pStyle w:val="Text"/>
        <w:widowControl w:val="0"/>
        <w:spacing w:before="0"/>
        <w:jc w:val="left"/>
        <w:rPr>
          <w:sz w:val="22"/>
          <w:szCs w:val="22"/>
          <w:lang w:val="it-IT"/>
        </w:rPr>
      </w:pPr>
      <w:r w:rsidRPr="00496684">
        <w:rPr>
          <w:b/>
          <w:sz w:val="22"/>
          <w:szCs w:val="22"/>
          <w:lang w:val="it-IT"/>
        </w:rPr>
        <w:t>N</w:t>
      </w:r>
      <w:r w:rsidR="008A39EF" w:rsidRPr="00496684">
        <w:rPr>
          <w:b/>
          <w:sz w:val="22"/>
          <w:szCs w:val="22"/>
          <w:lang w:val="it-IT"/>
        </w:rPr>
        <w:t xml:space="preserve">on comuni </w:t>
      </w:r>
      <w:r w:rsidR="00931EC3" w:rsidRPr="00496684">
        <w:rPr>
          <w:b/>
          <w:sz w:val="22"/>
          <w:szCs w:val="22"/>
          <w:lang w:val="it-IT"/>
        </w:rPr>
        <w:t>(</w:t>
      </w:r>
      <w:r w:rsidR="00931EC3" w:rsidRPr="00496684">
        <w:rPr>
          <w:sz w:val="22"/>
          <w:szCs w:val="22"/>
          <w:lang w:val="it-IT"/>
        </w:rPr>
        <w:t xml:space="preserve">può interessare fino a 1 persona su 100) </w:t>
      </w:r>
      <w:r w:rsidR="008A39EF" w:rsidRPr="00496684">
        <w:rPr>
          <w:b/>
          <w:sz w:val="22"/>
          <w:szCs w:val="22"/>
          <w:lang w:val="it-IT"/>
        </w:rPr>
        <w:t>o rari</w:t>
      </w:r>
      <w:r w:rsidR="00931EC3" w:rsidRPr="00496684">
        <w:rPr>
          <w:b/>
          <w:sz w:val="22"/>
          <w:szCs w:val="22"/>
          <w:lang w:val="it-IT"/>
        </w:rPr>
        <w:t xml:space="preserve"> (</w:t>
      </w:r>
      <w:r w:rsidR="00931EC3" w:rsidRPr="00496684">
        <w:rPr>
          <w:sz w:val="22"/>
          <w:szCs w:val="22"/>
          <w:lang w:val="it-IT"/>
        </w:rPr>
        <w:t>può interessare fino 1 1 persona su 1.000)</w:t>
      </w:r>
      <w:r w:rsidR="008A39EF" w:rsidRPr="00496684">
        <w:rPr>
          <w:b/>
          <w:sz w:val="22"/>
          <w:szCs w:val="22"/>
          <w:lang w:val="it-IT"/>
        </w:rPr>
        <w:t>:</w:t>
      </w:r>
    </w:p>
    <w:p w14:paraId="68E63E74"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Dolore al torace, ritmo cardiaco irregolare (segni di problemi al cuore).</w:t>
      </w:r>
    </w:p>
    <w:p w14:paraId="63F6CC2B"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Tosse, difficoltà respiratoria o respirazione dolorosa (segni di problemi ai polmoni).</w:t>
      </w:r>
    </w:p>
    <w:p w14:paraId="0E037A45"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Sensazione di testa vuota, stordimento o svenimento (segni di pressione bassa).</w:t>
      </w:r>
    </w:p>
    <w:p w14:paraId="36766B14"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 xml:space="preserve">Sensazione di malessere (nausea), con perdita di appetito, urine </w:t>
      </w:r>
      <w:r w:rsidR="00C51AE5" w:rsidRPr="00496684">
        <w:rPr>
          <w:sz w:val="22"/>
          <w:szCs w:val="22"/>
          <w:lang w:val="it-IT"/>
        </w:rPr>
        <w:t>di colore scuro</w:t>
      </w:r>
      <w:r w:rsidRPr="00496684">
        <w:rPr>
          <w:sz w:val="22"/>
          <w:szCs w:val="22"/>
          <w:lang w:val="it-IT"/>
        </w:rPr>
        <w:t>, pelle o occhi gialli (segni di problemi al fegato).</w:t>
      </w:r>
    </w:p>
    <w:p w14:paraId="77F6B913"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Eruzione cutanea, arrossamento cutaneo con vesciche sulle labbra, occhi, pelle o bocca, desquamazione cutanea, febbre, macchie in rilievo di colore rosso o viola sulla pelle, prurito, sensazione di bruciore, eruzione pustolosa (segni di problemi della pelle).</w:t>
      </w:r>
    </w:p>
    <w:p w14:paraId="4F2713CC"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Forte dolore addominale, presenza di sangue nel vomito, nelle feci o nelle urine, feci nere (segni di disturbi gastrointestinali).</w:t>
      </w:r>
    </w:p>
    <w:p w14:paraId="292F69BA"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Importante diminuzione della quantità di urina, sensazione di sete (segni di problemi renali).</w:t>
      </w:r>
    </w:p>
    <w:p w14:paraId="1AF7DEA3"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Sensazione di malessere (nausea) con diarrea e vomito, dolore addominale o febbre (segni di problemi intestinali).</w:t>
      </w:r>
    </w:p>
    <w:p w14:paraId="3224D36E"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Forte mal di testa, debolezza o paralisi degli arti o del viso, difficoltà di parola, improvvisa perdita di coscienza (segni di problemi del sistema nervoso</w:t>
      </w:r>
      <w:r w:rsidR="00C51AE5" w:rsidRPr="00496684">
        <w:rPr>
          <w:sz w:val="22"/>
          <w:szCs w:val="22"/>
          <w:lang w:val="it-IT"/>
        </w:rPr>
        <w:t xml:space="preserve"> come sanguinamento o gonfiore nel cranio/cervello</w:t>
      </w:r>
      <w:r w:rsidRPr="00496684">
        <w:rPr>
          <w:sz w:val="22"/>
          <w:szCs w:val="22"/>
          <w:lang w:val="it-IT"/>
        </w:rPr>
        <w:t>).</w:t>
      </w:r>
    </w:p>
    <w:p w14:paraId="49CFEFFD"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Pallore, sensazione di stanchezza e affanno e urine di colore scuro (segni di bassi valori di globuli rossi).</w:t>
      </w:r>
    </w:p>
    <w:p w14:paraId="49368C42"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Dolore agli occhi o deterioramento della visione</w:t>
      </w:r>
      <w:r w:rsidR="00E45B32" w:rsidRPr="00496684">
        <w:rPr>
          <w:sz w:val="22"/>
          <w:szCs w:val="22"/>
          <w:lang w:val="it-IT"/>
        </w:rPr>
        <w:t>, sanguinamento negli occhi</w:t>
      </w:r>
      <w:r w:rsidRPr="00496684">
        <w:rPr>
          <w:sz w:val="22"/>
          <w:szCs w:val="22"/>
          <w:lang w:val="it-IT"/>
        </w:rPr>
        <w:t>.</w:t>
      </w:r>
    </w:p>
    <w:p w14:paraId="4CAFA787"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Dolore all’anca o difficoltà a camminare.</w:t>
      </w:r>
    </w:p>
    <w:p w14:paraId="09BAC0EF"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Dita dei piedi o delle mani intorpidite o fredde (segni della sindrome di Raynaud).</w:t>
      </w:r>
    </w:p>
    <w:p w14:paraId="5C8850F6"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Improvviso gonfiore e arrossamento della pelle (segni di una infezione della pelle chiamata cellulite).</w:t>
      </w:r>
    </w:p>
    <w:p w14:paraId="7496D9C9"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Problemi d’udito.</w:t>
      </w:r>
    </w:p>
    <w:p w14:paraId="5A2DEDDA"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Debolezza muscolare e spasmi muscolari con un ritmo cardiaco anormale (segni di modifiche del quantitativo di potassio nel sangue).</w:t>
      </w:r>
    </w:p>
    <w:p w14:paraId="2F0AAB86"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Ecchimosi (lividi).</w:t>
      </w:r>
    </w:p>
    <w:p w14:paraId="4762F9AA"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Dolore allo stomaco con sensazione di malessere (nausea).</w:t>
      </w:r>
    </w:p>
    <w:p w14:paraId="3B10BB43"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Spasmi muscolari con febbre, urine rosso brune, dolore o debolezza muscolare (segni di problemi ai muscoli).</w:t>
      </w:r>
    </w:p>
    <w:p w14:paraId="0BECBE47"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Dolore pelvico talvolta con nausea e vomito, con sanguinamento vaginale inatteso, sensazione di vertigini o svenimento dovuto a pressione bassa (segni di problemi con le ovaie e l’utero).</w:t>
      </w:r>
    </w:p>
    <w:p w14:paraId="144C6178" w14:textId="77777777" w:rsidR="008A39EF" w:rsidRPr="00496684" w:rsidRDefault="008A39EF" w:rsidP="003E577B">
      <w:pPr>
        <w:pStyle w:val="Text"/>
        <w:widowControl w:val="0"/>
        <w:numPr>
          <w:ilvl w:val="0"/>
          <w:numId w:val="22"/>
        </w:numPr>
        <w:spacing w:before="0"/>
        <w:jc w:val="left"/>
        <w:rPr>
          <w:sz w:val="22"/>
          <w:szCs w:val="22"/>
          <w:lang w:val="it-IT"/>
        </w:rPr>
      </w:pPr>
      <w:r w:rsidRPr="00496684">
        <w:rPr>
          <w:sz w:val="22"/>
          <w:szCs w:val="22"/>
          <w:lang w:val="it-IT"/>
        </w:rPr>
        <w:t xml:space="preserve">Nausea, respiro corto, battito cardiaco irregolare, intorbidimento delle urine, stanchezza e/o disturbi alle articolazioni associati a risultati anomali dei test di laboratorio (ad esempio alti livelli di potassio, acido urico e </w:t>
      </w:r>
      <w:r w:rsidR="00AE0012" w:rsidRPr="00496684">
        <w:rPr>
          <w:sz w:val="22"/>
          <w:szCs w:val="22"/>
          <w:lang w:val="it-IT"/>
        </w:rPr>
        <w:t xml:space="preserve">calcio </w:t>
      </w:r>
      <w:r w:rsidRPr="00496684">
        <w:rPr>
          <w:sz w:val="22"/>
          <w:szCs w:val="22"/>
          <w:lang w:val="it-IT"/>
        </w:rPr>
        <w:t xml:space="preserve">e bassi livelli di </w:t>
      </w:r>
      <w:r w:rsidR="00AE0012" w:rsidRPr="00496684">
        <w:rPr>
          <w:sz w:val="22"/>
          <w:szCs w:val="22"/>
          <w:lang w:val="it-IT"/>
        </w:rPr>
        <w:t xml:space="preserve">fosforo </w:t>
      </w:r>
      <w:r w:rsidRPr="00496684">
        <w:rPr>
          <w:sz w:val="22"/>
          <w:szCs w:val="22"/>
          <w:lang w:val="it-IT"/>
        </w:rPr>
        <w:t>nel sangue).</w:t>
      </w:r>
    </w:p>
    <w:p w14:paraId="284705A5" w14:textId="47B0404A" w:rsidR="000B2C9C" w:rsidRPr="00496684" w:rsidRDefault="000B2C9C" w:rsidP="003E577B">
      <w:pPr>
        <w:pStyle w:val="Text"/>
        <w:widowControl w:val="0"/>
        <w:numPr>
          <w:ilvl w:val="0"/>
          <w:numId w:val="22"/>
        </w:numPr>
        <w:spacing w:before="0"/>
        <w:jc w:val="left"/>
        <w:rPr>
          <w:sz w:val="22"/>
          <w:szCs w:val="22"/>
          <w:lang w:val="it-IT"/>
        </w:rPr>
      </w:pPr>
      <w:r w:rsidRPr="00496684">
        <w:rPr>
          <w:sz w:val="22"/>
          <w:szCs w:val="22"/>
          <w:lang w:val="it-IT"/>
        </w:rPr>
        <w:t>Coaguli di sangue in piccoli vasi sanguigni (microangiopatia trombotica).</w:t>
      </w:r>
    </w:p>
    <w:p w14:paraId="5143EA7F" w14:textId="77777777" w:rsidR="00AE0012" w:rsidRPr="00496684" w:rsidRDefault="00AE0012" w:rsidP="008A39EF">
      <w:pPr>
        <w:pStyle w:val="Text"/>
        <w:widowControl w:val="0"/>
        <w:spacing w:before="0"/>
        <w:jc w:val="left"/>
        <w:rPr>
          <w:sz w:val="22"/>
          <w:szCs w:val="22"/>
          <w:lang w:val="it-IT"/>
        </w:rPr>
      </w:pPr>
    </w:p>
    <w:p w14:paraId="3587E2ED" w14:textId="77777777" w:rsidR="00AE0012" w:rsidRPr="00496684" w:rsidRDefault="00AE0012" w:rsidP="008A39EF">
      <w:pPr>
        <w:pStyle w:val="Text"/>
        <w:widowControl w:val="0"/>
        <w:spacing w:before="0"/>
        <w:jc w:val="left"/>
        <w:rPr>
          <w:sz w:val="22"/>
          <w:szCs w:val="22"/>
          <w:lang w:val="it-IT"/>
        </w:rPr>
      </w:pPr>
      <w:r w:rsidRPr="00496684">
        <w:rPr>
          <w:b/>
          <w:sz w:val="22"/>
          <w:szCs w:val="22"/>
          <w:lang w:val="it-IT"/>
        </w:rPr>
        <w:t>Non nota</w:t>
      </w:r>
      <w:r w:rsidRPr="00496684">
        <w:rPr>
          <w:sz w:val="22"/>
          <w:szCs w:val="22"/>
          <w:lang w:val="it-IT"/>
        </w:rPr>
        <w:t xml:space="preserve"> (la f</w:t>
      </w:r>
      <w:r w:rsidR="00BA4800" w:rsidRPr="00496684">
        <w:rPr>
          <w:sz w:val="22"/>
          <w:szCs w:val="22"/>
          <w:lang w:val="it-IT"/>
        </w:rPr>
        <w:t>re</w:t>
      </w:r>
      <w:r w:rsidRPr="00496684">
        <w:rPr>
          <w:sz w:val="22"/>
          <w:szCs w:val="22"/>
          <w:lang w:val="it-IT"/>
        </w:rPr>
        <w:t xml:space="preserve">quenza non può essere </w:t>
      </w:r>
      <w:r w:rsidR="00C66631" w:rsidRPr="00496684">
        <w:rPr>
          <w:sz w:val="22"/>
          <w:szCs w:val="22"/>
          <w:lang w:val="it-IT"/>
        </w:rPr>
        <w:t>definita</w:t>
      </w:r>
      <w:r w:rsidRPr="00496684">
        <w:rPr>
          <w:sz w:val="22"/>
          <w:szCs w:val="22"/>
          <w:lang w:val="it-IT"/>
        </w:rPr>
        <w:t xml:space="preserve"> </w:t>
      </w:r>
      <w:r w:rsidR="00BA4800" w:rsidRPr="00496684">
        <w:rPr>
          <w:sz w:val="22"/>
          <w:szCs w:val="22"/>
          <w:lang w:val="it-IT"/>
        </w:rPr>
        <w:t>sulla base dei dati disponibili):</w:t>
      </w:r>
    </w:p>
    <w:p w14:paraId="3919814E" w14:textId="77777777" w:rsidR="00BA4800" w:rsidRPr="00496684" w:rsidRDefault="00BA4800" w:rsidP="00D008F2">
      <w:pPr>
        <w:pStyle w:val="Text"/>
        <w:widowControl w:val="0"/>
        <w:numPr>
          <w:ilvl w:val="0"/>
          <w:numId w:val="22"/>
        </w:numPr>
        <w:spacing w:before="0"/>
        <w:jc w:val="left"/>
        <w:rPr>
          <w:sz w:val="22"/>
          <w:szCs w:val="22"/>
          <w:lang w:val="it-IT"/>
        </w:rPr>
      </w:pPr>
      <w:r w:rsidRPr="00496684">
        <w:rPr>
          <w:sz w:val="22"/>
          <w:szCs w:val="22"/>
          <w:lang w:val="it-IT"/>
        </w:rPr>
        <w:t>Combinazione di una grave eruzione cutanea diffusa, sensazione di malessere, febbre, alti livelli di certi globuli bianchi del sangue o pelle e occhi gialli (ittero) con difficoltà a respirare, dolore/fastido al torace, diminuzione grave delle urine emesse e sentirsi assetato ecc (segni di una reazione allergica dovuta al farmaco).</w:t>
      </w:r>
    </w:p>
    <w:p w14:paraId="228253B2" w14:textId="77777777" w:rsidR="004C1D13" w:rsidRPr="00496684" w:rsidRDefault="004C1D13" w:rsidP="004C1D13">
      <w:pPr>
        <w:pStyle w:val="Text"/>
        <w:widowControl w:val="0"/>
        <w:numPr>
          <w:ilvl w:val="0"/>
          <w:numId w:val="22"/>
        </w:numPr>
        <w:spacing w:before="0"/>
        <w:jc w:val="left"/>
        <w:rPr>
          <w:sz w:val="22"/>
          <w:szCs w:val="22"/>
          <w:lang w:val="it-IT"/>
        </w:rPr>
      </w:pPr>
      <w:r w:rsidRPr="00496684">
        <w:rPr>
          <w:sz w:val="22"/>
          <w:szCs w:val="22"/>
          <w:lang w:val="it-IT"/>
        </w:rPr>
        <w:t>Insufficienza renale cronica</w:t>
      </w:r>
    </w:p>
    <w:p w14:paraId="7CD19CA4" w14:textId="77777777" w:rsidR="00A07CCB" w:rsidRPr="00496684" w:rsidRDefault="00A07CCB" w:rsidP="00A07CCB">
      <w:pPr>
        <w:pStyle w:val="Text"/>
        <w:widowControl w:val="0"/>
        <w:numPr>
          <w:ilvl w:val="0"/>
          <w:numId w:val="2"/>
        </w:numPr>
        <w:tabs>
          <w:tab w:val="clear" w:pos="468"/>
        </w:tabs>
        <w:spacing w:before="0"/>
        <w:ind w:left="567" w:hanging="567"/>
        <w:jc w:val="left"/>
        <w:rPr>
          <w:sz w:val="22"/>
          <w:szCs w:val="22"/>
          <w:lang w:val="it-IT"/>
        </w:rPr>
      </w:pPr>
      <w:r w:rsidRPr="00496684">
        <w:rPr>
          <w:rFonts w:eastAsia="Verdana"/>
          <w:spacing w:val="1"/>
          <w:sz w:val="22"/>
          <w:szCs w:val="22"/>
          <w:lang w:val="it-IT"/>
        </w:rPr>
        <w:t>L</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c</w:t>
      </w:r>
      <w:r w:rsidRPr="00496684">
        <w:rPr>
          <w:rFonts w:eastAsia="Verdana"/>
          <w:spacing w:val="1"/>
          <w:sz w:val="22"/>
          <w:szCs w:val="22"/>
          <w:lang w:val="it-IT"/>
        </w:rPr>
        <w:t>o</w:t>
      </w:r>
      <w:r w:rsidRPr="00496684">
        <w:rPr>
          <w:rFonts w:eastAsia="Verdana"/>
          <w:sz w:val="22"/>
          <w:szCs w:val="22"/>
          <w:lang w:val="it-IT"/>
        </w:rPr>
        <w:t>rr</w:t>
      </w:r>
      <w:r w:rsidRPr="00496684">
        <w:rPr>
          <w:rFonts w:eastAsia="Verdana"/>
          <w:spacing w:val="1"/>
          <w:sz w:val="22"/>
          <w:szCs w:val="22"/>
          <w:lang w:val="it-IT"/>
        </w:rPr>
        <w:t>e</w:t>
      </w:r>
      <w:r w:rsidRPr="00496684">
        <w:rPr>
          <w:rFonts w:eastAsia="Verdana"/>
          <w:spacing w:val="-1"/>
          <w:sz w:val="22"/>
          <w:szCs w:val="22"/>
          <w:lang w:val="it-IT"/>
        </w:rPr>
        <w:t>nz</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a</w:t>
      </w:r>
      <w:r w:rsidRPr="00496684">
        <w:rPr>
          <w:rFonts w:eastAsia="Verdana"/>
          <w:spacing w:val="1"/>
          <w:sz w:val="22"/>
          <w:szCs w:val="22"/>
          <w:lang w:val="it-IT"/>
        </w:rPr>
        <w:t>tti</w:t>
      </w:r>
      <w:r w:rsidRPr="00496684">
        <w:rPr>
          <w:rFonts w:eastAsia="Verdana"/>
          <w:spacing w:val="-1"/>
          <w:sz w:val="22"/>
          <w:szCs w:val="22"/>
          <w:lang w:val="it-IT"/>
        </w:rPr>
        <w:t>v</w:t>
      </w:r>
      <w:r w:rsidRPr="00496684">
        <w:rPr>
          <w:rFonts w:eastAsia="Verdana"/>
          <w:sz w:val="22"/>
          <w:szCs w:val="22"/>
          <w:lang w:val="it-IT"/>
        </w:rPr>
        <w:t>a</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pacing w:val="-2"/>
          <w:sz w:val="22"/>
          <w:szCs w:val="22"/>
          <w:lang w:val="it-IT"/>
        </w:rPr>
        <w:t>e</w:t>
      </w:r>
      <w:r w:rsidRPr="00496684">
        <w:rPr>
          <w:rFonts w:eastAsia="Verdana"/>
          <w:sz w:val="22"/>
          <w:szCs w:val="22"/>
          <w:lang w:val="it-IT"/>
        </w:rPr>
        <w:t>)</w:t>
      </w:r>
      <w:r w:rsidRPr="00496684">
        <w:rPr>
          <w:rFonts w:eastAsia="Verdana"/>
          <w:spacing w:val="-1"/>
          <w:sz w:val="22"/>
          <w:szCs w:val="22"/>
          <w:lang w:val="it-IT"/>
        </w:rPr>
        <w:t xml:space="preserve"> </w:t>
      </w:r>
      <w:r w:rsidRPr="00496684">
        <w:rPr>
          <w:rFonts w:eastAsia="Verdana"/>
          <w:spacing w:val="1"/>
          <w:sz w:val="22"/>
          <w:szCs w:val="22"/>
          <w:lang w:val="it-IT"/>
        </w:rPr>
        <w:t>della</w:t>
      </w:r>
      <w:r w:rsidRPr="00496684">
        <w:rPr>
          <w:rFonts w:eastAsia="Verdana"/>
          <w:spacing w:val="-2"/>
          <w:sz w:val="22"/>
          <w:szCs w:val="22"/>
          <w:lang w:val="it-IT"/>
        </w:rPr>
        <w:t xml:space="preserve">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ite</w:t>
      </w:r>
      <w:r w:rsidRPr="00496684">
        <w:rPr>
          <w:rFonts w:eastAsia="Verdana"/>
          <w:spacing w:val="-4"/>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z w:val="22"/>
          <w:szCs w:val="22"/>
          <w:lang w:val="it-IT"/>
        </w:rPr>
        <w:t xml:space="preserve">se si è </w:t>
      </w:r>
      <w:r w:rsidRPr="00496684">
        <w:rPr>
          <w:rFonts w:eastAsia="Verdana"/>
          <w:spacing w:val="2"/>
          <w:sz w:val="22"/>
          <w:szCs w:val="22"/>
          <w:lang w:val="it-IT"/>
        </w:rPr>
        <w:t>a</w:t>
      </w:r>
      <w:r w:rsidRPr="00496684">
        <w:rPr>
          <w:rFonts w:eastAsia="Verdana"/>
          <w:spacing w:val="-1"/>
          <w:sz w:val="22"/>
          <w:szCs w:val="22"/>
          <w:lang w:val="it-IT"/>
        </w:rPr>
        <w:t>vu</w:t>
      </w:r>
      <w:r w:rsidRPr="00496684">
        <w:rPr>
          <w:rFonts w:eastAsia="Verdana"/>
          <w:spacing w:val="1"/>
          <w:sz w:val="22"/>
          <w:szCs w:val="22"/>
          <w:lang w:val="it-IT"/>
        </w:rPr>
        <w:t>ta</w:t>
      </w:r>
      <w:r w:rsidRPr="00496684">
        <w:rPr>
          <w:rFonts w:eastAsia="Verdana"/>
          <w:spacing w:val="-2"/>
          <w:sz w:val="22"/>
          <w:szCs w:val="22"/>
          <w:lang w:val="it-IT"/>
        </w:rPr>
        <w:t xml:space="preserve"> </w:t>
      </w:r>
      <w:r w:rsidRPr="00496684">
        <w:rPr>
          <w:rFonts w:eastAsia="Verdana"/>
          <w:spacing w:val="1"/>
          <w:sz w:val="22"/>
          <w:szCs w:val="22"/>
          <w:lang w:val="it-IT"/>
        </w:rPr>
        <w:t>l</w:t>
      </w:r>
      <w:r w:rsidRPr="00496684">
        <w:rPr>
          <w:rFonts w:eastAsia="Verdana"/>
          <w:sz w:val="22"/>
          <w:szCs w:val="22"/>
          <w:lang w:val="it-IT"/>
        </w:rPr>
        <w:t>’</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tite</w:t>
      </w:r>
      <w:r w:rsidRPr="00496684">
        <w:rPr>
          <w:rFonts w:eastAsia="Verdana"/>
          <w:spacing w:val="-1"/>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pacing w:val="1"/>
          <w:sz w:val="22"/>
          <w:szCs w:val="22"/>
          <w:lang w:val="it-IT"/>
        </w:rPr>
        <w:t>in</w:t>
      </w:r>
      <w:r w:rsidRPr="00496684">
        <w:rPr>
          <w:rFonts w:eastAsia="Verdana"/>
          <w:spacing w:val="-3"/>
          <w:sz w:val="22"/>
          <w:szCs w:val="22"/>
          <w:lang w:val="it-IT"/>
        </w:rPr>
        <w:t xml:space="preserve"> </w:t>
      </w:r>
      <w:r w:rsidRPr="00496684">
        <w:rPr>
          <w:rFonts w:eastAsia="Verdana"/>
          <w:spacing w:val="1"/>
          <w:sz w:val="22"/>
          <w:szCs w:val="22"/>
          <w:lang w:val="it-IT"/>
        </w:rPr>
        <w:t>p</w:t>
      </w:r>
      <w:r w:rsidRPr="00496684">
        <w:rPr>
          <w:rFonts w:eastAsia="Verdana"/>
          <w:sz w:val="22"/>
          <w:szCs w:val="22"/>
          <w:lang w:val="it-IT"/>
        </w:rPr>
        <w:t>assa</w:t>
      </w:r>
      <w:r w:rsidRPr="00496684">
        <w:rPr>
          <w:rFonts w:eastAsia="Verdana"/>
          <w:spacing w:val="1"/>
          <w:sz w:val="22"/>
          <w:szCs w:val="22"/>
          <w:lang w:val="it-IT"/>
        </w:rPr>
        <w:t>to</w:t>
      </w:r>
      <w:r w:rsidRPr="00496684">
        <w:rPr>
          <w:rFonts w:eastAsia="Verdana"/>
          <w:spacing w:val="-1"/>
          <w:sz w:val="22"/>
          <w:szCs w:val="22"/>
          <w:lang w:val="it-IT"/>
        </w:rPr>
        <w:t xml:space="preserve"> </w:t>
      </w:r>
      <w:r w:rsidRPr="00496684">
        <w:rPr>
          <w:rFonts w:eastAsia="Verdana"/>
          <w:sz w:val="22"/>
          <w:szCs w:val="22"/>
          <w:lang w:val="it-IT"/>
        </w:rPr>
        <w:t>(</w:t>
      </w:r>
      <w:r w:rsidRPr="00496684">
        <w:rPr>
          <w:rFonts w:eastAsia="Verdana"/>
          <w:spacing w:val="-1"/>
          <w:sz w:val="22"/>
          <w:szCs w:val="22"/>
          <w:lang w:val="it-IT"/>
        </w:rPr>
        <w:t>un</w:t>
      </w:r>
      <w:r w:rsidRPr="00496684">
        <w:rPr>
          <w:rFonts w:eastAsia="Verdana"/>
          <w:sz w:val="22"/>
          <w:szCs w:val="22"/>
          <w:lang w:val="it-IT"/>
        </w:rPr>
        <w:t xml:space="preserve">a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del</w:t>
      </w:r>
      <w:r w:rsidRPr="00496684">
        <w:rPr>
          <w:rFonts w:eastAsia="Verdana"/>
          <w:spacing w:val="-1"/>
          <w:sz w:val="22"/>
          <w:szCs w:val="22"/>
          <w:lang w:val="it-IT"/>
        </w:rPr>
        <w:t xml:space="preserve"> f</w:t>
      </w:r>
      <w:r w:rsidRPr="00496684">
        <w:rPr>
          <w:rFonts w:eastAsia="Verdana"/>
          <w:spacing w:val="1"/>
          <w:sz w:val="22"/>
          <w:szCs w:val="22"/>
          <w:lang w:val="it-IT"/>
        </w:rPr>
        <w:t>eg</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o</w:t>
      </w:r>
      <w:r w:rsidRPr="00496684">
        <w:rPr>
          <w:rFonts w:eastAsia="Verdana"/>
          <w:sz w:val="22"/>
          <w:szCs w:val="22"/>
          <w:lang w:val="it-IT"/>
        </w:rPr>
        <w:t>).</w:t>
      </w:r>
    </w:p>
    <w:p w14:paraId="2FE9F2D6" w14:textId="77777777" w:rsidR="004C1D13" w:rsidRPr="00496684" w:rsidRDefault="004C1D13" w:rsidP="00AE2366">
      <w:pPr>
        <w:pStyle w:val="Text"/>
        <w:widowControl w:val="0"/>
        <w:spacing w:before="0"/>
        <w:jc w:val="left"/>
        <w:rPr>
          <w:sz w:val="22"/>
          <w:szCs w:val="22"/>
          <w:lang w:val="it-IT"/>
        </w:rPr>
      </w:pPr>
    </w:p>
    <w:p w14:paraId="3D15C95E" w14:textId="77777777" w:rsidR="00BA4800" w:rsidRPr="00496684" w:rsidRDefault="00BA4800" w:rsidP="00D008F2">
      <w:pPr>
        <w:pStyle w:val="Text"/>
        <w:widowControl w:val="0"/>
        <w:spacing w:before="0"/>
        <w:ind w:left="576"/>
        <w:jc w:val="left"/>
        <w:rPr>
          <w:sz w:val="22"/>
          <w:szCs w:val="22"/>
          <w:lang w:val="it-IT"/>
        </w:rPr>
      </w:pPr>
    </w:p>
    <w:p w14:paraId="07DAFBE2" w14:textId="77777777" w:rsidR="008A39EF" w:rsidRPr="00496684" w:rsidRDefault="008A39EF" w:rsidP="008A39EF">
      <w:pPr>
        <w:pStyle w:val="Text"/>
        <w:widowControl w:val="0"/>
        <w:spacing w:before="0"/>
        <w:jc w:val="left"/>
        <w:rPr>
          <w:b/>
          <w:sz w:val="22"/>
          <w:szCs w:val="22"/>
          <w:lang w:val="it-IT"/>
        </w:rPr>
      </w:pPr>
      <w:r w:rsidRPr="00496684">
        <w:rPr>
          <w:sz w:val="22"/>
          <w:szCs w:val="22"/>
          <w:lang w:val="it-IT"/>
        </w:rPr>
        <w:t xml:space="preserve">Se manifesta uno degli effetti sopra descritti, </w:t>
      </w:r>
      <w:r w:rsidRPr="00496684">
        <w:rPr>
          <w:b/>
          <w:sz w:val="22"/>
          <w:szCs w:val="22"/>
          <w:lang w:val="it-IT"/>
        </w:rPr>
        <w:t>informi il medico immediatamente.</w:t>
      </w:r>
    </w:p>
    <w:p w14:paraId="76FDD3AE" w14:textId="77777777" w:rsidR="008A39EF" w:rsidRPr="00496684" w:rsidRDefault="008A39EF" w:rsidP="008A39EF">
      <w:pPr>
        <w:pStyle w:val="Text"/>
        <w:widowControl w:val="0"/>
        <w:spacing w:before="0"/>
        <w:jc w:val="left"/>
        <w:rPr>
          <w:sz w:val="22"/>
          <w:szCs w:val="22"/>
          <w:lang w:val="it-IT"/>
        </w:rPr>
      </w:pPr>
    </w:p>
    <w:p w14:paraId="02AEBE77" w14:textId="77777777" w:rsidR="008A39EF" w:rsidRPr="00496684" w:rsidRDefault="008A39EF" w:rsidP="008A39EF">
      <w:pPr>
        <w:pStyle w:val="Text"/>
        <w:widowControl w:val="0"/>
        <w:spacing w:before="0"/>
        <w:jc w:val="left"/>
        <w:rPr>
          <w:b/>
          <w:sz w:val="22"/>
          <w:szCs w:val="22"/>
          <w:lang w:val="it-IT"/>
        </w:rPr>
      </w:pPr>
      <w:r w:rsidRPr="00496684">
        <w:rPr>
          <w:b/>
          <w:sz w:val="22"/>
          <w:szCs w:val="22"/>
          <w:lang w:val="it-IT"/>
        </w:rPr>
        <w:t>Altri effetti indesiderati possono includere:</w:t>
      </w:r>
    </w:p>
    <w:p w14:paraId="04CD7F46" w14:textId="77777777" w:rsidR="008A39EF" w:rsidRPr="00496684" w:rsidRDefault="008A39EF" w:rsidP="008A39EF">
      <w:pPr>
        <w:pStyle w:val="Text"/>
        <w:widowControl w:val="0"/>
        <w:spacing w:before="0"/>
        <w:jc w:val="left"/>
        <w:rPr>
          <w:sz w:val="22"/>
          <w:szCs w:val="22"/>
          <w:lang w:val="it-IT"/>
        </w:rPr>
      </w:pPr>
    </w:p>
    <w:p w14:paraId="5A986211" w14:textId="11D56207" w:rsidR="008A39EF" w:rsidRPr="00496684" w:rsidRDefault="00A07CCB" w:rsidP="008A39EF">
      <w:pPr>
        <w:pStyle w:val="Text"/>
        <w:widowControl w:val="0"/>
        <w:spacing w:before="0"/>
        <w:jc w:val="left"/>
        <w:rPr>
          <w:b/>
          <w:sz w:val="22"/>
          <w:szCs w:val="22"/>
          <w:lang w:val="it-IT"/>
        </w:rPr>
      </w:pPr>
      <w:r w:rsidRPr="00496684">
        <w:rPr>
          <w:b/>
          <w:sz w:val="22"/>
          <w:szCs w:val="22"/>
          <w:lang w:val="it-IT"/>
        </w:rPr>
        <w:t>M</w:t>
      </w:r>
      <w:r w:rsidR="008A39EF" w:rsidRPr="00496684">
        <w:rPr>
          <w:b/>
          <w:sz w:val="22"/>
          <w:szCs w:val="22"/>
          <w:lang w:val="it-IT"/>
        </w:rPr>
        <w:t>olto comuni</w:t>
      </w:r>
      <w:r w:rsidR="00C256B9" w:rsidRPr="00496684">
        <w:rPr>
          <w:b/>
          <w:sz w:val="22"/>
          <w:szCs w:val="22"/>
          <w:lang w:val="it-IT"/>
        </w:rPr>
        <w:t xml:space="preserve"> (</w:t>
      </w:r>
      <w:r w:rsidR="00C256B9" w:rsidRPr="00496684">
        <w:rPr>
          <w:sz w:val="22"/>
          <w:szCs w:val="22"/>
          <w:lang w:val="it-IT"/>
        </w:rPr>
        <w:t>può interessare più di 1 persona su 10)</w:t>
      </w:r>
      <w:r w:rsidR="008A39EF" w:rsidRPr="00496684">
        <w:rPr>
          <w:b/>
          <w:sz w:val="22"/>
          <w:szCs w:val="22"/>
          <w:lang w:val="it-IT"/>
        </w:rPr>
        <w:t>:</w:t>
      </w:r>
    </w:p>
    <w:p w14:paraId="22F71B82" w14:textId="77777777" w:rsidR="008A39EF" w:rsidRPr="00496684" w:rsidRDefault="008A39EF" w:rsidP="003E577B">
      <w:pPr>
        <w:pStyle w:val="Text"/>
        <w:widowControl w:val="0"/>
        <w:numPr>
          <w:ilvl w:val="0"/>
          <w:numId w:val="23"/>
        </w:numPr>
        <w:spacing w:before="0"/>
        <w:jc w:val="left"/>
        <w:rPr>
          <w:sz w:val="22"/>
          <w:szCs w:val="22"/>
          <w:lang w:val="it-IT"/>
        </w:rPr>
      </w:pPr>
      <w:r w:rsidRPr="00496684">
        <w:rPr>
          <w:sz w:val="22"/>
          <w:szCs w:val="22"/>
          <w:lang w:val="it-IT"/>
        </w:rPr>
        <w:t>Mal di testa o sensazione di stanchezza.</w:t>
      </w:r>
    </w:p>
    <w:p w14:paraId="7CE6FFA6" w14:textId="77777777" w:rsidR="008A39EF" w:rsidRPr="00496684" w:rsidRDefault="008A39EF" w:rsidP="003E577B">
      <w:pPr>
        <w:pStyle w:val="Text"/>
        <w:widowControl w:val="0"/>
        <w:numPr>
          <w:ilvl w:val="0"/>
          <w:numId w:val="23"/>
        </w:numPr>
        <w:spacing w:before="0"/>
        <w:jc w:val="left"/>
        <w:rPr>
          <w:sz w:val="22"/>
          <w:szCs w:val="22"/>
          <w:lang w:val="it-IT"/>
        </w:rPr>
      </w:pPr>
      <w:r w:rsidRPr="00496684">
        <w:rPr>
          <w:sz w:val="22"/>
          <w:szCs w:val="22"/>
          <w:lang w:val="it-IT"/>
        </w:rPr>
        <w:t>Sensazione di malessere (nausea), vomito, diarrea o indigestione.</w:t>
      </w:r>
    </w:p>
    <w:p w14:paraId="44EA70B3" w14:textId="77777777" w:rsidR="008A39EF" w:rsidRPr="00496684" w:rsidRDefault="008A39EF" w:rsidP="003E577B">
      <w:pPr>
        <w:pStyle w:val="Text"/>
        <w:widowControl w:val="0"/>
        <w:numPr>
          <w:ilvl w:val="0"/>
          <w:numId w:val="23"/>
        </w:numPr>
        <w:spacing w:before="0"/>
        <w:jc w:val="left"/>
        <w:rPr>
          <w:sz w:val="22"/>
          <w:szCs w:val="22"/>
          <w:lang w:val="it-IT"/>
        </w:rPr>
      </w:pPr>
      <w:r w:rsidRPr="00496684">
        <w:rPr>
          <w:sz w:val="22"/>
          <w:szCs w:val="22"/>
          <w:lang w:val="it-IT"/>
        </w:rPr>
        <w:t>Eruzione cutanea.</w:t>
      </w:r>
    </w:p>
    <w:p w14:paraId="70F2645B" w14:textId="77777777" w:rsidR="008A39EF" w:rsidRPr="00496684" w:rsidRDefault="008A39EF" w:rsidP="003E577B">
      <w:pPr>
        <w:pStyle w:val="Text"/>
        <w:widowControl w:val="0"/>
        <w:numPr>
          <w:ilvl w:val="0"/>
          <w:numId w:val="23"/>
        </w:numPr>
        <w:spacing w:before="0"/>
        <w:jc w:val="left"/>
        <w:rPr>
          <w:sz w:val="22"/>
          <w:szCs w:val="22"/>
          <w:lang w:val="it-IT"/>
        </w:rPr>
      </w:pPr>
      <w:r w:rsidRPr="00496684">
        <w:rPr>
          <w:sz w:val="22"/>
          <w:szCs w:val="22"/>
          <w:lang w:val="it-IT"/>
        </w:rPr>
        <w:t>Crampi muscolari o dolori articolari, ai muscoli o alle ossa</w:t>
      </w:r>
      <w:r w:rsidR="0013346D" w:rsidRPr="00496684">
        <w:rPr>
          <w:sz w:val="22"/>
          <w:szCs w:val="22"/>
          <w:lang w:val="it-IT"/>
        </w:rPr>
        <w:t xml:space="preserve">, durante il trattamento con </w:t>
      </w:r>
      <w:r w:rsidR="004B2EC1" w:rsidRPr="00496684">
        <w:rPr>
          <w:sz w:val="22"/>
          <w:szCs w:val="22"/>
          <w:lang w:val="it-IT"/>
        </w:rPr>
        <w:t>imatinib</w:t>
      </w:r>
      <w:r w:rsidR="0013346D" w:rsidRPr="00496684">
        <w:rPr>
          <w:sz w:val="22"/>
          <w:szCs w:val="22"/>
          <w:lang w:val="it-IT"/>
        </w:rPr>
        <w:t xml:space="preserve"> o dopo aver smesso di prendere </w:t>
      </w:r>
      <w:r w:rsidR="004B2EC1" w:rsidRPr="00496684">
        <w:rPr>
          <w:sz w:val="22"/>
          <w:szCs w:val="22"/>
          <w:lang w:val="it-IT"/>
        </w:rPr>
        <w:t>imatinib</w:t>
      </w:r>
      <w:r w:rsidR="0013346D" w:rsidRPr="00496684">
        <w:rPr>
          <w:sz w:val="22"/>
          <w:szCs w:val="22"/>
          <w:lang w:val="it-IT"/>
        </w:rPr>
        <w:t>.</w:t>
      </w:r>
    </w:p>
    <w:p w14:paraId="1E00F564" w14:textId="77777777" w:rsidR="008A39EF" w:rsidRPr="00496684" w:rsidRDefault="008A39EF" w:rsidP="003E577B">
      <w:pPr>
        <w:pStyle w:val="Text"/>
        <w:widowControl w:val="0"/>
        <w:numPr>
          <w:ilvl w:val="0"/>
          <w:numId w:val="23"/>
        </w:numPr>
        <w:spacing w:before="0"/>
        <w:jc w:val="left"/>
        <w:rPr>
          <w:sz w:val="22"/>
          <w:szCs w:val="22"/>
          <w:lang w:val="it-IT"/>
        </w:rPr>
      </w:pPr>
      <w:r w:rsidRPr="00496684">
        <w:rPr>
          <w:sz w:val="22"/>
          <w:szCs w:val="22"/>
          <w:lang w:val="it-IT"/>
        </w:rPr>
        <w:t>Gonfiore per esempio intorno alle caviglie o occhi gonfi.</w:t>
      </w:r>
    </w:p>
    <w:p w14:paraId="25D2BA66" w14:textId="77777777" w:rsidR="008A39EF" w:rsidRPr="00496684" w:rsidRDefault="008A39EF" w:rsidP="003E577B">
      <w:pPr>
        <w:pStyle w:val="Text"/>
        <w:widowControl w:val="0"/>
        <w:numPr>
          <w:ilvl w:val="0"/>
          <w:numId w:val="23"/>
        </w:numPr>
        <w:spacing w:before="0"/>
        <w:jc w:val="left"/>
        <w:rPr>
          <w:sz w:val="22"/>
          <w:szCs w:val="22"/>
          <w:lang w:val="it-IT"/>
        </w:rPr>
      </w:pPr>
      <w:r w:rsidRPr="00496684">
        <w:rPr>
          <w:sz w:val="22"/>
          <w:szCs w:val="22"/>
          <w:lang w:val="it-IT"/>
        </w:rPr>
        <w:t>Aumento di peso.</w:t>
      </w:r>
    </w:p>
    <w:p w14:paraId="20458FF5" w14:textId="77777777" w:rsidR="008A39EF" w:rsidRPr="00496684" w:rsidRDefault="008A39EF" w:rsidP="008A39EF">
      <w:pPr>
        <w:pStyle w:val="Text"/>
        <w:widowControl w:val="0"/>
        <w:spacing w:before="0"/>
        <w:jc w:val="left"/>
        <w:rPr>
          <w:sz w:val="22"/>
          <w:szCs w:val="22"/>
          <w:lang w:val="it-IT"/>
        </w:rPr>
      </w:pPr>
      <w:r w:rsidRPr="00496684">
        <w:rPr>
          <w:sz w:val="22"/>
          <w:szCs w:val="22"/>
          <w:lang w:val="it-IT"/>
        </w:rPr>
        <w:t xml:space="preserve">Se uno di questi effetti si manifesta in maniera grave, </w:t>
      </w:r>
      <w:r w:rsidRPr="00496684">
        <w:rPr>
          <w:b/>
          <w:sz w:val="22"/>
          <w:szCs w:val="22"/>
          <w:lang w:val="it-IT"/>
        </w:rPr>
        <w:t>informi il medico.</w:t>
      </w:r>
    </w:p>
    <w:p w14:paraId="27B0669F" w14:textId="77777777" w:rsidR="008A39EF" w:rsidRPr="00496684" w:rsidRDefault="008A39EF" w:rsidP="008A39EF">
      <w:pPr>
        <w:pStyle w:val="Text"/>
        <w:widowControl w:val="0"/>
        <w:spacing w:before="0"/>
        <w:jc w:val="left"/>
        <w:rPr>
          <w:sz w:val="22"/>
          <w:szCs w:val="22"/>
          <w:lang w:val="it-IT"/>
        </w:rPr>
      </w:pPr>
    </w:p>
    <w:p w14:paraId="355DB994" w14:textId="421E712C" w:rsidR="008A39EF" w:rsidRPr="00496684" w:rsidRDefault="00A07CCB" w:rsidP="008A39EF">
      <w:pPr>
        <w:pStyle w:val="Text"/>
        <w:widowControl w:val="0"/>
        <w:spacing w:before="0"/>
        <w:jc w:val="left"/>
        <w:rPr>
          <w:b/>
          <w:bCs/>
          <w:sz w:val="22"/>
          <w:szCs w:val="22"/>
          <w:lang w:val="it-IT"/>
        </w:rPr>
      </w:pPr>
      <w:r w:rsidRPr="00496684">
        <w:rPr>
          <w:b/>
          <w:bCs/>
          <w:sz w:val="22"/>
          <w:szCs w:val="22"/>
          <w:lang w:val="it-IT"/>
        </w:rPr>
        <w:t>C</w:t>
      </w:r>
      <w:r w:rsidR="008A39EF" w:rsidRPr="00496684">
        <w:rPr>
          <w:b/>
          <w:bCs/>
          <w:sz w:val="22"/>
          <w:szCs w:val="22"/>
          <w:lang w:val="it-IT"/>
        </w:rPr>
        <w:t>omuni</w:t>
      </w:r>
      <w:r w:rsidR="00C256B9" w:rsidRPr="00496684">
        <w:rPr>
          <w:b/>
          <w:bCs/>
          <w:sz w:val="22"/>
          <w:szCs w:val="22"/>
          <w:lang w:val="it-IT"/>
        </w:rPr>
        <w:t xml:space="preserve"> </w:t>
      </w:r>
      <w:r w:rsidR="00C256B9" w:rsidRPr="00496684">
        <w:rPr>
          <w:b/>
          <w:sz w:val="22"/>
          <w:szCs w:val="22"/>
          <w:lang w:val="it-IT"/>
        </w:rPr>
        <w:t>(</w:t>
      </w:r>
      <w:r w:rsidR="00C256B9" w:rsidRPr="00496684">
        <w:rPr>
          <w:sz w:val="22"/>
          <w:szCs w:val="22"/>
          <w:lang w:val="it-IT"/>
        </w:rPr>
        <w:t>può interessare fino a 1 persona su 10)</w:t>
      </w:r>
      <w:r w:rsidR="008A39EF" w:rsidRPr="00496684">
        <w:rPr>
          <w:b/>
          <w:bCs/>
          <w:sz w:val="22"/>
          <w:szCs w:val="22"/>
          <w:lang w:val="it-IT"/>
        </w:rPr>
        <w:t>:</w:t>
      </w:r>
    </w:p>
    <w:p w14:paraId="67A5381B"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Anoressia, perdita di peso o disturbi del senso del gusto.</w:t>
      </w:r>
    </w:p>
    <w:p w14:paraId="48665FBD"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Sensazione di stordimento o di debolezza.</w:t>
      </w:r>
    </w:p>
    <w:p w14:paraId="1A73C023"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Disturbi del sonno (insonnia).</w:t>
      </w:r>
    </w:p>
    <w:p w14:paraId="659EB676"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Secrezione dagli occhi con prurito, arrossamento e gonfiore (congiuntivite), aumento della lacrimazione o visione offuscata.</w:t>
      </w:r>
    </w:p>
    <w:p w14:paraId="14CAAC1B"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Sanguinamento del naso.</w:t>
      </w:r>
    </w:p>
    <w:p w14:paraId="3E39361D"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Dolore o rigonfiamento addominale, flatulenza, bruciori di stomaco o stipsi.</w:t>
      </w:r>
    </w:p>
    <w:p w14:paraId="33DDDA1E"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Prurito.</w:t>
      </w:r>
    </w:p>
    <w:p w14:paraId="610573BC"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Insolita perdita o assottigliamento dei capelli.</w:t>
      </w:r>
    </w:p>
    <w:p w14:paraId="2935CE09"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Torpore delle mani o dei piedi.</w:t>
      </w:r>
    </w:p>
    <w:p w14:paraId="102E07D7"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Ulcerazioni della bocca.</w:t>
      </w:r>
    </w:p>
    <w:p w14:paraId="50EF6B0B"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Dolore articolare con gonfiore.</w:t>
      </w:r>
    </w:p>
    <w:p w14:paraId="0BEA57B8"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Secchezza della bocca, secchezza della pelle o secchezza degli occhi.</w:t>
      </w:r>
    </w:p>
    <w:p w14:paraId="3833F5B3"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Riduzione o aumento della sensibilità della pelle.</w:t>
      </w:r>
    </w:p>
    <w:p w14:paraId="3C65B549" w14:textId="77777777" w:rsidR="008A39EF" w:rsidRPr="00496684" w:rsidRDefault="008A39EF" w:rsidP="003E577B">
      <w:pPr>
        <w:pStyle w:val="Text"/>
        <w:widowControl w:val="0"/>
        <w:numPr>
          <w:ilvl w:val="0"/>
          <w:numId w:val="24"/>
        </w:numPr>
        <w:spacing w:before="0"/>
        <w:jc w:val="left"/>
        <w:rPr>
          <w:sz w:val="22"/>
          <w:szCs w:val="22"/>
          <w:lang w:val="it-IT"/>
        </w:rPr>
      </w:pPr>
      <w:r w:rsidRPr="00496684">
        <w:rPr>
          <w:sz w:val="22"/>
          <w:szCs w:val="22"/>
          <w:lang w:val="it-IT"/>
        </w:rPr>
        <w:t>Vampate di calore, brividi o sudorazione notturna.</w:t>
      </w:r>
    </w:p>
    <w:p w14:paraId="24E88285" w14:textId="77777777" w:rsidR="008A39EF" w:rsidRPr="00496684" w:rsidRDefault="008A39EF" w:rsidP="008A39EF">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06E3E95C" w14:textId="77777777" w:rsidR="008A39EF" w:rsidRPr="00496684" w:rsidRDefault="008A39EF" w:rsidP="008A39EF">
      <w:pPr>
        <w:pStyle w:val="Text"/>
        <w:widowControl w:val="0"/>
        <w:spacing w:before="0"/>
        <w:jc w:val="left"/>
        <w:rPr>
          <w:sz w:val="22"/>
          <w:szCs w:val="22"/>
          <w:lang w:val="it-IT"/>
        </w:rPr>
      </w:pPr>
    </w:p>
    <w:p w14:paraId="707C1502" w14:textId="77777777" w:rsidR="008A39EF" w:rsidRPr="00496684" w:rsidRDefault="008A39EF" w:rsidP="008A39EF">
      <w:pPr>
        <w:pStyle w:val="Text"/>
        <w:widowControl w:val="0"/>
        <w:spacing w:before="0"/>
        <w:jc w:val="left"/>
        <w:rPr>
          <w:b/>
          <w:sz w:val="22"/>
          <w:szCs w:val="22"/>
          <w:lang w:val="it-IT"/>
        </w:rPr>
      </w:pPr>
      <w:r w:rsidRPr="00496684">
        <w:rPr>
          <w:b/>
          <w:sz w:val="22"/>
          <w:szCs w:val="22"/>
          <w:lang w:val="it-IT"/>
        </w:rPr>
        <w:t>Non nota</w:t>
      </w:r>
      <w:r w:rsidR="00C256B9" w:rsidRPr="00496684">
        <w:rPr>
          <w:b/>
          <w:sz w:val="22"/>
          <w:szCs w:val="22"/>
          <w:lang w:val="it-IT"/>
        </w:rPr>
        <w:t xml:space="preserve"> </w:t>
      </w:r>
      <w:r w:rsidR="00C256B9" w:rsidRPr="00496684">
        <w:rPr>
          <w:sz w:val="22"/>
          <w:szCs w:val="22"/>
          <w:lang w:val="it-IT"/>
        </w:rPr>
        <w:t xml:space="preserve">(la frequenza non può essere </w:t>
      </w:r>
      <w:r w:rsidR="00C66631" w:rsidRPr="00496684">
        <w:rPr>
          <w:sz w:val="22"/>
          <w:szCs w:val="22"/>
          <w:lang w:val="it-IT"/>
        </w:rPr>
        <w:t>definita</w:t>
      </w:r>
      <w:r w:rsidR="00C256B9" w:rsidRPr="00496684">
        <w:rPr>
          <w:sz w:val="22"/>
          <w:szCs w:val="22"/>
          <w:lang w:val="it-IT"/>
        </w:rPr>
        <w:t xml:space="preserve"> sulla base dei dati disponibili)</w:t>
      </w:r>
      <w:r w:rsidRPr="00496684">
        <w:rPr>
          <w:b/>
          <w:sz w:val="22"/>
          <w:szCs w:val="22"/>
          <w:lang w:val="it-IT"/>
        </w:rPr>
        <w:t>:</w:t>
      </w:r>
    </w:p>
    <w:p w14:paraId="633EDC78" w14:textId="77777777" w:rsidR="008A39EF" w:rsidRPr="00496684" w:rsidRDefault="008A39EF" w:rsidP="003E577B">
      <w:pPr>
        <w:pStyle w:val="Text"/>
        <w:widowControl w:val="0"/>
        <w:numPr>
          <w:ilvl w:val="0"/>
          <w:numId w:val="25"/>
        </w:numPr>
        <w:spacing w:before="0"/>
        <w:jc w:val="left"/>
        <w:rPr>
          <w:sz w:val="22"/>
          <w:szCs w:val="22"/>
          <w:lang w:val="it-IT"/>
        </w:rPr>
      </w:pPr>
      <w:r w:rsidRPr="00496684">
        <w:rPr>
          <w:sz w:val="22"/>
          <w:szCs w:val="22"/>
          <w:lang w:val="it-IT"/>
        </w:rPr>
        <w:t>Arrossamento e/o gonfiore dei palmi delle mani e delle piante dei piedi che può essere accompagnato da sensazione di formicolio e bruciore doloroso.</w:t>
      </w:r>
    </w:p>
    <w:p w14:paraId="7D9CD36A" w14:textId="77777777" w:rsidR="00B56712" w:rsidRPr="00496684" w:rsidRDefault="00B56712" w:rsidP="003E577B">
      <w:pPr>
        <w:pStyle w:val="Text"/>
        <w:widowControl w:val="0"/>
        <w:numPr>
          <w:ilvl w:val="0"/>
          <w:numId w:val="25"/>
        </w:numPr>
        <w:spacing w:before="0"/>
        <w:jc w:val="left"/>
        <w:rPr>
          <w:sz w:val="22"/>
          <w:szCs w:val="22"/>
          <w:lang w:val="it-IT"/>
        </w:rPr>
      </w:pPr>
      <w:r w:rsidRPr="00496684">
        <w:rPr>
          <w:sz w:val="22"/>
          <w:szCs w:val="22"/>
          <w:lang w:val="it-IT"/>
        </w:rPr>
        <w:t>Lesioni della cute dolorose e/o con formazione di vesciche.</w:t>
      </w:r>
    </w:p>
    <w:p w14:paraId="046771F6" w14:textId="77777777" w:rsidR="008A39EF" w:rsidRPr="00496684" w:rsidRDefault="008A39EF" w:rsidP="003E577B">
      <w:pPr>
        <w:pStyle w:val="Text"/>
        <w:widowControl w:val="0"/>
        <w:numPr>
          <w:ilvl w:val="0"/>
          <w:numId w:val="25"/>
        </w:numPr>
        <w:spacing w:before="0"/>
        <w:jc w:val="left"/>
        <w:rPr>
          <w:sz w:val="22"/>
          <w:szCs w:val="22"/>
          <w:lang w:val="it-IT"/>
        </w:rPr>
      </w:pPr>
      <w:r w:rsidRPr="00496684">
        <w:rPr>
          <w:sz w:val="22"/>
          <w:szCs w:val="22"/>
          <w:lang w:val="it-IT"/>
        </w:rPr>
        <w:t>Rallentamento della crescita in bambini e adolescenti.</w:t>
      </w:r>
    </w:p>
    <w:p w14:paraId="7B69AB2C" w14:textId="77777777" w:rsidR="008A39EF" w:rsidRPr="00496684" w:rsidRDefault="008A39EF" w:rsidP="008A39EF">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1FD89FA9" w14:textId="77777777" w:rsidR="008A39EF" w:rsidRPr="00496684" w:rsidRDefault="008A39EF" w:rsidP="00C772B5">
      <w:pPr>
        <w:pStyle w:val="Text"/>
        <w:widowControl w:val="0"/>
        <w:spacing w:before="0"/>
        <w:jc w:val="left"/>
        <w:rPr>
          <w:sz w:val="22"/>
          <w:szCs w:val="22"/>
          <w:lang w:val="it-IT"/>
        </w:rPr>
      </w:pPr>
    </w:p>
    <w:p w14:paraId="5471E6CB" w14:textId="77777777" w:rsidR="00C772B5" w:rsidRPr="00496684" w:rsidRDefault="00C772B5" w:rsidP="00424C42">
      <w:pPr>
        <w:tabs>
          <w:tab w:val="left" w:pos="6300"/>
        </w:tabs>
        <w:spacing w:after="0" w:line="240" w:lineRule="auto"/>
        <w:ind w:right="-2"/>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Segnalazione degli effetti indesiderati</w:t>
      </w:r>
    </w:p>
    <w:p w14:paraId="30AFCFC4" w14:textId="77777777" w:rsidR="00C772B5" w:rsidRPr="00496684" w:rsidRDefault="00C772B5" w:rsidP="00D008F2">
      <w:pPr>
        <w:suppressAutoHyphens/>
        <w:rPr>
          <w:rFonts w:ascii="Times New Roman" w:eastAsia="Times New Roman" w:hAnsi="Times New Roman"/>
          <w:lang w:val="it-IT" w:eastAsia="it-IT"/>
        </w:rPr>
      </w:pPr>
      <w:r w:rsidRPr="00496684">
        <w:rPr>
          <w:rFonts w:ascii="Times New Roman" w:eastAsia="Times New Roman" w:hAnsi="Times New Roman"/>
          <w:lang w:val="it-IT" w:eastAsia="it-IT"/>
        </w:rPr>
        <w:t xml:space="preserve">Se manifesta un qualsiasi effetto indesiderato, compresi quelli non elencati in questo foglio, si rivolga al medico, al farmacista o all’infermiere. Lei può inoltre segnalare gli effetti indesiderati direttamente tramite </w:t>
      </w:r>
      <w:r w:rsidRPr="00496684">
        <w:rPr>
          <w:rFonts w:ascii="Times New Roman" w:eastAsia="Times New Roman" w:hAnsi="Times New Roman"/>
          <w:highlight w:val="lightGray"/>
          <w:lang w:val="it-IT" w:eastAsia="it-IT"/>
        </w:rPr>
        <w:t>il sistema nazionale di segnalazione riportato nell’</w:t>
      </w:r>
      <w:hyperlink r:id="rId17" w:history="1">
        <w:r w:rsidR="00A23E54" w:rsidRPr="00496684">
          <w:rPr>
            <w:rStyle w:val="Hyperlink"/>
            <w:rFonts w:ascii="Times New Roman" w:hAnsi="Times New Roman"/>
            <w:noProof/>
            <w:highlight w:val="lightGray"/>
            <w:lang w:val="it-IT"/>
          </w:rPr>
          <w:t>Allegato V</w:t>
        </w:r>
      </w:hyperlink>
      <w:r w:rsidR="00A23E54" w:rsidRPr="00496684">
        <w:rPr>
          <w:rFonts w:ascii="Times New Roman" w:hAnsi="Times New Roman"/>
          <w:noProof/>
          <w:lang w:val="it-IT"/>
        </w:rPr>
        <w:t>. Segnalando gli effetti indesiderati lei può contribuire a fornire maggiori informazioni sulla sicurezza di questo medicinale.</w:t>
      </w:r>
      <w:r w:rsidRPr="00496684">
        <w:rPr>
          <w:rFonts w:ascii="Times New Roman" w:eastAsia="Times New Roman" w:hAnsi="Times New Roman"/>
          <w:lang w:val="it-IT" w:eastAsia="it-IT"/>
        </w:rPr>
        <w:t xml:space="preserve"> </w:t>
      </w:r>
    </w:p>
    <w:p w14:paraId="63C259C2" w14:textId="77777777" w:rsidR="0020671B" w:rsidRPr="00496684" w:rsidRDefault="0020671B" w:rsidP="008A39EF">
      <w:pPr>
        <w:autoSpaceDE w:val="0"/>
        <w:autoSpaceDN w:val="0"/>
        <w:adjustRightInd w:val="0"/>
        <w:spacing w:after="0" w:line="240" w:lineRule="auto"/>
        <w:rPr>
          <w:rFonts w:ascii="Times New Roman" w:hAnsi="Times New Roman"/>
          <w:b/>
          <w:bCs/>
          <w:lang w:val="it-IT"/>
        </w:rPr>
      </w:pPr>
    </w:p>
    <w:p w14:paraId="31FA533A" w14:textId="77777777" w:rsidR="008A39EF" w:rsidRPr="00496684" w:rsidRDefault="00FE0E06" w:rsidP="008A39E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008A39EF" w:rsidRPr="00496684">
        <w:rPr>
          <w:rFonts w:ascii="Times New Roman" w:hAnsi="Times New Roman"/>
          <w:b/>
          <w:lang w:val="it-IT"/>
        </w:rPr>
        <w:t xml:space="preserve">Come conservare </w:t>
      </w:r>
      <w:r w:rsidRPr="00496684">
        <w:rPr>
          <w:rFonts w:ascii="Times New Roman" w:hAnsi="Times New Roman"/>
          <w:b/>
          <w:bCs/>
          <w:lang w:val="it-IT"/>
        </w:rPr>
        <w:t>Imatinib Actavis</w:t>
      </w:r>
    </w:p>
    <w:p w14:paraId="6B579330" w14:textId="77777777" w:rsidR="008A39EF" w:rsidRPr="00496684" w:rsidRDefault="008A39EF" w:rsidP="008A39EF">
      <w:pPr>
        <w:autoSpaceDE w:val="0"/>
        <w:autoSpaceDN w:val="0"/>
        <w:adjustRightInd w:val="0"/>
        <w:spacing w:after="0" w:line="240" w:lineRule="auto"/>
        <w:rPr>
          <w:rFonts w:ascii="Times New Roman" w:hAnsi="Times New Roman"/>
          <w:b/>
          <w:bCs/>
          <w:lang w:val="it-IT"/>
        </w:rPr>
      </w:pPr>
    </w:p>
    <w:p w14:paraId="19B67E58" w14:textId="77777777" w:rsidR="008A39EF" w:rsidRPr="00496684" w:rsidRDefault="008A39EF" w:rsidP="008A39EF">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Tenere questo medicinale fuori dalla vista e dalla portata dei bambini.</w:t>
      </w:r>
    </w:p>
    <w:p w14:paraId="0919AAA6" w14:textId="77777777" w:rsidR="008A39EF" w:rsidRPr="00496684" w:rsidRDefault="008A39EF" w:rsidP="008A39EF">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usi questo medicinale dopo la data di scadenza che è riportata sulla scatola</w:t>
      </w:r>
      <w:r w:rsidR="005A61D5" w:rsidRPr="00496684">
        <w:rPr>
          <w:rFonts w:ascii="Times New Roman" w:eastAsia="Times New Roman" w:hAnsi="Times New Roman"/>
          <w:lang w:val="it-IT" w:eastAsia="it-IT"/>
        </w:rPr>
        <w:t xml:space="preserve"> e sul blister</w:t>
      </w:r>
      <w:r w:rsidR="00B56712" w:rsidRPr="00496684">
        <w:rPr>
          <w:rFonts w:ascii="Times New Roman" w:eastAsia="Times New Roman" w:hAnsi="Times New Roman"/>
          <w:lang w:val="it-IT" w:eastAsia="it-IT"/>
        </w:rPr>
        <w:t xml:space="preserve"> dopo Scad</w:t>
      </w:r>
      <w:r w:rsidRPr="00496684">
        <w:rPr>
          <w:rFonts w:ascii="Times New Roman" w:eastAsia="Times New Roman" w:hAnsi="Times New Roman"/>
          <w:lang w:val="it-IT" w:eastAsia="it-IT"/>
        </w:rPr>
        <w:t>.</w:t>
      </w:r>
      <w:r w:rsidR="00D07589" w:rsidRPr="00496684">
        <w:rPr>
          <w:rFonts w:ascii="Times New Roman" w:eastAsia="Times New Roman" w:hAnsi="Times New Roman"/>
          <w:lang w:val="it-IT" w:eastAsia="it-IT"/>
        </w:rPr>
        <w:t xml:space="preserve"> La data di scadenza si riferisce all’ultimo giorno di quel mese</w:t>
      </w:r>
    </w:p>
    <w:p w14:paraId="38B44A04" w14:textId="77777777" w:rsidR="008A39EF" w:rsidRPr="00496684" w:rsidRDefault="008A39EF" w:rsidP="008A39EF">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Non conservare a temperatura superiore ai </w:t>
      </w:r>
      <w:r w:rsidR="00C772B5" w:rsidRPr="00496684">
        <w:rPr>
          <w:rFonts w:ascii="Times New Roman" w:eastAsia="Times New Roman" w:hAnsi="Times New Roman"/>
          <w:lang w:val="it-IT" w:eastAsia="it-IT"/>
        </w:rPr>
        <w:t>25</w:t>
      </w:r>
      <w:r w:rsidRPr="00496684">
        <w:rPr>
          <w:rFonts w:ascii="Times New Roman" w:eastAsia="Times New Roman" w:hAnsi="Times New Roman"/>
          <w:lang w:val="it-IT" w:eastAsia="it-IT"/>
        </w:rPr>
        <w:t>°C.</w:t>
      </w:r>
      <w:r w:rsidR="00D07589" w:rsidRPr="00496684">
        <w:rPr>
          <w:rFonts w:ascii="Times New Roman" w:eastAsia="Times New Roman" w:hAnsi="Times New Roman"/>
          <w:lang w:val="it-IT" w:eastAsia="it-IT"/>
        </w:rPr>
        <w:t xml:space="preserve"> </w:t>
      </w:r>
      <w:r w:rsidRPr="00496684">
        <w:rPr>
          <w:rFonts w:ascii="Times New Roman" w:eastAsia="Times New Roman" w:hAnsi="Times New Roman"/>
          <w:lang w:val="it-IT" w:eastAsia="it-IT"/>
        </w:rPr>
        <w:t>Conservare nella confezione originale per proteggere il medicinale dall’umidità.</w:t>
      </w:r>
    </w:p>
    <w:p w14:paraId="77885FA1" w14:textId="77777777" w:rsidR="008A39EF" w:rsidRPr="00496684" w:rsidRDefault="008A39EF" w:rsidP="00D0758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utilizzare se la confezione dovesse essere danneggiata o presentare segni di manomissione.</w:t>
      </w:r>
    </w:p>
    <w:p w14:paraId="45C99E12" w14:textId="77777777" w:rsidR="00D07589" w:rsidRPr="00496684" w:rsidRDefault="00D07589" w:rsidP="00D07589">
      <w:pPr>
        <w:suppressAutoHyphens/>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getti alcun medicinale nell’acqua di scarico e nei rifiuti domestici. Chieda al farmacista come eliminare i medicinali che non utilizza più. Questo aiuterà a proteggere l’ambiente.</w:t>
      </w:r>
    </w:p>
    <w:p w14:paraId="62C1F8AC"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466DBA0C" w14:textId="77777777" w:rsidR="0020671B" w:rsidRPr="00496684" w:rsidRDefault="0020671B" w:rsidP="00FE0E06">
      <w:pPr>
        <w:autoSpaceDE w:val="0"/>
        <w:autoSpaceDN w:val="0"/>
        <w:adjustRightInd w:val="0"/>
        <w:spacing w:after="0" w:line="240" w:lineRule="auto"/>
        <w:rPr>
          <w:rFonts w:ascii="Times New Roman" w:hAnsi="Times New Roman"/>
          <w:lang w:val="it-IT"/>
        </w:rPr>
      </w:pPr>
    </w:p>
    <w:p w14:paraId="7A8736D9" w14:textId="77777777" w:rsidR="00FE0E06" w:rsidRPr="00496684" w:rsidRDefault="00FE0E06" w:rsidP="00FE0E06">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008A39EF" w:rsidRPr="00496684">
        <w:rPr>
          <w:rFonts w:ascii="Times New Roman" w:hAnsi="Times New Roman"/>
          <w:b/>
          <w:lang w:val="it-IT"/>
        </w:rPr>
        <w:t>Contenuto della confezione e altre informazioni</w:t>
      </w:r>
    </w:p>
    <w:p w14:paraId="30501087" w14:textId="77777777" w:rsidR="00FE0E06" w:rsidRPr="00496684" w:rsidRDefault="00FE0E06" w:rsidP="00FE0E06">
      <w:pPr>
        <w:autoSpaceDE w:val="0"/>
        <w:autoSpaceDN w:val="0"/>
        <w:adjustRightInd w:val="0"/>
        <w:spacing w:after="0" w:line="240" w:lineRule="auto"/>
        <w:rPr>
          <w:rFonts w:ascii="Times New Roman" w:hAnsi="Times New Roman"/>
          <w:bCs/>
          <w:lang w:val="it-IT"/>
        </w:rPr>
      </w:pPr>
    </w:p>
    <w:p w14:paraId="0A96E1E3" w14:textId="77777777" w:rsidR="00FE0E06" w:rsidRPr="00496684" w:rsidRDefault="008A39EF" w:rsidP="00FE0E06">
      <w:pPr>
        <w:autoSpaceDE w:val="0"/>
        <w:autoSpaceDN w:val="0"/>
        <w:adjustRightInd w:val="0"/>
        <w:spacing w:after="0" w:line="240" w:lineRule="auto"/>
        <w:rPr>
          <w:rFonts w:ascii="Times New Roman" w:hAnsi="Times New Roman"/>
          <w:b/>
          <w:bCs/>
          <w:lang w:val="it-IT"/>
        </w:rPr>
      </w:pPr>
      <w:r w:rsidRPr="00496684">
        <w:rPr>
          <w:rFonts w:ascii="Times New Roman" w:hAnsi="Times New Roman"/>
          <w:b/>
          <w:lang w:val="it-IT"/>
        </w:rPr>
        <w:t xml:space="preserve">Cosa contiene </w:t>
      </w:r>
      <w:r w:rsidR="00FE0E06" w:rsidRPr="00496684">
        <w:rPr>
          <w:rFonts w:ascii="Times New Roman" w:hAnsi="Times New Roman"/>
          <w:b/>
          <w:bCs/>
          <w:lang w:val="it-IT"/>
        </w:rPr>
        <w:t xml:space="preserve">Imatinib Actavis </w:t>
      </w:r>
    </w:p>
    <w:p w14:paraId="596488F2" w14:textId="77777777" w:rsidR="008A39EF" w:rsidRPr="00496684" w:rsidRDefault="008A39EF" w:rsidP="00901DA8">
      <w:pPr>
        <w:widowControl w:val="0"/>
        <w:numPr>
          <w:ilvl w:val="0"/>
          <w:numId w:val="13"/>
        </w:numPr>
        <w:spacing w:after="0" w:line="240" w:lineRule="auto"/>
        <w:ind w:left="567" w:right="-2" w:hanging="567"/>
        <w:jc w:val="both"/>
        <w:rPr>
          <w:rFonts w:ascii="Times New Roman" w:hAnsi="Times New Roman"/>
          <w:lang w:val="it-IT"/>
        </w:rPr>
      </w:pPr>
      <w:r w:rsidRPr="00496684">
        <w:rPr>
          <w:rFonts w:ascii="Times New Roman" w:hAnsi="Times New Roman"/>
          <w:lang w:val="it-IT"/>
        </w:rPr>
        <w:t xml:space="preserve">Il principio attivo è imatinib </w:t>
      </w:r>
      <w:r w:rsidR="0014627F" w:rsidRPr="00496684">
        <w:rPr>
          <w:rFonts w:ascii="Times New Roman" w:hAnsi="Times New Roman"/>
          <w:lang w:val="it-IT"/>
        </w:rPr>
        <w:t xml:space="preserve">(come </w:t>
      </w:r>
      <w:r w:rsidRPr="00496684">
        <w:rPr>
          <w:rFonts w:ascii="Times New Roman" w:hAnsi="Times New Roman"/>
          <w:lang w:val="it-IT"/>
        </w:rPr>
        <w:t>mesilato</w:t>
      </w:r>
      <w:r w:rsidR="0014627F" w:rsidRPr="00496684">
        <w:rPr>
          <w:rFonts w:ascii="Times New Roman" w:hAnsi="Times New Roman"/>
          <w:lang w:val="it-IT"/>
        </w:rPr>
        <w:t>)</w:t>
      </w:r>
      <w:r w:rsidRPr="00496684">
        <w:rPr>
          <w:rFonts w:ascii="Times New Roman" w:hAnsi="Times New Roman"/>
          <w:lang w:val="it-IT"/>
        </w:rPr>
        <w:t>. Ogni capsula contiene 50 mg di imatinib (come mesilato).</w:t>
      </w:r>
    </w:p>
    <w:p w14:paraId="00E690B2" w14:textId="77777777" w:rsidR="008A39EF" w:rsidRPr="00496684" w:rsidRDefault="00901DA8" w:rsidP="00901DA8">
      <w:pPr>
        <w:autoSpaceDE w:val="0"/>
        <w:autoSpaceDN w:val="0"/>
        <w:adjustRightInd w:val="0"/>
        <w:spacing w:after="0" w:line="240" w:lineRule="auto"/>
        <w:jc w:val="both"/>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r>
      <w:r w:rsidR="008A39EF" w:rsidRPr="00496684">
        <w:rPr>
          <w:rFonts w:ascii="Times New Roman" w:hAnsi="Times New Roman"/>
          <w:lang w:val="it-IT"/>
        </w:rPr>
        <w:t>Gli altri componenti sono</w:t>
      </w:r>
      <w:r w:rsidRPr="00496684">
        <w:rPr>
          <w:rFonts w:ascii="Times New Roman" w:hAnsi="Times New Roman"/>
          <w:lang w:val="it-IT"/>
        </w:rPr>
        <w:t xml:space="preserve">: Contenuto della capsula: </w:t>
      </w:r>
      <w:r w:rsidR="008A39EF" w:rsidRPr="00496684">
        <w:rPr>
          <w:rFonts w:ascii="Times New Roman" w:hAnsi="Times New Roman"/>
          <w:lang w:val="it-IT"/>
        </w:rPr>
        <w:t xml:space="preserve">cellulosa microcristallina, </w:t>
      </w:r>
      <w:r w:rsidRPr="00496684">
        <w:rPr>
          <w:rFonts w:ascii="Times New Roman" w:hAnsi="Times New Roman"/>
          <w:lang w:val="it-IT"/>
        </w:rPr>
        <w:t xml:space="preserve">copovidone, </w:t>
      </w:r>
      <w:r w:rsidRPr="00496684">
        <w:rPr>
          <w:rFonts w:ascii="Times New Roman" w:hAnsi="Times New Roman"/>
          <w:lang w:val="it-IT"/>
        </w:rPr>
        <w:tab/>
      </w:r>
      <w:r w:rsidR="008A39EF" w:rsidRPr="00496684">
        <w:rPr>
          <w:rFonts w:ascii="Times New Roman" w:hAnsi="Times New Roman"/>
          <w:lang w:val="it-IT"/>
        </w:rPr>
        <w:t xml:space="preserve">crospovidone, </w:t>
      </w:r>
      <w:r w:rsidRPr="00496684">
        <w:rPr>
          <w:rFonts w:ascii="Times New Roman" w:hAnsi="Times New Roman"/>
          <w:lang w:val="it-IT"/>
        </w:rPr>
        <w:t>sodio ste</w:t>
      </w:r>
      <w:r w:rsidR="00D07589" w:rsidRPr="00496684">
        <w:rPr>
          <w:rFonts w:ascii="Times New Roman" w:hAnsi="Times New Roman"/>
          <w:lang w:val="it-IT"/>
        </w:rPr>
        <w:t>a</w:t>
      </w:r>
      <w:r w:rsidRPr="00496684">
        <w:rPr>
          <w:rFonts w:ascii="Times New Roman" w:hAnsi="Times New Roman"/>
          <w:lang w:val="it-IT"/>
        </w:rPr>
        <w:t>ril fumarato,</w:t>
      </w:r>
      <w:r w:rsidR="008A39EF" w:rsidRPr="00496684">
        <w:rPr>
          <w:rFonts w:ascii="Times New Roman" w:hAnsi="Times New Roman"/>
          <w:lang w:val="it-IT"/>
        </w:rPr>
        <w:t xml:space="preserve"> silice</w:t>
      </w:r>
      <w:r w:rsidRPr="00496684">
        <w:rPr>
          <w:rFonts w:ascii="Times New Roman" w:hAnsi="Times New Roman"/>
          <w:lang w:val="it-IT"/>
        </w:rPr>
        <w:t xml:space="preserve"> (colloidale idrofobica e </w:t>
      </w:r>
      <w:r w:rsidR="008A39EF" w:rsidRPr="00496684">
        <w:rPr>
          <w:rFonts w:ascii="Times New Roman" w:hAnsi="Times New Roman"/>
          <w:lang w:val="it-IT"/>
        </w:rPr>
        <w:t>colloidale anidra</w:t>
      </w:r>
      <w:r w:rsidR="00D07589" w:rsidRPr="00496684">
        <w:rPr>
          <w:rFonts w:ascii="Times New Roman" w:hAnsi="Times New Roman"/>
          <w:lang w:val="it-IT"/>
        </w:rPr>
        <w:t>)</w:t>
      </w:r>
      <w:r w:rsidR="008A39EF" w:rsidRPr="00496684">
        <w:rPr>
          <w:rFonts w:ascii="Times New Roman" w:hAnsi="Times New Roman"/>
          <w:lang w:val="it-IT"/>
        </w:rPr>
        <w:t xml:space="preserve">. </w:t>
      </w:r>
      <w:r w:rsidR="00D07589" w:rsidRPr="00496684">
        <w:rPr>
          <w:rFonts w:ascii="Times New Roman" w:hAnsi="Times New Roman"/>
          <w:lang w:val="it-IT"/>
        </w:rPr>
        <w:t>I</w:t>
      </w:r>
      <w:r w:rsidR="008A39EF" w:rsidRPr="00496684">
        <w:rPr>
          <w:rFonts w:ascii="Times New Roman" w:hAnsi="Times New Roman"/>
          <w:lang w:val="it-IT"/>
        </w:rPr>
        <w:t xml:space="preserve">nvolucro </w:t>
      </w:r>
      <w:r w:rsidRPr="00496684">
        <w:rPr>
          <w:rFonts w:ascii="Times New Roman" w:hAnsi="Times New Roman"/>
          <w:lang w:val="it-IT"/>
        </w:rPr>
        <w:tab/>
      </w:r>
      <w:r w:rsidR="008A39EF" w:rsidRPr="00496684">
        <w:rPr>
          <w:rFonts w:ascii="Times New Roman" w:hAnsi="Times New Roman"/>
          <w:lang w:val="it-IT"/>
        </w:rPr>
        <w:t>della capsula</w:t>
      </w:r>
      <w:r w:rsidRPr="00496684">
        <w:rPr>
          <w:rFonts w:ascii="Times New Roman" w:hAnsi="Times New Roman"/>
          <w:lang w:val="it-IT"/>
        </w:rPr>
        <w:t>: ipromellosa</w:t>
      </w:r>
      <w:r w:rsidR="008A39EF" w:rsidRPr="00496684">
        <w:rPr>
          <w:rFonts w:ascii="Times New Roman" w:hAnsi="Times New Roman"/>
          <w:lang w:val="it-IT"/>
        </w:rPr>
        <w:t xml:space="preserve">, </w:t>
      </w:r>
      <w:r w:rsidRPr="00496684">
        <w:rPr>
          <w:rFonts w:ascii="Times New Roman" w:hAnsi="Times New Roman"/>
          <w:lang w:val="it-IT"/>
        </w:rPr>
        <w:t xml:space="preserve">titanio diossido (E171). ferro ossido giallo (E172). </w:t>
      </w:r>
      <w:r w:rsidR="00D07589" w:rsidRPr="00496684">
        <w:rPr>
          <w:rFonts w:ascii="Times New Roman" w:hAnsi="Times New Roman"/>
          <w:lang w:val="it-IT"/>
        </w:rPr>
        <w:t>I</w:t>
      </w:r>
      <w:r w:rsidR="008A39EF" w:rsidRPr="00496684">
        <w:rPr>
          <w:rFonts w:ascii="Times New Roman" w:hAnsi="Times New Roman"/>
          <w:lang w:val="it-IT"/>
        </w:rPr>
        <w:t xml:space="preserve">nchiostro </w:t>
      </w:r>
      <w:r w:rsidR="00D07589" w:rsidRPr="00496684">
        <w:rPr>
          <w:rFonts w:ascii="Times New Roman" w:hAnsi="Times New Roman"/>
          <w:lang w:val="it-IT"/>
        </w:rPr>
        <w:t>della</w:t>
      </w:r>
      <w:r w:rsidR="008A39EF" w:rsidRPr="00496684">
        <w:rPr>
          <w:rFonts w:ascii="Times New Roman" w:hAnsi="Times New Roman"/>
          <w:lang w:val="it-IT"/>
        </w:rPr>
        <w:t xml:space="preserve"> </w:t>
      </w:r>
      <w:r w:rsidRPr="00496684">
        <w:rPr>
          <w:rFonts w:ascii="Times New Roman" w:hAnsi="Times New Roman"/>
          <w:lang w:val="it-IT"/>
        </w:rPr>
        <w:tab/>
      </w:r>
      <w:r w:rsidR="008A39EF" w:rsidRPr="00496684">
        <w:rPr>
          <w:rFonts w:ascii="Times New Roman" w:hAnsi="Times New Roman"/>
          <w:lang w:val="it-IT"/>
        </w:rPr>
        <w:t>stampa</w:t>
      </w:r>
      <w:r w:rsidRPr="00496684">
        <w:rPr>
          <w:rFonts w:ascii="Times New Roman" w:hAnsi="Times New Roman"/>
          <w:lang w:val="it-IT"/>
        </w:rPr>
        <w:t xml:space="preserve">: gommalacca, ferro ossido nero (E172), glicole propilenico, soluzione ammoniacale, </w:t>
      </w:r>
      <w:r w:rsidRPr="00496684">
        <w:rPr>
          <w:rFonts w:ascii="Times New Roman" w:hAnsi="Times New Roman"/>
          <w:lang w:val="it-IT"/>
        </w:rPr>
        <w:tab/>
        <w:t>potassio idrossido</w:t>
      </w:r>
    </w:p>
    <w:p w14:paraId="2849BBE8" w14:textId="77777777" w:rsidR="00901DA8" w:rsidRPr="00496684" w:rsidRDefault="00901DA8" w:rsidP="00D008F2">
      <w:pPr>
        <w:spacing w:after="0"/>
        <w:ind w:right="-2"/>
        <w:rPr>
          <w:rFonts w:ascii="Times New Roman" w:hAnsi="Times New Roman"/>
          <w:b/>
          <w:lang w:val="it-IT"/>
        </w:rPr>
      </w:pPr>
      <w:r w:rsidRPr="00496684">
        <w:rPr>
          <w:rFonts w:ascii="Times New Roman" w:hAnsi="Times New Roman"/>
          <w:b/>
          <w:lang w:val="it-IT"/>
        </w:rPr>
        <w:t xml:space="preserve">Descrizione dell’aspetto di </w:t>
      </w:r>
      <w:r w:rsidR="00521ABE" w:rsidRPr="00496684">
        <w:rPr>
          <w:rFonts w:ascii="Times New Roman" w:hAnsi="Times New Roman"/>
          <w:b/>
          <w:lang w:val="it-IT"/>
        </w:rPr>
        <w:t>Imatinib Actavis</w:t>
      </w:r>
      <w:r w:rsidRPr="00496684">
        <w:rPr>
          <w:rFonts w:ascii="Times New Roman" w:hAnsi="Times New Roman"/>
          <w:b/>
          <w:lang w:val="it-IT"/>
        </w:rPr>
        <w:t xml:space="preserve"> e contenuto della confezione</w:t>
      </w:r>
    </w:p>
    <w:p w14:paraId="2FBA7273" w14:textId="77777777" w:rsidR="00901DA8" w:rsidRPr="00496684" w:rsidRDefault="00D07589" w:rsidP="00806F0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Capsula rigida </w:t>
      </w:r>
      <w:r w:rsidR="00901DA8" w:rsidRPr="00496684">
        <w:rPr>
          <w:rFonts w:ascii="Times New Roman" w:hAnsi="Times New Roman"/>
          <w:lang w:val="it-IT"/>
        </w:rPr>
        <w:t>con testa di color giallo chiaro e corpo di color</w:t>
      </w:r>
      <w:r w:rsidR="00F17AB1" w:rsidRPr="00496684">
        <w:rPr>
          <w:rFonts w:ascii="Times New Roman" w:hAnsi="Times New Roman"/>
          <w:lang w:val="it-IT"/>
        </w:rPr>
        <w:t xml:space="preserve">e giallo chiaro con la scritta </w:t>
      </w:r>
      <w:r w:rsidR="00901DA8" w:rsidRPr="00496684">
        <w:rPr>
          <w:rFonts w:ascii="Times New Roman" w:hAnsi="Times New Roman"/>
          <w:lang w:val="it-IT"/>
        </w:rPr>
        <w:t>50 mg in inchiostro nero. La capsula contiene una polvere gialla chiara</w:t>
      </w:r>
      <w:r w:rsidR="00A94570" w:rsidRPr="00496684">
        <w:rPr>
          <w:rFonts w:ascii="Times New Roman" w:hAnsi="Times New Roman"/>
          <w:lang w:val="it-IT"/>
        </w:rPr>
        <w:t>.</w:t>
      </w:r>
    </w:p>
    <w:p w14:paraId="1EC5697A" w14:textId="77777777" w:rsidR="00901DA8" w:rsidRPr="00496684" w:rsidRDefault="00901DA8" w:rsidP="00901DA8">
      <w:pPr>
        <w:autoSpaceDE w:val="0"/>
        <w:autoSpaceDN w:val="0"/>
        <w:adjustRightInd w:val="0"/>
        <w:spacing w:after="0" w:line="240" w:lineRule="auto"/>
        <w:rPr>
          <w:rFonts w:ascii="Times New Roman" w:hAnsi="Times New Roman"/>
          <w:lang w:val="it-IT"/>
        </w:rPr>
      </w:pPr>
    </w:p>
    <w:p w14:paraId="166C384A" w14:textId="77777777" w:rsidR="00FE0E06" w:rsidRPr="00496684" w:rsidRDefault="00901DA8" w:rsidP="00FE0E06">
      <w:pPr>
        <w:autoSpaceDE w:val="0"/>
        <w:autoSpaceDN w:val="0"/>
        <w:adjustRightInd w:val="0"/>
        <w:spacing w:after="0" w:line="240" w:lineRule="auto"/>
        <w:rPr>
          <w:rFonts w:ascii="Times New Roman" w:hAnsi="Times New Roman"/>
          <w:bCs/>
          <w:i/>
          <w:lang w:val="it-IT"/>
        </w:rPr>
      </w:pPr>
      <w:r w:rsidRPr="00496684">
        <w:rPr>
          <w:rFonts w:ascii="Times New Roman" w:hAnsi="Times New Roman"/>
          <w:bCs/>
          <w:i/>
          <w:lang w:val="it-IT"/>
        </w:rPr>
        <w:t>Confezioni</w:t>
      </w:r>
      <w:r w:rsidR="00FE0E06" w:rsidRPr="00496684">
        <w:rPr>
          <w:rFonts w:ascii="Times New Roman" w:hAnsi="Times New Roman"/>
          <w:bCs/>
          <w:i/>
          <w:lang w:val="it-IT"/>
        </w:rPr>
        <w:t>:</w:t>
      </w:r>
    </w:p>
    <w:p w14:paraId="50B82B3D" w14:textId="77777777" w:rsidR="00901DA8" w:rsidRPr="00496684" w:rsidRDefault="00BA4800" w:rsidP="00901DA8">
      <w:pPr>
        <w:ind w:right="-2"/>
        <w:rPr>
          <w:rFonts w:ascii="Times New Roman" w:hAnsi="Times New Roman"/>
          <w:lang w:val="it-IT"/>
        </w:rPr>
      </w:pPr>
      <w:r w:rsidRPr="00496684">
        <w:rPr>
          <w:rFonts w:ascii="Times New Roman" w:hAnsi="Times New Roman"/>
          <w:lang w:val="it-IT"/>
        </w:rPr>
        <w:t>Le capsule s</w:t>
      </w:r>
      <w:r w:rsidR="00901DA8" w:rsidRPr="00496684">
        <w:rPr>
          <w:rFonts w:ascii="Times New Roman" w:hAnsi="Times New Roman"/>
          <w:lang w:val="it-IT"/>
        </w:rPr>
        <w:t xml:space="preserve">ono fornite in </w:t>
      </w:r>
      <w:r w:rsidR="00C256B9" w:rsidRPr="00496684">
        <w:rPr>
          <w:rFonts w:ascii="Times New Roman" w:hAnsi="Times New Roman"/>
          <w:lang w:val="it-IT"/>
        </w:rPr>
        <w:t xml:space="preserve">confezioni con </w:t>
      </w:r>
      <w:r w:rsidRPr="00496684">
        <w:rPr>
          <w:rFonts w:ascii="Times New Roman" w:hAnsi="Times New Roman"/>
          <w:lang w:val="it-IT"/>
        </w:rPr>
        <w:t xml:space="preserve">blister </w:t>
      </w:r>
      <w:r w:rsidR="002D5BFF" w:rsidRPr="00496684">
        <w:rPr>
          <w:rFonts w:ascii="Times New Roman" w:hAnsi="Times New Roman"/>
          <w:lang w:val="it-IT"/>
        </w:rPr>
        <w:t>in</w:t>
      </w:r>
      <w:r w:rsidRPr="00496684">
        <w:rPr>
          <w:rFonts w:ascii="Times New Roman" w:hAnsi="Times New Roman"/>
          <w:lang w:val="it-IT"/>
        </w:rPr>
        <w:t xml:space="preserve"> alluminio </w:t>
      </w:r>
      <w:r w:rsidR="00C256B9" w:rsidRPr="00496684">
        <w:rPr>
          <w:rFonts w:ascii="Times New Roman" w:hAnsi="Times New Roman"/>
          <w:lang w:val="it-IT"/>
        </w:rPr>
        <w:t xml:space="preserve">da </w:t>
      </w:r>
      <w:r w:rsidRPr="00496684">
        <w:rPr>
          <w:rFonts w:ascii="Times New Roman" w:hAnsi="Times New Roman"/>
          <w:lang w:val="it-IT"/>
        </w:rPr>
        <w:t xml:space="preserve"> </w:t>
      </w:r>
      <w:r w:rsidR="00901DA8" w:rsidRPr="00496684">
        <w:rPr>
          <w:rFonts w:ascii="Times New Roman" w:hAnsi="Times New Roman"/>
          <w:lang w:val="it-IT"/>
        </w:rPr>
        <w:t>30  o 90 capsule.</w:t>
      </w:r>
    </w:p>
    <w:p w14:paraId="445F95C5" w14:textId="77777777" w:rsidR="00901DA8" w:rsidRPr="00496684" w:rsidRDefault="00901DA8" w:rsidP="00901DA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possibile che non tutte le confezion</w:t>
      </w:r>
      <w:r w:rsidR="00D07589" w:rsidRPr="00496684">
        <w:rPr>
          <w:rFonts w:ascii="Times New Roman" w:hAnsi="Times New Roman"/>
          <w:lang w:val="it-IT"/>
        </w:rPr>
        <w:t>i</w:t>
      </w:r>
      <w:r w:rsidRPr="00496684">
        <w:rPr>
          <w:rFonts w:ascii="Times New Roman" w:hAnsi="Times New Roman"/>
          <w:lang w:val="it-IT"/>
        </w:rPr>
        <w:t xml:space="preserve"> siano commercializzate</w:t>
      </w:r>
    </w:p>
    <w:p w14:paraId="22017731"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2D46575D" w14:textId="77777777" w:rsidR="00901DA8" w:rsidRPr="00496684" w:rsidRDefault="00901DA8" w:rsidP="00901DA8">
      <w:pPr>
        <w:spacing w:after="0" w:line="240" w:lineRule="auto"/>
        <w:ind w:right="-2"/>
        <w:rPr>
          <w:rFonts w:ascii="Times New Roman" w:hAnsi="Times New Roman"/>
          <w:b/>
          <w:lang w:val="it-IT"/>
        </w:rPr>
      </w:pPr>
      <w:r w:rsidRPr="00496684">
        <w:rPr>
          <w:rFonts w:ascii="Times New Roman" w:hAnsi="Times New Roman"/>
          <w:b/>
          <w:lang w:val="it-IT"/>
        </w:rPr>
        <w:t>Titolare dell’autorizzazione all’immissione in commercio</w:t>
      </w:r>
    </w:p>
    <w:p w14:paraId="7E9245FA" w14:textId="77777777" w:rsidR="00FE0E06" w:rsidRPr="00496684" w:rsidRDefault="00FE0E06" w:rsidP="00901DA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4C9374B1" w14:textId="77777777" w:rsidR="00FE0E06" w:rsidRPr="00496684" w:rsidRDefault="00FE0E06" w:rsidP="00901DA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Reykjavíkurvegur 76-78,</w:t>
      </w:r>
    </w:p>
    <w:p w14:paraId="4FF0814B" w14:textId="77777777" w:rsidR="00FE0E06" w:rsidRPr="00496684" w:rsidRDefault="00FE0E06" w:rsidP="00901DA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Hafnarfjörður</w:t>
      </w:r>
    </w:p>
    <w:p w14:paraId="589CEFAA" w14:textId="77777777" w:rsidR="00FE0E06" w:rsidRPr="00496684" w:rsidRDefault="00901DA8" w:rsidP="00901DA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17A3294C"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69740899" w14:textId="77777777" w:rsidR="00901DA8" w:rsidRPr="00496684" w:rsidRDefault="00901DA8" w:rsidP="00901DA8">
      <w:pPr>
        <w:spacing w:after="0" w:line="240" w:lineRule="auto"/>
        <w:ind w:right="-2"/>
        <w:rPr>
          <w:rFonts w:ascii="Times New Roman" w:hAnsi="Times New Roman"/>
          <w:b/>
          <w:lang w:val="it-IT"/>
        </w:rPr>
      </w:pPr>
      <w:r w:rsidRPr="00496684">
        <w:rPr>
          <w:rFonts w:ascii="Times New Roman" w:hAnsi="Times New Roman"/>
          <w:b/>
          <w:lang w:val="it-IT"/>
        </w:rPr>
        <w:t>Produttore</w:t>
      </w:r>
    </w:p>
    <w:p w14:paraId="237AB412" w14:textId="77777777" w:rsidR="00FE0E06" w:rsidRPr="00496684" w:rsidRDefault="00FE0E06" w:rsidP="00901DA8">
      <w:pPr>
        <w:pStyle w:val="KeinLeerraum"/>
        <w:rPr>
          <w:rFonts w:ascii="Times New Roman" w:hAnsi="Times New Roman"/>
          <w:lang w:val="it-IT"/>
        </w:rPr>
      </w:pPr>
      <w:r w:rsidRPr="00496684">
        <w:rPr>
          <w:rFonts w:ascii="Times New Roman" w:hAnsi="Times New Roman"/>
          <w:lang w:val="it-IT"/>
        </w:rPr>
        <w:t>S.C. Sindan</w:t>
      </w:r>
      <w:r w:rsidRPr="00496684">
        <w:rPr>
          <w:rFonts w:ascii="Times New Roman" w:hAnsi="Times New Roman"/>
          <w:lang w:val="it-IT"/>
        </w:rPr>
        <w:noBreakHyphen/>
        <w:t>Pharma S.R.L.</w:t>
      </w:r>
    </w:p>
    <w:p w14:paraId="355ACBE4" w14:textId="77777777" w:rsidR="00FE0E06" w:rsidRPr="00496684" w:rsidRDefault="00FE0E06" w:rsidP="00901DA8">
      <w:pPr>
        <w:pStyle w:val="KeinLeerraum"/>
        <w:rPr>
          <w:rFonts w:ascii="Times New Roman" w:hAnsi="Times New Roman"/>
          <w:lang w:val="it-IT"/>
        </w:rPr>
      </w:pPr>
      <w:r w:rsidRPr="00496684">
        <w:rPr>
          <w:rFonts w:ascii="Times New Roman" w:hAnsi="Times New Roman"/>
          <w:lang w:val="it-IT"/>
        </w:rPr>
        <w:t>11 Ion Mihalache Blvd</w:t>
      </w:r>
    </w:p>
    <w:p w14:paraId="774CA9E4" w14:textId="77777777" w:rsidR="00FE0E06" w:rsidRPr="00496684" w:rsidRDefault="00FE0E06" w:rsidP="00901DA8">
      <w:pPr>
        <w:pStyle w:val="KeinLeerraum"/>
        <w:rPr>
          <w:rFonts w:ascii="Times New Roman" w:hAnsi="Times New Roman"/>
          <w:lang w:val="it-IT"/>
        </w:rPr>
      </w:pPr>
      <w:r w:rsidRPr="00496684">
        <w:rPr>
          <w:rFonts w:ascii="Times New Roman" w:hAnsi="Times New Roman"/>
          <w:lang w:val="it-IT"/>
        </w:rPr>
        <w:t>Bucarest</w:t>
      </w:r>
    </w:p>
    <w:p w14:paraId="531E7548" w14:textId="77777777" w:rsidR="00FE0E06" w:rsidRPr="00496684" w:rsidRDefault="00FE0E06" w:rsidP="00901DA8">
      <w:pPr>
        <w:pStyle w:val="KeinLeerraum"/>
        <w:rPr>
          <w:rFonts w:ascii="Times New Roman" w:hAnsi="Times New Roman"/>
          <w:lang w:val="it-IT"/>
        </w:rPr>
      </w:pPr>
      <w:r w:rsidRPr="00496684">
        <w:rPr>
          <w:rFonts w:ascii="Times New Roman" w:hAnsi="Times New Roman"/>
          <w:lang w:val="it-IT"/>
        </w:rPr>
        <w:t>Romania</w:t>
      </w:r>
    </w:p>
    <w:p w14:paraId="528622E5" w14:textId="77777777" w:rsidR="00FE0E06" w:rsidRPr="00496684" w:rsidRDefault="00FE0E06" w:rsidP="00FE0E06">
      <w:pPr>
        <w:autoSpaceDE w:val="0"/>
        <w:autoSpaceDN w:val="0"/>
        <w:adjustRightInd w:val="0"/>
        <w:spacing w:after="0" w:line="240" w:lineRule="auto"/>
        <w:rPr>
          <w:rFonts w:ascii="Times New Roman" w:hAnsi="Times New Roman"/>
          <w:lang w:val="it-IT"/>
        </w:rPr>
      </w:pPr>
    </w:p>
    <w:p w14:paraId="7EF59FED" w14:textId="77777777" w:rsidR="00FE0E06" w:rsidRPr="00496684" w:rsidRDefault="00901DA8" w:rsidP="00FE0E06">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Per ulteriori informazioni su questo medicinale, contatti il rappresentate locale del titolare dell’autorizzazione all’immissione in commercio</w:t>
      </w:r>
      <w:r w:rsidR="00FE0E06" w:rsidRPr="00496684">
        <w:rPr>
          <w:rFonts w:ascii="Times New Roman" w:hAnsi="Times New Roman"/>
          <w:lang w:val="it-IT"/>
        </w:rPr>
        <w:t>.</w:t>
      </w:r>
    </w:p>
    <w:p w14:paraId="30054727" w14:textId="77777777" w:rsidR="006E4320" w:rsidRPr="00496684" w:rsidRDefault="006E4320" w:rsidP="00FE0E06">
      <w:pPr>
        <w:autoSpaceDE w:val="0"/>
        <w:autoSpaceDN w:val="0"/>
        <w:adjustRightInd w:val="0"/>
        <w:spacing w:after="0" w:line="240" w:lineRule="auto"/>
        <w:rPr>
          <w:rFonts w:ascii="Times New Roman" w:hAnsi="Times New Roman"/>
          <w:lang w:val="it-IT"/>
        </w:rPr>
      </w:pPr>
    </w:p>
    <w:tbl>
      <w:tblPr>
        <w:tblW w:w="9356" w:type="dxa"/>
        <w:tblInd w:w="-34" w:type="dxa"/>
        <w:tblLayout w:type="fixed"/>
        <w:tblLook w:val="0000" w:firstRow="0" w:lastRow="0" w:firstColumn="0" w:lastColumn="0" w:noHBand="0" w:noVBand="0"/>
      </w:tblPr>
      <w:tblGrid>
        <w:gridCol w:w="34"/>
        <w:gridCol w:w="4644"/>
        <w:gridCol w:w="4678"/>
      </w:tblGrid>
      <w:tr w:rsidR="006B5718" w:rsidRPr="00DC08DD" w14:paraId="5F6B8D9F" w14:textId="77777777" w:rsidTr="009C70C0">
        <w:trPr>
          <w:gridBefore w:val="1"/>
          <w:wBefore w:w="34" w:type="dxa"/>
          <w:cantSplit/>
        </w:trPr>
        <w:tc>
          <w:tcPr>
            <w:tcW w:w="4644" w:type="dxa"/>
          </w:tcPr>
          <w:p w14:paraId="5E8FE51C" w14:textId="77777777" w:rsidR="006B5718" w:rsidRPr="00666899" w:rsidRDefault="006B5718" w:rsidP="009C70C0">
            <w:pPr>
              <w:pStyle w:val="KeinLeerraum"/>
              <w:rPr>
                <w:rFonts w:ascii="Times New Roman" w:hAnsi="Times New Roman"/>
                <w:lang w:val="fr-FR"/>
              </w:rPr>
            </w:pPr>
            <w:r w:rsidRPr="00666899">
              <w:rPr>
                <w:rFonts w:ascii="Times New Roman" w:hAnsi="Times New Roman"/>
                <w:b/>
                <w:lang w:val="fr-FR"/>
              </w:rPr>
              <w:t>België/Belgique/Belgien</w:t>
            </w:r>
          </w:p>
          <w:p w14:paraId="51554973" w14:textId="77777777" w:rsidR="006B5718" w:rsidRPr="00666899" w:rsidRDefault="006B5718" w:rsidP="009C70C0">
            <w:pPr>
              <w:pStyle w:val="KeinLeerraum"/>
              <w:rPr>
                <w:rFonts w:ascii="Times New Roman" w:hAnsi="Times New Roman"/>
                <w:lang w:val="fr-FR"/>
              </w:rPr>
            </w:pPr>
            <w:r w:rsidRPr="00666899">
              <w:rPr>
                <w:rFonts w:ascii="Times New Roman" w:hAnsi="Times New Roman"/>
                <w:lang w:val="fr-FR"/>
              </w:rPr>
              <w:t>Actavis Group PTC ehf.</w:t>
            </w:r>
          </w:p>
          <w:p w14:paraId="4FEF984B" w14:textId="77777777" w:rsidR="006B5718" w:rsidRDefault="006B5718" w:rsidP="009C70C0">
            <w:pPr>
              <w:pStyle w:val="KeinLeerraum"/>
              <w:rPr>
                <w:rFonts w:ascii="Times New Roman" w:hAnsi="Times New Roman"/>
                <w:lang w:val="en-GB"/>
              </w:rPr>
            </w:pPr>
            <w:r w:rsidRPr="00DC08DD">
              <w:rPr>
                <w:rFonts w:ascii="Times New Roman" w:hAnsi="Times New Roman"/>
                <w:lang w:val="en-GB"/>
              </w:rPr>
              <w:t>IJsland/Islande/Island</w:t>
            </w:r>
          </w:p>
          <w:p w14:paraId="35B25515" w14:textId="77777777" w:rsidR="006B5718" w:rsidRPr="00DC08DD" w:rsidRDefault="006B5718" w:rsidP="009C70C0">
            <w:pPr>
              <w:pStyle w:val="KeinLeerraum"/>
              <w:rPr>
                <w:rFonts w:ascii="Times New Roman" w:hAnsi="Times New Roman"/>
                <w:lang w:val="en-GB"/>
              </w:rPr>
            </w:pPr>
            <w:r w:rsidRPr="00B85F24">
              <w:rPr>
                <w:rFonts w:ascii="Times New Roman" w:hAnsi="Times New Roman"/>
                <w:lang w:val="en-GB"/>
              </w:rPr>
              <w:t>Tél/Tel: +354 5503300</w:t>
            </w:r>
          </w:p>
          <w:p w14:paraId="1576C652" w14:textId="77777777" w:rsidR="006B5718" w:rsidRPr="00DC08DD" w:rsidRDefault="006B5718" w:rsidP="009C70C0">
            <w:pPr>
              <w:pStyle w:val="KeinLeerraum"/>
              <w:rPr>
                <w:rFonts w:ascii="Times New Roman" w:hAnsi="Times New Roman"/>
                <w:lang w:val="en-GB"/>
              </w:rPr>
            </w:pPr>
          </w:p>
        </w:tc>
        <w:tc>
          <w:tcPr>
            <w:tcW w:w="4678" w:type="dxa"/>
          </w:tcPr>
          <w:p w14:paraId="08A2FA67"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Lietuva</w:t>
            </w:r>
          </w:p>
          <w:p w14:paraId="6F6D0740" w14:textId="7701C252" w:rsidR="006B5718" w:rsidRPr="00DC08DD" w:rsidRDefault="006B5718" w:rsidP="009C70C0">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44BC072E"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7C6C3CF5" w14:textId="77777777" w:rsidR="006B5718" w:rsidRPr="00DC08DD" w:rsidRDefault="006B5718" w:rsidP="009C70C0">
            <w:pPr>
              <w:pStyle w:val="KeinLeerraum"/>
              <w:rPr>
                <w:rFonts w:ascii="Times New Roman" w:hAnsi="Times New Roman"/>
                <w:lang w:val="en-GB"/>
              </w:rPr>
            </w:pPr>
          </w:p>
        </w:tc>
      </w:tr>
      <w:tr w:rsidR="006B5718" w:rsidRPr="00DC08DD" w14:paraId="1D6D4AE0" w14:textId="77777777" w:rsidTr="009C70C0">
        <w:trPr>
          <w:gridBefore w:val="1"/>
          <w:wBefore w:w="34" w:type="dxa"/>
          <w:cantSplit/>
        </w:trPr>
        <w:tc>
          <w:tcPr>
            <w:tcW w:w="4644" w:type="dxa"/>
          </w:tcPr>
          <w:p w14:paraId="3C24E7F3" w14:textId="77777777" w:rsidR="006B5718" w:rsidRPr="00DC08DD" w:rsidRDefault="006B5718" w:rsidP="009C70C0">
            <w:pPr>
              <w:pStyle w:val="KeinLeerraum"/>
              <w:rPr>
                <w:rFonts w:ascii="Times New Roman" w:hAnsi="Times New Roman"/>
                <w:b/>
                <w:bCs/>
                <w:lang w:val="en-GB"/>
              </w:rPr>
            </w:pPr>
            <w:r w:rsidRPr="00DC08DD">
              <w:rPr>
                <w:rFonts w:ascii="Times New Roman" w:hAnsi="Times New Roman"/>
                <w:b/>
                <w:bCs/>
                <w:lang w:val="en-GB"/>
              </w:rPr>
              <w:t>България</w:t>
            </w:r>
          </w:p>
          <w:p w14:paraId="6EE33149"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Актавис ЕАД</w:t>
            </w:r>
          </w:p>
          <w:p w14:paraId="1CE6BFD3"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5B59B055" w14:textId="77777777" w:rsidR="006B5718" w:rsidRPr="00DC08DD" w:rsidRDefault="006B5718" w:rsidP="009C70C0">
            <w:pPr>
              <w:pStyle w:val="KeinLeerraum"/>
              <w:rPr>
                <w:rFonts w:ascii="Times New Roman" w:hAnsi="Times New Roman"/>
                <w:lang w:val="en-GB"/>
              </w:rPr>
            </w:pPr>
          </w:p>
        </w:tc>
        <w:tc>
          <w:tcPr>
            <w:tcW w:w="4678" w:type="dxa"/>
          </w:tcPr>
          <w:p w14:paraId="1ACE8CF1" w14:textId="77777777" w:rsidR="006B5718" w:rsidRPr="00666899" w:rsidRDefault="006B5718" w:rsidP="009C70C0">
            <w:pPr>
              <w:pStyle w:val="KeinLeerraum"/>
              <w:rPr>
                <w:rFonts w:ascii="Times New Roman" w:hAnsi="Times New Roman"/>
                <w:lang w:val="en-GB"/>
              </w:rPr>
            </w:pPr>
            <w:r w:rsidRPr="00666899">
              <w:rPr>
                <w:rFonts w:ascii="Times New Roman" w:hAnsi="Times New Roman"/>
                <w:b/>
                <w:lang w:val="en-GB"/>
              </w:rPr>
              <w:t>Luxembourg/Luxemburg</w:t>
            </w:r>
          </w:p>
          <w:p w14:paraId="0101A7C9" w14:textId="77777777" w:rsidR="006B5718" w:rsidRPr="00666899" w:rsidRDefault="006B5718" w:rsidP="009C70C0">
            <w:pPr>
              <w:pStyle w:val="KeinLeerraum"/>
              <w:rPr>
                <w:rFonts w:ascii="Times New Roman" w:hAnsi="Times New Roman"/>
                <w:lang w:val="en-GB"/>
              </w:rPr>
            </w:pPr>
            <w:r w:rsidRPr="00666899">
              <w:rPr>
                <w:rFonts w:ascii="Times New Roman" w:hAnsi="Times New Roman"/>
                <w:lang w:val="en-GB"/>
              </w:rPr>
              <w:t>Actavis Group PTC ehf.</w:t>
            </w:r>
          </w:p>
          <w:p w14:paraId="378E8045" w14:textId="77777777" w:rsidR="006B5718" w:rsidRDefault="006B5718" w:rsidP="009C70C0">
            <w:pPr>
              <w:pStyle w:val="KeinLeerraum"/>
              <w:rPr>
                <w:rFonts w:ascii="Times New Roman" w:hAnsi="Times New Roman"/>
                <w:lang w:val="en-GB"/>
              </w:rPr>
            </w:pPr>
            <w:r w:rsidRPr="00DC08DD">
              <w:rPr>
                <w:rFonts w:ascii="Times New Roman" w:hAnsi="Times New Roman"/>
                <w:lang w:val="en-GB"/>
              </w:rPr>
              <w:t>Islande/Island</w:t>
            </w:r>
          </w:p>
          <w:p w14:paraId="70DB9E06" w14:textId="77777777" w:rsidR="006B5718" w:rsidRPr="001B0C82" w:rsidRDefault="006B5718" w:rsidP="009C70C0">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44A3202" w14:textId="77777777" w:rsidR="006B5718" w:rsidRPr="00DC08DD" w:rsidRDefault="006B5718" w:rsidP="009C70C0">
            <w:pPr>
              <w:pStyle w:val="KeinLeerraum"/>
              <w:rPr>
                <w:rFonts w:ascii="Times New Roman" w:hAnsi="Times New Roman"/>
                <w:lang w:val="en-GB"/>
              </w:rPr>
            </w:pPr>
          </w:p>
        </w:tc>
      </w:tr>
      <w:tr w:rsidR="006B5718" w:rsidRPr="00DC08DD" w14:paraId="6955793C" w14:textId="77777777" w:rsidTr="009C70C0">
        <w:trPr>
          <w:gridBefore w:val="1"/>
          <w:wBefore w:w="34" w:type="dxa"/>
          <w:cantSplit/>
          <w:trHeight w:val="751"/>
        </w:trPr>
        <w:tc>
          <w:tcPr>
            <w:tcW w:w="4644" w:type="dxa"/>
          </w:tcPr>
          <w:p w14:paraId="04DE262E" w14:textId="77777777" w:rsidR="006B5718" w:rsidRPr="00666899" w:rsidRDefault="006B5718" w:rsidP="009C70C0">
            <w:pPr>
              <w:pStyle w:val="KeinLeerraum"/>
              <w:rPr>
                <w:rFonts w:ascii="Times New Roman" w:hAnsi="Times New Roman"/>
              </w:rPr>
            </w:pPr>
            <w:r w:rsidRPr="00666899">
              <w:rPr>
                <w:rFonts w:ascii="Times New Roman" w:hAnsi="Times New Roman"/>
                <w:b/>
              </w:rPr>
              <w:t>Česká republika</w:t>
            </w:r>
          </w:p>
          <w:p w14:paraId="596B6C08" w14:textId="77777777" w:rsidR="006B5718" w:rsidRPr="00DC08DD" w:rsidRDefault="006B5718" w:rsidP="009C70C0">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091C4707"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CDD7C09" w14:textId="77777777" w:rsidR="006B5718" w:rsidRPr="00DC08DD" w:rsidRDefault="006B5718" w:rsidP="009C70C0">
            <w:pPr>
              <w:pStyle w:val="KeinLeerraum"/>
              <w:rPr>
                <w:rFonts w:ascii="Times New Roman" w:hAnsi="Times New Roman"/>
                <w:lang w:val="en-GB"/>
              </w:rPr>
            </w:pPr>
          </w:p>
        </w:tc>
        <w:tc>
          <w:tcPr>
            <w:tcW w:w="4678" w:type="dxa"/>
          </w:tcPr>
          <w:p w14:paraId="77EC2A5A"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Magyarország</w:t>
            </w:r>
          </w:p>
          <w:p w14:paraId="3A21AAAB" w14:textId="77777777" w:rsidR="006B5718" w:rsidRPr="00DC08DD" w:rsidRDefault="006B5718" w:rsidP="009C70C0">
            <w:pPr>
              <w:pStyle w:val="KeinLeerraum"/>
              <w:rPr>
                <w:rFonts w:ascii="Times New Roman" w:hAnsi="Times New Roman"/>
                <w:lang w:val="en-GB"/>
              </w:rPr>
            </w:pPr>
            <w:r w:rsidRPr="00DC08DD">
              <w:rPr>
                <w:rFonts w:ascii="Times New Roman" w:hAnsi="Times New Roman"/>
                <w:noProof/>
              </w:rPr>
              <w:t>Teva Gyógyszergyár Zrt.</w:t>
            </w:r>
          </w:p>
          <w:p w14:paraId="389D3238"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19C6EDB" w14:textId="77777777" w:rsidR="006B5718" w:rsidRPr="00DC08DD" w:rsidRDefault="006B5718" w:rsidP="009C70C0">
            <w:pPr>
              <w:pStyle w:val="KeinLeerraum"/>
              <w:rPr>
                <w:rFonts w:ascii="Times New Roman" w:hAnsi="Times New Roman"/>
                <w:lang w:val="en-GB"/>
              </w:rPr>
            </w:pPr>
          </w:p>
        </w:tc>
      </w:tr>
      <w:tr w:rsidR="006B5718" w:rsidRPr="00DC08DD" w14:paraId="6ED1CDC3" w14:textId="77777777" w:rsidTr="009C70C0">
        <w:trPr>
          <w:gridBefore w:val="1"/>
          <w:wBefore w:w="34" w:type="dxa"/>
          <w:cantSplit/>
        </w:trPr>
        <w:tc>
          <w:tcPr>
            <w:tcW w:w="4644" w:type="dxa"/>
          </w:tcPr>
          <w:p w14:paraId="0F18DD0D"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Danmark</w:t>
            </w:r>
          </w:p>
          <w:p w14:paraId="47E4EA07"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Teva Denmark A/S</w:t>
            </w:r>
          </w:p>
          <w:p w14:paraId="33F2F220"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Tlf: +45 44985511</w:t>
            </w:r>
          </w:p>
          <w:p w14:paraId="0A3F7877" w14:textId="77777777" w:rsidR="006B5718" w:rsidRPr="00DC08DD" w:rsidRDefault="006B5718" w:rsidP="009C70C0">
            <w:pPr>
              <w:pStyle w:val="KeinLeerraum"/>
              <w:rPr>
                <w:rFonts w:ascii="Times New Roman" w:hAnsi="Times New Roman"/>
                <w:lang w:val="en-GB"/>
              </w:rPr>
            </w:pPr>
          </w:p>
        </w:tc>
        <w:tc>
          <w:tcPr>
            <w:tcW w:w="4678" w:type="dxa"/>
          </w:tcPr>
          <w:p w14:paraId="3FFD219B"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Malta</w:t>
            </w:r>
          </w:p>
          <w:p w14:paraId="6CFF0FDF"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Actavis Ltd.</w:t>
            </w:r>
          </w:p>
          <w:p w14:paraId="1010D2AE"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706F09A4" w14:textId="77777777" w:rsidR="006B5718" w:rsidRPr="00DC08DD" w:rsidRDefault="006B5718" w:rsidP="009C70C0">
            <w:pPr>
              <w:pStyle w:val="KeinLeerraum"/>
              <w:rPr>
                <w:rFonts w:ascii="Times New Roman" w:hAnsi="Times New Roman"/>
                <w:lang w:val="en-GB"/>
              </w:rPr>
            </w:pPr>
          </w:p>
        </w:tc>
      </w:tr>
      <w:tr w:rsidR="006B5718" w:rsidRPr="00DC08DD" w14:paraId="38D73A7D" w14:textId="77777777" w:rsidTr="009C70C0">
        <w:trPr>
          <w:gridBefore w:val="1"/>
          <w:wBefore w:w="34" w:type="dxa"/>
          <w:cantSplit/>
        </w:trPr>
        <w:tc>
          <w:tcPr>
            <w:tcW w:w="4644" w:type="dxa"/>
          </w:tcPr>
          <w:p w14:paraId="01CFB558" w14:textId="77777777" w:rsidR="006B5718" w:rsidRPr="00666899" w:rsidRDefault="006B5718" w:rsidP="009C70C0">
            <w:pPr>
              <w:pStyle w:val="KeinLeerraum"/>
              <w:rPr>
                <w:rFonts w:ascii="Times New Roman" w:hAnsi="Times New Roman"/>
                <w:lang w:val="de-DE"/>
              </w:rPr>
            </w:pPr>
            <w:r w:rsidRPr="00666899">
              <w:rPr>
                <w:rFonts w:ascii="Times New Roman" w:hAnsi="Times New Roman"/>
                <w:b/>
                <w:lang w:val="de-DE"/>
              </w:rPr>
              <w:t>Deutschland</w:t>
            </w:r>
          </w:p>
          <w:p w14:paraId="186C9C0E" w14:textId="77777777" w:rsidR="006B5718" w:rsidRPr="00666899" w:rsidRDefault="006B5718" w:rsidP="009C70C0">
            <w:pPr>
              <w:spacing w:after="0" w:line="240" w:lineRule="auto"/>
              <w:rPr>
                <w:rFonts w:ascii="Times New Roman" w:hAnsi="Times New Roman"/>
                <w:lang w:val="de-DE"/>
              </w:rPr>
            </w:pPr>
            <w:r w:rsidRPr="00666899">
              <w:rPr>
                <w:rFonts w:ascii="Times New Roman" w:hAnsi="Times New Roman"/>
                <w:lang w:val="de-DE"/>
              </w:rPr>
              <w:t>Actavis Group PTC ehf.</w:t>
            </w:r>
          </w:p>
          <w:p w14:paraId="19AB8993" w14:textId="77777777" w:rsidR="006B5718" w:rsidRDefault="006B5718" w:rsidP="009C70C0">
            <w:pPr>
              <w:pStyle w:val="KeinLeerraum"/>
              <w:rPr>
                <w:rFonts w:ascii="Times New Roman" w:hAnsi="Times New Roman"/>
                <w:lang w:val="en-US"/>
              </w:rPr>
            </w:pPr>
            <w:r w:rsidRPr="00DC08DD">
              <w:rPr>
                <w:rFonts w:ascii="Times New Roman" w:hAnsi="Times New Roman"/>
                <w:lang w:val="en-US"/>
              </w:rPr>
              <w:t>Island</w:t>
            </w:r>
          </w:p>
          <w:p w14:paraId="64C997A1" w14:textId="77777777" w:rsidR="006B5718" w:rsidRPr="00DC08DD" w:rsidRDefault="006B5718" w:rsidP="009C70C0">
            <w:pPr>
              <w:pStyle w:val="KeinLeerraum"/>
              <w:rPr>
                <w:rFonts w:ascii="Times New Roman" w:hAnsi="Times New Roman"/>
                <w:lang w:val="en-GB"/>
              </w:rPr>
            </w:pPr>
            <w:r w:rsidRPr="00B85F24">
              <w:rPr>
                <w:rFonts w:ascii="Times New Roman" w:hAnsi="Times New Roman"/>
                <w:lang w:val="en-GB"/>
              </w:rPr>
              <w:t>Tel: +354 5503300</w:t>
            </w:r>
          </w:p>
          <w:p w14:paraId="24CAE36A" w14:textId="77777777" w:rsidR="006B5718" w:rsidRPr="00DC08DD" w:rsidRDefault="006B5718" w:rsidP="009C70C0">
            <w:pPr>
              <w:pStyle w:val="KeinLeerraum"/>
              <w:rPr>
                <w:rFonts w:ascii="Times New Roman" w:hAnsi="Times New Roman"/>
                <w:lang w:val="en-GB"/>
              </w:rPr>
            </w:pPr>
          </w:p>
        </w:tc>
        <w:tc>
          <w:tcPr>
            <w:tcW w:w="4678" w:type="dxa"/>
          </w:tcPr>
          <w:p w14:paraId="168330E1"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Nederland</w:t>
            </w:r>
          </w:p>
          <w:p w14:paraId="41F6D346" w14:textId="77777777" w:rsidR="006B5718" w:rsidRPr="00DC08DD" w:rsidRDefault="006B5718" w:rsidP="009C70C0">
            <w:pPr>
              <w:pStyle w:val="KeinLeerraum"/>
              <w:rPr>
                <w:rFonts w:ascii="Times New Roman" w:hAnsi="Times New Roman"/>
                <w:iCs/>
                <w:lang w:val="en-GB"/>
              </w:rPr>
            </w:pPr>
            <w:r w:rsidRPr="00DC08DD">
              <w:rPr>
                <w:rFonts w:ascii="Times New Roman" w:hAnsi="Times New Roman"/>
                <w:iCs/>
                <w:lang w:val="en-GB"/>
              </w:rPr>
              <w:t>Actavis Group PTC ehf.</w:t>
            </w:r>
          </w:p>
          <w:p w14:paraId="3513EC5D" w14:textId="77777777" w:rsidR="006B5718" w:rsidRDefault="006B5718" w:rsidP="009C70C0">
            <w:pPr>
              <w:pStyle w:val="KeinLeerraum"/>
              <w:rPr>
                <w:rFonts w:ascii="Times New Roman" w:hAnsi="Times New Roman"/>
                <w:iCs/>
                <w:lang w:val="en-GB"/>
              </w:rPr>
            </w:pPr>
            <w:r w:rsidRPr="00DC08DD">
              <w:rPr>
                <w:rFonts w:ascii="Times New Roman" w:hAnsi="Times New Roman"/>
                <w:iCs/>
                <w:lang w:val="en-GB"/>
              </w:rPr>
              <w:t>IJsland</w:t>
            </w:r>
          </w:p>
          <w:p w14:paraId="585F6DA5" w14:textId="77777777" w:rsidR="006B5718" w:rsidRPr="00C5795F" w:rsidRDefault="006B5718" w:rsidP="009C70C0">
            <w:pPr>
              <w:pStyle w:val="KeinLeerraum"/>
              <w:rPr>
                <w:rFonts w:ascii="Times New Roman" w:hAnsi="Times New Roman"/>
                <w:lang w:val="en-GB"/>
              </w:rPr>
            </w:pPr>
            <w:r w:rsidRPr="00B85F24">
              <w:rPr>
                <w:rFonts w:ascii="Times New Roman" w:hAnsi="Times New Roman"/>
                <w:lang w:val="en-GB"/>
              </w:rPr>
              <w:t>Tel: +354 5503300</w:t>
            </w:r>
          </w:p>
          <w:p w14:paraId="5FFE462E" w14:textId="77777777" w:rsidR="006B5718" w:rsidRPr="00DC08DD" w:rsidRDefault="006B5718" w:rsidP="009C70C0">
            <w:pPr>
              <w:pStyle w:val="KeinLeerraum"/>
              <w:rPr>
                <w:rFonts w:ascii="Times New Roman" w:hAnsi="Times New Roman"/>
                <w:lang w:val="en-GB"/>
              </w:rPr>
            </w:pPr>
          </w:p>
        </w:tc>
      </w:tr>
      <w:tr w:rsidR="006B5718" w:rsidRPr="00DC08DD" w14:paraId="78245DF2" w14:textId="77777777" w:rsidTr="009C70C0">
        <w:trPr>
          <w:gridBefore w:val="1"/>
          <w:wBefore w:w="34" w:type="dxa"/>
          <w:cantSplit/>
        </w:trPr>
        <w:tc>
          <w:tcPr>
            <w:tcW w:w="4644" w:type="dxa"/>
          </w:tcPr>
          <w:p w14:paraId="33EB96D7" w14:textId="77777777" w:rsidR="006B5718" w:rsidRPr="00666899" w:rsidRDefault="006B5718" w:rsidP="009C70C0">
            <w:pPr>
              <w:pStyle w:val="KeinLeerraum"/>
              <w:rPr>
                <w:rFonts w:ascii="Times New Roman" w:hAnsi="Times New Roman"/>
                <w:b/>
                <w:bCs/>
                <w:lang w:val="it-IT"/>
              </w:rPr>
            </w:pPr>
            <w:r w:rsidRPr="00666899">
              <w:rPr>
                <w:rFonts w:ascii="Times New Roman" w:hAnsi="Times New Roman"/>
                <w:b/>
                <w:bCs/>
                <w:lang w:val="it-IT"/>
              </w:rPr>
              <w:t>Eesti</w:t>
            </w:r>
          </w:p>
          <w:p w14:paraId="7006903E" w14:textId="2ABD6819" w:rsidR="006B5718" w:rsidRPr="00666899" w:rsidRDefault="006B5718" w:rsidP="009C70C0">
            <w:pPr>
              <w:pStyle w:val="KeinLeerraum"/>
              <w:rPr>
                <w:rFonts w:ascii="Times New Roman" w:hAnsi="Times New Roman"/>
                <w:lang w:val="it-IT"/>
              </w:rPr>
            </w:pPr>
            <w:r w:rsidRPr="00666899">
              <w:rPr>
                <w:rFonts w:ascii="Times New Roman" w:hAnsi="Times New Roman"/>
                <w:lang w:val="it-IT"/>
              </w:rPr>
              <w:t>UAB Teva Baltics</w:t>
            </w:r>
            <w:r w:rsidRPr="00DC08DD">
              <w:rPr>
                <w:rFonts w:ascii="Times New Roman" w:hAnsi="Times New Roman"/>
                <w:noProof/>
              </w:rPr>
              <w:t xml:space="preserve"> Eesti filiaal</w:t>
            </w:r>
          </w:p>
          <w:p w14:paraId="46D88812"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BE8E371" w14:textId="77777777" w:rsidR="006B5718" w:rsidRPr="00DC08DD" w:rsidRDefault="006B5718" w:rsidP="009C70C0">
            <w:pPr>
              <w:pStyle w:val="KeinLeerraum"/>
              <w:rPr>
                <w:rFonts w:ascii="Times New Roman" w:hAnsi="Times New Roman"/>
                <w:lang w:val="en-GB"/>
              </w:rPr>
            </w:pPr>
          </w:p>
        </w:tc>
        <w:tc>
          <w:tcPr>
            <w:tcW w:w="4678" w:type="dxa"/>
          </w:tcPr>
          <w:p w14:paraId="306A5C24"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Norge</w:t>
            </w:r>
          </w:p>
          <w:p w14:paraId="7B5D8EBE" w14:textId="77777777" w:rsidR="006B5718" w:rsidRPr="0056362A" w:rsidRDefault="006B5718" w:rsidP="009C70C0">
            <w:pPr>
              <w:pStyle w:val="KeinLeerraum"/>
              <w:rPr>
                <w:rFonts w:ascii="Times New Roman" w:hAnsi="Times New Roman"/>
                <w:iCs/>
                <w:lang w:val="en-US"/>
              </w:rPr>
            </w:pPr>
            <w:r w:rsidRPr="0056362A">
              <w:rPr>
                <w:rFonts w:ascii="Times New Roman" w:hAnsi="Times New Roman"/>
                <w:iCs/>
                <w:lang w:val="en-US"/>
              </w:rPr>
              <w:t>Teva Norway AS</w:t>
            </w:r>
          </w:p>
          <w:p w14:paraId="4F39FBAB" w14:textId="77777777" w:rsidR="006B5718" w:rsidRPr="0056362A" w:rsidRDefault="006B5718" w:rsidP="009C70C0">
            <w:pPr>
              <w:pStyle w:val="KeinLeerraum"/>
              <w:rPr>
                <w:rFonts w:ascii="Times New Roman" w:hAnsi="Times New Roman"/>
                <w:iCs/>
                <w:lang w:val="en-US"/>
              </w:rPr>
            </w:pPr>
            <w:r w:rsidRPr="0056362A">
              <w:rPr>
                <w:rFonts w:ascii="Times New Roman" w:hAnsi="Times New Roman"/>
                <w:iCs/>
                <w:lang w:val="en-US"/>
              </w:rPr>
              <w:t>Tlf: +47 66775590</w:t>
            </w:r>
          </w:p>
          <w:p w14:paraId="7E78B77E" w14:textId="77777777" w:rsidR="006B5718" w:rsidRPr="00DC08DD" w:rsidRDefault="006B5718" w:rsidP="009C70C0">
            <w:pPr>
              <w:pStyle w:val="KeinLeerraum"/>
              <w:rPr>
                <w:rFonts w:ascii="Times New Roman" w:hAnsi="Times New Roman"/>
                <w:lang w:val="en-GB"/>
              </w:rPr>
            </w:pPr>
          </w:p>
        </w:tc>
      </w:tr>
      <w:tr w:rsidR="006B5718" w:rsidRPr="00DC08DD" w14:paraId="708B39D9" w14:textId="77777777" w:rsidTr="009C70C0">
        <w:trPr>
          <w:gridBefore w:val="1"/>
          <w:wBefore w:w="34" w:type="dxa"/>
          <w:cantSplit/>
        </w:trPr>
        <w:tc>
          <w:tcPr>
            <w:tcW w:w="4644" w:type="dxa"/>
          </w:tcPr>
          <w:p w14:paraId="263512D0" w14:textId="77777777" w:rsidR="006B5718" w:rsidRPr="00666899" w:rsidRDefault="006B5718" w:rsidP="009C70C0">
            <w:pPr>
              <w:pStyle w:val="KeinLeerraum"/>
              <w:rPr>
                <w:rFonts w:ascii="Times New Roman" w:hAnsi="Times New Roman"/>
              </w:rPr>
            </w:pPr>
            <w:r w:rsidRPr="00DC08DD">
              <w:rPr>
                <w:rFonts w:ascii="Times New Roman" w:hAnsi="Times New Roman"/>
                <w:b/>
                <w:lang w:val="en-GB"/>
              </w:rPr>
              <w:t>Ελλάδα</w:t>
            </w:r>
          </w:p>
          <w:p w14:paraId="5D1F7FD1" w14:textId="77777777" w:rsidR="006B5718" w:rsidRPr="00666899" w:rsidRDefault="006B5718" w:rsidP="009C70C0">
            <w:pPr>
              <w:pStyle w:val="NormalParagraphStyle"/>
              <w:spacing w:line="240" w:lineRule="auto"/>
              <w:rPr>
                <w:rFonts w:ascii="Times New Roman" w:hAnsi="Times New Roman"/>
                <w:color w:val="auto"/>
                <w:sz w:val="22"/>
                <w:szCs w:val="22"/>
                <w:lang w:val="is-IS"/>
              </w:rPr>
            </w:pPr>
            <w:r w:rsidRPr="00666899">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C774EFE" w14:textId="3F4F44F9" w:rsidR="006B5718" w:rsidRPr="00DC08DD" w:rsidRDefault="006B5718" w:rsidP="009C70C0">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81E267D" w14:textId="77777777" w:rsidR="006B5718" w:rsidRPr="00666899" w:rsidRDefault="006B5718" w:rsidP="009C70C0">
            <w:pPr>
              <w:pStyle w:val="KeinLeerraum"/>
              <w:rPr>
                <w:rFonts w:ascii="Times New Roman" w:hAnsi="Times New Roman"/>
              </w:rPr>
            </w:pPr>
          </w:p>
        </w:tc>
        <w:tc>
          <w:tcPr>
            <w:tcW w:w="4678" w:type="dxa"/>
          </w:tcPr>
          <w:p w14:paraId="27B75670" w14:textId="77777777" w:rsidR="006B5718" w:rsidRPr="0056362A" w:rsidRDefault="006B5718" w:rsidP="009C70C0">
            <w:pPr>
              <w:pStyle w:val="KeinLeerraum"/>
              <w:rPr>
                <w:rFonts w:ascii="Times New Roman" w:hAnsi="Times New Roman"/>
                <w:lang w:val="de-DE"/>
              </w:rPr>
            </w:pPr>
            <w:r w:rsidRPr="0056362A">
              <w:rPr>
                <w:rFonts w:ascii="Times New Roman" w:hAnsi="Times New Roman"/>
                <w:b/>
                <w:lang w:val="de-DE"/>
              </w:rPr>
              <w:t>Österreich</w:t>
            </w:r>
          </w:p>
          <w:p w14:paraId="3F7BD609" w14:textId="77777777" w:rsidR="006B5718" w:rsidRPr="0056362A" w:rsidRDefault="006B5718" w:rsidP="009C70C0">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0CCEFED3" w14:textId="77777777" w:rsidR="006B5718" w:rsidRPr="00DC08DD" w:rsidRDefault="006B5718" w:rsidP="009C70C0">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7C12992C" w14:textId="77777777" w:rsidR="006B5718" w:rsidRPr="0056362A" w:rsidRDefault="006B5718" w:rsidP="009C70C0">
            <w:pPr>
              <w:pStyle w:val="KeinLeerraum"/>
              <w:rPr>
                <w:rFonts w:ascii="Times New Roman" w:hAnsi="Times New Roman"/>
                <w:lang w:val="de-DE"/>
              </w:rPr>
            </w:pPr>
          </w:p>
        </w:tc>
      </w:tr>
      <w:tr w:rsidR="006B5718" w:rsidRPr="00DC08DD" w14:paraId="07C64E45" w14:textId="77777777" w:rsidTr="009C70C0">
        <w:trPr>
          <w:cantSplit/>
        </w:trPr>
        <w:tc>
          <w:tcPr>
            <w:tcW w:w="4678" w:type="dxa"/>
            <w:gridSpan w:val="2"/>
          </w:tcPr>
          <w:p w14:paraId="28372641" w14:textId="77777777" w:rsidR="006B5718" w:rsidRPr="00666899" w:rsidRDefault="006B5718" w:rsidP="009C70C0">
            <w:pPr>
              <w:pStyle w:val="KeinLeerraum"/>
              <w:rPr>
                <w:rFonts w:ascii="Times New Roman" w:hAnsi="Times New Roman"/>
                <w:b/>
                <w:lang w:val="es-ES"/>
              </w:rPr>
            </w:pPr>
            <w:r w:rsidRPr="00666899">
              <w:rPr>
                <w:rFonts w:ascii="Times New Roman" w:hAnsi="Times New Roman"/>
                <w:b/>
                <w:lang w:val="es-ES"/>
              </w:rPr>
              <w:t>España</w:t>
            </w:r>
          </w:p>
          <w:p w14:paraId="66C35F28" w14:textId="77777777" w:rsidR="006B5718" w:rsidRPr="00666899" w:rsidRDefault="006B5718" w:rsidP="009C70C0">
            <w:pPr>
              <w:pStyle w:val="KeinLeerraum"/>
              <w:rPr>
                <w:rFonts w:ascii="Times New Roman" w:hAnsi="Times New Roman"/>
                <w:iCs/>
                <w:lang w:val="es-ES"/>
              </w:rPr>
            </w:pPr>
            <w:r w:rsidRPr="00666899">
              <w:rPr>
                <w:rFonts w:ascii="Times New Roman" w:hAnsi="Times New Roman"/>
                <w:iCs/>
                <w:lang w:val="es-ES"/>
              </w:rPr>
              <w:t>Actavis Group PTC ehf.</w:t>
            </w:r>
          </w:p>
          <w:p w14:paraId="70266FAC" w14:textId="77777777" w:rsidR="006B5718" w:rsidRDefault="006B5718" w:rsidP="009C70C0">
            <w:pPr>
              <w:pStyle w:val="KeinLeerraum"/>
              <w:rPr>
                <w:rFonts w:ascii="Times New Roman" w:hAnsi="Times New Roman"/>
                <w:lang w:val="en-GB"/>
              </w:rPr>
            </w:pPr>
            <w:r w:rsidRPr="00DC08DD">
              <w:rPr>
                <w:rFonts w:ascii="Times New Roman" w:hAnsi="Times New Roman"/>
                <w:lang w:val="en-GB"/>
              </w:rPr>
              <w:t>Islandia</w:t>
            </w:r>
          </w:p>
          <w:p w14:paraId="0D971A24" w14:textId="77777777" w:rsidR="006B5718" w:rsidRPr="00DC08DD" w:rsidRDefault="006B5718" w:rsidP="009C70C0">
            <w:pPr>
              <w:pStyle w:val="KeinLeerraum"/>
              <w:rPr>
                <w:rFonts w:ascii="Times New Roman" w:hAnsi="Times New Roman"/>
                <w:lang w:val="en-GB"/>
              </w:rPr>
            </w:pPr>
            <w:r w:rsidRPr="00B85F24">
              <w:rPr>
                <w:rFonts w:ascii="Times New Roman" w:hAnsi="Times New Roman"/>
                <w:lang w:val="en-GB"/>
              </w:rPr>
              <w:t>Tel: +354 5503300</w:t>
            </w:r>
          </w:p>
          <w:p w14:paraId="78D285E8" w14:textId="77777777" w:rsidR="006B5718" w:rsidRPr="00DC08DD" w:rsidRDefault="006B5718" w:rsidP="009C70C0">
            <w:pPr>
              <w:pStyle w:val="KeinLeerraum"/>
              <w:rPr>
                <w:rFonts w:ascii="Times New Roman" w:hAnsi="Times New Roman"/>
                <w:lang w:val="en-GB"/>
              </w:rPr>
            </w:pPr>
          </w:p>
        </w:tc>
        <w:tc>
          <w:tcPr>
            <w:tcW w:w="4678" w:type="dxa"/>
          </w:tcPr>
          <w:p w14:paraId="3F680347" w14:textId="77777777" w:rsidR="006B5718" w:rsidRPr="00DC08DD" w:rsidRDefault="006B5718" w:rsidP="009C70C0">
            <w:pPr>
              <w:pStyle w:val="KeinLeerraum"/>
              <w:rPr>
                <w:rFonts w:ascii="Times New Roman" w:hAnsi="Times New Roman"/>
                <w:b/>
                <w:bCs/>
                <w:i/>
                <w:iCs/>
                <w:lang w:val="en-GB"/>
              </w:rPr>
            </w:pPr>
            <w:r w:rsidRPr="00DC08DD">
              <w:rPr>
                <w:rFonts w:ascii="Times New Roman" w:hAnsi="Times New Roman"/>
                <w:b/>
                <w:lang w:val="en-GB"/>
              </w:rPr>
              <w:t>Polska</w:t>
            </w:r>
          </w:p>
          <w:p w14:paraId="14528726" w14:textId="77777777" w:rsidR="006B5718" w:rsidRPr="00DC08DD" w:rsidRDefault="006B5718" w:rsidP="009C70C0">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3D1773CD" w14:textId="77777777" w:rsidR="006B5718" w:rsidRPr="00DC08DD" w:rsidRDefault="006B5718" w:rsidP="009C70C0">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47C265C0" w14:textId="77777777" w:rsidR="006B5718" w:rsidRPr="00DC08DD" w:rsidRDefault="006B5718" w:rsidP="009C70C0">
            <w:pPr>
              <w:pStyle w:val="KeinLeerraum"/>
              <w:rPr>
                <w:rFonts w:ascii="Times New Roman" w:hAnsi="Times New Roman"/>
                <w:lang w:val="en-GB"/>
              </w:rPr>
            </w:pPr>
          </w:p>
        </w:tc>
      </w:tr>
      <w:tr w:rsidR="006B5718" w:rsidRPr="00DC08DD" w14:paraId="2EA5E853" w14:textId="77777777" w:rsidTr="009C70C0">
        <w:trPr>
          <w:cantSplit/>
        </w:trPr>
        <w:tc>
          <w:tcPr>
            <w:tcW w:w="4678" w:type="dxa"/>
            <w:gridSpan w:val="2"/>
          </w:tcPr>
          <w:p w14:paraId="5DB56689" w14:textId="77777777" w:rsidR="006B5718" w:rsidRPr="00666899" w:rsidRDefault="006B5718" w:rsidP="009C70C0">
            <w:pPr>
              <w:pStyle w:val="KeinLeerraum"/>
              <w:rPr>
                <w:rFonts w:ascii="Times New Roman" w:hAnsi="Times New Roman"/>
                <w:b/>
                <w:lang w:val="fr-FR"/>
              </w:rPr>
            </w:pPr>
            <w:r w:rsidRPr="00666899">
              <w:rPr>
                <w:rFonts w:ascii="Times New Roman" w:hAnsi="Times New Roman"/>
                <w:b/>
                <w:lang w:val="fr-FR"/>
              </w:rPr>
              <w:t>France</w:t>
            </w:r>
          </w:p>
          <w:p w14:paraId="132B7BD3" w14:textId="77777777" w:rsidR="006B5718" w:rsidRPr="00666899" w:rsidRDefault="006B5718" w:rsidP="009C70C0">
            <w:pPr>
              <w:pStyle w:val="KeinLeerraum"/>
              <w:rPr>
                <w:rFonts w:ascii="Times New Roman" w:hAnsi="Times New Roman"/>
                <w:lang w:val="fr-FR"/>
              </w:rPr>
            </w:pPr>
            <w:r w:rsidRPr="00666899">
              <w:rPr>
                <w:rFonts w:ascii="Times New Roman" w:hAnsi="Times New Roman"/>
                <w:lang w:val="fr-FR"/>
              </w:rPr>
              <w:t>Actavis Group PTC ehf.</w:t>
            </w:r>
          </w:p>
          <w:p w14:paraId="063A1044" w14:textId="77777777" w:rsidR="006B5718" w:rsidRDefault="006B5718" w:rsidP="009C70C0">
            <w:pPr>
              <w:pStyle w:val="KeinLeerraum"/>
              <w:rPr>
                <w:rFonts w:ascii="Times New Roman" w:hAnsi="Times New Roman"/>
                <w:lang w:val="fr-FR"/>
              </w:rPr>
            </w:pPr>
            <w:r w:rsidRPr="00DC08DD">
              <w:rPr>
                <w:rFonts w:ascii="Times New Roman" w:hAnsi="Times New Roman"/>
                <w:lang w:val="fr-FR"/>
              </w:rPr>
              <w:t>Islande</w:t>
            </w:r>
          </w:p>
          <w:p w14:paraId="7C8EC688" w14:textId="77777777" w:rsidR="006B5718" w:rsidRPr="00666899" w:rsidRDefault="006B5718" w:rsidP="009C70C0">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66899">
              <w:rPr>
                <w:rFonts w:ascii="Times New Roman" w:hAnsi="Times New Roman"/>
                <w:lang w:val="fr-FR"/>
              </w:rPr>
              <w:t xml:space="preserve"> +354 5503300</w:t>
            </w:r>
          </w:p>
          <w:p w14:paraId="0C635AB4" w14:textId="77777777" w:rsidR="006B5718" w:rsidRPr="00666899" w:rsidRDefault="006B5718" w:rsidP="009C70C0">
            <w:pPr>
              <w:pStyle w:val="KeinLeerraum"/>
              <w:rPr>
                <w:rFonts w:ascii="Times New Roman" w:hAnsi="Times New Roman"/>
                <w:b/>
                <w:lang w:val="fr-FR"/>
              </w:rPr>
            </w:pPr>
          </w:p>
        </w:tc>
        <w:tc>
          <w:tcPr>
            <w:tcW w:w="4678" w:type="dxa"/>
          </w:tcPr>
          <w:p w14:paraId="5A9B5247" w14:textId="77777777" w:rsidR="006B5718" w:rsidRPr="00666899" w:rsidRDefault="006B5718" w:rsidP="009C70C0">
            <w:pPr>
              <w:pStyle w:val="KeinLeerraum"/>
              <w:rPr>
                <w:rFonts w:ascii="Times New Roman" w:hAnsi="Times New Roman"/>
                <w:b/>
                <w:lang w:val="pt-BR"/>
              </w:rPr>
            </w:pPr>
            <w:r w:rsidRPr="00666899">
              <w:rPr>
                <w:rFonts w:ascii="Times New Roman" w:hAnsi="Times New Roman"/>
                <w:b/>
                <w:lang w:val="pt-BR"/>
              </w:rPr>
              <w:t>Portugal</w:t>
            </w:r>
          </w:p>
          <w:p w14:paraId="13B0520D" w14:textId="77777777" w:rsidR="006B5718" w:rsidRPr="00666899" w:rsidRDefault="006B5718" w:rsidP="009C70C0">
            <w:pPr>
              <w:pStyle w:val="KeinLeerraum"/>
              <w:rPr>
                <w:rFonts w:ascii="Times New Roman" w:hAnsi="Times New Roman"/>
                <w:iCs/>
                <w:lang w:val="pt-BR"/>
              </w:rPr>
            </w:pPr>
            <w:r w:rsidRPr="00666899">
              <w:rPr>
                <w:rFonts w:ascii="Times New Roman" w:hAnsi="Times New Roman"/>
                <w:iCs/>
                <w:lang w:val="pt-BR"/>
              </w:rPr>
              <w:t>Actavis Group PTC ehf.</w:t>
            </w:r>
          </w:p>
          <w:p w14:paraId="6E48718B" w14:textId="77777777" w:rsidR="006B5718" w:rsidRDefault="006B5718" w:rsidP="009C70C0">
            <w:pPr>
              <w:pStyle w:val="KeinLeerraum"/>
              <w:rPr>
                <w:rFonts w:ascii="Times New Roman" w:hAnsi="Times New Roman"/>
                <w:lang w:val="es-ES"/>
              </w:rPr>
            </w:pPr>
            <w:r w:rsidRPr="00DC08DD">
              <w:rPr>
                <w:rFonts w:ascii="Times New Roman" w:hAnsi="Times New Roman"/>
                <w:lang w:val="es-ES"/>
              </w:rPr>
              <w:t>Islândia</w:t>
            </w:r>
          </w:p>
          <w:p w14:paraId="6C38E3DE" w14:textId="77777777" w:rsidR="006B5718" w:rsidRPr="001B0C82" w:rsidRDefault="006B5718" w:rsidP="009C70C0">
            <w:pPr>
              <w:pStyle w:val="KeinLeerraum"/>
              <w:rPr>
                <w:rFonts w:ascii="Times New Roman" w:hAnsi="Times New Roman"/>
                <w:lang w:val="en-GB"/>
              </w:rPr>
            </w:pPr>
            <w:r w:rsidRPr="00B85F24">
              <w:rPr>
                <w:rFonts w:ascii="Times New Roman" w:hAnsi="Times New Roman"/>
                <w:noProof/>
              </w:rPr>
              <w:t>Tel: +354 5503300</w:t>
            </w:r>
          </w:p>
          <w:p w14:paraId="5D8ABDF2" w14:textId="77777777" w:rsidR="006B5718" w:rsidRPr="00DC08DD" w:rsidRDefault="006B5718" w:rsidP="009C70C0">
            <w:pPr>
              <w:pStyle w:val="KeinLeerraum"/>
              <w:rPr>
                <w:rFonts w:ascii="Times New Roman" w:hAnsi="Times New Roman"/>
                <w:lang w:val="en-GB"/>
              </w:rPr>
            </w:pPr>
          </w:p>
        </w:tc>
      </w:tr>
      <w:tr w:rsidR="006B5718" w:rsidRPr="00DC08DD" w14:paraId="37C3CDF9" w14:textId="77777777" w:rsidTr="009C70C0">
        <w:trPr>
          <w:cantSplit/>
        </w:trPr>
        <w:tc>
          <w:tcPr>
            <w:tcW w:w="4678" w:type="dxa"/>
            <w:gridSpan w:val="2"/>
          </w:tcPr>
          <w:p w14:paraId="2DCE71D9" w14:textId="77777777" w:rsidR="006B5718" w:rsidRPr="00666899" w:rsidRDefault="006B5718" w:rsidP="009C70C0">
            <w:pPr>
              <w:tabs>
                <w:tab w:val="left" w:pos="-720"/>
                <w:tab w:val="left" w:pos="4536"/>
              </w:tabs>
              <w:suppressAutoHyphens/>
              <w:spacing w:after="0" w:line="240" w:lineRule="auto"/>
              <w:ind w:right="567"/>
              <w:rPr>
                <w:rFonts w:ascii="Times New Roman" w:hAnsi="Times New Roman"/>
                <w:b/>
                <w:noProof/>
                <w:lang w:val="sv-SE"/>
              </w:rPr>
            </w:pPr>
            <w:r w:rsidRPr="0056362A">
              <w:rPr>
                <w:rFonts w:ascii="Times New Roman" w:hAnsi="Times New Roman"/>
              </w:rPr>
              <w:br w:type="page"/>
            </w:r>
            <w:r w:rsidRPr="00666899">
              <w:rPr>
                <w:rFonts w:ascii="Times New Roman" w:hAnsi="Times New Roman"/>
                <w:b/>
                <w:noProof/>
                <w:lang w:val="sv-SE"/>
              </w:rPr>
              <w:t>Hrvatska</w:t>
            </w:r>
          </w:p>
          <w:p w14:paraId="63F2666D" w14:textId="77777777" w:rsidR="006B5718" w:rsidRPr="00DC08DD" w:rsidRDefault="006B5718" w:rsidP="009C70C0">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65504035" w14:textId="77777777" w:rsidR="006B5718" w:rsidRPr="00DC08DD" w:rsidRDefault="006B5718" w:rsidP="009C70C0">
            <w:pPr>
              <w:pStyle w:val="KeinLeerraum"/>
              <w:rPr>
                <w:rFonts w:ascii="Times New Roman" w:hAnsi="Times New Roman"/>
              </w:rPr>
            </w:pPr>
            <w:r w:rsidRPr="00DC08DD">
              <w:rPr>
                <w:rFonts w:ascii="Times New Roman" w:hAnsi="Times New Roman"/>
              </w:rPr>
              <w:t>Tel: +385 13720000</w:t>
            </w:r>
          </w:p>
          <w:p w14:paraId="52BC1E93" w14:textId="77777777" w:rsidR="006B5718" w:rsidRPr="00DC08DD" w:rsidRDefault="006B5718" w:rsidP="009C70C0">
            <w:pPr>
              <w:pStyle w:val="KeinLeerraum"/>
              <w:rPr>
                <w:rFonts w:ascii="Times New Roman" w:hAnsi="Times New Roman"/>
                <w:lang w:val="en-GB"/>
              </w:rPr>
            </w:pPr>
          </w:p>
        </w:tc>
        <w:tc>
          <w:tcPr>
            <w:tcW w:w="4678" w:type="dxa"/>
          </w:tcPr>
          <w:p w14:paraId="15EDC7C5"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România</w:t>
            </w:r>
          </w:p>
          <w:p w14:paraId="5E15864A" w14:textId="77777777" w:rsidR="006B5718" w:rsidRPr="00DC08DD" w:rsidRDefault="006B5718" w:rsidP="009C70C0">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7ACDA7C9"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3EAAC13B" w14:textId="77777777" w:rsidR="006B5718" w:rsidRPr="00DC08DD" w:rsidRDefault="006B5718" w:rsidP="009C70C0">
            <w:pPr>
              <w:pStyle w:val="KeinLeerraum"/>
              <w:rPr>
                <w:rFonts w:ascii="Times New Roman" w:hAnsi="Times New Roman"/>
                <w:lang w:val="en-GB"/>
              </w:rPr>
            </w:pPr>
          </w:p>
        </w:tc>
      </w:tr>
      <w:tr w:rsidR="006B5718" w:rsidRPr="00DC08DD" w14:paraId="3E5B2B1C" w14:textId="77777777" w:rsidTr="009C70C0">
        <w:trPr>
          <w:cantSplit/>
        </w:trPr>
        <w:tc>
          <w:tcPr>
            <w:tcW w:w="4678" w:type="dxa"/>
            <w:gridSpan w:val="2"/>
          </w:tcPr>
          <w:p w14:paraId="6DC1A59E"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Ireland</w:t>
            </w:r>
          </w:p>
          <w:p w14:paraId="38FB8846" w14:textId="77777777" w:rsidR="006B5718" w:rsidRPr="009A42FE" w:rsidRDefault="006B5718" w:rsidP="009C70C0">
            <w:pPr>
              <w:pStyle w:val="KeinLeerraum"/>
              <w:rPr>
                <w:rFonts w:ascii="Times New Roman" w:hAnsi="Times New Roman"/>
                <w:lang w:val="en-GB"/>
              </w:rPr>
            </w:pPr>
            <w:r w:rsidRPr="009A42FE">
              <w:rPr>
                <w:rFonts w:ascii="Times New Roman" w:hAnsi="Times New Roman"/>
                <w:lang w:val="en-GB"/>
              </w:rPr>
              <w:t>Teva Pharmaceuticals Ireland</w:t>
            </w:r>
          </w:p>
          <w:p w14:paraId="24A7B23C" w14:textId="653198F4" w:rsidR="006B5718" w:rsidRDefault="006B5718" w:rsidP="009C70C0">
            <w:pPr>
              <w:pStyle w:val="KeinLeerraum"/>
              <w:rPr>
                <w:rFonts w:ascii="Times New Roman" w:hAnsi="Times New Roman"/>
                <w:lang w:val="en-GB"/>
              </w:rPr>
            </w:pPr>
            <w:r>
              <w:rPr>
                <w:rFonts w:ascii="Times New Roman" w:hAnsi="Times New Roman"/>
                <w:lang w:val="en-GB"/>
              </w:rPr>
              <w:t>Tel: +353 19127700</w:t>
            </w:r>
          </w:p>
          <w:p w14:paraId="506D623E" w14:textId="77777777" w:rsidR="006B5718" w:rsidRPr="00DC08DD" w:rsidRDefault="006B5718" w:rsidP="009C70C0">
            <w:pPr>
              <w:pStyle w:val="KeinLeerraum"/>
              <w:rPr>
                <w:rFonts w:ascii="Times New Roman" w:hAnsi="Times New Roman"/>
                <w:lang w:val="en-GB"/>
              </w:rPr>
            </w:pPr>
          </w:p>
        </w:tc>
        <w:tc>
          <w:tcPr>
            <w:tcW w:w="4678" w:type="dxa"/>
          </w:tcPr>
          <w:p w14:paraId="0F5EB214"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Slovenija</w:t>
            </w:r>
          </w:p>
          <w:p w14:paraId="3EE25CAB"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Pliva Ljubljana d.o.o.</w:t>
            </w:r>
          </w:p>
          <w:p w14:paraId="0D09D6D4"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+386 15890390</w:t>
            </w:r>
          </w:p>
          <w:p w14:paraId="4D833A2A" w14:textId="77777777" w:rsidR="006B5718" w:rsidRPr="00DC08DD" w:rsidRDefault="006B5718" w:rsidP="009C70C0">
            <w:pPr>
              <w:pStyle w:val="KeinLeerraum"/>
              <w:rPr>
                <w:rFonts w:ascii="Times New Roman" w:hAnsi="Times New Roman"/>
                <w:b/>
                <w:lang w:val="en-GB"/>
              </w:rPr>
            </w:pPr>
          </w:p>
        </w:tc>
      </w:tr>
      <w:tr w:rsidR="006B5718" w:rsidRPr="00DC08DD" w14:paraId="21D247D2" w14:textId="77777777" w:rsidTr="009C70C0">
        <w:trPr>
          <w:cantSplit/>
        </w:trPr>
        <w:tc>
          <w:tcPr>
            <w:tcW w:w="4678" w:type="dxa"/>
            <w:gridSpan w:val="2"/>
          </w:tcPr>
          <w:p w14:paraId="4A91A072"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Ísland</w:t>
            </w:r>
          </w:p>
          <w:p w14:paraId="4FC515FF"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Actavis Group PTC ehf.</w:t>
            </w:r>
          </w:p>
          <w:p w14:paraId="56E9B6A5"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Sími: +354 5503300</w:t>
            </w:r>
          </w:p>
          <w:p w14:paraId="5F10BE11" w14:textId="77777777" w:rsidR="006B5718" w:rsidRPr="00DC08DD" w:rsidRDefault="006B5718" w:rsidP="009C70C0">
            <w:pPr>
              <w:pStyle w:val="KeinLeerraum"/>
              <w:rPr>
                <w:rFonts w:ascii="Times New Roman" w:hAnsi="Times New Roman"/>
                <w:b/>
                <w:lang w:val="en-GB"/>
              </w:rPr>
            </w:pPr>
          </w:p>
        </w:tc>
        <w:tc>
          <w:tcPr>
            <w:tcW w:w="4678" w:type="dxa"/>
          </w:tcPr>
          <w:p w14:paraId="2058821F"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Slovenská republika</w:t>
            </w:r>
          </w:p>
          <w:p w14:paraId="7E84A0F8" w14:textId="77777777" w:rsidR="006B5718" w:rsidRPr="00DC08DD" w:rsidRDefault="006B5718" w:rsidP="009C70C0">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412055C3"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1086E37F" w14:textId="77777777" w:rsidR="006B5718" w:rsidRPr="00DC08DD" w:rsidRDefault="006B5718" w:rsidP="009C70C0">
            <w:pPr>
              <w:pStyle w:val="KeinLeerraum"/>
              <w:rPr>
                <w:rFonts w:ascii="Times New Roman" w:hAnsi="Times New Roman"/>
                <w:lang w:val="en-GB"/>
              </w:rPr>
            </w:pPr>
          </w:p>
        </w:tc>
      </w:tr>
      <w:tr w:rsidR="006B5718" w:rsidRPr="00DC08DD" w14:paraId="66843035" w14:textId="77777777" w:rsidTr="009C70C0">
        <w:trPr>
          <w:cantSplit/>
        </w:trPr>
        <w:tc>
          <w:tcPr>
            <w:tcW w:w="4678" w:type="dxa"/>
            <w:gridSpan w:val="2"/>
          </w:tcPr>
          <w:p w14:paraId="1B19FE1C" w14:textId="77777777" w:rsidR="006B5718" w:rsidRPr="00666899" w:rsidRDefault="006B5718" w:rsidP="009C70C0">
            <w:pPr>
              <w:pStyle w:val="KeinLeerraum"/>
              <w:rPr>
                <w:rFonts w:ascii="Times New Roman" w:hAnsi="Times New Roman"/>
                <w:lang w:val="pt-BR"/>
              </w:rPr>
            </w:pPr>
            <w:r w:rsidRPr="00666899">
              <w:rPr>
                <w:rFonts w:ascii="Times New Roman" w:hAnsi="Times New Roman"/>
                <w:b/>
                <w:lang w:val="pt-BR"/>
              </w:rPr>
              <w:t>Italia</w:t>
            </w:r>
          </w:p>
          <w:p w14:paraId="4F364233" w14:textId="77777777" w:rsidR="006B5718" w:rsidRPr="00666899" w:rsidRDefault="006B5718" w:rsidP="009C70C0">
            <w:pPr>
              <w:pStyle w:val="KeinLeerraum"/>
              <w:rPr>
                <w:rFonts w:ascii="Times New Roman" w:hAnsi="Times New Roman"/>
                <w:lang w:val="pt-BR"/>
              </w:rPr>
            </w:pPr>
            <w:r w:rsidRPr="00666899">
              <w:rPr>
                <w:rFonts w:ascii="Times New Roman" w:hAnsi="Times New Roman"/>
                <w:lang w:val="pt-BR"/>
              </w:rPr>
              <w:t>Actavis Group PTC ehf.</w:t>
            </w:r>
          </w:p>
          <w:p w14:paraId="6F968A0C" w14:textId="77777777" w:rsidR="006B5718" w:rsidRPr="00666899" w:rsidRDefault="006B5718" w:rsidP="009C70C0">
            <w:pPr>
              <w:pStyle w:val="KeinLeerraum"/>
              <w:rPr>
                <w:rFonts w:ascii="Times New Roman" w:hAnsi="Times New Roman"/>
                <w:lang w:val="pt-BR"/>
              </w:rPr>
            </w:pPr>
            <w:r w:rsidRPr="00666899">
              <w:rPr>
                <w:rFonts w:ascii="Times New Roman" w:hAnsi="Times New Roman"/>
                <w:lang w:val="pt-BR"/>
              </w:rPr>
              <w:t>Islanda</w:t>
            </w:r>
          </w:p>
          <w:p w14:paraId="7D3AE14C" w14:textId="77777777" w:rsidR="006B5718" w:rsidRPr="00666899" w:rsidRDefault="006B5718" w:rsidP="009C70C0">
            <w:pPr>
              <w:pStyle w:val="KeinLeerraum"/>
              <w:rPr>
                <w:rFonts w:ascii="Times New Roman" w:hAnsi="Times New Roman"/>
                <w:lang w:val="pt-BR"/>
              </w:rPr>
            </w:pPr>
            <w:r w:rsidRPr="00B85F24">
              <w:rPr>
                <w:rFonts w:ascii="Times New Roman" w:hAnsi="Times New Roman"/>
                <w:noProof/>
              </w:rPr>
              <w:t>Tel: +354 5503300</w:t>
            </w:r>
          </w:p>
          <w:p w14:paraId="56E212E0" w14:textId="77777777" w:rsidR="006B5718" w:rsidRPr="00666899" w:rsidRDefault="006B5718" w:rsidP="009C70C0">
            <w:pPr>
              <w:pStyle w:val="KeinLeerraum"/>
              <w:rPr>
                <w:rFonts w:ascii="Times New Roman" w:hAnsi="Times New Roman"/>
                <w:b/>
                <w:lang w:val="pt-BR"/>
              </w:rPr>
            </w:pPr>
          </w:p>
        </w:tc>
        <w:tc>
          <w:tcPr>
            <w:tcW w:w="4678" w:type="dxa"/>
          </w:tcPr>
          <w:p w14:paraId="39FAF55D" w14:textId="77777777" w:rsidR="006B5718" w:rsidRPr="00666899" w:rsidRDefault="006B5718" w:rsidP="009C70C0">
            <w:pPr>
              <w:pStyle w:val="KeinLeerraum"/>
              <w:rPr>
                <w:rFonts w:ascii="Times New Roman" w:hAnsi="Times New Roman"/>
                <w:lang w:val="sv-SE"/>
              </w:rPr>
            </w:pPr>
            <w:r w:rsidRPr="00666899">
              <w:rPr>
                <w:rFonts w:ascii="Times New Roman" w:hAnsi="Times New Roman"/>
                <w:b/>
                <w:lang w:val="sv-SE"/>
              </w:rPr>
              <w:t>Suomi/Finland</w:t>
            </w:r>
          </w:p>
          <w:p w14:paraId="6BA3D064" w14:textId="3AC5A494" w:rsidR="006B5718" w:rsidRPr="00666899" w:rsidRDefault="006B5718" w:rsidP="009C70C0">
            <w:pPr>
              <w:pStyle w:val="KeinLeerraum"/>
              <w:rPr>
                <w:rFonts w:ascii="Times New Roman" w:hAnsi="Times New Roman"/>
                <w:lang w:val="sv-SE"/>
              </w:rPr>
            </w:pPr>
            <w:r w:rsidRPr="00666899">
              <w:rPr>
                <w:rFonts w:ascii="Times New Roman" w:hAnsi="Times New Roman"/>
                <w:lang w:val="sv-SE"/>
              </w:rPr>
              <w:t>Teva Finland Oy</w:t>
            </w:r>
          </w:p>
          <w:p w14:paraId="067E83D8" w14:textId="77777777" w:rsidR="006B5718" w:rsidRPr="00666899" w:rsidRDefault="006B5718" w:rsidP="009C70C0">
            <w:pPr>
              <w:pStyle w:val="KeinLeerraum"/>
              <w:rPr>
                <w:rFonts w:ascii="Times New Roman" w:hAnsi="Times New Roman"/>
                <w:lang w:val="sv-SE"/>
              </w:rPr>
            </w:pPr>
            <w:r w:rsidRPr="00666899">
              <w:rPr>
                <w:rFonts w:ascii="Times New Roman" w:hAnsi="Times New Roman"/>
                <w:lang w:val="sv-SE"/>
              </w:rPr>
              <w:t>Puh/Tel: +358 201805900</w:t>
            </w:r>
          </w:p>
          <w:p w14:paraId="3E949E28" w14:textId="77777777" w:rsidR="006B5718" w:rsidRPr="00666899" w:rsidRDefault="006B5718" w:rsidP="009C70C0">
            <w:pPr>
              <w:pStyle w:val="KeinLeerraum"/>
              <w:rPr>
                <w:rFonts w:ascii="Times New Roman" w:hAnsi="Times New Roman"/>
                <w:b/>
                <w:lang w:val="sv-SE"/>
              </w:rPr>
            </w:pPr>
          </w:p>
        </w:tc>
      </w:tr>
      <w:tr w:rsidR="006B5718" w:rsidRPr="00DC08DD" w14:paraId="6EF566FF" w14:textId="77777777" w:rsidTr="009C70C0">
        <w:trPr>
          <w:cantSplit/>
        </w:trPr>
        <w:tc>
          <w:tcPr>
            <w:tcW w:w="4678" w:type="dxa"/>
            <w:gridSpan w:val="2"/>
          </w:tcPr>
          <w:p w14:paraId="783A4C9F" w14:textId="77777777" w:rsidR="006B5718" w:rsidRPr="00F81B0C" w:rsidRDefault="006B5718" w:rsidP="009C70C0">
            <w:pPr>
              <w:pStyle w:val="KeinLeerraum"/>
              <w:rPr>
                <w:rFonts w:ascii="Times New Roman" w:hAnsi="Times New Roman"/>
                <w:b/>
              </w:rPr>
            </w:pPr>
            <w:r w:rsidRPr="00DC08DD">
              <w:rPr>
                <w:rFonts w:ascii="Times New Roman" w:hAnsi="Times New Roman"/>
                <w:b/>
                <w:lang w:val="en-GB"/>
              </w:rPr>
              <w:t>Κύπρος</w:t>
            </w:r>
          </w:p>
          <w:p w14:paraId="6F9A7B20" w14:textId="77777777" w:rsidR="006B5718" w:rsidRPr="00F81B0C" w:rsidRDefault="006B5718" w:rsidP="009C70C0">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14727523" w14:textId="77777777" w:rsidR="006B5718" w:rsidRPr="00F81B0C" w:rsidRDefault="006B5718" w:rsidP="009C70C0">
            <w:pPr>
              <w:pStyle w:val="KeinLeerraum"/>
              <w:rPr>
                <w:rFonts w:ascii="Times New Roman" w:hAnsi="Times New Roman"/>
              </w:rPr>
            </w:pPr>
            <w:r w:rsidRPr="00DC08DD">
              <w:rPr>
                <w:rFonts w:ascii="Times New Roman" w:hAnsi="Times New Roman"/>
                <w:lang w:val="el-GR"/>
              </w:rPr>
              <w:t>Ελλάδα</w:t>
            </w:r>
          </w:p>
          <w:p w14:paraId="06047298" w14:textId="4B4796BC" w:rsidR="006B5718" w:rsidRPr="00F81B0C" w:rsidRDefault="006B5718" w:rsidP="009C70C0">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73ACF181" w14:textId="77777777" w:rsidR="006B5718" w:rsidRPr="00F81B0C" w:rsidRDefault="006B5718" w:rsidP="009C70C0">
            <w:pPr>
              <w:pStyle w:val="KeinLeerraum"/>
              <w:rPr>
                <w:rFonts w:ascii="Times New Roman" w:hAnsi="Times New Roman"/>
              </w:rPr>
            </w:pPr>
          </w:p>
        </w:tc>
        <w:tc>
          <w:tcPr>
            <w:tcW w:w="4678" w:type="dxa"/>
          </w:tcPr>
          <w:p w14:paraId="4CB9DC39" w14:textId="77777777" w:rsidR="006B5718" w:rsidRPr="0056362A" w:rsidRDefault="006B5718" w:rsidP="009C70C0">
            <w:pPr>
              <w:pStyle w:val="KeinLeerraum"/>
              <w:rPr>
                <w:rFonts w:ascii="Times New Roman" w:hAnsi="Times New Roman"/>
                <w:b/>
                <w:lang w:val="de-DE"/>
              </w:rPr>
            </w:pPr>
            <w:r w:rsidRPr="0056362A">
              <w:rPr>
                <w:rFonts w:ascii="Times New Roman" w:hAnsi="Times New Roman"/>
                <w:b/>
                <w:lang w:val="de-DE"/>
              </w:rPr>
              <w:t>Sverige</w:t>
            </w:r>
          </w:p>
          <w:p w14:paraId="11424203" w14:textId="77777777" w:rsidR="006B5718" w:rsidRPr="0056362A" w:rsidRDefault="006B5718" w:rsidP="009C70C0">
            <w:pPr>
              <w:pStyle w:val="KeinLeerraum"/>
              <w:rPr>
                <w:rFonts w:ascii="Times New Roman" w:hAnsi="Times New Roman"/>
                <w:lang w:val="de-DE"/>
              </w:rPr>
            </w:pPr>
            <w:r w:rsidRPr="0056362A">
              <w:rPr>
                <w:rFonts w:ascii="Times New Roman" w:hAnsi="Times New Roman"/>
                <w:lang w:val="de-DE"/>
              </w:rPr>
              <w:t>Teva Sweden AB</w:t>
            </w:r>
          </w:p>
          <w:p w14:paraId="35EB359F" w14:textId="77777777" w:rsidR="006B5718" w:rsidRPr="0056362A" w:rsidRDefault="006B5718" w:rsidP="009C70C0">
            <w:pPr>
              <w:pStyle w:val="KeinLeerraum"/>
              <w:rPr>
                <w:rFonts w:ascii="Times New Roman" w:hAnsi="Times New Roman"/>
                <w:lang w:val="de-DE"/>
              </w:rPr>
            </w:pPr>
            <w:r w:rsidRPr="0056362A">
              <w:rPr>
                <w:rFonts w:ascii="Times New Roman" w:hAnsi="Times New Roman"/>
                <w:lang w:val="de-DE"/>
              </w:rPr>
              <w:t>Tel: +46 42121100</w:t>
            </w:r>
          </w:p>
          <w:p w14:paraId="1B74E802" w14:textId="77777777" w:rsidR="006B5718" w:rsidRPr="0056362A" w:rsidRDefault="006B5718" w:rsidP="009C70C0">
            <w:pPr>
              <w:pStyle w:val="KeinLeerraum"/>
              <w:rPr>
                <w:rFonts w:ascii="Times New Roman" w:hAnsi="Times New Roman"/>
                <w:lang w:val="de-DE"/>
              </w:rPr>
            </w:pPr>
          </w:p>
        </w:tc>
      </w:tr>
      <w:tr w:rsidR="006B5718" w:rsidRPr="00DC08DD" w14:paraId="30EE6A62" w14:textId="77777777" w:rsidTr="009C70C0">
        <w:trPr>
          <w:cantSplit/>
        </w:trPr>
        <w:tc>
          <w:tcPr>
            <w:tcW w:w="4678" w:type="dxa"/>
            <w:gridSpan w:val="2"/>
          </w:tcPr>
          <w:p w14:paraId="577D2F69" w14:textId="77777777" w:rsidR="006B5718" w:rsidRPr="00666899" w:rsidRDefault="006B5718" w:rsidP="009C70C0">
            <w:pPr>
              <w:pStyle w:val="KeinLeerraum"/>
              <w:rPr>
                <w:rFonts w:ascii="Times New Roman" w:hAnsi="Times New Roman"/>
                <w:b/>
                <w:bCs/>
                <w:lang w:eastAsia="en-GB"/>
              </w:rPr>
            </w:pPr>
            <w:r w:rsidRPr="00666899">
              <w:rPr>
                <w:rFonts w:ascii="Times New Roman" w:hAnsi="Times New Roman"/>
                <w:b/>
                <w:bCs/>
                <w:lang w:eastAsia="en-GB"/>
              </w:rPr>
              <w:t>Latvija</w:t>
            </w:r>
          </w:p>
          <w:p w14:paraId="7890A2D6" w14:textId="146E8364" w:rsidR="006B5718" w:rsidRPr="00666899" w:rsidRDefault="006B5718" w:rsidP="009C70C0">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5FC3E7D2" w14:textId="77777777" w:rsidR="006B5718" w:rsidRPr="00DC08DD" w:rsidRDefault="006B5718" w:rsidP="009C70C0">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79A15BB2" w14:textId="77777777" w:rsidR="006B5718" w:rsidRPr="00DC08DD" w:rsidRDefault="006B5718" w:rsidP="009C70C0">
            <w:pPr>
              <w:pStyle w:val="KeinLeerraum"/>
              <w:rPr>
                <w:rFonts w:ascii="Times New Roman" w:hAnsi="Times New Roman"/>
                <w:lang w:val="en-GB"/>
              </w:rPr>
            </w:pPr>
          </w:p>
        </w:tc>
        <w:tc>
          <w:tcPr>
            <w:tcW w:w="4678" w:type="dxa"/>
          </w:tcPr>
          <w:p w14:paraId="3E47B7E5"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United Kingdom</w:t>
            </w:r>
          </w:p>
          <w:p w14:paraId="6066AC2C"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Actavis UK Limited</w:t>
            </w:r>
          </w:p>
          <w:p w14:paraId="5DE807F9" w14:textId="77777777" w:rsidR="006B5718" w:rsidRPr="00DC08DD" w:rsidRDefault="006B5718" w:rsidP="009C70C0">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986BC31" w14:textId="77777777" w:rsidR="006B5718" w:rsidRPr="00DC08DD" w:rsidRDefault="006B5718" w:rsidP="009C70C0">
            <w:pPr>
              <w:pStyle w:val="KeinLeerraum"/>
              <w:rPr>
                <w:rFonts w:ascii="Times New Roman" w:hAnsi="Times New Roman"/>
                <w:lang w:val="en-GB"/>
              </w:rPr>
            </w:pPr>
          </w:p>
        </w:tc>
      </w:tr>
    </w:tbl>
    <w:p w14:paraId="1D89D976" w14:textId="77777777" w:rsidR="00C772B5" w:rsidRPr="00666899" w:rsidRDefault="00C772B5" w:rsidP="00FE0E06">
      <w:pPr>
        <w:autoSpaceDE w:val="0"/>
        <w:autoSpaceDN w:val="0"/>
        <w:adjustRightInd w:val="0"/>
        <w:spacing w:after="0" w:line="240" w:lineRule="auto"/>
        <w:rPr>
          <w:rFonts w:ascii="Times New Roman" w:hAnsi="Times New Roman"/>
          <w:lang w:val="en-US"/>
        </w:rPr>
      </w:pPr>
    </w:p>
    <w:p w14:paraId="4C683804" w14:textId="77777777" w:rsidR="00FB195C" w:rsidRPr="00666899" w:rsidRDefault="00FB195C" w:rsidP="00FE0E06">
      <w:pPr>
        <w:autoSpaceDE w:val="0"/>
        <w:autoSpaceDN w:val="0"/>
        <w:adjustRightInd w:val="0"/>
        <w:spacing w:after="0" w:line="240" w:lineRule="auto"/>
        <w:rPr>
          <w:rFonts w:ascii="Times New Roman" w:hAnsi="Times New Roman"/>
          <w:lang w:val="en-US"/>
        </w:rPr>
      </w:pPr>
    </w:p>
    <w:p w14:paraId="5539DB7A" w14:textId="77777777" w:rsidR="00901DA8" w:rsidRPr="00496684" w:rsidRDefault="00901DA8" w:rsidP="00901DA8">
      <w:pPr>
        <w:widowControl w:val="0"/>
        <w:numPr>
          <w:ilvl w:val="12"/>
          <w:numId w:val="0"/>
        </w:numPr>
        <w:ind w:right="-2"/>
        <w:rPr>
          <w:rFonts w:ascii="Times New Roman" w:hAnsi="Times New Roman"/>
          <w:lang w:val="it-IT"/>
        </w:rPr>
      </w:pPr>
      <w:r w:rsidRPr="00496684">
        <w:rPr>
          <w:rFonts w:ascii="Times New Roman" w:hAnsi="Times New Roman"/>
          <w:b/>
          <w:lang w:val="it-IT"/>
        </w:rPr>
        <w:t>Questo foglio illustrativo è stato aggiornato il</w:t>
      </w:r>
    </w:p>
    <w:p w14:paraId="27A5B1FC" w14:textId="77777777" w:rsidR="00FE0E06" w:rsidRPr="00496684" w:rsidRDefault="00FE0E06" w:rsidP="00FE0E06">
      <w:pPr>
        <w:autoSpaceDE w:val="0"/>
        <w:autoSpaceDN w:val="0"/>
        <w:adjustRightInd w:val="0"/>
        <w:spacing w:after="0" w:line="240" w:lineRule="auto"/>
        <w:contextualSpacing/>
        <w:rPr>
          <w:rFonts w:ascii="Times New Roman" w:hAnsi="Times New Roman"/>
          <w:bCs/>
          <w:lang w:val="it-IT"/>
        </w:rPr>
      </w:pPr>
    </w:p>
    <w:p w14:paraId="1AA9E225" w14:textId="77777777" w:rsidR="00901DA8" w:rsidRPr="00496684" w:rsidRDefault="00901DA8" w:rsidP="00332B0F">
      <w:pPr>
        <w:widowControl w:val="0"/>
        <w:spacing w:after="0" w:line="240" w:lineRule="auto"/>
        <w:ind w:right="-449"/>
        <w:rPr>
          <w:rFonts w:ascii="Times New Roman" w:hAnsi="Times New Roman"/>
          <w:b/>
          <w:lang w:val="it-IT"/>
        </w:rPr>
      </w:pPr>
      <w:r w:rsidRPr="00496684">
        <w:rPr>
          <w:rFonts w:ascii="Times New Roman" w:hAnsi="Times New Roman"/>
          <w:b/>
          <w:lang w:val="it-IT"/>
        </w:rPr>
        <w:t>Altre fonti di informazioni</w:t>
      </w:r>
    </w:p>
    <w:p w14:paraId="025577DE" w14:textId="77777777" w:rsidR="00332B0F" w:rsidRPr="00496684" w:rsidRDefault="00332B0F" w:rsidP="00332B0F">
      <w:pPr>
        <w:widowControl w:val="0"/>
        <w:spacing w:after="0" w:line="240" w:lineRule="auto"/>
        <w:ind w:right="-449"/>
        <w:rPr>
          <w:rFonts w:ascii="Times New Roman" w:hAnsi="Times New Roman"/>
          <w:b/>
          <w:lang w:val="it-IT"/>
        </w:rPr>
      </w:pPr>
    </w:p>
    <w:p w14:paraId="23E42BA2" w14:textId="77777777" w:rsidR="00901DA8" w:rsidRPr="00496684" w:rsidRDefault="00901DA8" w:rsidP="00332B0F">
      <w:pPr>
        <w:widowControl w:val="0"/>
        <w:spacing w:after="0" w:line="240" w:lineRule="auto"/>
        <w:ind w:right="-2"/>
        <w:rPr>
          <w:rFonts w:ascii="Times New Roman" w:hAnsi="Times New Roman"/>
          <w:lang w:val="it-IT"/>
        </w:rPr>
      </w:pPr>
      <w:r w:rsidRPr="00496684">
        <w:rPr>
          <w:rFonts w:ascii="Times New Roman" w:hAnsi="Times New Roman"/>
          <w:lang w:val="it-IT"/>
        </w:rPr>
        <w:t xml:space="preserve">Informazioni più dettagliate su questo medicinale sono disponibili sul sito web della Agenzia europea dei medicinali: </w:t>
      </w:r>
      <w:hyperlink r:id="rId18" w:history="1">
        <w:r w:rsidR="006E4320" w:rsidRPr="00496684">
          <w:rPr>
            <w:rStyle w:val="Hyperlink"/>
            <w:rFonts w:ascii="Times New Roman" w:hAnsi="Times New Roman"/>
            <w:lang w:val="it-IT"/>
          </w:rPr>
          <w:t>http://www.ema.europa.eu</w:t>
        </w:r>
      </w:hyperlink>
      <w:r w:rsidR="006E4320" w:rsidRPr="00496684">
        <w:rPr>
          <w:rFonts w:ascii="Times New Roman" w:hAnsi="Times New Roman"/>
          <w:lang w:val="it-IT"/>
        </w:rPr>
        <w:t xml:space="preserve"> </w:t>
      </w:r>
    </w:p>
    <w:p w14:paraId="036AB13C" w14:textId="77777777" w:rsidR="00DF593A" w:rsidRPr="00496684" w:rsidRDefault="00DF593A" w:rsidP="00DF593A">
      <w:pPr>
        <w:spacing w:before="80" w:after="0" w:line="240" w:lineRule="auto"/>
        <w:ind w:right="48"/>
        <w:jc w:val="center"/>
        <w:rPr>
          <w:rFonts w:ascii="Times New Roman" w:eastAsia="Times New Roman" w:hAnsi="Times New Roman"/>
          <w:lang w:val="it-IT"/>
        </w:rPr>
      </w:pPr>
      <w:r w:rsidRPr="00496684">
        <w:rPr>
          <w:rFonts w:ascii="Times New Roman" w:hAnsi="Times New Roman"/>
          <w:lang w:val="it-IT"/>
        </w:rPr>
        <w:br w:type="page"/>
      </w:r>
      <w:r w:rsidRPr="00496684">
        <w:rPr>
          <w:rFonts w:ascii="Times New Roman" w:hAnsi="Times New Roman"/>
          <w:b/>
          <w:lang w:val="it-IT"/>
        </w:rPr>
        <w:t>Foglio illustrativo: informazioni per l’utilizzatore</w:t>
      </w:r>
    </w:p>
    <w:p w14:paraId="2F1E0AF0" w14:textId="77777777" w:rsidR="00DF593A" w:rsidRPr="00496684" w:rsidRDefault="00DF593A" w:rsidP="00DF593A">
      <w:pPr>
        <w:autoSpaceDE w:val="0"/>
        <w:autoSpaceDN w:val="0"/>
        <w:adjustRightInd w:val="0"/>
        <w:spacing w:after="0" w:line="240" w:lineRule="auto"/>
        <w:jc w:val="center"/>
        <w:rPr>
          <w:rFonts w:ascii="Times New Roman" w:hAnsi="Times New Roman"/>
          <w:bCs/>
          <w:lang w:val="it-IT"/>
        </w:rPr>
      </w:pPr>
    </w:p>
    <w:p w14:paraId="2E965F3F" w14:textId="77777777" w:rsidR="00DF593A" w:rsidRPr="00496684" w:rsidRDefault="00DF593A" w:rsidP="00DF593A">
      <w:pPr>
        <w:autoSpaceDE w:val="0"/>
        <w:autoSpaceDN w:val="0"/>
        <w:adjustRightInd w:val="0"/>
        <w:spacing w:after="0" w:line="240" w:lineRule="auto"/>
        <w:jc w:val="center"/>
        <w:rPr>
          <w:rFonts w:ascii="Times New Roman" w:hAnsi="Times New Roman"/>
          <w:b/>
          <w:bCs/>
          <w:lang w:val="it-IT"/>
        </w:rPr>
      </w:pPr>
      <w:r w:rsidRPr="00496684">
        <w:rPr>
          <w:rFonts w:ascii="Times New Roman" w:hAnsi="Times New Roman"/>
          <w:b/>
          <w:bCs/>
          <w:spacing w:val="-1"/>
          <w:lang w:val="it-IT"/>
        </w:rPr>
        <w:t>Imatinib Actavis</w:t>
      </w:r>
      <w:r w:rsidRPr="00496684">
        <w:rPr>
          <w:rFonts w:ascii="Times New Roman" w:hAnsi="Times New Roman"/>
          <w:b/>
          <w:bCs/>
          <w:spacing w:val="1"/>
          <w:lang w:val="it-IT"/>
        </w:rPr>
        <w:t xml:space="preserve"> 1</w:t>
      </w:r>
      <w:r w:rsidRPr="00496684">
        <w:rPr>
          <w:rFonts w:ascii="Times New Roman" w:hAnsi="Times New Roman"/>
          <w:b/>
          <w:bCs/>
          <w:lang w:val="it-IT"/>
        </w:rPr>
        <w:t>00 </w:t>
      </w:r>
      <w:r w:rsidRPr="00496684">
        <w:rPr>
          <w:rFonts w:ascii="Times New Roman" w:hAnsi="Times New Roman"/>
          <w:b/>
          <w:bCs/>
          <w:spacing w:val="1"/>
          <w:lang w:val="it-IT"/>
        </w:rPr>
        <w:t>m</w:t>
      </w:r>
      <w:r w:rsidRPr="00496684">
        <w:rPr>
          <w:rFonts w:ascii="Times New Roman" w:hAnsi="Times New Roman"/>
          <w:b/>
          <w:bCs/>
          <w:lang w:val="it-IT"/>
        </w:rPr>
        <w:t>g capsule rigide</w:t>
      </w:r>
    </w:p>
    <w:p w14:paraId="59D0C75B" w14:textId="77777777" w:rsidR="00DF593A" w:rsidRPr="00496684" w:rsidRDefault="000629AD" w:rsidP="00DF593A">
      <w:pPr>
        <w:autoSpaceDE w:val="0"/>
        <w:autoSpaceDN w:val="0"/>
        <w:adjustRightInd w:val="0"/>
        <w:spacing w:after="0" w:line="240" w:lineRule="auto"/>
        <w:jc w:val="center"/>
        <w:rPr>
          <w:rFonts w:ascii="Times New Roman" w:hAnsi="Times New Roman"/>
          <w:lang w:val="it-IT"/>
        </w:rPr>
      </w:pPr>
      <w:r w:rsidRPr="00496684">
        <w:rPr>
          <w:rFonts w:ascii="Times New Roman" w:hAnsi="Times New Roman"/>
          <w:lang w:val="it-IT"/>
        </w:rPr>
        <w:t>i</w:t>
      </w:r>
      <w:r w:rsidR="00DF593A" w:rsidRPr="00496684">
        <w:rPr>
          <w:rFonts w:ascii="Times New Roman" w:hAnsi="Times New Roman"/>
          <w:lang w:val="it-IT"/>
        </w:rPr>
        <w:t>matinib</w:t>
      </w:r>
    </w:p>
    <w:p w14:paraId="397CD53C"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50D3D36" w14:textId="77777777" w:rsidR="00DF593A" w:rsidRPr="00496684" w:rsidRDefault="00DF593A" w:rsidP="00DF593A">
      <w:pPr>
        <w:widowControl w:val="0"/>
        <w:spacing w:after="0" w:line="240" w:lineRule="auto"/>
        <w:jc w:val="center"/>
        <w:rPr>
          <w:rFonts w:ascii="Times New Roman" w:hAnsi="Times New Roman"/>
          <w:lang w:val="it-IT"/>
        </w:rPr>
      </w:pPr>
    </w:p>
    <w:p w14:paraId="67F1EEFF" w14:textId="77777777" w:rsidR="00DF593A" w:rsidRPr="00496684" w:rsidRDefault="00DF593A" w:rsidP="00DF593A">
      <w:pPr>
        <w:widowControl w:val="0"/>
        <w:spacing w:after="0" w:line="240" w:lineRule="auto"/>
        <w:ind w:right="-2"/>
        <w:rPr>
          <w:rFonts w:ascii="Times New Roman" w:hAnsi="Times New Roman"/>
          <w:lang w:val="it-IT"/>
        </w:rPr>
      </w:pPr>
      <w:r w:rsidRPr="00496684">
        <w:rPr>
          <w:rFonts w:ascii="Times New Roman" w:hAnsi="Times New Roman"/>
          <w:b/>
          <w:lang w:val="it-IT"/>
        </w:rPr>
        <w:t>Legga attentamente questo foglio prima di prendere questo medicinale perchè contiene importanti informazioni per lei.</w:t>
      </w:r>
    </w:p>
    <w:p w14:paraId="476A972F" w14:textId="77777777" w:rsidR="00DF593A" w:rsidRPr="00496684" w:rsidRDefault="00DF593A" w:rsidP="00DF593A">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Conservi questo foglio. Potrebbe aver bisogno di leggerlo di nuovo.</w:t>
      </w:r>
    </w:p>
    <w:p w14:paraId="5F36CB27" w14:textId="77777777" w:rsidR="00DF593A" w:rsidRPr="00496684" w:rsidRDefault="00DF593A" w:rsidP="00DF593A">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Se ha qualsiasi dubbio, si rivolga al medico, al farmacista o all’infermiere.</w:t>
      </w:r>
    </w:p>
    <w:p w14:paraId="541C7248" w14:textId="77777777" w:rsidR="00DF593A" w:rsidRPr="00496684" w:rsidRDefault="00DF593A" w:rsidP="00DF593A">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Questo medicinale è stato prescritto soltanto per lei. Non lo dia ad altre persone, anche se i sintomi della malattia sono uguali ai suoi, perché potrebbe essere pericoloso.</w:t>
      </w:r>
    </w:p>
    <w:p w14:paraId="62590933" w14:textId="77777777" w:rsidR="00DF593A" w:rsidRPr="00496684" w:rsidRDefault="00DF593A" w:rsidP="00DF593A">
      <w:pPr>
        <w:widowControl w:val="0"/>
        <w:numPr>
          <w:ilvl w:val="0"/>
          <w:numId w:val="5"/>
        </w:numPr>
        <w:tabs>
          <w:tab w:val="clear" w:pos="644"/>
        </w:tabs>
        <w:spacing w:after="0" w:line="240" w:lineRule="auto"/>
        <w:ind w:hanging="567"/>
        <w:rPr>
          <w:rFonts w:ascii="Times New Roman" w:hAnsi="Times New Roman"/>
          <w:lang w:val="it-IT"/>
        </w:rPr>
      </w:pPr>
      <w:r w:rsidRPr="00496684">
        <w:rPr>
          <w:rFonts w:ascii="Times New Roman" w:hAnsi="Times New Roman"/>
          <w:lang w:val="it-IT"/>
        </w:rPr>
        <w:t>Se si manifesta un qualsiasi effetto indesiderato, compresi quelli non elencati in questo foglio, si rivolga al medico, al farmacista o all’infermiere.</w:t>
      </w:r>
      <w:r w:rsidR="00792F57" w:rsidRPr="00496684">
        <w:rPr>
          <w:rFonts w:ascii="TimesNewRoman" w:eastAsia="SimSun" w:hAnsi="TimesNewRoman" w:cs="TimesNewRoman"/>
          <w:lang w:val="it-IT" w:eastAsia="it-IT"/>
        </w:rPr>
        <w:t xml:space="preserve"> Vedere paragrafo 4.</w:t>
      </w:r>
    </w:p>
    <w:p w14:paraId="0CC2C997"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7BC5417" w14:textId="77777777" w:rsidR="00DF593A" w:rsidRPr="00496684" w:rsidRDefault="00DF593A" w:rsidP="00DF593A">
      <w:pPr>
        <w:widowControl w:val="0"/>
        <w:numPr>
          <w:ilvl w:val="12"/>
          <w:numId w:val="0"/>
        </w:numPr>
        <w:ind w:right="-2"/>
        <w:rPr>
          <w:rFonts w:ascii="Times New Roman" w:hAnsi="Times New Roman"/>
          <w:lang w:val="it-IT"/>
        </w:rPr>
      </w:pPr>
      <w:r w:rsidRPr="00496684">
        <w:rPr>
          <w:rFonts w:ascii="Times New Roman" w:hAnsi="Times New Roman"/>
          <w:b/>
          <w:lang w:val="it-IT"/>
        </w:rPr>
        <w:t>Contenuto di questo foglio</w:t>
      </w:r>
    </w:p>
    <w:p w14:paraId="7EF2AC9A" w14:textId="7EDE41A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1.</w:t>
      </w:r>
      <w:r w:rsidRPr="00496684">
        <w:rPr>
          <w:rFonts w:ascii="Times New Roman" w:hAnsi="Times New Roman"/>
          <w:lang w:val="it-IT"/>
        </w:rPr>
        <w:tab/>
        <w:t>Cos’è Imatinib Actavis e a cosa serve</w:t>
      </w:r>
    </w:p>
    <w:p w14:paraId="3ED47D44"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w:t>
      </w:r>
      <w:r w:rsidRPr="00496684">
        <w:rPr>
          <w:rFonts w:ascii="Times New Roman" w:hAnsi="Times New Roman"/>
          <w:lang w:val="it-IT"/>
        </w:rPr>
        <w:tab/>
        <w:t>Cosa deve sapere prima di prendere Imatinib Actavis</w:t>
      </w:r>
    </w:p>
    <w:p w14:paraId="78D67423"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3.</w:t>
      </w:r>
      <w:r w:rsidRPr="00496684">
        <w:rPr>
          <w:rFonts w:ascii="Times New Roman" w:hAnsi="Times New Roman"/>
          <w:lang w:val="it-IT"/>
        </w:rPr>
        <w:tab/>
        <w:t>Come prendere Imatinib Actavis</w:t>
      </w:r>
    </w:p>
    <w:p w14:paraId="56326C22"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4.</w:t>
      </w:r>
      <w:r w:rsidRPr="00496684">
        <w:rPr>
          <w:rFonts w:ascii="Times New Roman" w:hAnsi="Times New Roman"/>
          <w:lang w:val="it-IT"/>
        </w:rPr>
        <w:tab/>
        <w:t>Possibili effetti indesiderati</w:t>
      </w:r>
    </w:p>
    <w:p w14:paraId="676B3349"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5.</w:t>
      </w:r>
      <w:r w:rsidRPr="00496684">
        <w:rPr>
          <w:rFonts w:ascii="Times New Roman" w:hAnsi="Times New Roman"/>
          <w:lang w:val="it-IT"/>
        </w:rPr>
        <w:tab/>
        <w:t>Come conservare Imatinib Actavis</w:t>
      </w:r>
    </w:p>
    <w:p w14:paraId="169B56AE"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6.</w:t>
      </w:r>
      <w:r w:rsidRPr="00496684">
        <w:rPr>
          <w:rFonts w:ascii="Times New Roman" w:hAnsi="Times New Roman"/>
          <w:lang w:val="it-IT"/>
        </w:rPr>
        <w:tab/>
        <w:t>Contenuto della confezione e altre informazioni</w:t>
      </w:r>
    </w:p>
    <w:p w14:paraId="60591EE9"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603B858"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67C3F0CB" w14:textId="2F89A405" w:rsidR="00DF593A" w:rsidRPr="00496684" w:rsidRDefault="00DF593A" w:rsidP="00DF593A">
      <w:pPr>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1.</w:t>
      </w:r>
      <w:r w:rsidRPr="00496684">
        <w:rPr>
          <w:rFonts w:ascii="Times New Roman" w:hAnsi="Times New Roman"/>
          <w:b/>
          <w:bCs/>
          <w:lang w:val="it-IT"/>
        </w:rPr>
        <w:tab/>
      </w:r>
      <w:r w:rsidRPr="00496684">
        <w:rPr>
          <w:rFonts w:ascii="Times New Roman" w:hAnsi="Times New Roman"/>
          <w:b/>
          <w:lang w:val="it-IT"/>
        </w:rPr>
        <w:t>Cos’è Imatinib Actavis e a cosa serve</w:t>
      </w:r>
    </w:p>
    <w:p w14:paraId="62F97A01"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p>
    <w:p w14:paraId="17CA6589" w14:textId="77777777" w:rsidR="003C44EB" w:rsidRPr="00496684" w:rsidRDefault="00DF593A" w:rsidP="003C44EB">
      <w:pPr>
        <w:pStyle w:val="Text"/>
        <w:widowControl w:val="0"/>
        <w:spacing w:before="0"/>
        <w:jc w:val="left"/>
        <w:rPr>
          <w:sz w:val="22"/>
          <w:szCs w:val="22"/>
          <w:lang w:val="it-IT"/>
        </w:rPr>
      </w:pPr>
      <w:r w:rsidRPr="00496684">
        <w:rPr>
          <w:sz w:val="22"/>
          <w:szCs w:val="22"/>
          <w:lang w:val="it-IT"/>
        </w:rPr>
        <w:t xml:space="preserve">Imatinib Actavis è un medicinale contenente un principio attivo chiamato imatinib. Questo medicinale agisce inibendo la crescita di cellule anormali </w:t>
      </w:r>
      <w:r w:rsidR="003C44EB" w:rsidRPr="00496684">
        <w:rPr>
          <w:sz w:val="22"/>
          <w:szCs w:val="22"/>
          <w:lang w:val="it-IT"/>
        </w:rPr>
        <w:t>nelle patologie di seguito elencate. Queste comprendono alcuni tipi di cancro.</w:t>
      </w:r>
    </w:p>
    <w:p w14:paraId="4AA60532" w14:textId="77777777" w:rsidR="00DF593A" w:rsidRPr="00496684" w:rsidRDefault="00DF593A" w:rsidP="00D008F2">
      <w:pPr>
        <w:pStyle w:val="Text"/>
        <w:rPr>
          <w:lang w:val="it-IT"/>
        </w:rPr>
      </w:pPr>
    </w:p>
    <w:p w14:paraId="5E22337E" w14:textId="0F1114FB" w:rsidR="00E50AFE" w:rsidRPr="00496684" w:rsidRDefault="00E50AFE" w:rsidP="00E50AFE">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Imatinib Actavis è un trattamento per:</w:t>
      </w:r>
    </w:p>
    <w:p w14:paraId="611E4AEE" w14:textId="77777777" w:rsidR="00E50AFE" w:rsidRPr="00496684" w:rsidRDefault="00E50AFE" w:rsidP="00E50AFE">
      <w:pPr>
        <w:autoSpaceDE w:val="0"/>
        <w:autoSpaceDN w:val="0"/>
        <w:adjustRightInd w:val="0"/>
        <w:spacing w:after="0" w:line="240" w:lineRule="auto"/>
        <w:rPr>
          <w:rFonts w:ascii="Times New Roman" w:hAnsi="Times New Roman"/>
          <w:b/>
          <w:bCs/>
          <w:lang w:val="it-IT"/>
        </w:rPr>
      </w:pPr>
    </w:p>
    <w:p w14:paraId="622D645A"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rFonts w:ascii="Times New Roman" w:eastAsia="Times New Roman" w:hAnsi="Times New Roman"/>
          <w:lang w:val="it-IT" w:eastAsia="it-IT"/>
        </w:rPr>
      </w:pPr>
      <w:r w:rsidRPr="00496684">
        <w:rPr>
          <w:rFonts w:ascii="Times New Roman" w:hAnsi="Times New Roman"/>
          <w:b/>
          <w:bCs/>
          <w:lang w:val="it-IT"/>
        </w:rPr>
        <w:t>Leucemia mieloide cronica (LMC).</w:t>
      </w:r>
    </w:p>
    <w:p w14:paraId="026FAD03" w14:textId="77777777" w:rsidR="00E50AFE" w:rsidRPr="00496684" w:rsidRDefault="00E50AFE" w:rsidP="00E50AFE">
      <w:pPr>
        <w:autoSpaceDE w:val="0"/>
        <w:autoSpaceDN w:val="0"/>
        <w:adjustRightInd w:val="0"/>
        <w:spacing w:after="0" w:line="240" w:lineRule="auto"/>
        <w:ind w:left="567"/>
        <w:rPr>
          <w:rFonts w:ascii="Times New Roman" w:hAnsi="Times New Roman"/>
          <w:lang w:val="it-IT"/>
        </w:rPr>
      </w:pPr>
      <w:r w:rsidRPr="00496684">
        <w:rPr>
          <w:rFonts w:ascii="Times New Roman" w:hAnsi="Times New Roman"/>
          <w:lang w:val="it-IT"/>
        </w:rPr>
        <w:t>La leucemia è un tumore dei globuli bianchi. I globuli bianchi normalmente aiutano l’organismo a combattere le infezioni. La leucemia mieloide cronica è una forma di leucemia nella quale certi globuli bianchi anormali (chiamati cellule mieloidi) iniziano a crescere senza controllo.</w:t>
      </w:r>
    </w:p>
    <w:p w14:paraId="114CF72D" w14:textId="77777777" w:rsidR="00830BE4" w:rsidRPr="00496684" w:rsidRDefault="00830BE4" w:rsidP="00E50AFE">
      <w:pPr>
        <w:autoSpaceDE w:val="0"/>
        <w:autoSpaceDN w:val="0"/>
        <w:adjustRightInd w:val="0"/>
        <w:spacing w:after="0" w:line="240" w:lineRule="auto"/>
        <w:ind w:left="567"/>
        <w:rPr>
          <w:rFonts w:ascii="Times New Roman" w:hAnsi="Times New Roman"/>
          <w:lang w:val="it-IT"/>
        </w:rPr>
      </w:pPr>
    </w:p>
    <w:p w14:paraId="075805F9" w14:textId="77777777" w:rsidR="00E50AFE" w:rsidRPr="00496684" w:rsidRDefault="00E50AFE" w:rsidP="00B653CE">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Nei pazienti adulti, Imatinib Actavis è indicato per l'uso nella fase più avanzata della malattia (crisi blastica). Nei bambini e adolescenti, Imatinib Actavis può essere usato in fasi differenti della malattia (fase cronica, accelerata e crisi blastica).</w:t>
      </w:r>
    </w:p>
    <w:p w14:paraId="56E9E305" w14:textId="77777777" w:rsidR="00E50AFE" w:rsidRPr="00496684" w:rsidRDefault="00E50AFE" w:rsidP="00E50AFE">
      <w:pPr>
        <w:autoSpaceDE w:val="0"/>
        <w:autoSpaceDN w:val="0"/>
        <w:adjustRightInd w:val="0"/>
        <w:spacing w:after="0" w:line="240" w:lineRule="auto"/>
        <w:rPr>
          <w:rFonts w:ascii="Times New Roman" w:hAnsi="Times New Roman"/>
          <w:lang w:val="it-IT"/>
        </w:rPr>
      </w:pPr>
    </w:p>
    <w:p w14:paraId="58210263"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rFonts w:ascii="Times New Roman" w:hAnsi="Times New Roman"/>
          <w:lang w:val="it-IT"/>
        </w:rPr>
      </w:pPr>
      <w:r w:rsidRPr="00496684">
        <w:rPr>
          <w:rFonts w:ascii="Times New Roman" w:hAnsi="Times New Roman"/>
          <w:b/>
          <w:bCs/>
          <w:lang w:val="it-IT"/>
        </w:rPr>
        <w:t>Leucemia linfoblastica acuta positiva al cromosoma philadelphia (LLA Ph+).</w:t>
      </w:r>
    </w:p>
    <w:p w14:paraId="05657832" w14:textId="77777777" w:rsidR="00D860E1" w:rsidRPr="00496684" w:rsidRDefault="00E50AFE" w:rsidP="00D860E1">
      <w:pPr>
        <w:pStyle w:val="Default"/>
        <w:ind w:left="567"/>
        <w:rPr>
          <w:sz w:val="22"/>
          <w:szCs w:val="22"/>
          <w:lang w:val="it-IT"/>
        </w:rPr>
      </w:pPr>
      <w:r w:rsidRPr="00496684">
        <w:rPr>
          <w:sz w:val="22"/>
          <w:szCs w:val="22"/>
          <w:lang w:val="it-IT"/>
        </w:rPr>
        <w:t xml:space="preserve">La leucemia è un tumore dei globuli bianchi. I globuli bianchi normalmente aiutano l’organismo a combattere le infezioni. La leucemia linfoblastica acuta è una forma di leucemia nella quale certi globuli bianchi anormali (chiamati linfoblasti) iniziano a crescere senza controllo. Imatinib Actavis inibisce la crescita di queste cellule. </w:t>
      </w:r>
    </w:p>
    <w:p w14:paraId="20C0BCAE" w14:textId="77777777" w:rsidR="00D860E1" w:rsidRPr="00496684" w:rsidRDefault="00D860E1" w:rsidP="00D860E1">
      <w:pPr>
        <w:pStyle w:val="Text"/>
        <w:widowControl w:val="0"/>
        <w:spacing w:before="0"/>
        <w:jc w:val="left"/>
        <w:rPr>
          <w:b/>
          <w:sz w:val="22"/>
          <w:szCs w:val="22"/>
          <w:lang w:val="it-IT"/>
        </w:rPr>
      </w:pPr>
    </w:p>
    <w:p w14:paraId="1D1320A0" w14:textId="77777777" w:rsidR="00D860E1" w:rsidRPr="00496684" w:rsidRDefault="00D860E1" w:rsidP="00D860E1">
      <w:pPr>
        <w:pStyle w:val="Text"/>
        <w:widowControl w:val="0"/>
        <w:spacing w:before="0"/>
        <w:jc w:val="left"/>
        <w:rPr>
          <w:b/>
          <w:sz w:val="22"/>
          <w:szCs w:val="22"/>
          <w:lang w:val="it-IT"/>
        </w:rPr>
      </w:pPr>
      <w:r w:rsidRPr="00496684">
        <w:rPr>
          <w:b/>
          <w:bCs/>
          <w:sz w:val="22"/>
          <w:szCs w:val="22"/>
          <w:lang w:val="it-IT"/>
        </w:rPr>
        <w:t xml:space="preserve">Imatinib Actavis </w:t>
      </w:r>
      <w:r w:rsidRPr="00496684">
        <w:rPr>
          <w:b/>
          <w:sz w:val="22"/>
          <w:szCs w:val="22"/>
          <w:lang w:val="it-IT"/>
        </w:rPr>
        <w:t>è anche indicato nei pazienti adulti per il trattamento di:</w:t>
      </w:r>
    </w:p>
    <w:p w14:paraId="01D7638F" w14:textId="77777777" w:rsidR="00E50AFE" w:rsidRPr="00496684" w:rsidRDefault="00E50AFE" w:rsidP="00D008F2">
      <w:pPr>
        <w:pStyle w:val="Default"/>
        <w:ind w:left="567"/>
        <w:rPr>
          <w:sz w:val="22"/>
          <w:szCs w:val="22"/>
          <w:lang w:val="it-IT"/>
        </w:rPr>
      </w:pPr>
    </w:p>
    <w:p w14:paraId="3F1318BA"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Malattie mielodisplastiche/mieloproliferative (MDS/MPD)</w:t>
      </w:r>
    </w:p>
    <w:p w14:paraId="5AA85EC1" w14:textId="77777777" w:rsidR="00E50AFE" w:rsidRPr="00496684" w:rsidRDefault="00E50AFE" w:rsidP="00D008F2">
      <w:pPr>
        <w:pStyle w:val="Default"/>
        <w:ind w:left="567"/>
        <w:rPr>
          <w:sz w:val="22"/>
          <w:szCs w:val="22"/>
          <w:lang w:val="it-IT"/>
        </w:rPr>
      </w:pPr>
      <w:r w:rsidRPr="00496684">
        <w:rPr>
          <w:sz w:val="22"/>
          <w:szCs w:val="22"/>
          <w:lang w:val="it-IT"/>
        </w:rPr>
        <w:t xml:space="preserve">Queste sono un gruppo di malattie ematologiche nelle quali alcune cellule del sangue iniziano a crescere senza controllo. Imatinib Actavis inibisce la crescita di queste cellule in certi sottotipi di queste malattie. </w:t>
      </w:r>
    </w:p>
    <w:p w14:paraId="0847F206"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rFonts w:ascii="Times New Roman" w:hAnsi="Times New Roman"/>
          <w:b/>
          <w:bCs/>
          <w:lang w:val="it-IT"/>
        </w:rPr>
      </w:pPr>
      <w:r w:rsidRPr="00496684">
        <w:rPr>
          <w:rFonts w:ascii="Times New Roman" w:hAnsi="Times New Roman"/>
          <w:b/>
          <w:bCs/>
          <w:lang w:val="it-IT"/>
        </w:rPr>
        <w:t>Sindrome ipereosinofila (HES) e/o leucemia eosinofila cronica (LEC)</w:t>
      </w:r>
    </w:p>
    <w:p w14:paraId="4B1C96D6" w14:textId="77777777" w:rsidR="00E50AFE" w:rsidRPr="00496684" w:rsidRDefault="00E50AFE" w:rsidP="00D008F2">
      <w:pPr>
        <w:pStyle w:val="Default"/>
        <w:ind w:left="567"/>
        <w:rPr>
          <w:sz w:val="22"/>
          <w:szCs w:val="22"/>
          <w:lang w:val="it-IT"/>
        </w:rPr>
      </w:pPr>
      <w:r w:rsidRPr="00496684">
        <w:rPr>
          <w:sz w:val="22"/>
          <w:szCs w:val="22"/>
          <w:lang w:val="it-IT"/>
        </w:rPr>
        <w:t xml:space="preserve">Sono malattie del sangue dove delle cellule del sangue (chiamate eosinofili) iniziano a crescere senza controllo. Imatinib Actavis inibisce la crescita di queste cellule in un certo sottotipo di queste malattie. </w:t>
      </w:r>
    </w:p>
    <w:p w14:paraId="22D37499"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Dermatofibrosarcoma protuberans (DFSP)</w:t>
      </w:r>
    </w:p>
    <w:p w14:paraId="252CD7CB" w14:textId="77777777" w:rsidR="00E50AFE" w:rsidRPr="00496684" w:rsidRDefault="00E50AFE" w:rsidP="00D008F2">
      <w:pPr>
        <w:pStyle w:val="Default"/>
        <w:ind w:left="567"/>
        <w:rPr>
          <w:sz w:val="22"/>
          <w:szCs w:val="22"/>
          <w:lang w:val="it-IT"/>
        </w:rPr>
      </w:pPr>
      <w:r w:rsidRPr="00496684">
        <w:rPr>
          <w:sz w:val="22"/>
          <w:szCs w:val="22"/>
          <w:lang w:val="it-IT"/>
        </w:rPr>
        <w:t xml:space="preserve">DFSP è un tumore del tessuto sottocutaneo nel quale alcune cellule iniziano a crescere senza controllo. Imatinib Actavis inibisce la crescita di queste cellule. </w:t>
      </w:r>
    </w:p>
    <w:p w14:paraId="445F41CA" w14:textId="77777777" w:rsidR="00D860E1" w:rsidRPr="00496684" w:rsidRDefault="00D860E1" w:rsidP="00D008F2">
      <w:pPr>
        <w:autoSpaceDE w:val="0"/>
        <w:autoSpaceDN w:val="0"/>
        <w:adjustRightInd w:val="0"/>
        <w:spacing w:after="0" w:line="240" w:lineRule="auto"/>
        <w:rPr>
          <w:rFonts w:ascii="Times New Roman" w:hAnsi="Times New Roman"/>
          <w:lang w:val="it-IT"/>
        </w:rPr>
      </w:pPr>
    </w:p>
    <w:p w14:paraId="156BC152" w14:textId="77777777" w:rsidR="00E50AFE" w:rsidRPr="00496684" w:rsidRDefault="00E50AFE" w:rsidP="00D008F2">
      <w:pPr>
        <w:autoSpaceDE w:val="0"/>
        <w:autoSpaceDN w:val="0"/>
        <w:adjustRightInd w:val="0"/>
        <w:spacing w:after="0" w:line="240" w:lineRule="auto"/>
        <w:rPr>
          <w:lang w:val="it-IT"/>
        </w:rPr>
      </w:pPr>
      <w:r w:rsidRPr="00496684">
        <w:rPr>
          <w:rFonts w:ascii="Times New Roman" w:hAnsi="Times New Roman"/>
          <w:lang w:val="it-IT"/>
        </w:rPr>
        <w:t>Nel resto di questo foglio illustrativo si useranno le abbreviazioni quando si parlerà di queste malattie</w:t>
      </w:r>
    </w:p>
    <w:p w14:paraId="61E41F95"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79C8B32"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ha delle domande riguardo a come Imatinib Actavis agisce o sul motivo per cui le è stato prescritto Imatinib Actavis, consulti il medico.</w:t>
      </w:r>
    </w:p>
    <w:p w14:paraId="1B94BE81"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45D1D53" w14:textId="77777777" w:rsidR="0020671B" w:rsidRPr="00496684" w:rsidRDefault="0020671B" w:rsidP="00DF593A">
      <w:pPr>
        <w:autoSpaceDE w:val="0"/>
        <w:autoSpaceDN w:val="0"/>
        <w:adjustRightInd w:val="0"/>
        <w:spacing w:after="0" w:line="240" w:lineRule="auto"/>
        <w:rPr>
          <w:rFonts w:ascii="Times New Roman" w:hAnsi="Times New Roman"/>
          <w:lang w:val="it-IT"/>
        </w:rPr>
      </w:pPr>
    </w:p>
    <w:p w14:paraId="733AD769"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Cosa deve sapere prima di prendere Imatinib Actavis</w:t>
      </w:r>
    </w:p>
    <w:p w14:paraId="3366C451"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88623EE" w14:textId="77777777" w:rsidR="00DF593A" w:rsidRPr="00496684" w:rsidRDefault="00DF593A" w:rsidP="00DF593A">
      <w:pPr>
        <w:pStyle w:val="Textkrper3"/>
        <w:spacing w:after="0" w:line="240" w:lineRule="auto"/>
        <w:rPr>
          <w:rFonts w:ascii="Times New Roman" w:hAnsi="Times New Roman"/>
          <w:sz w:val="22"/>
          <w:szCs w:val="22"/>
          <w:lang w:val="it-IT"/>
        </w:rPr>
      </w:pPr>
      <w:r w:rsidRPr="00496684">
        <w:rPr>
          <w:rFonts w:ascii="Times New Roman" w:hAnsi="Times New Roman"/>
          <w:sz w:val="22"/>
          <w:szCs w:val="22"/>
          <w:lang w:val="it-IT"/>
        </w:rPr>
        <w:t>Imatinib Actavis le verrà prescritto solo da medici con esperienza in medicinali per il trattamento dei tumori del sangue</w:t>
      </w:r>
      <w:r w:rsidR="00E50AFE" w:rsidRPr="00496684">
        <w:rPr>
          <w:rFonts w:ascii="Times New Roman" w:hAnsi="Times New Roman"/>
          <w:sz w:val="22"/>
          <w:szCs w:val="22"/>
          <w:lang w:val="it-IT"/>
        </w:rPr>
        <w:t xml:space="preserve"> o tumori solidi</w:t>
      </w:r>
      <w:r w:rsidRPr="00496684">
        <w:rPr>
          <w:rFonts w:ascii="Times New Roman" w:hAnsi="Times New Roman"/>
          <w:sz w:val="22"/>
          <w:szCs w:val="22"/>
          <w:lang w:val="it-IT"/>
        </w:rPr>
        <w:t>.</w:t>
      </w:r>
    </w:p>
    <w:p w14:paraId="1D1D2666" w14:textId="77777777" w:rsidR="00DF593A" w:rsidRPr="00496684" w:rsidRDefault="00DF593A" w:rsidP="00DF593A">
      <w:pPr>
        <w:pStyle w:val="Textkrper3"/>
        <w:spacing w:after="0" w:line="240" w:lineRule="auto"/>
        <w:rPr>
          <w:rFonts w:ascii="Times New Roman" w:hAnsi="Times New Roman"/>
          <w:sz w:val="22"/>
          <w:szCs w:val="22"/>
          <w:lang w:val="it-IT"/>
        </w:rPr>
      </w:pPr>
    </w:p>
    <w:p w14:paraId="0256CEBB" w14:textId="77777777" w:rsidR="00DF593A" w:rsidRPr="00496684" w:rsidRDefault="00DF593A" w:rsidP="00DF593A">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Segua attentamente tutte le istruzioni del medico, anche se differiscono dalle informazioni generali contenute in questo foglio.</w:t>
      </w:r>
    </w:p>
    <w:p w14:paraId="57458DD6" w14:textId="77777777" w:rsidR="00030ED2" w:rsidRPr="00496684" w:rsidRDefault="00030ED2" w:rsidP="00DF593A">
      <w:pPr>
        <w:widowControl w:val="0"/>
        <w:numPr>
          <w:ilvl w:val="12"/>
          <w:numId w:val="0"/>
        </w:numPr>
        <w:spacing w:after="0" w:line="240" w:lineRule="auto"/>
        <w:ind w:right="-2"/>
        <w:rPr>
          <w:rFonts w:ascii="Times New Roman" w:hAnsi="Times New Roman"/>
          <w:lang w:val="it-IT"/>
        </w:rPr>
      </w:pPr>
    </w:p>
    <w:p w14:paraId="225F2389" w14:textId="6EB345AD" w:rsidR="00DF593A" w:rsidRPr="00496684" w:rsidRDefault="00DF593A" w:rsidP="00DF593A">
      <w:pPr>
        <w:widowControl w:val="0"/>
        <w:numPr>
          <w:ilvl w:val="12"/>
          <w:numId w:val="0"/>
        </w:numPr>
        <w:spacing w:after="0" w:line="240" w:lineRule="auto"/>
        <w:rPr>
          <w:rFonts w:ascii="Times New Roman" w:hAnsi="Times New Roman"/>
          <w:lang w:val="it-IT"/>
        </w:rPr>
      </w:pPr>
      <w:r w:rsidRPr="00496684">
        <w:rPr>
          <w:rFonts w:ascii="Times New Roman" w:hAnsi="Times New Roman"/>
          <w:b/>
          <w:lang w:val="it-IT"/>
        </w:rPr>
        <w:t>Non prenda Imatinib Actavis</w:t>
      </w:r>
    </w:p>
    <w:p w14:paraId="36E3129D" w14:textId="77777777" w:rsidR="00DF593A" w:rsidRPr="00496684" w:rsidRDefault="00DF593A" w:rsidP="00DF593A">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se è allergico a imatinib o ad uno qualsiasi degli altri componenti di questo medicinale (elencati al paragrafo 6).</w:t>
      </w:r>
    </w:p>
    <w:p w14:paraId="404DF4B1" w14:textId="77777777" w:rsidR="00DF593A" w:rsidRPr="00496684" w:rsidRDefault="00DF593A" w:rsidP="00DF593A">
      <w:pPr>
        <w:widowControl w:val="0"/>
        <w:numPr>
          <w:ilvl w:val="12"/>
          <w:numId w:val="0"/>
        </w:numPr>
        <w:spacing w:after="0" w:line="240" w:lineRule="auto"/>
        <w:ind w:left="567" w:hanging="567"/>
        <w:rPr>
          <w:rFonts w:ascii="Times New Roman" w:hAnsi="Times New Roman"/>
          <w:lang w:val="it-IT"/>
        </w:rPr>
      </w:pPr>
    </w:p>
    <w:p w14:paraId="09B0F41C" w14:textId="77777777" w:rsidR="00DF593A" w:rsidRPr="00496684" w:rsidRDefault="00DF593A" w:rsidP="00DF593A">
      <w:pPr>
        <w:pStyle w:val="Endnotentext"/>
        <w:widowControl w:val="0"/>
        <w:numPr>
          <w:ilvl w:val="12"/>
          <w:numId w:val="0"/>
        </w:numPr>
        <w:tabs>
          <w:tab w:val="clear" w:pos="567"/>
        </w:tabs>
        <w:rPr>
          <w:szCs w:val="22"/>
          <w:lang w:val="it-IT"/>
        </w:rPr>
      </w:pPr>
      <w:r w:rsidRPr="00496684">
        <w:rPr>
          <w:szCs w:val="22"/>
          <w:lang w:val="it-IT"/>
        </w:rPr>
        <w:t xml:space="preserve">Se è in questa situazione, </w:t>
      </w:r>
      <w:r w:rsidRPr="00496684">
        <w:rPr>
          <w:b/>
          <w:szCs w:val="22"/>
          <w:lang w:val="it-IT"/>
        </w:rPr>
        <w:t>consulti il medico senza prendere Imatinib Actavis.</w:t>
      </w:r>
    </w:p>
    <w:p w14:paraId="6491866C" w14:textId="77777777" w:rsidR="00DF593A" w:rsidRPr="00496684" w:rsidRDefault="00DF593A" w:rsidP="00DF593A">
      <w:pPr>
        <w:widowControl w:val="0"/>
        <w:numPr>
          <w:ilvl w:val="12"/>
          <w:numId w:val="0"/>
        </w:numPr>
        <w:spacing w:after="0" w:line="240" w:lineRule="auto"/>
        <w:ind w:left="567" w:hanging="567"/>
        <w:rPr>
          <w:rFonts w:ascii="Times New Roman" w:hAnsi="Times New Roman"/>
          <w:lang w:val="it-IT"/>
        </w:rPr>
      </w:pPr>
    </w:p>
    <w:p w14:paraId="3DDEDC8A" w14:textId="77777777" w:rsidR="00DF593A" w:rsidRPr="00496684" w:rsidRDefault="00DF593A" w:rsidP="00DF593A">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Se pensa di poter essere allergico ma non è sicuro, chieda consiglio al medico.</w:t>
      </w:r>
    </w:p>
    <w:p w14:paraId="29BF64EA"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E8F2320" w14:textId="77777777" w:rsidR="00DF593A" w:rsidRPr="00496684" w:rsidRDefault="00DF593A" w:rsidP="00DF593A">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Avvertenze e precauzioni</w:t>
      </w:r>
    </w:p>
    <w:p w14:paraId="44434C5B" w14:textId="77777777" w:rsidR="00DF593A" w:rsidRPr="00496684" w:rsidRDefault="00DF593A" w:rsidP="00DF593A">
      <w:pPr>
        <w:widowControl w:val="0"/>
        <w:spacing w:after="0" w:line="240" w:lineRule="auto"/>
        <w:rPr>
          <w:rFonts w:ascii="Times New Roman" w:hAnsi="Times New Roman"/>
          <w:lang w:val="it-IT"/>
        </w:rPr>
      </w:pPr>
      <w:r w:rsidRPr="00496684">
        <w:rPr>
          <w:rFonts w:ascii="Times New Roman" w:hAnsi="Times New Roman"/>
          <w:lang w:val="it-IT"/>
        </w:rPr>
        <w:t>Si rivolga al medico prima di prendere Imatinib Actavis:</w:t>
      </w:r>
    </w:p>
    <w:p w14:paraId="64D50EB5" w14:textId="77777777" w:rsidR="004D3CF6" w:rsidRPr="00496684" w:rsidRDefault="004D3CF6" w:rsidP="004D3CF6">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ha o ha avuto disturbi al fegato, ai reni o al cuore.</w:t>
      </w:r>
    </w:p>
    <w:p w14:paraId="5CA212D0" w14:textId="77777777" w:rsidR="004D3CF6" w:rsidRPr="00496684" w:rsidRDefault="004D3CF6" w:rsidP="004D3CF6">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sta assumendo il medicinale levotiroxina poichè le è stata asportata la tiroide.</w:t>
      </w:r>
    </w:p>
    <w:p w14:paraId="50B8A654" w14:textId="5D849672" w:rsidR="004D3CF6" w:rsidRPr="00496684" w:rsidRDefault="004D3CF6" w:rsidP="004D3CF6">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 xml:space="preserve">se lei ha mai avuto o </w:t>
      </w:r>
      <w:r w:rsidR="000B2C9C" w:rsidRPr="00496684">
        <w:rPr>
          <w:rFonts w:ascii="Times New Roman" w:hAnsi="Times New Roman"/>
          <w:lang w:val="it-IT"/>
        </w:rPr>
        <w:t>può</w:t>
      </w:r>
      <w:r w:rsidRPr="00496684">
        <w:rPr>
          <w:rFonts w:ascii="Times New Roman" w:hAnsi="Times New Roman"/>
          <w:lang w:val="it-IT"/>
        </w:rPr>
        <w:t xml:space="preserve"> avere in corso un’infezione da epatite B . Questo perché Imatinib Actavis </w:t>
      </w:r>
      <w:r w:rsidR="000B2C9C" w:rsidRPr="00496684">
        <w:rPr>
          <w:rFonts w:ascii="Times New Roman" w:hAnsi="Times New Roman"/>
          <w:lang w:val="it-IT"/>
        </w:rPr>
        <w:t>può</w:t>
      </w:r>
      <w:r w:rsidRPr="00496684">
        <w:rPr>
          <w:rFonts w:ascii="Times New Roman" w:hAnsi="Times New Roman"/>
          <w:lang w:val="it-IT"/>
        </w:rPr>
        <w:t xml:space="preserve"> causare la riattivazione dell’epatite B, che in alcuni casi può essere fatale. I pazienti verranno esaminati attentamente dal medico per i segni di questa infezione prima di iniziare il trattamento.</w:t>
      </w:r>
    </w:p>
    <w:p w14:paraId="5E2B79A1" w14:textId="44E606DB" w:rsidR="000B2C9C" w:rsidRPr="00496684" w:rsidRDefault="000B2C9C" w:rsidP="004D3CF6">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se presenta lividi, sanguinamento, febbre, stanchezza e confusione durante l’assunzione di Imatinib Actavis, contatti il medico. Questo può essere un segno di danno ai vasi sanguigni noto come microangiopatia trombotica (TMA).</w:t>
      </w:r>
    </w:p>
    <w:p w14:paraId="56D1CC84" w14:textId="77777777" w:rsidR="004D3CF6" w:rsidRPr="00496684" w:rsidRDefault="004D3CF6" w:rsidP="004D3CF6">
      <w:pPr>
        <w:widowControl w:val="0"/>
        <w:spacing w:after="0" w:line="240" w:lineRule="auto"/>
        <w:ind w:left="283"/>
        <w:rPr>
          <w:rFonts w:ascii="Times New Roman" w:hAnsi="Times New Roman"/>
          <w:lang w:val="it-IT"/>
        </w:rPr>
      </w:pPr>
    </w:p>
    <w:p w14:paraId="499FC24A" w14:textId="77777777" w:rsidR="00DF593A" w:rsidRPr="00496684" w:rsidRDefault="00DF593A" w:rsidP="00DF593A">
      <w:pPr>
        <w:pStyle w:val="Endnotentext"/>
        <w:widowControl w:val="0"/>
        <w:numPr>
          <w:ilvl w:val="12"/>
          <w:numId w:val="0"/>
        </w:numPr>
        <w:tabs>
          <w:tab w:val="clear" w:pos="567"/>
        </w:tabs>
        <w:rPr>
          <w:szCs w:val="22"/>
          <w:lang w:val="it-IT"/>
        </w:rPr>
      </w:pPr>
      <w:r w:rsidRPr="00496684">
        <w:rPr>
          <w:szCs w:val="22"/>
          <w:lang w:val="it-IT"/>
        </w:rPr>
        <w:t xml:space="preserve">Se è in una di queste situazioni, </w:t>
      </w:r>
      <w:r w:rsidRPr="00496684">
        <w:rPr>
          <w:b/>
          <w:szCs w:val="22"/>
          <w:lang w:val="it-IT"/>
        </w:rPr>
        <w:t>consulti il medico prima di prendere Imatinib Actavis.</w:t>
      </w:r>
    </w:p>
    <w:p w14:paraId="10ED5EA9" w14:textId="77777777" w:rsidR="00B56712" w:rsidRPr="00496684" w:rsidRDefault="00B56712" w:rsidP="00B56712">
      <w:pPr>
        <w:pStyle w:val="Endnotentext"/>
        <w:widowControl w:val="0"/>
        <w:numPr>
          <w:ilvl w:val="12"/>
          <w:numId w:val="0"/>
        </w:numPr>
        <w:rPr>
          <w:szCs w:val="22"/>
          <w:lang w:val="it-IT"/>
        </w:rPr>
      </w:pPr>
    </w:p>
    <w:p w14:paraId="7D5541B2" w14:textId="77777777" w:rsidR="00B56712" w:rsidRPr="00496684" w:rsidRDefault="00B56712" w:rsidP="00B56712">
      <w:pPr>
        <w:pStyle w:val="Endnotentext"/>
        <w:widowControl w:val="0"/>
        <w:numPr>
          <w:ilvl w:val="12"/>
          <w:numId w:val="0"/>
        </w:numPr>
        <w:tabs>
          <w:tab w:val="clear" w:pos="567"/>
        </w:tabs>
        <w:rPr>
          <w:szCs w:val="22"/>
          <w:lang w:val="it-IT"/>
        </w:rPr>
      </w:pPr>
      <w:r w:rsidRPr="00496684">
        <w:rPr>
          <w:szCs w:val="22"/>
          <w:lang w:val="it-IT"/>
        </w:rPr>
        <w:t>Durante il trattamento con Imatinib Actavis può diventare più sensibile al sole. E’ importante coprire le aree della pelle esposte al sole e utilizzare un filtro solare con un elevato fattore di protezione solare (SPF). Queste precauzioni si applicano anche ai bambini.</w:t>
      </w:r>
    </w:p>
    <w:p w14:paraId="4AC654BB" w14:textId="77777777" w:rsidR="00DF593A" w:rsidRPr="00496684" w:rsidRDefault="00DF593A" w:rsidP="00DF593A">
      <w:pPr>
        <w:pStyle w:val="Endnotentext"/>
        <w:widowControl w:val="0"/>
        <w:numPr>
          <w:ilvl w:val="12"/>
          <w:numId w:val="0"/>
        </w:numPr>
        <w:tabs>
          <w:tab w:val="clear" w:pos="567"/>
        </w:tabs>
        <w:rPr>
          <w:szCs w:val="22"/>
          <w:lang w:val="it-IT"/>
        </w:rPr>
      </w:pPr>
    </w:p>
    <w:p w14:paraId="35AD6892" w14:textId="77777777" w:rsidR="00DF593A" w:rsidRPr="00496684" w:rsidRDefault="00DF593A" w:rsidP="00DF593A">
      <w:pPr>
        <w:pStyle w:val="Endnotentext"/>
        <w:widowControl w:val="0"/>
        <w:numPr>
          <w:ilvl w:val="12"/>
          <w:numId w:val="0"/>
        </w:numPr>
        <w:tabs>
          <w:tab w:val="clear" w:pos="567"/>
        </w:tabs>
        <w:rPr>
          <w:szCs w:val="22"/>
          <w:lang w:val="it-IT"/>
        </w:rPr>
      </w:pPr>
      <w:r w:rsidRPr="00496684">
        <w:rPr>
          <w:b/>
          <w:szCs w:val="22"/>
          <w:lang w:val="it-IT"/>
        </w:rPr>
        <w:t>Durante il trattamento con Imatinib Actavis, informi immediatamente il medico</w:t>
      </w:r>
      <w:r w:rsidRPr="00496684">
        <w:rPr>
          <w:szCs w:val="22"/>
          <w:lang w:val="it-IT"/>
        </w:rPr>
        <w:t xml:space="preserve"> se aumenta di peso molto velocemente. Imatinib Actavis può far trattenere al suo corpo acqua (grave ritenzione di liquidi).</w:t>
      </w:r>
    </w:p>
    <w:p w14:paraId="58916C53"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DF58A56" w14:textId="77777777" w:rsidR="00DF593A" w:rsidRPr="00496684" w:rsidRDefault="00DF593A" w:rsidP="00DF593A">
      <w:pPr>
        <w:pStyle w:val="Endnotentext"/>
        <w:widowControl w:val="0"/>
        <w:numPr>
          <w:ilvl w:val="12"/>
          <w:numId w:val="0"/>
        </w:numPr>
        <w:tabs>
          <w:tab w:val="clear" w:pos="567"/>
        </w:tabs>
        <w:rPr>
          <w:szCs w:val="22"/>
          <w:lang w:val="it-IT"/>
        </w:rPr>
      </w:pPr>
      <w:r w:rsidRPr="00496684">
        <w:rPr>
          <w:szCs w:val="22"/>
          <w:lang w:val="it-IT"/>
        </w:rPr>
        <w:t>Mentre sta assumendo Imatinib Actavis, il medico dovrà regolarmente controllare se il medicinale è efficace. Inoltre le verranno fatti esami del sangue e verrà pesato regolarmente.</w:t>
      </w:r>
    </w:p>
    <w:p w14:paraId="2FC8EB72"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9FD44F6" w14:textId="77777777" w:rsidR="00DF593A" w:rsidRPr="00496684" w:rsidRDefault="00DF593A" w:rsidP="00DF593A">
      <w:pPr>
        <w:pStyle w:val="Endnotentext"/>
        <w:widowControl w:val="0"/>
        <w:numPr>
          <w:ilvl w:val="12"/>
          <w:numId w:val="0"/>
        </w:numPr>
        <w:tabs>
          <w:tab w:val="clear" w:pos="567"/>
        </w:tabs>
        <w:rPr>
          <w:b/>
          <w:szCs w:val="22"/>
          <w:lang w:val="it-IT"/>
        </w:rPr>
      </w:pPr>
      <w:r w:rsidRPr="00496684">
        <w:rPr>
          <w:b/>
          <w:szCs w:val="22"/>
          <w:lang w:val="it-IT"/>
        </w:rPr>
        <w:t>Bambini e adolescenti</w:t>
      </w:r>
    </w:p>
    <w:p w14:paraId="144B7553" w14:textId="3AD3FC3D" w:rsidR="00DF593A" w:rsidRPr="00496684" w:rsidRDefault="00DF593A" w:rsidP="00DF593A">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è anche un trattamento per i bambini con LMC. Non c’è esperienza nei bambini con LMC di età inferiore a 2 anni.</w:t>
      </w:r>
      <w:r w:rsidR="00E50AFE" w:rsidRPr="00496684">
        <w:rPr>
          <w:rFonts w:ascii="Times New Roman" w:eastAsia="Times New Roman" w:hAnsi="Times New Roman"/>
          <w:lang w:val="it-IT" w:eastAsia="it-IT"/>
        </w:rPr>
        <w:t xml:space="preserve"> C’è una limitata esperienza nei bambini con LLA Ph+ e molto limitata esperienza nei bambini con MDS/MPD, DFSP, GIST e HES/LEC.</w:t>
      </w:r>
    </w:p>
    <w:p w14:paraId="2DE0B078"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FDEB1BB" w14:textId="77777777" w:rsidR="00DF593A" w:rsidRPr="00496684" w:rsidRDefault="00DF593A" w:rsidP="00DF593A">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Alcuni bambini e adolescenti che assumono Imatinib Actavis possono avere una crescita più lenta del normale. Il medico controllerà la crescita a intervalli regolari.</w:t>
      </w:r>
    </w:p>
    <w:p w14:paraId="3D550702"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01FABAC9" w14:textId="77777777" w:rsidR="00DF593A" w:rsidRPr="00496684" w:rsidRDefault="00DF593A" w:rsidP="00DF593A">
      <w:pPr>
        <w:pStyle w:val="Endnotentext"/>
        <w:widowControl w:val="0"/>
        <w:numPr>
          <w:ilvl w:val="12"/>
          <w:numId w:val="0"/>
        </w:numPr>
        <w:tabs>
          <w:tab w:val="clear" w:pos="567"/>
        </w:tabs>
        <w:rPr>
          <w:b/>
          <w:szCs w:val="22"/>
          <w:lang w:val="it-IT"/>
        </w:rPr>
      </w:pPr>
      <w:r w:rsidRPr="00496684">
        <w:rPr>
          <w:b/>
          <w:szCs w:val="22"/>
          <w:lang w:val="it-IT"/>
        </w:rPr>
        <w:t>Altri medicinali e Imatinib Actavis</w:t>
      </w:r>
    </w:p>
    <w:p w14:paraId="0ADC6972" w14:textId="77777777" w:rsidR="00DF593A" w:rsidRPr="00496684" w:rsidRDefault="00DF593A" w:rsidP="00DF593A">
      <w:pPr>
        <w:pStyle w:val="Endnotentext"/>
        <w:widowControl w:val="0"/>
        <w:numPr>
          <w:ilvl w:val="12"/>
          <w:numId w:val="0"/>
        </w:numPr>
        <w:tabs>
          <w:tab w:val="clear" w:pos="567"/>
        </w:tabs>
        <w:rPr>
          <w:szCs w:val="22"/>
          <w:lang w:val="it-IT"/>
        </w:rPr>
      </w:pPr>
      <w:r w:rsidRPr="00496684">
        <w:rPr>
          <w:szCs w:val="22"/>
          <w:lang w:val="it-IT"/>
        </w:rPr>
        <w:t>Informi il medico o il farmacista se sta assumendo, ha recentemente assunto o potrebbe assumere qualsiasi altro medicinale, compresi quelli senza prescrizione medica (come il paracetamolo) e inclusi i medicinali a base di piante medicinali (come l’erba di San Giovanni). Alcuni medicinali possono interferire con l’effetto di Imatinib Actavis quando assunti insieme. Possono aumentare o diminuire l’effetto di Imatinib Actavis portando ad un aumento degli effetti indesiderati o rendendo Imatinib Actavis meno efficace. Imatinib Actavis può fare lo stesso nei confronti di altri medicinali.</w:t>
      </w:r>
    </w:p>
    <w:p w14:paraId="44C5E547" w14:textId="77777777" w:rsidR="00DF593A" w:rsidRPr="00496684" w:rsidRDefault="00DF593A" w:rsidP="00DF593A">
      <w:pPr>
        <w:pStyle w:val="Endnotentext"/>
        <w:widowControl w:val="0"/>
        <w:numPr>
          <w:ilvl w:val="12"/>
          <w:numId w:val="0"/>
        </w:numPr>
        <w:tabs>
          <w:tab w:val="clear" w:pos="567"/>
        </w:tabs>
        <w:rPr>
          <w:szCs w:val="22"/>
          <w:lang w:val="it-IT"/>
        </w:rPr>
      </w:pPr>
    </w:p>
    <w:p w14:paraId="76F99B5D" w14:textId="77777777" w:rsidR="00DF593A" w:rsidRPr="00496684" w:rsidRDefault="00DF593A" w:rsidP="00DF593A">
      <w:pPr>
        <w:pStyle w:val="Endnotentext"/>
        <w:widowControl w:val="0"/>
        <w:numPr>
          <w:ilvl w:val="12"/>
          <w:numId w:val="0"/>
        </w:numPr>
        <w:tabs>
          <w:tab w:val="clear" w:pos="567"/>
        </w:tabs>
        <w:rPr>
          <w:szCs w:val="22"/>
          <w:lang w:val="it-IT"/>
        </w:rPr>
      </w:pPr>
      <w:r w:rsidRPr="00496684">
        <w:rPr>
          <w:szCs w:val="22"/>
          <w:lang w:val="it-IT"/>
        </w:rPr>
        <w:t>Informi il medico se sta usando medicinali che prevengono la formazione di coaguli di sangue.</w:t>
      </w:r>
    </w:p>
    <w:p w14:paraId="60CA33BF" w14:textId="77777777" w:rsidR="00DF593A" w:rsidRPr="00496684" w:rsidRDefault="00DF593A" w:rsidP="00DF593A">
      <w:pPr>
        <w:pStyle w:val="Endnotentext"/>
        <w:widowControl w:val="0"/>
        <w:numPr>
          <w:ilvl w:val="12"/>
          <w:numId w:val="0"/>
        </w:numPr>
        <w:tabs>
          <w:tab w:val="clear" w:pos="567"/>
        </w:tabs>
        <w:rPr>
          <w:szCs w:val="22"/>
          <w:lang w:val="it-IT"/>
        </w:rPr>
      </w:pPr>
    </w:p>
    <w:p w14:paraId="4830150E" w14:textId="77777777" w:rsidR="00DF593A" w:rsidRPr="00496684" w:rsidRDefault="00DF593A" w:rsidP="00DF593A">
      <w:pPr>
        <w:pStyle w:val="Endnotentext"/>
        <w:widowControl w:val="0"/>
        <w:numPr>
          <w:ilvl w:val="12"/>
          <w:numId w:val="0"/>
        </w:numPr>
        <w:tabs>
          <w:tab w:val="clear" w:pos="567"/>
        </w:tabs>
        <w:rPr>
          <w:b/>
          <w:szCs w:val="22"/>
          <w:lang w:val="it-IT"/>
        </w:rPr>
      </w:pPr>
      <w:r w:rsidRPr="00496684">
        <w:rPr>
          <w:b/>
          <w:szCs w:val="22"/>
          <w:lang w:val="it-IT"/>
        </w:rPr>
        <w:t>Gravidanza, allattamento e fertilità</w:t>
      </w:r>
    </w:p>
    <w:p w14:paraId="77A49EC9" w14:textId="77777777" w:rsidR="00DF593A" w:rsidRPr="00496684" w:rsidRDefault="00DF593A" w:rsidP="00DF593A">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Se è in corso una gravidanza, se sospetta o sta pianificando una gravidanza, o se sta allattando con latte materno chieda consiglio al medico prima di prendere questo medicinale.</w:t>
      </w:r>
    </w:p>
    <w:p w14:paraId="016C8A05" w14:textId="77777777" w:rsidR="00DF593A" w:rsidRPr="00496684" w:rsidRDefault="00DF593A" w:rsidP="00DF593A">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Imatinib Actavis non è raccomandato durante la gravidanza a meno che non sia strettamente necessario in quanto può essere dannoso per il bambino. Il medico discuterà con lei i possibili rischi dell’assunzione di Imatinib Actavis durante la gravidanza.</w:t>
      </w:r>
    </w:p>
    <w:p w14:paraId="1F9E1CF9" w14:textId="77777777" w:rsidR="006B5718" w:rsidRPr="00496684" w:rsidRDefault="00DF593A"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Alle donne che </w:t>
      </w:r>
      <w:r w:rsidR="000B2C9C" w:rsidRPr="00496684">
        <w:rPr>
          <w:rFonts w:ascii="Times New Roman" w:hAnsi="Times New Roman"/>
          <w:lang w:val="it-IT"/>
        </w:rPr>
        <w:t>possono</w:t>
      </w:r>
      <w:r w:rsidRPr="00496684">
        <w:rPr>
          <w:rFonts w:ascii="Times New Roman" w:hAnsi="Times New Roman"/>
          <w:lang w:val="it-IT"/>
        </w:rPr>
        <w:t xml:space="preserve"> rimanere in stato di gravidanza si consiglia l’utilizzo di un’efficace </w:t>
      </w:r>
      <w:r w:rsidR="006B5718" w:rsidRPr="00496684">
        <w:rPr>
          <w:rFonts w:ascii="Times New Roman" w:hAnsi="Times New Roman"/>
          <w:lang w:val="it-IT"/>
        </w:rPr>
        <w:t>contraccezione durante il trattamento</w:t>
      </w:r>
      <w:r w:rsidR="006B5718">
        <w:rPr>
          <w:rFonts w:ascii="Times New Roman" w:hAnsi="Times New Roman"/>
          <w:lang w:val="it-IT"/>
        </w:rPr>
        <w:t xml:space="preserve"> e per 15 giorni dopo </w:t>
      </w:r>
      <w:r w:rsidR="006B5718" w:rsidRPr="00EB262F">
        <w:rPr>
          <w:rFonts w:ascii="Times New Roman" w:hAnsi="Times New Roman"/>
          <w:lang w:val="it-IT"/>
        </w:rPr>
        <w:t>la fine</w:t>
      </w:r>
      <w:r w:rsidR="006B5718">
        <w:rPr>
          <w:rFonts w:ascii="Times New Roman" w:hAnsi="Times New Roman"/>
          <w:lang w:val="it-IT"/>
        </w:rPr>
        <w:t xml:space="preserve"> del trattamento</w:t>
      </w:r>
      <w:r w:rsidR="006B5718" w:rsidRPr="00496684">
        <w:rPr>
          <w:rFonts w:ascii="Times New Roman" w:hAnsi="Times New Roman"/>
          <w:lang w:val="it-IT"/>
        </w:rPr>
        <w:t>.</w:t>
      </w:r>
    </w:p>
    <w:p w14:paraId="0FCA4597" w14:textId="77777777" w:rsidR="006B5718" w:rsidRPr="00496684" w:rsidRDefault="006B5718"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Non allatti durante il trattamento con Imatinib Actavis</w:t>
      </w:r>
      <w:r>
        <w:rPr>
          <w:rFonts w:ascii="Times New Roman" w:hAnsi="Times New Roman"/>
          <w:lang w:val="it-IT"/>
        </w:rPr>
        <w:t xml:space="preserve"> e per 15 giorni dopo </w:t>
      </w:r>
      <w:r w:rsidRPr="00EB262F">
        <w:rPr>
          <w:rFonts w:ascii="Times New Roman" w:hAnsi="Times New Roman"/>
          <w:lang w:val="it-IT"/>
        </w:rPr>
        <w:t>la fine</w:t>
      </w:r>
      <w:r>
        <w:rPr>
          <w:rFonts w:ascii="Times New Roman" w:hAnsi="Times New Roman"/>
          <w:lang w:val="it-IT"/>
        </w:rPr>
        <w:t xml:space="preserve"> del trattamento, </w:t>
      </w:r>
      <w:r w:rsidRPr="00EB262F">
        <w:rPr>
          <w:rFonts w:ascii="Times New Roman" w:hAnsi="Times New Roman"/>
          <w:lang w:val="it-IT"/>
        </w:rPr>
        <w:t xml:space="preserve">perchè </w:t>
      </w:r>
      <w:r>
        <w:rPr>
          <w:rFonts w:ascii="Times New Roman" w:hAnsi="Times New Roman"/>
          <w:lang w:val="it-IT"/>
        </w:rPr>
        <w:t>può nuocere al bambino</w:t>
      </w:r>
      <w:r w:rsidRPr="00496684">
        <w:rPr>
          <w:rFonts w:ascii="Times New Roman" w:hAnsi="Times New Roman"/>
          <w:lang w:val="it-IT"/>
        </w:rPr>
        <w:t>.</w:t>
      </w:r>
    </w:p>
    <w:p w14:paraId="60B5E00B" w14:textId="242E4F1F" w:rsidR="00DF593A" w:rsidRPr="00496684" w:rsidRDefault="00DF593A"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Ai pazienti che sono preoccupati per la loro fertilità durante il trattamento con Imatinib Actavis si consiglia di consultare il medico.</w:t>
      </w:r>
    </w:p>
    <w:p w14:paraId="3C60F544" w14:textId="77777777" w:rsidR="00DF593A" w:rsidRPr="00496684" w:rsidRDefault="00DF593A" w:rsidP="00DF593A">
      <w:pPr>
        <w:widowControl w:val="0"/>
        <w:numPr>
          <w:ilvl w:val="12"/>
          <w:numId w:val="0"/>
        </w:numPr>
        <w:spacing w:after="0" w:line="240" w:lineRule="auto"/>
        <w:ind w:right="-2"/>
        <w:rPr>
          <w:rFonts w:ascii="Times New Roman" w:hAnsi="Times New Roman"/>
          <w:b/>
          <w:lang w:val="it-IT"/>
        </w:rPr>
      </w:pPr>
    </w:p>
    <w:p w14:paraId="6EAE016D" w14:textId="77777777" w:rsidR="00DF593A" w:rsidRPr="00496684" w:rsidRDefault="00DF593A" w:rsidP="00DF593A">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Guida di veicoli e utilizzo di macchinari</w:t>
      </w:r>
    </w:p>
    <w:p w14:paraId="247996A1" w14:textId="77777777" w:rsidR="00DF593A" w:rsidRPr="00496684" w:rsidRDefault="00DF593A" w:rsidP="00DF593A">
      <w:pPr>
        <w:widowControl w:val="0"/>
        <w:numPr>
          <w:ilvl w:val="12"/>
          <w:numId w:val="0"/>
        </w:numPr>
        <w:spacing w:after="0" w:line="240" w:lineRule="auto"/>
        <w:ind w:right="-29"/>
        <w:rPr>
          <w:rFonts w:ascii="Times New Roman" w:hAnsi="Times New Roman"/>
          <w:lang w:val="it-IT"/>
        </w:rPr>
      </w:pPr>
      <w:r w:rsidRPr="00496684">
        <w:rPr>
          <w:rFonts w:ascii="Times New Roman" w:hAnsi="Times New Roman"/>
          <w:lang w:val="it-IT"/>
        </w:rPr>
        <w:t>Si possono avere capogiri o sonnolenza o offuscamento della vista mentre si assume questo medicinale. Se ciò accade, non guidi un veicolo o non usi strumenti o macchinari finchè si sente di nuovo bene.</w:t>
      </w:r>
    </w:p>
    <w:p w14:paraId="68594645" w14:textId="77777777" w:rsidR="000B2C9C" w:rsidRPr="00496684" w:rsidRDefault="000B2C9C" w:rsidP="00DF593A">
      <w:pPr>
        <w:widowControl w:val="0"/>
        <w:numPr>
          <w:ilvl w:val="12"/>
          <w:numId w:val="0"/>
        </w:numPr>
        <w:spacing w:after="0" w:line="240" w:lineRule="auto"/>
        <w:ind w:right="-29"/>
        <w:rPr>
          <w:rFonts w:ascii="Times New Roman" w:hAnsi="Times New Roman"/>
          <w:lang w:val="it-IT"/>
        </w:rPr>
      </w:pPr>
    </w:p>
    <w:p w14:paraId="75828104" w14:textId="77777777" w:rsidR="000B2C9C" w:rsidRPr="00496684" w:rsidRDefault="000B2C9C" w:rsidP="000B2C9C">
      <w:pPr>
        <w:widowControl w:val="0"/>
        <w:spacing w:after="0" w:line="240" w:lineRule="auto"/>
        <w:rPr>
          <w:rFonts w:ascii="Times New Roman" w:eastAsia="Times New Roman" w:hAnsi="Times New Roman"/>
          <w:lang w:val="it-IT"/>
        </w:rPr>
      </w:pPr>
      <w:r w:rsidRPr="00496684">
        <w:rPr>
          <w:rFonts w:ascii="Times New Roman" w:eastAsia="Times New Roman" w:hAnsi="Times New Roman"/>
          <w:b/>
          <w:lang w:val="it-IT"/>
        </w:rPr>
        <w:t>Imatinib Actavis contiene sodio</w:t>
      </w:r>
    </w:p>
    <w:p w14:paraId="43E9C6EB" w14:textId="115BCB03" w:rsidR="000B2C9C" w:rsidRPr="00496684" w:rsidRDefault="000B2C9C" w:rsidP="000B2C9C">
      <w:pPr>
        <w:widowControl w:val="0"/>
        <w:numPr>
          <w:ilvl w:val="12"/>
          <w:numId w:val="0"/>
        </w:numPr>
        <w:spacing w:after="0" w:line="240" w:lineRule="auto"/>
        <w:ind w:right="-29"/>
        <w:rPr>
          <w:rFonts w:ascii="Times New Roman" w:hAnsi="Times New Roman"/>
          <w:lang w:val="it-IT"/>
        </w:rPr>
      </w:pPr>
      <w:r w:rsidRPr="00496684">
        <w:rPr>
          <w:rFonts w:ascii="Times New Roman" w:eastAsia="Times New Roman" w:hAnsi="Times New Roman"/>
          <w:lang w:val="it-IT"/>
        </w:rPr>
        <w:t>Questo medicinale contiene meno di 1 mmol (23 mg) di sodio per capsula rigida, cioè essenzialmente ‘senza sodio’.</w:t>
      </w:r>
    </w:p>
    <w:p w14:paraId="679464D8"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42EDA1D0" w14:textId="77777777" w:rsidR="0020671B" w:rsidRPr="00496684" w:rsidRDefault="0020671B" w:rsidP="00DF593A">
      <w:pPr>
        <w:autoSpaceDE w:val="0"/>
        <w:autoSpaceDN w:val="0"/>
        <w:adjustRightInd w:val="0"/>
        <w:spacing w:after="0" w:line="240" w:lineRule="auto"/>
        <w:rPr>
          <w:rFonts w:ascii="Times New Roman" w:hAnsi="Times New Roman"/>
          <w:lang w:val="it-IT"/>
        </w:rPr>
      </w:pPr>
    </w:p>
    <w:p w14:paraId="31657F41"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r>
      <w:r w:rsidRPr="00496684">
        <w:rPr>
          <w:rFonts w:ascii="Times New Roman" w:hAnsi="Times New Roman"/>
          <w:b/>
          <w:lang w:val="it-IT"/>
        </w:rPr>
        <w:t xml:space="preserve">Come prendere </w:t>
      </w:r>
      <w:r w:rsidRPr="00496684">
        <w:rPr>
          <w:rFonts w:ascii="Times New Roman" w:hAnsi="Times New Roman"/>
          <w:b/>
          <w:bCs/>
          <w:lang w:val="it-IT"/>
        </w:rPr>
        <w:t>Imatinib Actavis</w:t>
      </w:r>
    </w:p>
    <w:p w14:paraId="1DCFC086"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p>
    <w:p w14:paraId="46199B56"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Il medico le ha prescritto Imatinib Actavis perché lei soffre di una grave condizione. Imatinib Actavis può aiutarla a combattere questa condizione.</w:t>
      </w:r>
    </w:p>
    <w:p w14:paraId="5F691718" w14:textId="77777777" w:rsidR="00DF593A" w:rsidRPr="00496684" w:rsidRDefault="00DF593A" w:rsidP="00DF593A">
      <w:pPr>
        <w:pStyle w:val="Text"/>
        <w:widowControl w:val="0"/>
        <w:spacing w:before="0"/>
        <w:jc w:val="left"/>
        <w:rPr>
          <w:sz w:val="22"/>
          <w:szCs w:val="22"/>
          <w:lang w:val="it-IT"/>
        </w:rPr>
      </w:pPr>
    </w:p>
    <w:p w14:paraId="5DA7E04A"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Comunque, prenda questo medicinale seguendo sempre esattamente le istruzioni del medico o del farmacista. E’ importante che faccia ciò finchè non lo dice il medico o il farmacista. Se ha dubbi consulti il medico o il farmacista.</w:t>
      </w:r>
    </w:p>
    <w:p w14:paraId="0C54584B" w14:textId="77777777" w:rsidR="00DF593A" w:rsidRPr="00496684" w:rsidRDefault="00DF593A" w:rsidP="00DF593A">
      <w:pPr>
        <w:pStyle w:val="Text"/>
        <w:widowControl w:val="0"/>
        <w:spacing w:before="0"/>
        <w:jc w:val="left"/>
        <w:rPr>
          <w:sz w:val="22"/>
          <w:szCs w:val="22"/>
          <w:lang w:val="it-IT"/>
        </w:rPr>
      </w:pPr>
    </w:p>
    <w:p w14:paraId="1ACBEDD2"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Non smetta di pendere Imatinib Actavis a meno che lo dica il medico. Se non è in grado di prendere il medicinale come prescritto dal medico o sente di non averne più bisogno, contatti il medico immediatamente.</w:t>
      </w:r>
    </w:p>
    <w:p w14:paraId="1C6F4A16"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479FBB1" w14:textId="77777777" w:rsidR="00DF593A" w:rsidRPr="00496684" w:rsidRDefault="00DF593A" w:rsidP="00DF593A">
      <w:pPr>
        <w:pStyle w:val="berschrift2"/>
        <w:keepNext w:val="0"/>
        <w:widowControl w:val="0"/>
        <w:spacing w:before="0" w:after="0" w:line="240" w:lineRule="auto"/>
        <w:rPr>
          <w:rFonts w:ascii="Times New Roman" w:hAnsi="Times New Roman"/>
          <w:i w:val="0"/>
          <w:sz w:val="22"/>
          <w:szCs w:val="22"/>
          <w:lang w:val="it-IT"/>
        </w:rPr>
      </w:pPr>
      <w:r w:rsidRPr="00496684">
        <w:rPr>
          <w:rFonts w:ascii="Times New Roman" w:hAnsi="Times New Roman"/>
          <w:i w:val="0"/>
          <w:sz w:val="22"/>
          <w:szCs w:val="22"/>
          <w:lang w:val="it-IT"/>
        </w:rPr>
        <w:t>Quanto Imatinib Actavis prendere</w:t>
      </w:r>
    </w:p>
    <w:p w14:paraId="06B99D01"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p>
    <w:p w14:paraId="19C8F1D4" w14:textId="77777777" w:rsidR="00DF593A" w:rsidRPr="00496684" w:rsidRDefault="00DF593A" w:rsidP="00DF593A">
      <w:pPr>
        <w:spacing w:after="0" w:line="240" w:lineRule="auto"/>
        <w:rPr>
          <w:rFonts w:ascii="Times New Roman" w:hAnsi="Times New Roman"/>
          <w:b/>
          <w:lang w:val="it-IT"/>
        </w:rPr>
      </w:pPr>
      <w:r w:rsidRPr="00496684">
        <w:rPr>
          <w:rFonts w:ascii="Times New Roman" w:hAnsi="Times New Roman"/>
          <w:b/>
          <w:lang w:val="it-IT"/>
        </w:rPr>
        <w:t>Uso negli adulti</w:t>
      </w:r>
    </w:p>
    <w:p w14:paraId="4CF209E9"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Il medico le dirà esattamente quante capsule di Imatinib Actavis dovrà prendere.</w:t>
      </w:r>
    </w:p>
    <w:p w14:paraId="7C731CD0"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LMC: </w:t>
      </w:r>
    </w:p>
    <w:p w14:paraId="3EA8FE22" w14:textId="77777777" w:rsidR="00E50AFE" w:rsidRPr="00496684" w:rsidRDefault="00E50AFE" w:rsidP="00D008F2">
      <w:pPr>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La dose iniziale usuale è di 600 mg</w:t>
      </w:r>
      <w:r w:rsidRPr="00496684">
        <w:rPr>
          <w:rFonts w:ascii="Times New Roman" w:eastAsia="Times New Roman" w:hAnsi="Times New Roman"/>
          <w:b/>
          <w:lang w:val="it-IT" w:eastAsia="it-IT"/>
        </w:rPr>
        <w:t xml:space="preserve"> </w:t>
      </w:r>
      <w:r w:rsidRPr="00496684">
        <w:rPr>
          <w:rFonts w:ascii="Times New Roman" w:eastAsia="Times New Roman" w:hAnsi="Times New Roman"/>
          <w:lang w:val="it-IT" w:eastAsia="it-IT"/>
        </w:rPr>
        <w:t xml:space="preserve">da assumere come 12 capsule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w:t>
      </w:r>
    </w:p>
    <w:p w14:paraId="742A3AA9" w14:textId="77777777" w:rsidR="00E50AFE" w:rsidRPr="00496684" w:rsidRDefault="00E50AFE" w:rsidP="00E50AFE">
      <w:pPr>
        <w:spacing w:after="0" w:line="240" w:lineRule="auto"/>
        <w:rPr>
          <w:rFonts w:ascii="Times New Roman" w:eastAsia="Times New Roman" w:hAnsi="Times New Roman"/>
          <w:lang w:val="it-IT" w:eastAsia="it-IT"/>
        </w:rPr>
      </w:pPr>
    </w:p>
    <w:p w14:paraId="13195D35" w14:textId="77777777" w:rsidR="00E50AFE" w:rsidRPr="00496684" w:rsidRDefault="00E50AFE" w:rsidP="00E50AFE">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Il medico potrà prescrivere un dosaggio maggiore o minore a seconda di come risponderà al trattamento.</w:t>
      </w:r>
    </w:p>
    <w:p w14:paraId="4F197ED0" w14:textId="77777777" w:rsidR="00E50AFE" w:rsidRPr="00496684" w:rsidRDefault="00E50AFE" w:rsidP="00E50AFE">
      <w:pPr>
        <w:autoSpaceDE w:val="0"/>
        <w:autoSpaceDN w:val="0"/>
        <w:adjustRightInd w:val="0"/>
        <w:spacing w:after="0" w:line="240" w:lineRule="auto"/>
        <w:rPr>
          <w:rFonts w:ascii="Times New Roman" w:hAnsi="Times New Roman"/>
          <w:lang w:val="it-IT"/>
        </w:rPr>
      </w:pPr>
    </w:p>
    <w:p w14:paraId="2022D31F" w14:textId="77777777" w:rsidR="00E50AFE" w:rsidRPr="00496684" w:rsidRDefault="00E50AFE" w:rsidP="00E50AFE">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la sua dose giornaliera è di 800 mg (16 capsule), lei deve prendere 8 capsule alla mattina e 8 capsule alla sera.</w:t>
      </w:r>
    </w:p>
    <w:p w14:paraId="730A12C4" w14:textId="77777777" w:rsidR="00E50AFE" w:rsidRPr="00496684" w:rsidRDefault="00E50AFE" w:rsidP="00E50AFE">
      <w:pPr>
        <w:pStyle w:val="Text"/>
        <w:widowControl w:val="0"/>
        <w:spacing w:before="0"/>
        <w:jc w:val="left"/>
        <w:rPr>
          <w:sz w:val="22"/>
          <w:szCs w:val="22"/>
          <w:lang w:val="it-IT"/>
        </w:rPr>
      </w:pPr>
    </w:p>
    <w:p w14:paraId="647EE67B"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 Se è in trattamento per la LLA Ph+: </w:t>
      </w:r>
    </w:p>
    <w:p w14:paraId="735CF17E" w14:textId="77777777" w:rsidR="00E50AFE" w:rsidRPr="00496684" w:rsidRDefault="00E50AFE" w:rsidP="00D008F2">
      <w:pPr>
        <w:pStyle w:val="Text"/>
        <w:widowControl w:val="0"/>
        <w:spacing w:before="0"/>
        <w:ind w:left="567"/>
        <w:jc w:val="left"/>
        <w:rPr>
          <w:sz w:val="22"/>
          <w:szCs w:val="22"/>
          <w:lang w:val="it-IT"/>
        </w:rPr>
      </w:pPr>
      <w:r w:rsidRPr="00496684">
        <w:rPr>
          <w:sz w:val="22"/>
          <w:szCs w:val="22"/>
          <w:lang w:val="it-IT"/>
        </w:rPr>
        <w:t xml:space="preserve">La dose iniziale è di 600 mg da assumere come 12 capsule una volta al giorno. </w:t>
      </w:r>
    </w:p>
    <w:p w14:paraId="4FA975CB" w14:textId="77777777" w:rsidR="00E50AFE" w:rsidRPr="00496684" w:rsidRDefault="00E50AFE" w:rsidP="00E50AFE">
      <w:pPr>
        <w:pStyle w:val="Text"/>
        <w:widowControl w:val="0"/>
        <w:spacing w:before="0"/>
        <w:jc w:val="left"/>
        <w:rPr>
          <w:sz w:val="22"/>
          <w:szCs w:val="22"/>
          <w:lang w:val="it-IT"/>
        </w:rPr>
      </w:pPr>
    </w:p>
    <w:p w14:paraId="3318D2E0"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le MSD/MPD: </w:t>
      </w:r>
    </w:p>
    <w:p w14:paraId="5A5EA4F4" w14:textId="77777777" w:rsidR="00E50AFE" w:rsidRPr="00496684" w:rsidRDefault="00E50AFE" w:rsidP="00D008F2">
      <w:pPr>
        <w:pStyle w:val="Text"/>
        <w:widowControl w:val="0"/>
        <w:spacing w:before="0"/>
        <w:ind w:left="567"/>
        <w:jc w:val="left"/>
        <w:rPr>
          <w:sz w:val="22"/>
          <w:szCs w:val="22"/>
          <w:lang w:val="it-IT"/>
        </w:rPr>
      </w:pPr>
      <w:r w:rsidRPr="00496684">
        <w:rPr>
          <w:sz w:val="22"/>
          <w:szCs w:val="22"/>
          <w:lang w:val="it-IT"/>
        </w:rPr>
        <w:t xml:space="preserve">La dose iniziale è di 400 mg, da assumere come 8 capsule </w:t>
      </w:r>
      <w:r w:rsidRPr="00496684">
        <w:rPr>
          <w:b/>
          <w:sz w:val="22"/>
          <w:szCs w:val="22"/>
          <w:lang w:val="it-IT"/>
        </w:rPr>
        <w:t>una volta</w:t>
      </w:r>
      <w:r w:rsidRPr="00496684">
        <w:rPr>
          <w:sz w:val="22"/>
          <w:szCs w:val="22"/>
          <w:lang w:val="it-IT"/>
        </w:rPr>
        <w:t xml:space="preserve"> al giorno. </w:t>
      </w:r>
    </w:p>
    <w:p w14:paraId="7BEB0CB6" w14:textId="77777777" w:rsidR="00E50AFE" w:rsidRPr="00496684" w:rsidRDefault="00E50AFE" w:rsidP="00E50AFE">
      <w:pPr>
        <w:pStyle w:val="Text"/>
        <w:widowControl w:val="0"/>
        <w:spacing w:before="0"/>
        <w:jc w:val="left"/>
        <w:rPr>
          <w:sz w:val="22"/>
          <w:szCs w:val="22"/>
          <w:lang w:val="it-IT"/>
        </w:rPr>
      </w:pPr>
    </w:p>
    <w:p w14:paraId="0353ADCA"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HES/LEC: </w:t>
      </w:r>
    </w:p>
    <w:p w14:paraId="3C3EC1AD" w14:textId="77777777" w:rsidR="00E50AFE" w:rsidRPr="00496684" w:rsidRDefault="00E50AFE" w:rsidP="00D008F2">
      <w:pPr>
        <w:pStyle w:val="Text"/>
        <w:widowControl w:val="0"/>
        <w:spacing w:before="0"/>
        <w:ind w:left="567"/>
        <w:jc w:val="left"/>
        <w:rPr>
          <w:sz w:val="22"/>
          <w:szCs w:val="22"/>
          <w:lang w:val="it-IT"/>
        </w:rPr>
      </w:pPr>
      <w:r w:rsidRPr="00496684">
        <w:rPr>
          <w:sz w:val="22"/>
          <w:szCs w:val="22"/>
          <w:lang w:val="it-IT"/>
        </w:rPr>
        <w:t xml:space="preserve">La dose iniziale è di 100 mg, da assumere come 2 capsule </w:t>
      </w:r>
      <w:r w:rsidRPr="00496684">
        <w:rPr>
          <w:b/>
          <w:sz w:val="22"/>
          <w:szCs w:val="22"/>
          <w:lang w:val="it-IT"/>
        </w:rPr>
        <w:t>una volta</w:t>
      </w:r>
      <w:r w:rsidRPr="00496684">
        <w:rPr>
          <w:sz w:val="22"/>
          <w:szCs w:val="22"/>
          <w:lang w:val="it-IT"/>
        </w:rPr>
        <w:t xml:space="preserve"> al giorno. Il medico può decidere di aumentare il dosaggio a 400 mg, da assumere come 8 capsule </w:t>
      </w:r>
      <w:r w:rsidRPr="00496684">
        <w:rPr>
          <w:b/>
          <w:sz w:val="22"/>
          <w:szCs w:val="22"/>
          <w:lang w:val="it-IT"/>
        </w:rPr>
        <w:t>una volta</w:t>
      </w:r>
      <w:r w:rsidRPr="00496684">
        <w:rPr>
          <w:sz w:val="22"/>
          <w:szCs w:val="22"/>
          <w:lang w:val="it-IT"/>
        </w:rPr>
        <w:t xml:space="preserve"> al giorno sulla base della sua risposta al trattamento. </w:t>
      </w:r>
    </w:p>
    <w:p w14:paraId="4E98D288" w14:textId="77777777" w:rsidR="00E50AFE" w:rsidRPr="00496684" w:rsidRDefault="00E50AFE" w:rsidP="00E50AFE">
      <w:pPr>
        <w:pStyle w:val="Text"/>
        <w:widowControl w:val="0"/>
        <w:spacing w:before="0"/>
        <w:jc w:val="left"/>
        <w:rPr>
          <w:sz w:val="22"/>
          <w:szCs w:val="22"/>
          <w:lang w:val="it-IT"/>
        </w:rPr>
      </w:pPr>
    </w:p>
    <w:p w14:paraId="57D17D3A" w14:textId="77777777" w:rsidR="00E50AFE" w:rsidRPr="00496684" w:rsidRDefault="00E50AFE" w:rsidP="00E50AFE">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il DFSP: </w:t>
      </w:r>
    </w:p>
    <w:p w14:paraId="1ABE0166" w14:textId="77777777" w:rsidR="00E50AFE" w:rsidRPr="00496684" w:rsidRDefault="00E50AFE" w:rsidP="00D008F2">
      <w:pPr>
        <w:pStyle w:val="Text"/>
        <w:widowControl w:val="0"/>
        <w:spacing w:before="0"/>
        <w:ind w:left="567"/>
        <w:jc w:val="left"/>
        <w:rPr>
          <w:lang w:val="it-IT"/>
        </w:rPr>
      </w:pPr>
      <w:r w:rsidRPr="00496684">
        <w:rPr>
          <w:sz w:val="22"/>
          <w:szCs w:val="22"/>
          <w:lang w:val="it-IT"/>
        </w:rPr>
        <w:t>La dose è di 800 mg al giorno (16 capsule), da assumere come 8 capsule al mattino e 8 capsule alla sera.</w:t>
      </w:r>
    </w:p>
    <w:p w14:paraId="06486C0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3658823" w14:textId="77777777" w:rsidR="00DF593A" w:rsidRPr="00496684" w:rsidRDefault="00DF593A" w:rsidP="00DF593A">
      <w:pPr>
        <w:pStyle w:val="Text"/>
        <w:widowControl w:val="0"/>
        <w:spacing w:before="0"/>
        <w:jc w:val="left"/>
        <w:rPr>
          <w:b/>
          <w:sz w:val="22"/>
          <w:szCs w:val="22"/>
          <w:lang w:val="it-IT"/>
        </w:rPr>
      </w:pPr>
      <w:r w:rsidRPr="00496684">
        <w:rPr>
          <w:b/>
          <w:sz w:val="22"/>
          <w:szCs w:val="22"/>
          <w:lang w:val="it-IT"/>
        </w:rPr>
        <w:t>Uso nei bambini e negli adolescenti</w:t>
      </w:r>
    </w:p>
    <w:p w14:paraId="09246BA7" w14:textId="77777777" w:rsidR="00E56109" w:rsidRPr="00496684" w:rsidRDefault="00DF593A" w:rsidP="00DF593A">
      <w:pPr>
        <w:pStyle w:val="Text"/>
        <w:widowControl w:val="0"/>
        <w:spacing w:before="0"/>
        <w:jc w:val="left"/>
        <w:rPr>
          <w:sz w:val="22"/>
          <w:szCs w:val="22"/>
          <w:lang w:val="it-IT"/>
        </w:rPr>
      </w:pPr>
      <w:r w:rsidRPr="00496684">
        <w:rPr>
          <w:sz w:val="22"/>
          <w:szCs w:val="22"/>
          <w:lang w:val="it-IT"/>
        </w:rPr>
        <w:t>Il medico le dirà quante capsule di Imatinib Actavis vanno somministrate al bambino. La quantità di Imatinib Actavis somministrata dipenderà dalle condizioni del bambino, dal suo peso ed altezza.</w:t>
      </w:r>
    </w:p>
    <w:p w14:paraId="779AEADE" w14:textId="718089B2" w:rsidR="00DF593A" w:rsidRPr="00496684" w:rsidRDefault="00DF593A" w:rsidP="00DF593A">
      <w:pPr>
        <w:pStyle w:val="Text"/>
        <w:widowControl w:val="0"/>
        <w:spacing w:before="0"/>
        <w:jc w:val="left"/>
        <w:rPr>
          <w:sz w:val="22"/>
          <w:szCs w:val="22"/>
          <w:lang w:val="it-IT"/>
        </w:rPr>
      </w:pPr>
      <w:r w:rsidRPr="00496684">
        <w:rPr>
          <w:sz w:val="22"/>
          <w:szCs w:val="22"/>
          <w:lang w:val="it-IT"/>
        </w:rPr>
        <w:t xml:space="preserve"> Nei bambini la dose totale giornaliera non deve superare 800 mg</w:t>
      </w:r>
      <w:r w:rsidR="00E56109" w:rsidRPr="00496684">
        <w:rPr>
          <w:sz w:val="22"/>
          <w:szCs w:val="22"/>
          <w:lang w:val="it-IT"/>
        </w:rPr>
        <w:t xml:space="preserve"> </w:t>
      </w:r>
      <w:r w:rsidR="00906E7B" w:rsidRPr="00496684">
        <w:rPr>
          <w:sz w:val="22"/>
          <w:szCs w:val="22"/>
          <w:lang w:val="it-IT"/>
        </w:rPr>
        <w:t xml:space="preserve">in caso di </w:t>
      </w:r>
      <w:r w:rsidR="00E56109" w:rsidRPr="00496684">
        <w:rPr>
          <w:sz w:val="22"/>
          <w:szCs w:val="22"/>
          <w:lang w:val="it-IT"/>
        </w:rPr>
        <w:t>LMC</w:t>
      </w:r>
      <w:r w:rsidR="00F4153B" w:rsidRPr="00496684">
        <w:rPr>
          <w:sz w:val="22"/>
          <w:szCs w:val="22"/>
          <w:lang w:val="it-IT"/>
        </w:rPr>
        <w:t xml:space="preserve"> e 600 mg </w:t>
      </w:r>
      <w:r w:rsidR="006C24DD" w:rsidRPr="00496684">
        <w:rPr>
          <w:sz w:val="22"/>
          <w:szCs w:val="22"/>
          <w:lang w:val="it-IT"/>
        </w:rPr>
        <w:t>per la</w:t>
      </w:r>
      <w:r w:rsidR="00F4153B" w:rsidRPr="00496684">
        <w:rPr>
          <w:sz w:val="22"/>
          <w:szCs w:val="22"/>
          <w:lang w:val="it-IT"/>
        </w:rPr>
        <w:t xml:space="preserve"> LLA Ph+</w:t>
      </w:r>
      <w:r w:rsidRPr="00496684">
        <w:rPr>
          <w:sz w:val="22"/>
          <w:szCs w:val="22"/>
          <w:lang w:val="it-IT"/>
        </w:rPr>
        <w:t>. Il trattamento può essere somministrato al bambino come dose singola giornaliera o, in alternativa, la dose giornaliera può essere suddivisa in due somministrazioni (metà al mattino e metà alla sera).</w:t>
      </w:r>
    </w:p>
    <w:p w14:paraId="0D3145CE"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64FACC1" w14:textId="77777777" w:rsidR="00DF593A" w:rsidRPr="00496684" w:rsidRDefault="00DF593A" w:rsidP="00DF593A">
      <w:pPr>
        <w:pStyle w:val="Text"/>
        <w:widowControl w:val="0"/>
        <w:spacing w:before="0"/>
        <w:jc w:val="left"/>
        <w:rPr>
          <w:b/>
          <w:sz w:val="22"/>
          <w:szCs w:val="22"/>
          <w:lang w:val="it-IT"/>
        </w:rPr>
      </w:pPr>
      <w:r w:rsidRPr="00496684">
        <w:rPr>
          <w:b/>
          <w:sz w:val="22"/>
          <w:szCs w:val="22"/>
          <w:lang w:val="it-IT"/>
        </w:rPr>
        <w:t>Quando e come prendere Imatinib Actavis</w:t>
      </w:r>
    </w:p>
    <w:p w14:paraId="29A33571" w14:textId="77777777" w:rsidR="00DF593A" w:rsidRPr="00496684" w:rsidRDefault="00DF593A" w:rsidP="00DF593A">
      <w:pPr>
        <w:pStyle w:val="Text"/>
        <w:widowControl w:val="0"/>
        <w:numPr>
          <w:ilvl w:val="0"/>
          <w:numId w:val="7"/>
        </w:numPr>
        <w:spacing w:before="0"/>
        <w:jc w:val="left"/>
        <w:rPr>
          <w:sz w:val="22"/>
          <w:szCs w:val="22"/>
          <w:lang w:val="it-IT"/>
        </w:rPr>
      </w:pPr>
      <w:r w:rsidRPr="00496684">
        <w:rPr>
          <w:b/>
          <w:sz w:val="22"/>
          <w:szCs w:val="22"/>
          <w:lang w:val="it-IT"/>
        </w:rPr>
        <w:t>Prenda Imatinib Actavis con un pasto.</w:t>
      </w:r>
      <w:r w:rsidRPr="00496684">
        <w:rPr>
          <w:sz w:val="22"/>
          <w:szCs w:val="22"/>
          <w:lang w:val="it-IT"/>
        </w:rPr>
        <w:t xml:space="preserve"> Questo la aiuterà a proteggere lo stomaco quando prende Imatinib Actavis.</w:t>
      </w:r>
    </w:p>
    <w:p w14:paraId="7545F4E8" w14:textId="77777777" w:rsidR="00DF593A" w:rsidRPr="00496684" w:rsidRDefault="00DF593A" w:rsidP="00DF593A">
      <w:pPr>
        <w:pStyle w:val="Text"/>
        <w:widowControl w:val="0"/>
        <w:numPr>
          <w:ilvl w:val="0"/>
          <w:numId w:val="7"/>
        </w:numPr>
        <w:spacing w:before="0"/>
        <w:jc w:val="left"/>
        <w:rPr>
          <w:sz w:val="22"/>
          <w:szCs w:val="22"/>
          <w:lang w:val="it-IT"/>
        </w:rPr>
      </w:pPr>
      <w:r w:rsidRPr="00496684">
        <w:rPr>
          <w:b/>
          <w:sz w:val="22"/>
          <w:szCs w:val="22"/>
          <w:lang w:val="it-IT"/>
        </w:rPr>
        <w:t xml:space="preserve">Ingoi le capsule intere con un grosso bicchiere d'acqua. </w:t>
      </w:r>
      <w:r w:rsidRPr="00496684">
        <w:rPr>
          <w:sz w:val="22"/>
          <w:szCs w:val="22"/>
          <w:lang w:val="it-IT"/>
        </w:rPr>
        <w:t>Non apra o rompa le capsule a meno che non abbia difficoltà a ingoiare (es. nei bambini).</w:t>
      </w:r>
    </w:p>
    <w:p w14:paraId="17D165B7" w14:textId="77777777" w:rsidR="00DF593A" w:rsidRPr="00496684" w:rsidRDefault="00DF593A" w:rsidP="00DF593A">
      <w:pPr>
        <w:pStyle w:val="Text"/>
        <w:widowControl w:val="0"/>
        <w:numPr>
          <w:ilvl w:val="0"/>
          <w:numId w:val="7"/>
        </w:numPr>
        <w:spacing w:before="0"/>
        <w:jc w:val="left"/>
        <w:rPr>
          <w:sz w:val="22"/>
          <w:szCs w:val="22"/>
          <w:lang w:val="it-IT"/>
        </w:rPr>
      </w:pPr>
      <w:r w:rsidRPr="00496684">
        <w:rPr>
          <w:sz w:val="22"/>
          <w:szCs w:val="22"/>
          <w:lang w:val="it-IT"/>
        </w:rPr>
        <w:t>Se non è in grado di deglutire le capsule, può aprirle e versare la polvere in un bicchiere d’acqua o di succo di mela.</w:t>
      </w:r>
    </w:p>
    <w:p w14:paraId="5737D3A7" w14:textId="21115F3C" w:rsidR="00DF593A" w:rsidRPr="00496684" w:rsidRDefault="00DF593A" w:rsidP="00DF593A">
      <w:pPr>
        <w:pStyle w:val="Text"/>
        <w:widowControl w:val="0"/>
        <w:numPr>
          <w:ilvl w:val="0"/>
          <w:numId w:val="7"/>
        </w:numPr>
        <w:spacing w:before="0"/>
        <w:jc w:val="left"/>
        <w:rPr>
          <w:sz w:val="22"/>
          <w:szCs w:val="22"/>
          <w:lang w:val="it-IT"/>
        </w:rPr>
      </w:pPr>
      <w:r w:rsidRPr="00496684">
        <w:rPr>
          <w:sz w:val="22"/>
          <w:szCs w:val="22"/>
          <w:lang w:val="it-IT"/>
        </w:rPr>
        <w:t xml:space="preserve">Se è in gravidanza o </w:t>
      </w:r>
      <w:r w:rsidR="000B2C9C" w:rsidRPr="00496684">
        <w:rPr>
          <w:sz w:val="22"/>
          <w:szCs w:val="22"/>
          <w:lang w:val="it-IT"/>
        </w:rPr>
        <w:t>può</w:t>
      </w:r>
      <w:r w:rsidRPr="00496684">
        <w:rPr>
          <w:sz w:val="22"/>
          <w:szCs w:val="22"/>
          <w:lang w:val="it-IT"/>
        </w:rPr>
        <w:t xml:space="preserve"> diventarlo e sta cercando di aprire le capsule, deve maneggiare il contenuto con cautela per evitare il contatto con la cute e con gli occhi o l’inalazione. Si deve lavare le mani immediatamente dopo l’apertura delle capsule.</w:t>
      </w:r>
    </w:p>
    <w:p w14:paraId="13BF9406"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79E624D" w14:textId="77777777" w:rsidR="00DF593A" w:rsidRPr="00496684" w:rsidRDefault="00DF593A" w:rsidP="00DF593A">
      <w:pPr>
        <w:pStyle w:val="Text"/>
        <w:widowControl w:val="0"/>
        <w:spacing w:before="0"/>
        <w:jc w:val="left"/>
        <w:rPr>
          <w:b/>
          <w:sz w:val="22"/>
          <w:szCs w:val="22"/>
          <w:lang w:val="it-IT"/>
        </w:rPr>
      </w:pPr>
      <w:r w:rsidRPr="00496684">
        <w:rPr>
          <w:b/>
          <w:sz w:val="22"/>
          <w:szCs w:val="22"/>
          <w:lang w:val="it-IT"/>
        </w:rPr>
        <w:t>Per quanto tempo prendere Imatinib Actavis</w:t>
      </w:r>
    </w:p>
    <w:p w14:paraId="522DFFAF"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Continui a prendere Imatinib Actavis ogni giorno per tutto il tempo che le dice il medico.</w:t>
      </w:r>
    </w:p>
    <w:p w14:paraId="49B6C300" w14:textId="77777777" w:rsidR="00DF593A" w:rsidRPr="00496684" w:rsidRDefault="00DF593A" w:rsidP="00DF593A">
      <w:pPr>
        <w:pStyle w:val="Text"/>
        <w:widowControl w:val="0"/>
        <w:spacing w:before="0"/>
        <w:jc w:val="left"/>
        <w:rPr>
          <w:sz w:val="22"/>
          <w:szCs w:val="22"/>
          <w:lang w:val="it-IT"/>
        </w:rPr>
      </w:pPr>
    </w:p>
    <w:p w14:paraId="0363BC75" w14:textId="77777777" w:rsidR="00DF593A" w:rsidRPr="00496684" w:rsidRDefault="00DF593A" w:rsidP="00DF593A">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Se prende più Imatinib Actavis di quanto deve</w:t>
      </w:r>
    </w:p>
    <w:p w14:paraId="244185BC"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 xml:space="preserve">Se ha preso accidentalmente troppe capsule contatti </w:t>
      </w:r>
      <w:r w:rsidRPr="00496684">
        <w:rPr>
          <w:b/>
          <w:sz w:val="22"/>
          <w:szCs w:val="22"/>
          <w:lang w:val="it-IT"/>
        </w:rPr>
        <w:t>immediatamente</w:t>
      </w:r>
      <w:r w:rsidRPr="00496684">
        <w:rPr>
          <w:sz w:val="22"/>
          <w:szCs w:val="22"/>
          <w:lang w:val="it-IT"/>
        </w:rPr>
        <w:t xml:space="preserve"> il medico. Può aver bisogno di assistenza medica. Porti con sé la scatola del medicinale.</w:t>
      </w:r>
    </w:p>
    <w:p w14:paraId="00B43DBD" w14:textId="77777777" w:rsidR="00DF593A" w:rsidRPr="00496684" w:rsidRDefault="00DF593A" w:rsidP="00DF593A">
      <w:pPr>
        <w:widowControl w:val="0"/>
        <w:numPr>
          <w:ilvl w:val="12"/>
          <w:numId w:val="0"/>
        </w:numPr>
        <w:spacing w:after="0" w:line="240" w:lineRule="auto"/>
        <w:ind w:right="-2"/>
        <w:rPr>
          <w:rFonts w:ascii="Times New Roman" w:hAnsi="Times New Roman"/>
          <w:lang w:val="it-IT"/>
        </w:rPr>
      </w:pPr>
    </w:p>
    <w:p w14:paraId="1DB1373B" w14:textId="77777777" w:rsidR="00DF593A" w:rsidRPr="00496684" w:rsidRDefault="00DF593A" w:rsidP="00DF593A">
      <w:pPr>
        <w:widowControl w:val="0"/>
        <w:numPr>
          <w:ilvl w:val="12"/>
          <w:numId w:val="0"/>
        </w:numPr>
        <w:spacing w:after="0" w:line="240" w:lineRule="auto"/>
        <w:ind w:right="-2"/>
        <w:rPr>
          <w:rFonts w:ascii="Times New Roman" w:hAnsi="Times New Roman"/>
          <w:b/>
          <w:lang w:val="it-IT"/>
        </w:rPr>
      </w:pPr>
      <w:r w:rsidRPr="00496684">
        <w:rPr>
          <w:rFonts w:ascii="Times New Roman" w:hAnsi="Times New Roman"/>
          <w:b/>
          <w:lang w:val="it-IT"/>
        </w:rPr>
        <w:t>Se dimentica di prendere Imatinib Actavis</w:t>
      </w:r>
    </w:p>
    <w:p w14:paraId="32A0956C" w14:textId="77777777" w:rsidR="00DF593A" w:rsidRPr="00496684" w:rsidRDefault="00DF593A" w:rsidP="00DF593A">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Se dimentica una dose, la prenda appena si ricorda. Tuttavia se è quasi il tempo per la prossima dose, salti la dose dimenticata.</w:t>
      </w:r>
    </w:p>
    <w:p w14:paraId="55911E0C" w14:textId="77777777" w:rsidR="00DF593A" w:rsidRPr="00496684" w:rsidRDefault="00DF593A" w:rsidP="00DF593A">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Quindi continui con il dosaggio normale.</w:t>
      </w:r>
    </w:p>
    <w:p w14:paraId="3B3A9155" w14:textId="77777777" w:rsidR="00DF593A" w:rsidRPr="00496684" w:rsidRDefault="00DF593A" w:rsidP="00DF593A">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Non prenda una dose doppia per compensare la dimenticanza della dose.</w:t>
      </w:r>
    </w:p>
    <w:p w14:paraId="50E6394D" w14:textId="77777777" w:rsidR="00DF593A" w:rsidRPr="00496684" w:rsidRDefault="00DF593A" w:rsidP="00DF593A">
      <w:pPr>
        <w:widowControl w:val="0"/>
        <w:numPr>
          <w:ilvl w:val="12"/>
          <w:numId w:val="0"/>
        </w:numPr>
        <w:spacing w:after="0" w:line="240" w:lineRule="auto"/>
        <w:ind w:right="-2"/>
        <w:rPr>
          <w:rFonts w:ascii="Times New Roman" w:hAnsi="Times New Roman"/>
          <w:lang w:val="it-IT"/>
        </w:rPr>
      </w:pPr>
    </w:p>
    <w:p w14:paraId="2B312D7E" w14:textId="77777777" w:rsidR="00DF593A" w:rsidRPr="00496684" w:rsidRDefault="00DF593A" w:rsidP="00DF593A">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 ha qualsiasi dubbio sull’uso di questo medicinale, si rivolga al medico, al farmacista o all’infermiere.</w:t>
      </w:r>
    </w:p>
    <w:p w14:paraId="18AB118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75CCC202" w14:textId="77777777" w:rsidR="0020671B" w:rsidRPr="00496684" w:rsidRDefault="0020671B" w:rsidP="00DF593A">
      <w:pPr>
        <w:autoSpaceDE w:val="0"/>
        <w:autoSpaceDN w:val="0"/>
        <w:adjustRightInd w:val="0"/>
        <w:spacing w:after="0" w:line="240" w:lineRule="auto"/>
        <w:rPr>
          <w:rFonts w:ascii="Times New Roman" w:hAnsi="Times New Roman"/>
          <w:lang w:val="it-IT"/>
        </w:rPr>
      </w:pPr>
    </w:p>
    <w:p w14:paraId="4B3BAFA0"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Pr="00496684">
        <w:rPr>
          <w:rFonts w:ascii="Times New Roman" w:hAnsi="Times New Roman"/>
          <w:b/>
          <w:lang w:val="it-IT"/>
        </w:rPr>
        <w:t>Possibili effetti indesiderati</w:t>
      </w:r>
    </w:p>
    <w:p w14:paraId="4BCD725A"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p>
    <w:p w14:paraId="23A8CFBF"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Come tutti i medicinali, questo medicinale può causare effetti indesiderati sebbene non tutte le persone li manifestino. Questi sono generalmente da lievi a moderati.</w:t>
      </w:r>
    </w:p>
    <w:p w14:paraId="1E369F31"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p>
    <w:p w14:paraId="3085D53F" w14:textId="77777777" w:rsidR="00DF593A" w:rsidRPr="00496684" w:rsidRDefault="00DF593A" w:rsidP="00DF593A">
      <w:pPr>
        <w:pStyle w:val="Text"/>
        <w:widowControl w:val="0"/>
        <w:spacing w:before="0"/>
        <w:jc w:val="left"/>
        <w:rPr>
          <w:b/>
          <w:sz w:val="22"/>
          <w:szCs w:val="22"/>
          <w:lang w:val="it-IT"/>
        </w:rPr>
      </w:pPr>
      <w:r w:rsidRPr="00496684">
        <w:rPr>
          <w:b/>
          <w:sz w:val="22"/>
          <w:szCs w:val="22"/>
          <w:lang w:val="it-IT"/>
        </w:rPr>
        <w:t>Alcuni effetti indesiderati possono essere gravi. Informi il medico immediatamente se manifesta uno dei seguenti effetti:</w:t>
      </w:r>
    </w:p>
    <w:p w14:paraId="19529F71"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11BB6574" w14:textId="6B2F7430" w:rsidR="00DF593A" w:rsidRPr="00496684" w:rsidRDefault="00ED67BC" w:rsidP="00DF593A">
      <w:pPr>
        <w:pStyle w:val="Text"/>
        <w:widowControl w:val="0"/>
        <w:spacing w:before="0"/>
        <w:jc w:val="left"/>
        <w:rPr>
          <w:b/>
          <w:sz w:val="22"/>
          <w:szCs w:val="22"/>
          <w:lang w:val="it-IT"/>
        </w:rPr>
      </w:pPr>
      <w:r w:rsidRPr="00496684">
        <w:rPr>
          <w:b/>
          <w:sz w:val="22"/>
          <w:szCs w:val="22"/>
          <w:lang w:val="it-IT"/>
        </w:rPr>
        <w:t>M</w:t>
      </w:r>
      <w:r w:rsidR="00DF593A" w:rsidRPr="00496684">
        <w:rPr>
          <w:b/>
          <w:sz w:val="22"/>
          <w:szCs w:val="22"/>
          <w:lang w:val="it-IT"/>
        </w:rPr>
        <w:t>olto comuni (</w:t>
      </w:r>
      <w:r w:rsidR="00DF593A" w:rsidRPr="00496684">
        <w:rPr>
          <w:sz w:val="22"/>
          <w:szCs w:val="22"/>
          <w:lang w:val="it-IT"/>
        </w:rPr>
        <w:t xml:space="preserve">può interessare più di 1 persona su 10) </w:t>
      </w:r>
      <w:r w:rsidR="00DF593A" w:rsidRPr="00496684">
        <w:rPr>
          <w:b/>
          <w:sz w:val="22"/>
          <w:szCs w:val="22"/>
          <w:lang w:val="it-IT"/>
        </w:rPr>
        <w:t>o comuni (</w:t>
      </w:r>
      <w:r w:rsidR="00DF593A" w:rsidRPr="00496684">
        <w:rPr>
          <w:sz w:val="22"/>
          <w:szCs w:val="22"/>
          <w:lang w:val="it-IT"/>
        </w:rPr>
        <w:t>può interessare fino a 1 persona su 10)</w:t>
      </w:r>
      <w:r w:rsidR="00DF593A" w:rsidRPr="00496684">
        <w:rPr>
          <w:b/>
          <w:sz w:val="22"/>
          <w:szCs w:val="22"/>
          <w:lang w:val="it-IT"/>
        </w:rPr>
        <w:t>:</w:t>
      </w:r>
    </w:p>
    <w:p w14:paraId="5D2FDDD8" w14:textId="77777777" w:rsidR="00DF593A" w:rsidRPr="00496684" w:rsidRDefault="00DF593A" w:rsidP="00DF593A">
      <w:pPr>
        <w:pStyle w:val="Text"/>
        <w:widowControl w:val="0"/>
        <w:numPr>
          <w:ilvl w:val="0"/>
          <w:numId w:val="21"/>
        </w:numPr>
        <w:spacing w:before="0"/>
        <w:jc w:val="left"/>
        <w:rPr>
          <w:sz w:val="22"/>
          <w:szCs w:val="22"/>
          <w:lang w:val="it-IT"/>
        </w:rPr>
      </w:pPr>
      <w:r w:rsidRPr="00496684">
        <w:rPr>
          <w:sz w:val="22"/>
          <w:szCs w:val="22"/>
          <w:lang w:val="it-IT"/>
        </w:rPr>
        <w:t>Rapido aumento di peso. Imatinib Actavis può far trattenere al suo corpo acqua (grave ritenzione di liquidi).</w:t>
      </w:r>
    </w:p>
    <w:p w14:paraId="105E84FC" w14:textId="327F4642" w:rsidR="00DF593A" w:rsidRPr="00496684" w:rsidRDefault="00DF593A" w:rsidP="00DF593A">
      <w:pPr>
        <w:pStyle w:val="Text"/>
        <w:widowControl w:val="0"/>
        <w:numPr>
          <w:ilvl w:val="0"/>
          <w:numId w:val="21"/>
        </w:numPr>
        <w:spacing w:before="0"/>
        <w:jc w:val="left"/>
        <w:rPr>
          <w:sz w:val="22"/>
          <w:szCs w:val="22"/>
          <w:lang w:val="it-IT"/>
        </w:rPr>
      </w:pPr>
      <w:r w:rsidRPr="00496684">
        <w:rPr>
          <w:sz w:val="22"/>
          <w:szCs w:val="22"/>
          <w:lang w:val="it-IT"/>
        </w:rPr>
        <w:t xml:space="preserve">Segni di infezione quali febbre, brividi intensi, faringite o ulcerazioni della bocca. Imatinib Actavis può ridurre il numero dei globuli bianchi così </w:t>
      </w:r>
      <w:r w:rsidR="000B2C9C" w:rsidRPr="00496684">
        <w:rPr>
          <w:sz w:val="22"/>
          <w:szCs w:val="22"/>
          <w:lang w:val="it-IT"/>
        </w:rPr>
        <w:t>può</w:t>
      </w:r>
      <w:r w:rsidRPr="00496684">
        <w:rPr>
          <w:sz w:val="22"/>
          <w:szCs w:val="22"/>
          <w:lang w:val="it-IT"/>
        </w:rPr>
        <w:t xml:space="preserve"> prendere più facilmente delle infezioni.</w:t>
      </w:r>
    </w:p>
    <w:p w14:paraId="15205F09" w14:textId="77777777" w:rsidR="00DF593A" w:rsidRPr="00496684" w:rsidRDefault="00DF593A" w:rsidP="00DF593A">
      <w:pPr>
        <w:pStyle w:val="Text"/>
        <w:widowControl w:val="0"/>
        <w:numPr>
          <w:ilvl w:val="0"/>
          <w:numId w:val="21"/>
        </w:numPr>
        <w:spacing w:before="0"/>
        <w:jc w:val="left"/>
        <w:rPr>
          <w:sz w:val="22"/>
          <w:szCs w:val="22"/>
          <w:lang w:val="it-IT"/>
        </w:rPr>
      </w:pPr>
      <w:r w:rsidRPr="00496684">
        <w:rPr>
          <w:sz w:val="22"/>
          <w:szCs w:val="22"/>
          <w:lang w:val="it-IT"/>
        </w:rPr>
        <w:t>Sanguinamenti inattesi o ecchimosi (quando non si è fatto male da solo).</w:t>
      </w:r>
    </w:p>
    <w:p w14:paraId="15EAAB8C" w14:textId="77777777" w:rsidR="00DF593A" w:rsidRPr="00496684" w:rsidRDefault="00DF593A" w:rsidP="00DF593A">
      <w:pPr>
        <w:pStyle w:val="Text"/>
        <w:widowControl w:val="0"/>
        <w:spacing w:before="0"/>
        <w:jc w:val="left"/>
        <w:rPr>
          <w:sz w:val="22"/>
          <w:szCs w:val="22"/>
          <w:lang w:val="it-IT"/>
        </w:rPr>
      </w:pPr>
    </w:p>
    <w:p w14:paraId="66C3D414" w14:textId="16893F50" w:rsidR="00DF593A" w:rsidRPr="00496684" w:rsidRDefault="00ED67BC" w:rsidP="00DF593A">
      <w:pPr>
        <w:pStyle w:val="Text"/>
        <w:widowControl w:val="0"/>
        <w:spacing w:before="0"/>
        <w:jc w:val="left"/>
        <w:rPr>
          <w:sz w:val="22"/>
          <w:szCs w:val="22"/>
          <w:lang w:val="it-IT"/>
        </w:rPr>
      </w:pPr>
      <w:r w:rsidRPr="00496684">
        <w:rPr>
          <w:b/>
          <w:sz w:val="22"/>
          <w:szCs w:val="22"/>
          <w:lang w:val="it-IT"/>
        </w:rPr>
        <w:t>N</w:t>
      </w:r>
      <w:r w:rsidR="00DF593A" w:rsidRPr="00496684">
        <w:rPr>
          <w:b/>
          <w:sz w:val="22"/>
          <w:szCs w:val="22"/>
          <w:lang w:val="it-IT"/>
        </w:rPr>
        <w:t xml:space="preserve">on comuni </w:t>
      </w:r>
      <w:r w:rsidR="00E56109" w:rsidRPr="00496684">
        <w:rPr>
          <w:b/>
          <w:sz w:val="22"/>
          <w:szCs w:val="22"/>
          <w:lang w:val="it-IT"/>
        </w:rPr>
        <w:t>(</w:t>
      </w:r>
      <w:r w:rsidR="00E56109" w:rsidRPr="00496684">
        <w:rPr>
          <w:sz w:val="22"/>
          <w:szCs w:val="22"/>
          <w:lang w:val="it-IT"/>
        </w:rPr>
        <w:t xml:space="preserve">può interessare fino a 1 persona su 100) </w:t>
      </w:r>
      <w:r w:rsidR="00DF593A" w:rsidRPr="00496684">
        <w:rPr>
          <w:b/>
          <w:sz w:val="22"/>
          <w:szCs w:val="22"/>
          <w:lang w:val="it-IT"/>
        </w:rPr>
        <w:t>o rari</w:t>
      </w:r>
      <w:r w:rsidR="00E56109" w:rsidRPr="00496684">
        <w:rPr>
          <w:b/>
          <w:sz w:val="22"/>
          <w:szCs w:val="22"/>
          <w:lang w:val="it-IT"/>
        </w:rPr>
        <w:t xml:space="preserve"> </w:t>
      </w:r>
      <w:r w:rsidR="00906E7B" w:rsidRPr="00496684">
        <w:rPr>
          <w:b/>
          <w:sz w:val="22"/>
          <w:szCs w:val="22"/>
          <w:lang w:val="it-IT"/>
        </w:rPr>
        <w:t xml:space="preserve"> </w:t>
      </w:r>
      <w:r w:rsidR="00E56109" w:rsidRPr="00496684">
        <w:rPr>
          <w:b/>
          <w:sz w:val="22"/>
          <w:szCs w:val="22"/>
          <w:lang w:val="it-IT"/>
        </w:rPr>
        <w:t>(</w:t>
      </w:r>
      <w:r w:rsidR="00E56109" w:rsidRPr="00496684">
        <w:rPr>
          <w:sz w:val="22"/>
          <w:szCs w:val="22"/>
          <w:lang w:val="it-IT"/>
        </w:rPr>
        <w:t>può interessare fino a 1 persona su 1.000)</w:t>
      </w:r>
      <w:r w:rsidR="00DF593A" w:rsidRPr="00496684">
        <w:rPr>
          <w:b/>
          <w:sz w:val="22"/>
          <w:szCs w:val="22"/>
          <w:lang w:val="it-IT"/>
        </w:rPr>
        <w:t>:</w:t>
      </w:r>
    </w:p>
    <w:p w14:paraId="01ABE247"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Dolore al torace, ritmo cardiaco irregolare (segni di problemi al cuore).</w:t>
      </w:r>
    </w:p>
    <w:p w14:paraId="3A147D8F"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Tosse, difficoltà respiratoria o respirazione dolorosa (segni di problemi ai polmoni).</w:t>
      </w:r>
    </w:p>
    <w:p w14:paraId="3F21A088"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Sensazione di testa vuota, stordimento o svenimento (segni di pressione bassa).</w:t>
      </w:r>
    </w:p>
    <w:p w14:paraId="08185A20"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 xml:space="preserve">Sensazione di malessere (nausea), con perdita di appetito, urine </w:t>
      </w:r>
      <w:r w:rsidR="00E50AFE" w:rsidRPr="00496684">
        <w:rPr>
          <w:sz w:val="22"/>
          <w:szCs w:val="22"/>
          <w:lang w:val="it-IT"/>
        </w:rPr>
        <w:t>di colore scuro</w:t>
      </w:r>
      <w:r w:rsidRPr="00496684">
        <w:rPr>
          <w:sz w:val="22"/>
          <w:szCs w:val="22"/>
          <w:lang w:val="it-IT"/>
        </w:rPr>
        <w:t>, pelle o occhi gialli (segni di problemi al fegato).</w:t>
      </w:r>
    </w:p>
    <w:p w14:paraId="29463380"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Eruzione cutanea, arrossamento cutaneo con vesciche sulle labbra, occhi, pelle o bocca, desquamazione cutanea, febbre, macchie in rilievo di colore rosso o viola sulla pelle, prurito, sensazione di bruciore, eruzione pustolosa (segni di problemi della pelle).</w:t>
      </w:r>
    </w:p>
    <w:p w14:paraId="05327FFC"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Forte dolore addominale, presenza di sangue nel vomito, nelle feci o nelle urine, feci nere (segni di disturbi gastrointestinali).</w:t>
      </w:r>
    </w:p>
    <w:p w14:paraId="7D6488C9"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Importante diminuzione della quantità di urina, sensazione di sete (segni di problemi renali).</w:t>
      </w:r>
    </w:p>
    <w:p w14:paraId="14E08799"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Sensazione di malessere (nausea) con diarrea e vomito, dolore addominale o febbre (segni di problemi intestinali).</w:t>
      </w:r>
    </w:p>
    <w:p w14:paraId="04BEC6BC"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Forte mal di testa, debolezza o paralisi degli arti o del viso, difficoltà di parola, improvvisa perdita di coscienza (segni di problemi del sistema nervoso</w:t>
      </w:r>
      <w:r w:rsidR="00E7418A" w:rsidRPr="00496684">
        <w:rPr>
          <w:sz w:val="22"/>
          <w:szCs w:val="22"/>
          <w:lang w:val="it-IT"/>
        </w:rPr>
        <w:t xml:space="preserve"> come sanguinamento o gonfiore nel cranio/cervello</w:t>
      </w:r>
      <w:r w:rsidRPr="00496684">
        <w:rPr>
          <w:sz w:val="22"/>
          <w:szCs w:val="22"/>
          <w:lang w:val="it-IT"/>
        </w:rPr>
        <w:t>).</w:t>
      </w:r>
    </w:p>
    <w:p w14:paraId="25DADF15"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Pallore, sensazione di stanchezza e affanno e urine di colore scuro (segni di bassi valori di globuli rossi).</w:t>
      </w:r>
    </w:p>
    <w:p w14:paraId="58ACF8BA"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Dolore agli occhi o deterioramento della visione</w:t>
      </w:r>
      <w:r w:rsidR="00E7418A" w:rsidRPr="00496684">
        <w:rPr>
          <w:sz w:val="22"/>
          <w:szCs w:val="22"/>
          <w:lang w:val="it-IT"/>
        </w:rPr>
        <w:t>, sanguinamento negli occhi</w:t>
      </w:r>
      <w:r w:rsidRPr="00496684">
        <w:rPr>
          <w:sz w:val="22"/>
          <w:szCs w:val="22"/>
          <w:lang w:val="it-IT"/>
        </w:rPr>
        <w:t>.</w:t>
      </w:r>
    </w:p>
    <w:p w14:paraId="7ECED813"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Dolore all’anca o difficoltà a camminare.</w:t>
      </w:r>
    </w:p>
    <w:p w14:paraId="60444F4E"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Dita dei piedi o delle mani intorpidite o fredde (segni della sindrome di Raynaud).</w:t>
      </w:r>
    </w:p>
    <w:p w14:paraId="37A34DA9"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Improvviso gonfiore e arrossamento della pelle (segni di una infezione della pelle chiamata cellulite).</w:t>
      </w:r>
    </w:p>
    <w:p w14:paraId="0EE71C92"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Problemi d’udito.</w:t>
      </w:r>
    </w:p>
    <w:p w14:paraId="533FCE27"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Debolezza muscolare e spasmi muscolari con un ritmo cardiaco anormale (segni di modifiche del quantitativo di potassio nel sangue).</w:t>
      </w:r>
    </w:p>
    <w:p w14:paraId="51D48216"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Ecchimosi (lividi).</w:t>
      </w:r>
    </w:p>
    <w:p w14:paraId="608F709D"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Dolore allo stomaco con sensazione di malessere (nausea).</w:t>
      </w:r>
    </w:p>
    <w:p w14:paraId="79E02314"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Spasmi muscolari con febbre, urine rosso brune, dolore o debolezza muscolare (segni di problemi ai muscoli).</w:t>
      </w:r>
    </w:p>
    <w:p w14:paraId="26AEB39F"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Dolore pelvico talvolta con nausea e vomito, con sanguinamento vaginale inatteso, sensazione di vertigini o svenimento dovuto a pressione bassa (segni di problemi con le ovaie e l’utero).</w:t>
      </w:r>
    </w:p>
    <w:p w14:paraId="172DB042" w14:textId="77777777" w:rsidR="00DF593A" w:rsidRPr="00496684" w:rsidRDefault="00DF593A" w:rsidP="00DF593A">
      <w:pPr>
        <w:pStyle w:val="Text"/>
        <w:widowControl w:val="0"/>
        <w:numPr>
          <w:ilvl w:val="0"/>
          <w:numId w:val="22"/>
        </w:numPr>
        <w:spacing w:before="0"/>
        <w:jc w:val="left"/>
        <w:rPr>
          <w:sz w:val="22"/>
          <w:szCs w:val="22"/>
          <w:lang w:val="it-IT"/>
        </w:rPr>
      </w:pPr>
      <w:r w:rsidRPr="00496684">
        <w:rPr>
          <w:sz w:val="22"/>
          <w:szCs w:val="22"/>
          <w:lang w:val="it-IT"/>
        </w:rPr>
        <w:t xml:space="preserve">Nausea, respiro corto, battito cardiaco irregolare, intorbidimento delle urine, stanchezza e/o disturbi alle articolazioni associati a risultati anomali dei test di laboratorio (ad esempio alti livelli di potassio, acido urico e </w:t>
      </w:r>
      <w:r w:rsidR="00E56109" w:rsidRPr="00496684">
        <w:rPr>
          <w:sz w:val="22"/>
          <w:szCs w:val="22"/>
          <w:lang w:val="it-IT"/>
        </w:rPr>
        <w:t xml:space="preserve">calcio </w:t>
      </w:r>
      <w:r w:rsidRPr="00496684">
        <w:rPr>
          <w:sz w:val="22"/>
          <w:szCs w:val="22"/>
          <w:lang w:val="it-IT"/>
        </w:rPr>
        <w:t xml:space="preserve">e bassi livelli di </w:t>
      </w:r>
      <w:r w:rsidR="00E56109" w:rsidRPr="00496684">
        <w:rPr>
          <w:sz w:val="22"/>
          <w:szCs w:val="22"/>
          <w:lang w:val="it-IT"/>
        </w:rPr>
        <w:t xml:space="preserve">fosforo </w:t>
      </w:r>
      <w:r w:rsidRPr="00496684">
        <w:rPr>
          <w:sz w:val="22"/>
          <w:szCs w:val="22"/>
          <w:lang w:val="it-IT"/>
        </w:rPr>
        <w:t>nel sangue).</w:t>
      </w:r>
    </w:p>
    <w:p w14:paraId="351E0D90" w14:textId="1AB9078E" w:rsidR="005C6F54" w:rsidRPr="00496684" w:rsidRDefault="005C6F54" w:rsidP="00DF593A">
      <w:pPr>
        <w:pStyle w:val="Text"/>
        <w:widowControl w:val="0"/>
        <w:numPr>
          <w:ilvl w:val="0"/>
          <w:numId w:val="22"/>
        </w:numPr>
        <w:spacing w:before="0"/>
        <w:jc w:val="left"/>
        <w:rPr>
          <w:sz w:val="22"/>
          <w:szCs w:val="22"/>
          <w:lang w:val="it-IT"/>
        </w:rPr>
      </w:pPr>
      <w:r w:rsidRPr="00496684">
        <w:rPr>
          <w:sz w:val="22"/>
          <w:szCs w:val="22"/>
          <w:lang w:val="it-IT"/>
        </w:rPr>
        <w:t>Coaguli di sangue in piccoli vasi sanguigni (microangiopatia trombotica).</w:t>
      </w:r>
    </w:p>
    <w:p w14:paraId="4ECF911E" w14:textId="77777777" w:rsidR="00E56109" w:rsidRPr="00496684" w:rsidRDefault="00E56109" w:rsidP="00DF593A">
      <w:pPr>
        <w:pStyle w:val="Text"/>
        <w:widowControl w:val="0"/>
        <w:spacing w:before="0"/>
        <w:jc w:val="left"/>
        <w:rPr>
          <w:sz w:val="22"/>
          <w:szCs w:val="22"/>
          <w:lang w:val="it-IT"/>
        </w:rPr>
      </w:pPr>
    </w:p>
    <w:p w14:paraId="0BFF0E22" w14:textId="77777777" w:rsidR="00E56109" w:rsidRPr="00496684" w:rsidRDefault="00E56109" w:rsidP="00E56109">
      <w:pPr>
        <w:pStyle w:val="Text"/>
        <w:widowControl w:val="0"/>
        <w:spacing w:before="0"/>
        <w:jc w:val="left"/>
        <w:rPr>
          <w:sz w:val="22"/>
          <w:szCs w:val="22"/>
          <w:lang w:val="it-IT"/>
        </w:rPr>
      </w:pPr>
      <w:r w:rsidRPr="00496684">
        <w:rPr>
          <w:b/>
          <w:sz w:val="22"/>
          <w:szCs w:val="22"/>
          <w:lang w:val="it-IT"/>
        </w:rPr>
        <w:t>Non nota</w:t>
      </w:r>
      <w:r w:rsidRPr="00496684">
        <w:rPr>
          <w:sz w:val="22"/>
          <w:szCs w:val="22"/>
          <w:lang w:val="it-IT"/>
        </w:rPr>
        <w:t xml:space="preserve"> (la frequenza non può essere </w:t>
      </w:r>
      <w:r w:rsidR="00C66631" w:rsidRPr="00496684">
        <w:rPr>
          <w:sz w:val="22"/>
          <w:szCs w:val="22"/>
          <w:lang w:val="it-IT"/>
        </w:rPr>
        <w:t>definita</w:t>
      </w:r>
      <w:r w:rsidRPr="00496684">
        <w:rPr>
          <w:sz w:val="22"/>
          <w:szCs w:val="22"/>
          <w:lang w:val="it-IT"/>
        </w:rPr>
        <w:t xml:space="preserve"> sulla base dei dati disponibili):</w:t>
      </w:r>
    </w:p>
    <w:p w14:paraId="52CDE6D9" w14:textId="77777777" w:rsidR="00E56109" w:rsidRPr="00496684" w:rsidRDefault="00E56109" w:rsidP="00E56109">
      <w:pPr>
        <w:pStyle w:val="Text"/>
        <w:widowControl w:val="0"/>
        <w:numPr>
          <w:ilvl w:val="0"/>
          <w:numId w:val="22"/>
        </w:numPr>
        <w:spacing w:before="0"/>
        <w:jc w:val="left"/>
        <w:rPr>
          <w:sz w:val="22"/>
          <w:szCs w:val="22"/>
          <w:lang w:val="it-IT"/>
        </w:rPr>
      </w:pPr>
      <w:r w:rsidRPr="00496684">
        <w:rPr>
          <w:sz w:val="22"/>
          <w:szCs w:val="22"/>
          <w:lang w:val="it-IT"/>
        </w:rPr>
        <w:t>Combinazione di una grave eruzione cutanea diffusa, sensazione di malessere, febbre, alti livelli di certi globuli bianchi del sangue o pelle e occhi gialli (ittero) con difficoltà a respirare, dolore/fastido al torace, diminuzione grave delle urine emesse e sentirsi assetato ecc (segni di una reazione allergica dovuta al farmaco).</w:t>
      </w:r>
    </w:p>
    <w:p w14:paraId="401DEB06" w14:textId="77777777" w:rsidR="00AB2B5B" w:rsidRPr="00496684" w:rsidRDefault="00AB2B5B" w:rsidP="00AB2B5B">
      <w:pPr>
        <w:pStyle w:val="Text"/>
        <w:widowControl w:val="0"/>
        <w:numPr>
          <w:ilvl w:val="0"/>
          <w:numId w:val="22"/>
        </w:numPr>
        <w:spacing w:before="0"/>
        <w:jc w:val="left"/>
        <w:rPr>
          <w:sz w:val="22"/>
          <w:szCs w:val="22"/>
          <w:lang w:val="it-IT"/>
        </w:rPr>
      </w:pPr>
      <w:r w:rsidRPr="00496684">
        <w:rPr>
          <w:sz w:val="22"/>
          <w:szCs w:val="22"/>
          <w:lang w:val="it-IT"/>
        </w:rPr>
        <w:t>Insufficienza renale cronica</w:t>
      </w:r>
    </w:p>
    <w:p w14:paraId="56CE1700" w14:textId="77777777" w:rsidR="00ED67BC" w:rsidRPr="00496684" w:rsidRDefault="00ED67BC" w:rsidP="00ED67BC">
      <w:pPr>
        <w:pStyle w:val="Text"/>
        <w:widowControl w:val="0"/>
        <w:numPr>
          <w:ilvl w:val="0"/>
          <w:numId w:val="2"/>
        </w:numPr>
        <w:tabs>
          <w:tab w:val="clear" w:pos="468"/>
        </w:tabs>
        <w:spacing w:before="0"/>
        <w:ind w:left="567" w:hanging="567"/>
        <w:jc w:val="left"/>
        <w:rPr>
          <w:sz w:val="22"/>
          <w:szCs w:val="22"/>
          <w:lang w:val="it-IT"/>
        </w:rPr>
      </w:pPr>
      <w:r w:rsidRPr="00496684">
        <w:rPr>
          <w:rFonts w:eastAsia="Verdana"/>
          <w:spacing w:val="1"/>
          <w:sz w:val="22"/>
          <w:szCs w:val="22"/>
          <w:lang w:val="it-IT"/>
        </w:rPr>
        <w:t>L</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c</w:t>
      </w:r>
      <w:r w:rsidRPr="00496684">
        <w:rPr>
          <w:rFonts w:eastAsia="Verdana"/>
          <w:spacing w:val="1"/>
          <w:sz w:val="22"/>
          <w:szCs w:val="22"/>
          <w:lang w:val="it-IT"/>
        </w:rPr>
        <w:t>o</w:t>
      </w:r>
      <w:r w:rsidRPr="00496684">
        <w:rPr>
          <w:rFonts w:eastAsia="Verdana"/>
          <w:sz w:val="22"/>
          <w:szCs w:val="22"/>
          <w:lang w:val="it-IT"/>
        </w:rPr>
        <w:t>rr</w:t>
      </w:r>
      <w:r w:rsidRPr="00496684">
        <w:rPr>
          <w:rFonts w:eastAsia="Verdana"/>
          <w:spacing w:val="1"/>
          <w:sz w:val="22"/>
          <w:szCs w:val="22"/>
          <w:lang w:val="it-IT"/>
        </w:rPr>
        <w:t>e</w:t>
      </w:r>
      <w:r w:rsidRPr="00496684">
        <w:rPr>
          <w:rFonts w:eastAsia="Verdana"/>
          <w:spacing w:val="-1"/>
          <w:sz w:val="22"/>
          <w:szCs w:val="22"/>
          <w:lang w:val="it-IT"/>
        </w:rPr>
        <w:t>nz</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a</w:t>
      </w:r>
      <w:r w:rsidRPr="00496684">
        <w:rPr>
          <w:rFonts w:eastAsia="Verdana"/>
          <w:spacing w:val="1"/>
          <w:sz w:val="22"/>
          <w:szCs w:val="22"/>
          <w:lang w:val="it-IT"/>
        </w:rPr>
        <w:t>tti</w:t>
      </w:r>
      <w:r w:rsidRPr="00496684">
        <w:rPr>
          <w:rFonts w:eastAsia="Verdana"/>
          <w:spacing w:val="-1"/>
          <w:sz w:val="22"/>
          <w:szCs w:val="22"/>
          <w:lang w:val="it-IT"/>
        </w:rPr>
        <w:t>v</w:t>
      </w:r>
      <w:r w:rsidRPr="00496684">
        <w:rPr>
          <w:rFonts w:eastAsia="Verdana"/>
          <w:sz w:val="22"/>
          <w:szCs w:val="22"/>
          <w:lang w:val="it-IT"/>
        </w:rPr>
        <w:t>a</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pacing w:val="-2"/>
          <w:sz w:val="22"/>
          <w:szCs w:val="22"/>
          <w:lang w:val="it-IT"/>
        </w:rPr>
        <w:t>e</w:t>
      </w:r>
      <w:r w:rsidRPr="00496684">
        <w:rPr>
          <w:rFonts w:eastAsia="Verdana"/>
          <w:sz w:val="22"/>
          <w:szCs w:val="22"/>
          <w:lang w:val="it-IT"/>
        </w:rPr>
        <w:t>)</w:t>
      </w:r>
      <w:r w:rsidRPr="00496684">
        <w:rPr>
          <w:rFonts w:eastAsia="Verdana"/>
          <w:spacing w:val="-1"/>
          <w:sz w:val="22"/>
          <w:szCs w:val="22"/>
          <w:lang w:val="it-IT"/>
        </w:rPr>
        <w:t xml:space="preserve"> </w:t>
      </w:r>
      <w:r w:rsidRPr="00496684">
        <w:rPr>
          <w:rFonts w:eastAsia="Verdana"/>
          <w:spacing w:val="1"/>
          <w:sz w:val="22"/>
          <w:szCs w:val="22"/>
          <w:lang w:val="it-IT"/>
        </w:rPr>
        <w:t>della</w:t>
      </w:r>
      <w:r w:rsidRPr="00496684">
        <w:rPr>
          <w:rFonts w:eastAsia="Verdana"/>
          <w:spacing w:val="-2"/>
          <w:sz w:val="22"/>
          <w:szCs w:val="22"/>
          <w:lang w:val="it-IT"/>
        </w:rPr>
        <w:t xml:space="preserve">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ite</w:t>
      </w:r>
      <w:r w:rsidRPr="00496684">
        <w:rPr>
          <w:rFonts w:eastAsia="Verdana"/>
          <w:spacing w:val="-4"/>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z w:val="22"/>
          <w:szCs w:val="22"/>
          <w:lang w:val="it-IT"/>
        </w:rPr>
        <w:t xml:space="preserve">se si è </w:t>
      </w:r>
      <w:r w:rsidRPr="00496684">
        <w:rPr>
          <w:rFonts w:eastAsia="Verdana"/>
          <w:spacing w:val="2"/>
          <w:sz w:val="22"/>
          <w:szCs w:val="22"/>
          <w:lang w:val="it-IT"/>
        </w:rPr>
        <w:t>a</w:t>
      </w:r>
      <w:r w:rsidRPr="00496684">
        <w:rPr>
          <w:rFonts w:eastAsia="Verdana"/>
          <w:spacing w:val="-1"/>
          <w:sz w:val="22"/>
          <w:szCs w:val="22"/>
          <w:lang w:val="it-IT"/>
        </w:rPr>
        <w:t>vu</w:t>
      </w:r>
      <w:r w:rsidRPr="00496684">
        <w:rPr>
          <w:rFonts w:eastAsia="Verdana"/>
          <w:spacing w:val="1"/>
          <w:sz w:val="22"/>
          <w:szCs w:val="22"/>
          <w:lang w:val="it-IT"/>
        </w:rPr>
        <w:t>ta</w:t>
      </w:r>
      <w:r w:rsidRPr="00496684">
        <w:rPr>
          <w:rFonts w:eastAsia="Verdana"/>
          <w:spacing w:val="-2"/>
          <w:sz w:val="22"/>
          <w:szCs w:val="22"/>
          <w:lang w:val="it-IT"/>
        </w:rPr>
        <w:t xml:space="preserve"> </w:t>
      </w:r>
      <w:r w:rsidRPr="00496684">
        <w:rPr>
          <w:rFonts w:eastAsia="Verdana"/>
          <w:spacing w:val="1"/>
          <w:sz w:val="22"/>
          <w:szCs w:val="22"/>
          <w:lang w:val="it-IT"/>
        </w:rPr>
        <w:t>l</w:t>
      </w:r>
      <w:r w:rsidRPr="00496684">
        <w:rPr>
          <w:rFonts w:eastAsia="Verdana"/>
          <w:sz w:val="22"/>
          <w:szCs w:val="22"/>
          <w:lang w:val="it-IT"/>
        </w:rPr>
        <w:t>’</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tite</w:t>
      </w:r>
      <w:r w:rsidRPr="00496684">
        <w:rPr>
          <w:rFonts w:eastAsia="Verdana"/>
          <w:spacing w:val="-1"/>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pacing w:val="1"/>
          <w:sz w:val="22"/>
          <w:szCs w:val="22"/>
          <w:lang w:val="it-IT"/>
        </w:rPr>
        <w:t>in</w:t>
      </w:r>
      <w:r w:rsidRPr="00496684">
        <w:rPr>
          <w:rFonts w:eastAsia="Verdana"/>
          <w:spacing w:val="-3"/>
          <w:sz w:val="22"/>
          <w:szCs w:val="22"/>
          <w:lang w:val="it-IT"/>
        </w:rPr>
        <w:t xml:space="preserve"> </w:t>
      </w:r>
      <w:r w:rsidRPr="00496684">
        <w:rPr>
          <w:rFonts w:eastAsia="Verdana"/>
          <w:spacing w:val="1"/>
          <w:sz w:val="22"/>
          <w:szCs w:val="22"/>
          <w:lang w:val="it-IT"/>
        </w:rPr>
        <w:t>p</w:t>
      </w:r>
      <w:r w:rsidRPr="00496684">
        <w:rPr>
          <w:rFonts w:eastAsia="Verdana"/>
          <w:sz w:val="22"/>
          <w:szCs w:val="22"/>
          <w:lang w:val="it-IT"/>
        </w:rPr>
        <w:t>assa</w:t>
      </w:r>
      <w:r w:rsidRPr="00496684">
        <w:rPr>
          <w:rFonts w:eastAsia="Verdana"/>
          <w:spacing w:val="1"/>
          <w:sz w:val="22"/>
          <w:szCs w:val="22"/>
          <w:lang w:val="it-IT"/>
        </w:rPr>
        <w:t>to</w:t>
      </w:r>
      <w:r w:rsidRPr="00496684">
        <w:rPr>
          <w:rFonts w:eastAsia="Verdana"/>
          <w:spacing w:val="-1"/>
          <w:sz w:val="22"/>
          <w:szCs w:val="22"/>
          <w:lang w:val="it-IT"/>
        </w:rPr>
        <w:t xml:space="preserve"> </w:t>
      </w:r>
      <w:r w:rsidRPr="00496684">
        <w:rPr>
          <w:rFonts w:eastAsia="Verdana"/>
          <w:sz w:val="22"/>
          <w:szCs w:val="22"/>
          <w:lang w:val="it-IT"/>
        </w:rPr>
        <w:t>(</w:t>
      </w:r>
      <w:r w:rsidRPr="00496684">
        <w:rPr>
          <w:rFonts w:eastAsia="Verdana"/>
          <w:spacing w:val="-1"/>
          <w:sz w:val="22"/>
          <w:szCs w:val="22"/>
          <w:lang w:val="it-IT"/>
        </w:rPr>
        <w:t>un</w:t>
      </w:r>
      <w:r w:rsidRPr="00496684">
        <w:rPr>
          <w:rFonts w:eastAsia="Verdana"/>
          <w:sz w:val="22"/>
          <w:szCs w:val="22"/>
          <w:lang w:val="it-IT"/>
        </w:rPr>
        <w:t xml:space="preserve">a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del</w:t>
      </w:r>
      <w:r w:rsidRPr="00496684">
        <w:rPr>
          <w:rFonts w:eastAsia="Verdana"/>
          <w:spacing w:val="-1"/>
          <w:sz w:val="22"/>
          <w:szCs w:val="22"/>
          <w:lang w:val="it-IT"/>
        </w:rPr>
        <w:t xml:space="preserve"> f</w:t>
      </w:r>
      <w:r w:rsidRPr="00496684">
        <w:rPr>
          <w:rFonts w:eastAsia="Verdana"/>
          <w:spacing w:val="1"/>
          <w:sz w:val="22"/>
          <w:szCs w:val="22"/>
          <w:lang w:val="it-IT"/>
        </w:rPr>
        <w:t>eg</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o</w:t>
      </w:r>
      <w:r w:rsidRPr="00496684">
        <w:rPr>
          <w:rFonts w:eastAsia="Verdana"/>
          <w:sz w:val="22"/>
          <w:szCs w:val="22"/>
          <w:lang w:val="it-IT"/>
        </w:rPr>
        <w:t>).</w:t>
      </w:r>
    </w:p>
    <w:p w14:paraId="3B554254" w14:textId="77777777" w:rsidR="00AB2B5B" w:rsidRPr="00496684" w:rsidRDefault="00AB2B5B" w:rsidP="00AE2366">
      <w:pPr>
        <w:pStyle w:val="Text"/>
        <w:widowControl w:val="0"/>
        <w:spacing w:before="0"/>
        <w:ind w:left="576"/>
        <w:jc w:val="left"/>
        <w:rPr>
          <w:sz w:val="22"/>
          <w:szCs w:val="22"/>
          <w:lang w:val="it-IT"/>
        </w:rPr>
      </w:pPr>
    </w:p>
    <w:p w14:paraId="50DE567F" w14:textId="77777777" w:rsidR="00E56109" w:rsidRPr="00496684" w:rsidRDefault="00E56109" w:rsidP="00DF593A">
      <w:pPr>
        <w:pStyle w:val="Text"/>
        <w:widowControl w:val="0"/>
        <w:spacing w:before="0"/>
        <w:jc w:val="left"/>
        <w:rPr>
          <w:sz w:val="22"/>
          <w:szCs w:val="22"/>
          <w:lang w:val="it-IT"/>
        </w:rPr>
      </w:pPr>
    </w:p>
    <w:p w14:paraId="7CA93900" w14:textId="77777777" w:rsidR="00DF593A" w:rsidRPr="00496684" w:rsidRDefault="00DF593A" w:rsidP="00DF593A">
      <w:pPr>
        <w:pStyle w:val="Text"/>
        <w:widowControl w:val="0"/>
        <w:spacing w:before="0"/>
        <w:jc w:val="left"/>
        <w:rPr>
          <w:b/>
          <w:sz w:val="22"/>
          <w:szCs w:val="22"/>
          <w:lang w:val="it-IT"/>
        </w:rPr>
      </w:pPr>
      <w:r w:rsidRPr="00496684">
        <w:rPr>
          <w:sz w:val="22"/>
          <w:szCs w:val="22"/>
          <w:lang w:val="it-IT"/>
        </w:rPr>
        <w:t xml:space="preserve">Se manifesta uno degli effetti sopra descritti, </w:t>
      </w:r>
      <w:r w:rsidRPr="00496684">
        <w:rPr>
          <w:b/>
          <w:sz w:val="22"/>
          <w:szCs w:val="22"/>
          <w:lang w:val="it-IT"/>
        </w:rPr>
        <w:t>informi il medico immediatamente.</w:t>
      </w:r>
    </w:p>
    <w:p w14:paraId="02FCA04D" w14:textId="77777777" w:rsidR="00DF593A" w:rsidRPr="00496684" w:rsidRDefault="00DF593A" w:rsidP="00DF593A">
      <w:pPr>
        <w:pStyle w:val="Text"/>
        <w:widowControl w:val="0"/>
        <w:spacing w:before="0"/>
        <w:jc w:val="left"/>
        <w:rPr>
          <w:sz w:val="22"/>
          <w:szCs w:val="22"/>
          <w:lang w:val="it-IT"/>
        </w:rPr>
      </w:pPr>
    </w:p>
    <w:p w14:paraId="309E61A5" w14:textId="77777777" w:rsidR="00DF593A" w:rsidRPr="00496684" w:rsidRDefault="00DF593A" w:rsidP="00DF593A">
      <w:pPr>
        <w:pStyle w:val="Text"/>
        <w:widowControl w:val="0"/>
        <w:spacing w:before="0"/>
        <w:jc w:val="left"/>
        <w:rPr>
          <w:b/>
          <w:sz w:val="22"/>
          <w:szCs w:val="22"/>
          <w:lang w:val="it-IT"/>
        </w:rPr>
      </w:pPr>
      <w:r w:rsidRPr="00496684">
        <w:rPr>
          <w:b/>
          <w:sz w:val="22"/>
          <w:szCs w:val="22"/>
          <w:lang w:val="it-IT"/>
        </w:rPr>
        <w:t>Altri effetti indesiderati possono includere:</w:t>
      </w:r>
    </w:p>
    <w:p w14:paraId="4714CF36" w14:textId="77777777" w:rsidR="00DF593A" w:rsidRPr="00496684" w:rsidRDefault="00DF593A" w:rsidP="00DF593A">
      <w:pPr>
        <w:pStyle w:val="Text"/>
        <w:widowControl w:val="0"/>
        <w:spacing w:before="0"/>
        <w:jc w:val="left"/>
        <w:rPr>
          <w:sz w:val="22"/>
          <w:szCs w:val="22"/>
          <w:lang w:val="it-IT"/>
        </w:rPr>
      </w:pPr>
    </w:p>
    <w:p w14:paraId="045E140D" w14:textId="2A4EACDE" w:rsidR="00DF593A" w:rsidRPr="00496684" w:rsidRDefault="00ED67BC" w:rsidP="00DF593A">
      <w:pPr>
        <w:pStyle w:val="Text"/>
        <w:widowControl w:val="0"/>
        <w:spacing w:before="0"/>
        <w:jc w:val="left"/>
        <w:rPr>
          <w:b/>
          <w:sz w:val="22"/>
          <w:szCs w:val="22"/>
          <w:lang w:val="it-IT"/>
        </w:rPr>
      </w:pPr>
      <w:r w:rsidRPr="00496684">
        <w:rPr>
          <w:b/>
          <w:sz w:val="22"/>
          <w:szCs w:val="22"/>
          <w:lang w:val="it-IT"/>
        </w:rPr>
        <w:t>M</w:t>
      </w:r>
      <w:r w:rsidR="00DF593A" w:rsidRPr="00496684">
        <w:rPr>
          <w:b/>
          <w:sz w:val="22"/>
          <w:szCs w:val="22"/>
          <w:lang w:val="it-IT"/>
        </w:rPr>
        <w:t>olto comuni</w:t>
      </w:r>
      <w:r w:rsidR="00E56109" w:rsidRPr="00496684">
        <w:rPr>
          <w:b/>
          <w:sz w:val="22"/>
          <w:szCs w:val="22"/>
          <w:lang w:val="it-IT"/>
        </w:rPr>
        <w:t xml:space="preserve"> (</w:t>
      </w:r>
      <w:r w:rsidR="00E56109" w:rsidRPr="00496684">
        <w:rPr>
          <w:sz w:val="22"/>
          <w:szCs w:val="22"/>
          <w:lang w:val="it-IT"/>
        </w:rPr>
        <w:t>può interessare più di 1 persona su 10)</w:t>
      </w:r>
      <w:r w:rsidR="00DF593A" w:rsidRPr="00496684">
        <w:rPr>
          <w:b/>
          <w:sz w:val="22"/>
          <w:szCs w:val="22"/>
          <w:lang w:val="it-IT"/>
        </w:rPr>
        <w:t>:</w:t>
      </w:r>
    </w:p>
    <w:p w14:paraId="2833EA80" w14:textId="77777777" w:rsidR="00DF593A" w:rsidRPr="00496684" w:rsidRDefault="00DF593A" w:rsidP="00DF593A">
      <w:pPr>
        <w:pStyle w:val="Text"/>
        <w:widowControl w:val="0"/>
        <w:numPr>
          <w:ilvl w:val="0"/>
          <w:numId w:val="23"/>
        </w:numPr>
        <w:spacing w:before="0"/>
        <w:jc w:val="left"/>
        <w:rPr>
          <w:sz w:val="22"/>
          <w:szCs w:val="22"/>
          <w:lang w:val="it-IT"/>
        </w:rPr>
      </w:pPr>
      <w:r w:rsidRPr="00496684">
        <w:rPr>
          <w:sz w:val="22"/>
          <w:szCs w:val="22"/>
          <w:lang w:val="it-IT"/>
        </w:rPr>
        <w:t>Mal di testa o sensazione di stanchezza.</w:t>
      </w:r>
    </w:p>
    <w:p w14:paraId="6AB7F7AE" w14:textId="77777777" w:rsidR="00DF593A" w:rsidRPr="00496684" w:rsidRDefault="00DF593A" w:rsidP="00DF593A">
      <w:pPr>
        <w:pStyle w:val="Text"/>
        <w:widowControl w:val="0"/>
        <w:numPr>
          <w:ilvl w:val="0"/>
          <w:numId w:val="23"/>
        </w:numPr>
        <w:spacing w:before="0"/>
        <w:jc w:val="left"/>
        <w:rPr>
          <w:sz w:val="22"/>
          <w:szCs w:val="22"/>
          <w:lang w:val="it-IT"/>
        </w:rPr>
      </w:pPr>
      <w:r w:rsidRPr="00496684">
        <w:rPr>
          <w:sz w:val="22"/>
          <w:szCs w:val="22"/>
          <w:lang w:val="it-IT"/>
        </w:rPr>
        <w:t>Sensazione di malessere (nausea), vomito, diarrea o indigestione.</w:t>
      </w:r>
    </w:p>
    <w:p w14:paraId="2EA5BD7B" w14:textId="77777777" w:rsidR="00DF593A" w:rsidRPr="00496684" w:rsidRDefault="00DF593A" w:rsidP="00DF593A">
      <w:pPr>
        <w:pStyle w:val="Text"/>
        <w:widowControl w:val="0"/>
        <w:numPr>
          <w:ilvl w:val="0"/>
          <w:numId w:val="23"/>
        </w:numPr>
        <w:spacing w:before="0"/>
        <w:jc w:val="left"/>
        <w:rPr>
          <w:sz w:val="22"/>
          <w:szCs w:val="22"/>
          <w:lang w:val="it-IT"/>
        </w:rPr>
      </w:pPr>
      <w:r w:rsidRPr="00496684">
        <w:rPr>
          <w:sz w:val="22"/>
          <w:szCs w:val="22"/>
          <w:lang w:val="it-IT"/>
        </w:rPr>
        <w:t>Eruzione cutanea.</w:t>
      </w:r>
    </w:p>
    <w:p w14:paraId="2762E769" w14:textId="77777777" w:rsidR="00DF593A" w:rsidRPr="00496684" w:rsidRDefault="00DF593A" w:rsidP="00DF593A">
      <w:pPr>
        <w:pStyle w:val="Text"/>
        <w:widowControl w:val="0"/>
        <w:numPr>
          <w:ilvl w:val="0"/>
          <w:numId w:val="23"/>
        </w:numPr>
        <w:spacing w:before="0"/>
        <w:jc w:val="left"/>
        <w:rPr>
          <w:sz w:val="22"/>
          <w:szCs w:val="22"/>
          <w:lang w:val="it-IT"/>
        </w:rPr>
      </w:pPr>
      <w:r w:rsidRPr="00496684">
        <w:rPr>
          <w:sz w:val="22"/>
          <w:szCs w:val="22"/>
          <w:lang w:val="it-IT"/>
        </w:rPr>
        <w:t>Crampi muscolari o dolori articolari, ai muscoli o alle ossa</w:t>
      </w:r>
      <w:r w:rsidR="00C453EA" w:rsidRPr="00496684">
        <w:rPr>
          <w:sz w:val="22"/>
          <w:szCs w:val="22"/>
          <w:lang w:val="it-IT"/>
        </w:rPr>
        <w:t>, durante il trattamento con imatinib o dopo aver smesso di prendere imatinib</w:t>
      </w:r>
      <w:r w:rsidRPr="00496684">
        <w:rPr>
          <w:sz w:val="22"/>
          <w:szCs w:val="22"/>
          <w:lang w:val="it-IT"/>
        </w:rPr>
        <w:t>.</w:t>
      </w:r>
    </w:p>
    <w:p w14:paraId="185464D0" w14:textId="77777777" w:rsidR="00DF593A" w:rsidRPr="00496684" w:rsidRDefault="00DF593A" w:rsidP="00DF593A">
      <w:pPr>
        <w:pStyle w:val="Text"/>
        <w:widowControl w:val="0"/>
        <w:numPr>
          <w:ilvl w:val="0"/>
          <w:numId w:val="23"/>
        </w:numPr>
        <w:spacing w:before="0"/>
        <w:jc w:val="left"/>
        <w:rPr>
          <w:sz w:val="22"/>
          <w:szCs w:val="22"/>
          <w:lang w:val="it-IT"/>
        </w:rPr>
      </w:pPr>
      <w:r w:rsidRPr="00496684">
        <w:rPr>
          <w:sz w:val="22"/>
          <w:szCs w:val="22"/>
          <w:lang w:val="it-IT"/>
        </w:rPr>
        <w:t>Gonfiore per esempio intorno alle caviglie o occhi gonfi.</w:t>
      </w:r>
    </w:p>
    <w:p w14:paraId="78AC45D8" w14:textId="77777777" w:rsidR="00DF593A" w:rsidRPr="00496684" w:rsidRDefault="00DF593A" w:rsidP="00DF593A">
      <w:pPr>
        <w:pStyle w:val="Text"/>
        <w:widowControl w:val="0"/>
        <w:numPr>
          <w:ilvl w:val="0"/>
          <w:numId w:val="23"/>
        </w:numPr>
        <w:spacing w:before="0"/>
        <w:jc w:val="left"/>
        <w:rPr>
          <w:sz w:val="22"/>
          <w:szCs w:val="22"/>
          <w:lang w:val="it-IT"/>
        </w:rPr>
      </w:pPr>
      <w:r w:rsidRPr="00496684">
        <w:rPr>
          <w:sz w:val="22"/>
          <w:szCs w:val="22"/>
          <w:lang w:val="it-IT"/>
        </w:rPr>
        <w:t>Aumento di peso.</w:t>
      </w:r>
    </w:p>
    <w:p w14:paraId="040057D9" w14:textId="77777777" w:rsidR="00DF593A" w:rsidRPr="00496684" w:rsidRDefault="00DF593A" w:rsidP="00DF593A">
      <w:pPr>
        <w:pStyle w:val="Text"/>
        <w:widowControl w:val="0"/>
        <w:spacing w:before="0"/>
        <w:jc w:val="left"/>
        <w:rPr>
          <w:sz w:val="22"/>
          <w:szCs w:val="22"/>
          <w:lang w:val="it-IT"/>
        </w:rPr>
      </w:pPr>
      <w:r w:rsidRPr="00496684">
        <w:rPr>
          <w:sz w:val="22"/>
          <w:szCs w:val="22"/>
          <w:lang w:val="it-IT"/>
        </w:rPr>
        <w:t xml:space="preserve">Se uno di questi effetti si manifesta in maniera grave, </w:t>
      </w:r>
      <w:r w:rsidRPr="00496684">
        <w:rPr>
          <w:b/>
          <w:sz w:val="22"/>
          <w:szCs w:val="22"/>
          <w:lang w:val="it-IT"/>
        </w:rPr>
        <w:t>informi il medico.</w:t>
      </w:r>
    </w:p>
    <w:p w14:paraId="1C36D45C" w14:textId="77777777" w:rsidR="00DF593A" w:rsidRPr="00496684" w:rsidRDefault="00DF593A" w:rsidP="00DF593A">
      <w:pPr>
        <w:pStyle w:val="Text"/>
        <w:widowControl w:val="0"/>
        <w:spacing w:before="0"/>
        <w:jc w:val="left"/>
        <w:rPr>
          <w:sz w:val="22"/>
          <w:szCs w:val="22"/>
          <w:lang w:val="it-IT"/>
        </w:rPr>
      </w:pPr>
    </w:p>
    <w:p w14:paraId="7E7D8D8F" w14:textId="274A7B18" w:rsidR="00DF593A" w:rsidRPr="00496684" w:rsidRDefault="00ED67BC" w:rsidP="00DF593A">
      <w:pPr>
        <w:pStyle w:val="Text"/>
        <w:widowControl w:val="0"/>
        <w:spacing w:before="0"/>
        <w:jc w:val="left"/>
        <w:rPr>
          <w:b/>
          <w:bCs/>
          <w:sz w:val="22"/>
          <w:szCs w:val="22"/>
          <w:lang w:val="it-IT"/>
        </w:rPr>
      </w:pPr>
      <w:r w:rsidRPr="00496684">
        <w:rPr>
          <w:b/>
          <w:bCs/>
          <w:sz w:val="22"/>
          <w:szCs w:val="22"/>
          <w:lang w:val="it-IT"/>
        </w:rPr>
        <w:t>C</w:t>
      </w:r>
      <w:r w:rsidR="00DF593A" w:rsidRPr="00496684">
        <w:rPr>
          <w:b/>
          <w:bCs/>
          <w:sz w:val="22"/>
          <w:szCs w:val="22"/>
          <w:lang w:val="it-IT"/>
        </w:rPr>
        <w:t>omuni</w:t>
      </w:r>
      <w:r w:rsidR="00E56109" w:rsidRPr="00496684">
        <w:rPr>
          <w:b/>
          <w:bCs/>
          <w:sz w:val="22"/>
          <w:szCs w:val="22"/>
          <w:lang w:val="it-IT"/>
        </w:rPr>
        <w:t xml:space="preserve"> </w:t>
      </w:r>
      <w:r w:rsidR="00E56109" w:rsidRPr="00496684">
        <w:rPr>
          <w:b/>
          <w:sz w:val="22"/>
          <w:szCs w:val="22"/>
          <w:lang w:val="it-IT"/>
        </w:rPr>
        <w:t>(</w:t>
      </w:r>
      <w:r w:rsidR="00E56109" w:rsidRPr="00496684">
        <w:rPr>
          <w:sz w:val="22"/>
          <w:szCs w:val="22"/>
          <w:lang w:val="it-IT"/>
        </w:rPr>
        <w:t>può interessare fino a 1 persona su 10)</w:t>
      </w:r>
      <w:r w:rsidR="00DF593A" w:rsidRPr="00496684">
        <w:rPr>
          <w:b/>
          <w:bCs/>
          <w:sz w:val="22"/>
          <w:szCs w:val="22"/>
          <w:lang w:val="it-IT"/>
        </w:rPr>
        <w:t>:</w:t>
      </w:r>
    </w:p>
    <w:p w14:paraId="31AC935F"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Anoressia, perdita di peso o disturbi del senso del gusto.</w:t>
      </w:r>
    </w:p>
    <w:p w14:paraId="449E770F"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Sensazione di stordimento o di debolezza.</w:t>
      </w:r>
    </w:p>
    <w:p w14:paraId="0E4A423C"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Disturbi del sonno (insonnia).</w:t>
      </w:r>
    </w:p>
    <w:p w14:paraId="51DBABB9"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Secrezione dagli occhi con prurito, arrossamento e gonfiore (congiuntivite), aumento della lacrimazione o visione offuscata.</w:t>
      </w:r>
    </w:p>
    <w:p w14:paraId="7357AD53"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Sanguinamento del naso.</w:t>
      </w:r>
    </w:p>
    <w:p w14:paraId="05A1302F"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Dolore o rigonfiamento addominale, flatulenza, bruciori di stomaco o stipsi.</w:t>
      </w:r>
    </w:p>
    <w:p w14:paraId="13C22543"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Prurito.</w:t>
      </w:r>
    </w:p>
    <w:p w14:paraId="1A1C38EF"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Insolita perdita o assottigliamento dei capelli.</w:t>
      </w:r>
    </w:p>
    <w:p w14:paraId="47C0E823"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Torpore delle mani o dei piedi.</w:t>
      </w:r>
    </w:p>
    <w:p w14:paraId="4E967336"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Ulcerazioni della bocca.</w:t>
      </w:r>
    </w:p>
    <w:p w14:paraId="7CCEB90D"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Dolore articolare con gonfiore.</w:t>
      </w:r>
    </w:p>
    <w:p w14:paraId="219E3125"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Secchezza della bocca, secchezza della pelle o secchezza degli occhi.</w:t>
      </w:r>
    </w:p>
    <w:p w14:paraId="4CD01103"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Riduzione o aumento della sensibilità della pelle.</w:t>
      </w:r>
    </w:p>
    <w:p w14:paraId="65297F3F" w14:textId="77777777" w:rsidR="00DF593A" w:rsidRPr="00496684" w:rsidRDefault="00DF593A" w:rsidP="00DF593A">
      <w:pPr>
        <w:pStyle w:val="Text"/>
        <w:widowControl w:val="0"/>
        <w:numPr>
          <w:ilvl w:val="0"/>
          <w:numId w:val="24"/>
        </w:numPr>
        <w:spacing w:before="0"/>
        <w:jc w:val="left"/>
        <w:rPr>
          <w:sz w:val="22"/>
          <w:szCs w:val="22"/>
          <w:lang w:val="it-IT"/>
        </w:rPr>
      </w:pPr>
      <w:r w:rsidRPr="00496684">
        <w:rPr>
          <w:sz w:val="22"/>
          <w:szCs w:val="22"/>
          <w:lang w:val="it-IT"/>
        </w:rPr>
        <w:t>Vampate di calore, brividi o sudorazione notturna.</w:t>
      </w:r>
    </w:p>
    <w:p w14:paraId="040387F4" w14:textId="77777777" w:rsidR="00DF593A" w:rsidRPr="00496684" w:rsidRDefault="00DF593A" w:rsidP="00DF593A">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16835CFB" w14:textId="77777777" w:rsidR="00DF593A" w:rsidRPr="00496684" w:rsidRDefault="00DF593A" w:rsidP="00DF593A">
      <w:pPr>
        <w:pStyle w:val="Text"/>
        <w:widowControl w:val="0"/>
        <w:spacing w:before="0"/>
        <w:jc w:val="left"/>
        <w:rPr>
          <w:sz w:val="22"/>
          <w:szCs w:val="22"/>
          <w:lang w:val="it-IT"/>
        </w:rPr>
      </w:pPr>
    </w:p>
    <w:p w14:paraId="4892CBA5" w14:textId="77777777" w:rsidR="00DF593A" w:rsidRPr="00496684" w:rsidRDefault="00DF593A" w:rsidP="00DF593A">
      <w:pPr>
        <w:pStyle w:val="Text"/>
        <w:widowControl w:val="0"/>
        <w:spacing w:before="0"/>
        <w:jc w:val="left"/>
        <w:rPr>
          <w:b/>
          <w:sz w:val="22"/>
          <w:szCs w:val="22"/>
          <w:lang w:val="it-IT"/>
        </w:rPr>
      </w:pPr>
      <w:r w:rsidRPr="00496684">
        <w:rPr>
          <w:b/>
          <w:sz w:val="22"/>
          <w:szCs w:val="22"/>
          <w:lang w:val="it-IT"/>
        </w:rPr>
        <w:t>Non nota</w:t>
      </w:r>
      <w:r w:rsidR="00E56109" w:rsidRPr="00496684">
        <w:rPr>
          <w:b/>
          <w:sz w:val="22"/>
          <w:szCs w:val="22"/>
          <w:lang w:val="it-IT"/>
        </w:rPr>
        <w:t xml:space="preserve"> </w:t>
      </w:r>
      <w:r w:rsidR="00E56109" w:rsidRPr="00496684">
        <w:rPr>
          <w:sz w:val="22"/>
          <w:szCs w:val="22"/>
          <w:lang w:val="it-IT"/>
        </w:rPr>
        <w:t xml:space="preserve">(la frequenza non può essere </w:t>
      </w:r>
      <w:r w:rsidR="00C66631" w:rsidRPr="00496684">
        <w:rPr>
          <w:sz w:val="22"/>
          <w:szCs w:val="22"/>
          <w:lang w:val="it-IT"/>
        </w:rPr>
        <w:t>definita</w:t>
      </w:r>
      <w:r w:rsidR="00E56109" w:rsidRPr="00496684">
        <w:rPr>
          <w:sz w:val="22"/>
          <w:szCs w:val="22"/>
          <w:lang w:val="it-IT"/>
        </w:rPr>
        <w:t xml:space="preserve"> sulla base dei dati disponibili)</w:t>
      </w:r>
      <w:r w:rsidRPr="00496684">
        <w:rPr>
          <w:b/>
          <w:sz w:val="22"/>
          <w:szCs w:val="22"/>
          <w:lang w:val="it-IT"/>
        </w:rPr>
        <w:t>:</w:t>
      </w:r>
    </w:p>
    <w:p w14:paraId="429B5734" w14:textId="77777777" w:rsidR="00DF593A" w:rsidRPr="00496684" w:rsidRDefault="00DF593A" w:rsidP="00DF593A">
      <w:pPr>
        <w:pStyle w:val="Text"/>
        <w:widowControl w:val="0"/>
        <w:numPr>
          <w:ilvl w:val="0"/>
          <w:numId w:val="25"/>
        </w:numPr>
        <w:spacing w:before="0"/>
        <w:jc w:val="left"/>
        <w:rPr>
          <w:sz w:val="22"/>
          <w:szCs w:val="22"/>
          <w:lang w:val="it-IT"/>
        </w:rPr>
      </w:pPr>
      <w:r w:rsidRPr="00496684">
        <w:rPr>
          <w:sz w:val="22"/>
          <w:szCs w:val="22"/>
          <w:lang w:val="it-IT"/>
        </w:rPr>
        <w:t>Arrossamento e/o gonfiore dei palmi delle mani e delle piante dei piedi che può essere accompagnato da sensazione di formicolio e bruciore doloroso.</w:t>
      </w:r>
    </w:p>
    <w:p w14:paraId="5C6D2CB2" w14:textId="77777777" w:rsidR="00B56712" w:rsidRPr="00496684" w:rsidRDefault="00B56712" w:rsidP="00DF593A">
      <w:pPr>
        <w:pStyle w:val="Text"/>
        <w:widowControl w:val="0"/>
        <w:numPr>
          <w:ilvl w:val="0"/>
          <w:numId w:val="25"/>
        </w:numPr>
        <w:spacing w:before="0"/>
        <w:jc w:val="left"/>
        <w:rPr>
          <w:sz w:val="22"/>
          <w:szCs w:val="22"/>
          <w:lang w:val="it-IT"/>
        </w:rPr>
      </w:pPr>
      <w:r w:rsidRPr="00496684">
        <w:rPr>
          <w:sz w:val="22"/>
          <w:szCs w:val="22"/>
          <w:lang w:val="it-IT"/>
        </w:rPr>
        <w:t>Lesioni della cute dolorose e/o con formazioni di vesciche.</w:t>
      </w:r>
    </w:p>
    <w:p w14:paraId="63589B74" w14:textId="77777777" w:rsidR="00DF593A" w:rsidRPr="00496684" w:rsidRDefault="00DF593A" w:rsidP="00DF593A">
      <w:pPr>
        <w:pStyle w:val="Text"/>
        <w:widowControl w:val="0"/>
        <w:numPr>
          <w:ilvl w:val="0"/>
          <w:numId w:val="25"/>
        </w:numPr>
        <w:spacing w:before="0"/>
        <w:jc w:val="left"/>
        <w:rPr>
          <w:sz w:val="22"/>
          <w:szCs w:val="22"/>
          <w:lang w:val="it-IT"/>
        </w:rPr>
      </w:pPr>
      <w:r w:rsidRPr="00496684">
        <w:rPr>
          <w:sz w:val="22"/>
          <w:szCs w:val="22"/>
          <w:lang w:val="it-IT"/>
        </w:rPr>
        <w:t>Rallentamento della crescita in bambini e adolescenti.</w:t>
      </w:r>
    </w:p>
    <w:p w14:paraId="0382FEC1" w14:textId="77777777" w:rsidR="00DF593A" w:rsidRPr="00496684" w:rsidRDefault="00DF593A" w:rsidP="00DF593A">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5373E3A4" w14:textId="77777777" w:rsidR="00DF593A" w:rsidRPr="00496684" w:rsidRDefault="00DF593A" w:rsidP="00DF593A">
      <w:pPr>
        <w:pStyle w:val="Text"/>
        <w:widowControl w:val="0"/>
        <w:spacing w:before="0"/>
        <w:jc w:val="left"/>
        <w:rPr>
          <w:sz w:val="22"/>
          <w:szCs w:val="22"/>
          <w:lang w:val="it-IT"/>
        </w:rPr>
      </w:pPr>
    </w:p>
    <w:p w14:paraId="1FF0E6E4" w14:textId="77777777" w:rsidR="00792F57" w:rsidRPr="00496684" w:rsidRDefault="00792F57" w:rsidP="00792F57">
      <w:pPr>
        <w:tabs>
          <w:tab w:val="left" w:pos="6300"/>
        </w:tabs>
        <w:spacing w:after="0" w:line="240" w:lineRule="auto"/>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Segnalazione degli effetti indesiderati</w:t>
      </w:r>
    </w:p>
    <w:p w14:paraId="77D68A46" w14:textId="77777777" w:rsidR="00792F57" w:rsidRPr="00496684" w:rsidRDefault="00792F57" w:rsidP="00424C42">
      <w:pPr>
        <w:suppressAutoHyphens/>
        <w:rPr>
          <w:rFonts w:ascii="Times New Roman" w:hAnsi="Times New Roman"/>
          <w:lang w:val="it-IT"/>
        </w:rPr>
      </w:pPr>
      <w:r w:rsidRPr="00496684">
        <w:rPr>
          <w:rFonts w:ascii="Times New Roman" w:eastAsia="Times New Roman" w:hAnsi="Times New Roman"/>
          <w:lang w:val="it-IT" w:eastAsia="it-IT"/>
        </w:rPr>
        <w:t xml:space="preserve">Se manifesta un qualsiasi effetto indesiderato, compresi quelli non elencati in questo foglio, si rivolga al medico, al farmacista o all’infermiere. Lei può inoltre segnalare gli effetti indesiderati direttamente tramite </w:t>
      </w:r>
      <w:r w:rsidRPr="00496684">
        <w:rPr>
          <w:rFonts w:ascii="Times New Roman" w:eastAsia="Times New Roman" w:hAnsi="Times New Roman"/>
          <w:highlight w:val="lightGray"/>
          <w:lang w:val="it-IT" w:eastAsia="it-IT"/>
        </w:rPr>
        <w:t>il sistema nazionale di segnalazione riportato nell’</w:t>
      </w:r>
      <w:hyperlink r:id="rId19" w:history="1">
        <w:r w:rsidR="00A23E54" w:rsidRPr="00496684">
          <w:rPr>
            <w:rStyle w:val="Hyperlink"/>
            <w:rFonts w:ascii="Times New Roman" w:hAnsi="Times New Roman"/>
            <w:noProof/>
            <w:highlight w:val="lightGray"/>
            <w:lang w:val="it-IT"/>
          </w:rPr>
          <w:t>Allegato V</w:t>
        </w:r>
      </w:hyperlink>
      <w:r w:rsidR="00A23E54" w:rsidRPr="00496684">
        <w:rPr>
          <w:rFonts w:ascii="Times New Roman" w:hAnsi="Times New Roman"/>
          <w:noProof/>
          <w:lang w:val="it-IT"/>
        </w:rPr>
        <w:t xml:space="preserve">. </w:t>
      </w:r>
      <w:r w:rsidR="00A23E54" w:rsidRPr="00496684">
        <w:rPr>
          <w:rFonts w:ascii="Times New Roman" w:hAnsi="Times New Roman"/>
          <w:lang w:val="it-IT"/>
        </w:rPr>
        <w:t xml:space="preserve"> </w:t>
      </w:r>
      <w:r w:rsidR="00A23E54" w:rsidRPr="00496684">
        <w:rPr>
          <w:rFonts w:ascii="Times New Roman" w:hAnsi="Times New Roman"/>
          <w:noProof/>
          <w:lang w:val="it-IT"/>
        </w:rPr>
        <w:t>Segnalando gli effetti indesiderati lei può contribuire a fornire maggiori informazioni sulla sicurezza di questo medicinale.</w:t>
      </w:r>
      <w:r w:rsidRPr="00496684">
        <w:rPr>
          <w:rFonts w:ascii="Times New Roman" w:eastAsia="Times New Roman" w:hAnsi="Times New Roman"/>
          <w:lang w:val="it-IT" w:eastAsia="it-IT"/>
        </w:rPr>
        <w:t xml:space="preserve"> </w:t>
      </w:r>
    </w:p>
    <w:p w14:paraId="7C838A46" w14:textId="77777777" w:rsidR="0020671B" w:rsidRPr="00496684" w:rsidRDefault="0020671B" w:rsidP="00DF593A">
      <w:pPr>
        <w:autoSpaceDE w:val="0"/>
        <w:autoSpaceDN w:val="0"/>
        <w:adjustRightInd w:val="0"/>
        <w:spacing w:after="0" w:line="240" w:lineRule="auto"/>
        <w:rPr>
          <w:rFonts w:ascii="Times New Roman" w:hAnsi="Times New Roman"/>
          <w:b/>
          <w:bCs/>
          <w:lang w:val="it-IT"/>
        </w:rPr>
      </w:pPr>
    </w:p>
    <w:p w14:paraId="5D5CA088"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Pr="00496684">
        <w:rPr>
          <w:rFonts w:ascii="Times New Roman" w:hAnsi="Times New Roman"/>
          <w:b/>
          <w:lang w:val="it-IT"/>
        </w:rPr>
        <w:t xml:space="preserve">Come conservare </w:t>
      </w:r>
      <w:r w:rsidRPr="00496684">
        <w:rPr>
          <w:rFonts w:ascii="Times New Roman" w:hAnsi="Times New Roman"/>
          <w:b/>
          <w:bCs/>
          <w:lang w:val="it-IT"/>
        </w:rPr>
        <w:t>Imatinib Actavis</w:t>
      </w:r>
    </w:p>
    <w:p w14:paraId="45875A0C"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p>
    <w:p w14:paraId="749653A0" w14:textId="77777777" w:rsidR="00DF593A" w:rsidRPr="00496684" w:rsidRDefault="00DF593A" w:rsidP="00DF593A">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Tenere questo medicinale fuori dalla vista e dalla portata dei bambini.</w:t>
      </w:r>
    </w:p>
    <w:p w14:paraId="46131617" w14:textId="77777777" w:rsidR="00DF593A" w:rsidRPr="00496684" w:rsidRDefault="00DF593A" w:rsidP="00DF593A">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usi questo medicinale dopo la data di scadenza che è riportata sulla scatola</w:t>
      </w:r>
      <w:r w:rsidR="00ED67BC" w:rsidRPr="00496684">
        <w:rPr>
          <w:rFonts w:ascii="Times New Roman" w:eastAsia="Times New Roman" w:hAnsi="Times New Roman"/>
          <w:lang w:val="it-IT" w:eastAsia="it-IT"/>
        </w:rPr>
        <w:t xml:space="preserve"> e sul blister</w:t>
      </w:r>
      <w:r w:rsidR="00B56712" w:rsidRPr="00496684">
        <w:rPr>
          <w:rFonts w:ascii="Times New Roman" w:eastAsia="Times New Roman" w:hAnsi="Times New Roman"/>
          <w:lang w:val="it-IT" w:eastAsia="it-IT"/>
        </w:rPr>
        <w:t xml:space="preserve"> dopo Scad</w:t>
      </w:r>
      <w:r w:rsidRPr="00496684">
        <w:rPr>
          <w:rFonts w:ascii="Times New Roman" w:eastAsia="Times New Roman" w:hAnsi="Times New Roman"/>
          <w:lang w:val="it-IT" w:eastAsia="it-IT"/>
        </w:rPr>
        <w:t>. La data di scadenza si riferisce all’ultimo giorno di quel mese</w:t>
      </w:r>
    </w:p>
    <w:p w14:paraId="654338A9" w14:textId="77777777" w:rsidR="00DF593A" w:rsidRPr="00496684" w:rsidRDefault="00DF593A" w:rsidP="00DF593A">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Non conservare a temperatura superiore ai </w:t>
      </w:r>
      <w:r w:rsidR="00792F57" w:rsidRPr="00496684">
        <w:rPr>
          <w:rFonts w:ascii="Times New Roman" w:eastAsia="Times New Roman" w:hAnsi="Times New Roman"/>
          <w:lang w:val="it-IT" w:eastAsia="it-IT"/>
        </w:rPr>
        <w:t>25</w:t>
      </w:r>
      <w:r w:rsidRPr="00496684">
        <w:rPr>
          <w:rFonts w:ascii="Times New Roman" w:eastAsia="Times New Roman" w:hAnsi="Times New Roman"/>
          <w:lang w:val="it-IT" w:eastAsia="it-IT"/>
        </w:rPr>
        <w:t>°C. Conservare nella confezione originale per proteggere il medicinale dall’umidità.</w:t>
      </w:r>
    </w:p>
    <w:p w14:paraId="5EE19019" w14:textId="77777777" w:rsidR="00DF593A" w:rsidRPr="00496684" w:rsidRDefault="00DF593A" w:rsidP="00DF593A">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utilizzare se la confezione dovesse essere danneggiata o presentare segni di manomissione.</w:t>
      </w:r>
    </w:p>
    <w:p w14:paraId="0E61EDB8" w14:textId="77777777" w:rsidR="00DF593A" w:rsidRPr="00496684" w:rsidRDefault="00DF593A" w:rsidP="00DF593A">
      <w:pPr>
        <w:suppressAutoHyphens/>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getti alcun medicinale nell’acqua di scarico e nei rifiuti domestici. Chieda al farmacista come eliminare i medicinali che non utilizza più. Questo aiuterà a proteggere l’ambiente.</w:t>
      </w:r>
    </w:p>
    <w:p w14:paraId="5DE96F21"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5F59232C" w14:textId="77777777" w:rsidR="0020671B" w:rsidRPr="00496684" w:rsidRDefault="0020671B" w:rsidP="00DF593A">
      <w:pPr>
        <w:autoSpaceDE w:val="0"/>
        <w:autoSpaceDN w:val="0"/>
        <w:adjustRightInd w:val="0"/>
        <w:spacing w:after="0" w:line="240" w:lineRule="auto"/>
        <w:rPr>
          <w:rFonts w:ascii="Times New Roman" w:hAnsi="Times New Roman"/>
          <w:lang w:val="it-IT"/>
        </w:rPr>
      </w:pPr>
    </w:p>
    <w:p w14:paraId="79A7352F"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Pr="00496684">
        <w:rPr>
          <w:rFonts w:ascii="Times New Roman" w:hAnsi="Times New Roman"/>
          <w:b/>
          <w:lang w:val="it-IT"/>
        </w:rPr>
        <w:t>Contenuto della confezione e altre informazioni</w:t>
      </w:r>
    </w:p>
    <w:p w14:paraId="1EB042FD" w14:textId="77777777" w:rsidR="00DF593A" w:rsidRPr="00496684" w:rsidRDefault="00DF593A" w:rsidP="00DF593A">
      <w:pPr>
        <w:autoSpaceDE w:val="0"/>
        <w:autoSpaceDN w:val="0"/>
        <w:adjustRightInd w:val="0"/>
        <w:spacing w:after="0" w:line="240" w:lineRule="auto"/>
        <w:rPr>
          <w:rFonts w:ascii="Times New Roman" w:hAnsi="Times New Roman"/>
          <w:bCs/>
          <w:lang w:val="it-IT"/>
        </w:rPr>
      </w:pPr>
    </w:p>
    <w:p w14:paraId="6B06A193" w14:textId="77777777" w:rsidR="00DF593A" w:rsidRPr="00496684" w:rsidRDefault="00DF593A" w:rsidP="00DF593A">
      <w:pPr>
        <w:autoSpaceDE w:val="0"/>
        <w:autoSpaceDN w:val="0"/>
        <w:adjustRightInd w:val="0"/>
        <w:spacing w:after="0" w:line="240" w:lineRule="auto"/>
        <w:rPr>
          <w:rFonts w:ascii="Times New Roman" w:hAnsi="Times New Roman"/>
          <w:b/>
          <w:bCs/>
          <w:lang w:val="it-IT"/>
        </w:rPr>
      </w:pPr>
      <w:r w:rsidRPr="00496684">
        <w:rPr>
          <w:rFonts w:ascii="Times New Roman" w:hAnsi="Times New Roman"/>
          <w:b/>
          <w:lang w:val="it-IT"/>
        </w:rPr>
        <w:t xml:space="preserve">Cosa contiene </w:t>
      </w:r>
      <w:r w:rsidRPr="00496684">
        <w:rPr>
          <w:rFonts w:ascii="Times New Roman" w:hAnsi="Times New Roman"/>
          <w:b/>
          <w:bCs/>
          <w:lang w:val="it-IT"/>
        </w:rPr>
        <w:t xml:space="preserve">Imatinib Actavis </w:t>
      </w:r>
    </w:p>
    <w:p w14:paraId="7871710C" w14:textId="77777777" w:rsidR="00DF593A" w:rsidRPr="00496684" w:rsidRDefault="005F020B" w:rsidP="00D008F2">
      <w:pPr>
        <w:widowControl w:val="0"/>
        <w:spacing w:after="0" w:line="240" w:lineRule="auto"/>
        <w:ind w:left="567" w:right="-2" w:hanging="567"/>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r>
      <w:r w:rsidR="00DF593A" w:rsidRPr="00496684">
        <w:rPr>
          <w:rFonts w:ascii="Times New Roman" w:hAnsi="Times New Roman"/>
          <w:lang w:val="it-IT"/>
        </w:rPr>
        <w:t>Il principio attivo è imatinib (come mesilato). Ogni capsula contiene 100 mg di imatinib (come mesilato).</w:t>
      </w:r>
    </w:p>
    <w:p w14:paraId="330AC1E3"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 xml:space="preserve">Gli altri componenti sono: Contenuto della capsula: cellulosa microcristallina, copovidone, </w:t>
      </w:r>
      <w:r w:rsidRPr="00496684">
        <w:rPr>
          <w:rFonts w:ascii="Times New Roman" w:hAnsi="Times New Roman"/>
          <w:lang w:val="it-IT"/>
        </w:rPr>
        <w:tab/>
        <w:t xml:space="preserve">crospovidone, sodio stearil fumarato,  silice (colloidale idrofobica e colloidale anidra). Involucro </w:t>
      </w:r>
      <w:r w:rsidRPr="00496684">
        <w:rPr>
          <w:rFonts w:ascii="Times New Roman" w:hAnsi="Times New Roman"/>
          <w:lang w:val="it-IT"/>
        </w:rPr>
        <w:tab/>
        <w:t xml:space="preserve">della capsula: ipromellosa, titanio diossido (E171). ferro ossido giallo (E172), ferro ossido rosso </w:t>
      </w:r>
      <w:r w:rsidRPr="00496684">
        <w:rPr>
          <w:rFonts w:ascii="Times New Roman" w:hAnsi="Times New Roman"/>
          <w:lang w:val="it-IT"/>
        </w:rPr>
        <w:tab/>
        <w:t xml:space="preserve">(E172).Inchiostro per la stampa: gommalacca, ferro ossido nero (E172), glicole propilenico, </w:t>
      </w:r>
      <w:r w:rsidRPr="00496684">
        <w:rPr>
          <w:rFonts w:ascii="Times New Roman" w:hAnsi="Times New Roman"/>
          <w:lang w:val="it-IT"/>
        </w:rPr>
        <w:tab/>
        <w:t>soluzione ammoniacale, potassio idrossido</w:t>
      </w:r>
    </w:p>
    <w:p w14:paraId="3EBCE3ED" w14:textId="77777777" w:rsidR="00DF593A" w:rsidRPr="00496684" w:rsidRDefault="00DF593A" w:rsidP="00DF593A">
      <w:pPr>
        <w:autoSpaceDE w:val="0"/>
        <w:autoSpaceDN w:val="0"/>
        <w:adjustRightInd w:val="0"/>
        <w:spacing w:after="0" w:line="240" w:lineRule="auto"/>
        <w:rPr>
          <w:rFonts w:ascii="Times New Roman" w:hAnsi="Times New Roman"/>
          <w:highlight w:val="lightGray"/>
          <w:lang w:val="it-IT"/>
        </w:rPr>
      </w:pPr>
    </w:p>
    <w:p w14:paraId="6F80D95B" w14:textId="77777777" w:rsidR="00DF593A" w:rsidRPr="00496684" w:rsidRDefault="00DF593A" w:rsidP="00D008F2">
      <w:pPr>
        <w:spacing w:after="0"/>
        <w:ind w:right="-2"/>
        <w:rPr>
          <w:rFonts w:ascii="Times New Roman" w:hAnsi="Times New Roman"/>
          <w:b/>
          <w:lang w:val="it-IT"/>
        </w:rPr>
      </w:pPr>
      <w:r w:rsidRPr="00496684">
        <w:rPr>
          <w:rFonts w:ascii="Times New Roman" w:hAnsi="Times New Roman"/>
          <w:b/>
          <w:lang w:val="it-IT"/>
        </w:rPr>
        <w:t>Descrizione dell’aspetto di Imatinib Actavis e contenuto della confezione</w:t>
      </w:r>
    </w:p>
    <w:p w14:paraId="3D1F653B" w14:textId="77777777" w:rsidR="00DF593A" w:rsidRPr="00496684" w:rsidRDefault="00DF593A" w:rsidP="00806F0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Capsula rigida con testa di colore arancione chiaro e corpo di colore arancione chiaro con la scritta 100 mg in inchiostro nero. La capsula contiene una polvere gialla chiara</w:t>
      </w:r>
    </w:p>
    <w:p w14:paraId="787B54EF"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2E76401F" w14:textId="77777777" w:rsidR="00DF593A" w:rsidRPr="00496684" w:rsidRDefault="00DF593A" w:rsidP="00DF593A">
      <w:pPr>
        <w:autoSpaceDE w:val="0"/>
        <w:autoSpaceDN w:val="0"/>
        <w:adjustRightInd w:val="0"/>
        <w:spacing w:after="0" w:line="240" w:lineRule="auto"/>
        <w:rPr>
          <w:rFonts w:ascii="Times New Roman" w:hAnsi="Times New Roman"/>
          <w:bCs/>
          <w:i/>
          <w:lang w:val="it-IT"/>
        </w:rPr>
      </w:pPr>
      <w:r w:rsidRPr="00496684">
        <w:rPr>
          <w:rFonts w:ascii="Times New Roman" w:hAnsi="Times New Roman"/>
          <w:bCs/>
          <w:i/>
          <w:lang w:val="it-IT"/>
        </w:rPr>
        <w:t>Confezioni:</w:t>
      </w:r>
    </w:p>
    <w:p w14:paraId="0986C34D" w14:textId="77777777" w:rsidR="00DF593A" w:rsidRPr="00496684" w:rsidRDefault="00806F02" w:rsidP="00DF593A">
      <w:pPr>
        <w:pStyle w:val="KeinLeerraum"/>
        <w:rPr>
          <w:rFonts w:ascii="Times New Roman" w:hAnsi="Times New Roman"/>
          <w:lang w:val="it-IT"/>
        </w:rPr>
      </w:pPr>
      <w:r w:rsidRPr="00496684">
        <w:rPr>
          <w:rFonts w:ascii="Times New Roman" w:hAnsi="Times New Roman"/>
          <w:lang w:val="it-IT"/>
        </w:rPr>
        <w:t>Le capsule s</w:t>
      </w:r>
      <w:r w:rsidR="00DF593A" w:rsidRPr="00496684">
        <w:rPr>
          <w:rFonts w:ascii="Times New Roman" w:hAnsi="Times New Roman"/>
          <w:lang w:val="it-IT"/>
        </w:rPr>
        <w:t xml:space="preserve">ono fornite in </w:t>
      </w:r>
      <w:r w:rsidRPr="00496684">
        <w:rPr>
          <w:rFonts w:ascii="Times New Roman" w:hAnsi="Times New Roman"/>
          <w:lang w:val="it-IT"/>
        </w:rPr>
        <w:t xml:space="preserve">confezioni con blister </w:t>
      </w:r>
      <w:r w:rsidR="002D5BFF" w:rsidRPr="00496684">
        <w:rPr>
          <w:rFonts w:ascii="Times New Roman" w:hAnsi="Times New Roman"/>
          <w:lang w:val="it-IT"/>
        </w:rPr>
        <w:t>in</w:t>
      </w:r>
      <w:r w:rsidRPr="00496684">
        <w:rPr>
          <w:rFonts w:ascii="Times New Roman" w:hAnsi="Times New Roman"/>
          <w:lang w:val="it-IT"/>
        </w:rPr>
        <w:t xml:space="preserve"> alluminio da  </w:t>
      </w:r>
      <w:r w:rsidR="00DF593A" w:rsidRPr="00496684">
        <w:rPr>
          <w:rFonts w:ascii="Times New Roman" w:hAnsi="Times New Roman"/>
          <w:lang w:val="it-IT"/>
        </w:rPr>
        <w:t xml:space="preserve">24, 48, </w:t>
      </w:r>
      <w:r w:rsidR="007E6EE9" w:rsidRPr="00496684">
        <w:rPr>
          <w:rFonts w:ascii="Times New Roman" w:hAnsi="Times New Roman"/>
          <w:lang w:val="it-IT"/>
        </w:rPr>
        <w:t xml:space="preserve">60, </w:t>
      </w:r>
      <w:r w:rsidR="00DF593A" w:rsidRPr="00496684">
        <w:rPr>
          <w:rFonts w:ascii="Times New Roman" w:hAnsi="Times New Roman"/>
          <w:lang w:val="it-IT"/>
        </w:rPr>
        <w:t>96, 120 o 180 capsule</w:t>
      </w:r>
    </w:p>
    <w:p w14:paraId="11FF12E1"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possibile che non tutte le confezioni siano commercializzate</w:t>
      </w:r>
    </w:p>
    <w:p w14:paraId="0183F42B"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3E3AD277" w14:textId="77777777" w:rsidR="00DF593A" w:rsidRPr="00496684" w:rsidRDefault="00DF593A" w:rsidP="00DF593A">
      <w:pPr>
        <w:spacing w:after="0" w:line="240" w:lineRule="auto"/>
        <w:ind w:right="-2"/>
        <w:rPr>
          <w:rFonts w:ascii="Times New Roman" w:hAnsi="Times New Roman"/>
          <w:b/>
          <w:lang w:val="it-IT"/>
        </w:rPr>
      </w:pPr>
      <w:r w:rsidRPr="00496684">
        <w:rPr>
          <w:rFonts w:ascii="Times New Roman" w:hAnsi="Times New Roman"/>
          <w:b/>
          <w:lang w:val="it-IT"/>
        </w:rPr>
        <w:t>Titolare dell’autorizzazione all’immissione in commercio</w:t>
      </w:r>
    </w:p>
    <w:p w14:paraId="71A8E596"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777CA64C"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Reykjavíkurvegur 76-78,</w:t>
      </w:r>
    </w:p>
    <w:p w14:paraId="0404A6BA"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Hafnarfjörður</w:t>
      </w:r>
    </w:p>
    <w:p w14:paraId="417CDD73"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6E48613D"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69C7408B" w14:textId="77777777" w:rsidR="00DF593A" w:rsidRPr="00496684" w:rsidRDefault="00DF593A" w:rsidP="00DF593A">
      <w:pPr>
        <w:spacing w:after="0" w:line="240" w:lineRule="auto"/>
        <w:ind w:right="-2"/>
        <w:rPr>
          <w:rFonts w:ascii="Times New Roman" w:hAnsi="Times New Roman"/>
          <w:b/>
          <w:lang w:val="it-IT"/>
        </w:rPr>
      </w:pPr>
      <w:r w:rsidRPr="00496684">
        <w:rPr>
          <w:rFonts w:ascii="Times New Roman" w:hAnsi="Times New Roman"/>
          <w:b/>
          <w:lang w:val="it-IT"/>
        </w:rPr>
        <w:t>Produttore</w:t>
      </w:r>
    </w:p>
    <w:p w14:paraId="1C03F72E" w14:textId="77777777" w:rsidR="00DF593A" w:rsidRPr="00496684" w:rsidRDefault="00DF593A" w:rsidP="00DF593A">
      <w:pPr>
        <w:pStyle w:val="KeinLeerraum"/>
        <w:rPr>
          <w:rFonts w:ascii="Times New Roman" w:hAnsi="Times New Roman"/>
          <w:lang w:val="it-IT"/>
        </w:rPr>
      </w:pPr>
      <w:r w:rsidRPr="00496684">
        <w:rPr>
          <w:rFonts w:ascii="Times New Roman" w:hAnsi="Times New Roman"/>
          <w:lang w:val="it-IT"/>
        </w:rPr>
        <w:t>S.C. Sindan</w:t>
      </w:r>
      <w:r w:rsidRPr="00496684">
        <w:rPr>
          <w:rFonts w:ascii="Times New Roman" w:hAnsi="Times New Roman"/>
          <w:lang w:val="it-IT"/>
        </w:rPr>
        <w:noBreakHyphen/>
        <w:t>Pharma S.R.L.</w:t>
      </w:r>
    </w:p>
    <w:p w14:paraId="5F2E5BA7" w14:textId="77777777" w:rsidR="00DF593A" w:rsidRPr="00496684" w:rsidRDefault="00DF593A" w:rsidP="00DF593A">
      <w:pPr>
        <w:pStyle w:val="KeinLeerraum"/>
        <w:rPr>
          <w:rFonts w:ascii="Times New Roman" w:hAnsi="Times New Roman"/>
          <w:lang w:val="it-IT"/>
        </w:rPr>
      </w:pPr>
      <w:r w:rsidRPr="00496684">
        <w:rPr>
          <w:rFonts w:ascii="Times New Roman" w:hAnsi="Times New Roman"/>
          <w:lang w:val="it-IT"/>
        </w:rPr>
        <w:t>11 Ion Mihalache Blvd</w:t>
      </w:r>
    </w:p>
    <w:p w14:paraId="107EFB80" w14:textId="77777777" w:rsidR="00DF593A" w:rsidRPr="00496684" w:rsidRDefault="00DF593A" w:rsidP="00DF593A">
      <w:pPr>
        <w:pStyle w:val="KeinLeerraum"/>
        <w:rPr>
          <w:rFonts w:ascii="Times New Roman" w:hAnsi="Times New Roman"/>
          <w:lang w:val="it-IT"/>
        </w:rPr>
      </w:pPr>
      <w:r w:rsidRPr="00496684">
        <w:rPr>
          <w:rFonts w:ascii="Times New Roman" w:hAnsi="Times New Roman"/>
          <w:lang w:val="it-IT"/>
        </w:rPr>
        <w:t>Bucarest</w:t>
      </w:r>
    </w:p>
    <w:p w14:paraId="72830B34" w14:textId="77777777" w:rsidR="00DF593A" w:rsidRPr="00496684" w:rsidRDefault="00DF593A" w:rsidP="00DF593A">
      <w:pPr>
        <w:pStyle w:val="KeinLeerraum"/>
        <w:rPr>
          <w:rFonts w:ascii="Times New Roman" w:hAnsi="Times New Roman"/>
          <w:lang w:val="it-IT"/>
        </w:rPr>
      </w:pPr>
      <w:r w:rsidRPr="00496684">
        <w:rPr>
          <w:rFonts w:ascii="Times New Roman" w:hAnsi="Times New Roman"/>
          <w:lang w:val="it-IT"/>
        </w:rPr>
        <w:t>Romania</w:t>
      </w:r>
    </w:p>
    <w:p w14:paraId="2851C274" w14:textId="77777777" w:rsidR="00DF593A" w:rsidRPr="00496684" w:rsidRDefault="00DF593A" w:rsidP="00DF593A">
      <w:pPr>
        <w:autoSpaceDE w:val="0"/>
        <w:autoSpaceDN w:val="0"/>
        <w:adjustRightInd w:val="0"/>
        <w:spacing w:after="0" w:line="240" w:lineRule="auto"/>
        <w:rPr>
          <w:rFonts w:ascii="Times New Roman" w:hAnsi="Times New Roman"/>
          <w:lang w:val="it-IT"/>
        </w:rPr>
      </w:pPr>
    </w:p>
    <w:p w14:paraId="639D99A8" w14:textId="77777777" w:rsidR="00DF593A" w:rsidRPr="00496684" w:rsidRDefault="00DF593A" w:rsidP="00DF593A">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Per ulteriori informazioni su questo medicinale, contatti il rappresentate locale del titolare dell’autorizzazione all’immissione in commercio.</w:t>
      </w:r>
    </w:p>
    <w:p w14:paraId="301CA0BE" w14:textId="77777777" w:rsidR="00E7418A" w:rsidRPr="00496684" w:rsidRDefault="00E7418A" w:rsidP="00DF593A">
      <w:pPr>
        <w:autoSpaceDE w:val="0"/>
        <w:autoSpaceDN w:val="0"/>
        <w:adjustRightInd w:val="0"/>
        <w:spacing w:after="0" w:line="240" w:lineRule="auto"/>
        <w:rPr>
          <w:rFonts w:ascii="Times New Roman" w:hAnsi="Times New Roman"/>
          <w:lang w:val="it-IT"/>
        </w:rPr>
      </w:pPr>
    </w:p>
    <w:tbl>
      <w:tblPr>
        <w:tblW w:w="9356" w:type="dxa"/>
        <w:tblInd w:w="-34" w:type="dxa"/>
        <w:tblLayout w:type="fixed"/>
        <w:tblLook w:val="0000" w:firstRow="0" w:lastRow="0" w:firstColumn="0" w:lastColumn="0" w:noHBand="0" w:noVBand="0"/>
      </w:tblPr>
      <w:tblGrid>
        <w:gridCol w:w="34"/>
        <w:gridCol w:w="4644"/>
        <w:gridCol w:w="4678"/>
      </w:tblGrid>
      <w:tr w:rsidR="006B5718" w:rsidRPr="00DC08DD" w14:paraId="65F74246" w14:textId="77777777" w:rsidTr="009C70C0">
        <w:trPr>
          <w:gridBefore w:val="1"/>
          <w:wBefore w:w="34" w:type="dxa"/>
          <w:cantSplit/>
        </w:trPr>
        <w:tc>
          <w:tcPr>
            <w:tcW w:w="4644" w:type="dxa"/>
          </w:tcPr>
          <w:p w14:paraId="3E91BF82" w14:textId="77777777" w:rsidR="006B5718" w:rsidRPr="00666899" w:rsidRDefault="006B5718" w:rsidP="009C70C0">
            <w:pPr>
              <w:pStyle w:val="KeinLeerraum"/>
              <w:rPr>
                <w:rFonts w:ascii="Times New Roman" w:hAnsi="Times New Roman"/>
                <w:lang w:val="fr-FR"/>
              </w:rPr>
            </w:pPr>
            <w:r w:rsidRPr="00666899">
              <w:rPr>
                <w:rFonts w:ascii="Times New Roman" w:hAnsi="Times New Roman"/>
                <w:b/>
                <w:lang w:val="fr-FR"/>
              </w:rPr>
              <w:t>België/Belgique/Belgien</w:t>
            </w:r>
          </w:p>
          <w:p w14:paraId="786CA28F" w14:textId="77777777" w:rsidR="006B5718" w:rsidRPr="00666899" w:rsidRDefault="006B5718" w:rsidP="009C70C0">
            <w:pPr>
              <w:pStyle w:val="KeinLeerraum"/>
              <w:rPr>
                <w:rFonts w:ascii="Times New Roman" w:hAnsi="Times New Roman"/>
                <w:lang w:val="fr-FR"/>
              </w:rPr>
            </w:pPr>
            <w:r w:rsidRPr="00666899">
              <w:rPr>
                <w:rFonts w:ascii="Times New Roman" w:hAnsi="Times New Roman"/>
                <w:lang w:val="fr-FR"/>
              </w:rPr>
              <w:t>Actavis Group PTC ehf.</w:t>
            </w:r>
          </w:p>
          <w:p w14:paraId="7AA53AF6" w14:textId="77777777" w:rsidR="006B5718" w:rsidRDefault="006B5718" w:rsidP="009C70C0">
            <w:pPr>
              <w:pStyle w:val="KeinLeerraum"/>
              <w:rPr>
                <w:rFonts w:ascii="Times New Roman" w:hAnsi="Times New Roman"/>
                <w:lang w:val="en-GB"/>
              </w:rPr>
            </w:pPr>
            <w:r w:rsidRPr="00DC08DD">
              <w:rPr>
                <w:rFonts w:ascii="Times New Roman" w:hAnsi="Times New Roman"/>
                <w:lang w:val="en-GB"/>
              </w:rPr>
              <w:t>IJsland/Islande/Island</w:t>
            </w:r>
          </w:p>
          <w:p w14:paraId="2FD3E8AD" w14:textId="77777777" w:rsidR="006B5718" w:rsidRPr="00DC08DD" w:rsidRDefault="006B5718" w:rsidP="009C70C0">
            <w:pPr>
              <w:pStyle w:val="KeinLeerraum"/>
              <w:rPr>
                <w:rFonts w:ascii="Times New Roman" w:hAnsi="Times New Roman"/>
                <w:lang w:val="en-GB"/>
              </w:rPr>
            </w:pPr>
            <w:r w:rsidRPr="00B85F24">
              <w:rPr>
                <w:rFonts w:ascii="Times New Roman" w:hAnsi="Times New Roman"/>
                <w:lang w:val="en-GB"/>
              </w:rPr>
              <w:t>Tél/Tel: +354 5503300</w:t>
            </w:r>
          </w:p>
          <w:p w14:paraId="6F9211AE" w14:textId="77777777" w:rsidR="006B5718" w:rsidRPr="00DC08DD" w:rsidRDefault="006B5718" w:rsidP="009C70C0">
            <w:pPr>
              <w:pStyle w:val="KeinLeerraum"/>
              <w:rPr>
                <w:rFonts w:ascii="Times New Roman" w:hAnsi="Times New Roman"/>
                <w:lang w:val="en-GB"/>
              </w:rPr>
            </w:pPr>
          </w:p>
        </w:tc>
        <w:tc>
          <w:tcPr>
            <w:tcW w:w="4678" w:type="dxa"/>
          </w:tcPr>
          <w:p w14:paraId="51BD4270"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Lietuva</w:t>
            </w:r>
          </w:p>
          <w:p w14:paraId="64AA90B0" w14:textId="6E850072" w:rsidR="006B5718" w:rsidRPr="00DC08DD" w:rsidRDefault="006B5718" w:rsidP="009C70C0">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7E7D8D25"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319CC325" w14:textId="77777777" w:rsidR="006B5718" w:rsidRPr="00DC08DD" w:rsidRDefault="006B5718" w:rsidP="009C70C0">
            <w:pPr>
              <w:pStyle w:val="KeinLeerraum"/>
              <w:rPr>
                <w:rFonts w:ascii="Times New Roman" w:hAnsi="Times New Roman"/>
                <w:lang w:val="en-GB"/>
              </w:rPr>
            </w:pPr>
          </w:p>
        </w:tc>
      </w:tr>
      <w:tr w:rsidR="006B5718" w:rsidRPr="00DC08DD" w14:paraId="600F2CDC" w14:textId="77777777" w:rsidTr="009C70C0">
        <w:trPr>
          <w:gridBefore w:val="1"/>
          <w:wBefore w:w="34" w:type="dxa"/>
          <w:cantSplit/>
        </w:trPr>
        <w:tc>
          <w:tcPr>
            <w:tcW w:w="4644" w:type="dxa"/>
          </w:tcPr>
          <w:p w14:paraId="59B65D7B" w14:textId="77777777" w:rsidR="006B5718" w:rsidRPr="00DC08DD" w:rsidRDefault="006B5718" w:rsidP="009C70C0">
            <w:pPr>
              <w:pStyle w:val="KeinLeerraum"/>
              <w:rPr>
                <w:rFonts w:ascii="Times New Roman" w:hAnsi="Times New Roman"/>
                <w:b/>
                <w:bCs/>
                <w:lang w:val="en-GB"/>
              </w:rPr>
            </w:pPr>
            <w:r w:rsidRPr="00DC08DD">
              <w:rPr>
                <w:rFonts w:ascii="Times New Roman" w:hAnsi="Times New Roman"/>
                <w:b/>
                <w:bCs/>
                <w:lang w:val="en-GB"/>
              </w:rPr>
              <w:t>България</w:t>
            </w:r>
          </w:p>
          <w:p w14:paraId="442D20A8"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Актавис ЕАД</w:t>
            </w:r>
          </w:p>
          <w:p w14:paraId="124AB93B"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57B0CAFF" w14:textId="77777777" w:rsidR="006B5718" w:rsidRPr="00DC08DD" w:rsidRDefault="006B5718" w:rsidP="009C70C0">
            <w:pPr>
              <w:pStyle w:val="KeinLeerraum"/>
              <w:rPr>
                <w:rFonts w:ascii="Times New Roman" w:hAnsi="Times New Roman"/>
                <w:lang w:val="en-GB"/>
              </w:rPr>
            </w:pPr>
          </w:p>
        </w:tc>
        <w:tc>
          <w:tcPr>
            <w:tcW w:w="4678" w:type="dxa"/>
          </w:tcPr>
          <w:p w14:paraId="34688C2D" w14:textId="77777777" w:rsidR="006B5718" w:rsidRPr="00666899" w:rsidRDefault="006B5718" w:rsidP="009C70C0">
            <w:pPr>
              <w:pStyle w:val="KeinLeerraum"/>
              <w:rPr>
                <w:rFonts w:ascii="Times New Roman" w:hAnsi="Times New Roman"/>
                <w:lang w:val="en-GB"/>
              </w:rPr>
            </w:pPr>
            <w:r w:rsidRPr="00666899">
              <w:rPr>
                <w:rFonts w:ascii="Times New Roman" w:hAnsi="Times New Roman"/>
                <w:b/>
                <w:lang w:val="en-GB"/>
              </w:rPr>
              <w:t>Luxembourg/Luxemburg</w:t>
            </w:r>
          </w:p>
          <w:p w14:paraId="29D677A3" w14:textId="77777777" w:rsidR="006B5718" w:rsidRPr="00666899" w:rsidRDefault="006B5718" w:rsidP="009C70C0">
            <w:pPr>
              <w:pStyle w:val="KeinLeerraum"/>
              <w:rPr>
                <w:rFonts w:ascii="Times New Roman" w:hAnsi="Times New Roman"/>
                <w:lang w:val="en-GB"/>
              </w:rPr>
            </w:pPr>
            <w:r w:rsidRPr="00666899">
              <w:rPr>
                <w:rFonts w:ascii="Times New Roman" w:hAnsi="Times New Roman"/>
                <w:lang w:val="en-GB"/>
              </w:rPr>
              <w:t>Actavis Group PTC ehf.</w:t>
            </w:r>
          </w:p>
          <w:p w14:paraId="23B8612A" w14:textId="77777777" w:rsidR="006B5718" w:rsidRDefault="006B5718" w:rsidP="009C70C0">
            <w:pPr>
              <w:pStyle w:val="KeinLeerraum"/>
              <w:rPr>
                <w:rFonts w:ascii="Times New Roman" w:hAnsi="Times New Roman"/>
                <w:lang w:val="en-GB"/>
              </w:rPr>
            </w:pPr>
            <w:r w:rsidRPr="00DC08DD">
              <w:rPr>
                <w:rFonts w:ascii="Times New Roman" w:hAnsi="Times New Roman"/>
                <w:lang w:val="en-GB"/>
              </w:rPr>
              <w:t>Islande/Island</w:t>
            </w:r>
          </w:p>
          <w:p w14:paraId="73743D87" w14:textId="77777777" w:rsidR="006B5718" w:rsidRPr="001B0C82" w:rsidRDefault="006B5718" w:rsidP="009C70C0">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4D6969DD" w14:textId="77777777" w:rsidR="006B5718" w:rsidRPr="00DC08DD" w:rsidRDefault="006B5718" w:rsidP="009C70C0">
            <w:pPr>
              <w:pStyle w:val="KeinLeerraum"/>
              <w:rPr>
                <w:rFonts w:ascii="Times New Roman" w:hAnsi="Times New Roman"/>
                <w:lang w:val="en-GB"/>
              </w:rPr>
            </w:pPr>
          </w:p>
        </w:tc>
      </w:tr>
      <w:tr w:rsidR="006B5718" w:rsidRPr="00DC08DD" w14:paraId="31784923" w14:textId="77777777" w:rsidTr="009C70C0">
        <w:trPr>
          <w:gridBefore w:val="1"/>
          <w:wBefore w:w="34" w:type="dxa"/>
          <w:cantSplit/>
          <w:trHeight w:val="751"/>
        </w:trPr>
        <w:tc>
          <w:tcPr>
            <w:tcW w:w="4644" w:type="dxa"/>
          </w:tcPr>
          <w:p w14:paraId="4138CB23" w14:textId="77777777" w:rsidR="006B5718" w:rsidRPr="00666899" w:rsidRDefault="006B5718" w:rsidP="009C70C0">
            <w:pPr>
              <w:pStyle w:val="KeinLeerraum"/>
              <w:rPr>
                <w:rFonts w:ascii="Times New Roman" w:hAnsi="Times New Roman"/>
              </w:rPr>
            </w:pPr>
            <w:r w:rsidRPr="00666899">
              <w:rPr>
                <w:rFonts w:ascii="Times New Roman" w:hAnsi="Times New Roman"/>
                <w:b/>
              </w:rPr>
              <w:t>Česká republika</w:t>
            </w:r>
          </w:p>
          <w:p w14:paraId="3AD5E80A" w14:textId="77777777" w:rsidR="006B5718" w:rsidRPr="00DC08DD" w:rsidRDefault="006B5718" w:rsidP="009C70C0">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3B3397CF"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553A150" w14:textId="77777777" w:rsidR="006B5718" w:rsidRPr="00DC08DD" w:rsidRDefault="006B5718" w:rsidP="009C70C0">
            <w:pPr>
              <w:pStyle w:val="KeinLeerraum"/>
              <w:rPr>
                <w:rFonts w:ascii="Times New Roman" w:hAnsi="Times New Roman"/>
                <w:lang w:val="en-GB"/>
              </w:rPr>
            </w:pPr>
          </w:p>
        </w:tc>
        <w:tc>
          <w:tcPr>
            <w:tcW w:w="4678" w:type="dxa"/>
          </w:tcPr>
          <w:p w14:paraId="34604DFC"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Magyarország</w:t>
            </w:r>
          </w:p>
          <w:p w14:paraId="6D9C80CE" w14:textId="77777777" w:rsidR="006B5718" w:rsidRPr="00DC08DD" w:rsidRDefault="006B5718" w:rsidP="009C70C0">
            <w:pPr>
              <w:pStyle w:val="KeinLeerraum"/>
              <w:rPr>
                <w:rFonts w:ascii="Times New Roman" w:hAnsi="Times New Roman"/>
                <w:lang w:val="en-GB"/>
              </w:rPr>
            </w:pPr>
            <w:r w:rsidRPr="00DC08DD">
              <w:rPr>
                <w:rFonts w:ascii="Times New Roman" w:hAnsi="Times New Roman"/>
                <w:noProof/>
              </w:rPr>
              <w:t>Teva Gyógyszergyár Zrt.</w:t>
            </w:r>
          </w:p>
          <w:p w14:paraId="28064AE2"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4739719" w14:textId="77777777" w:rsidR="006B5718" w:rsidRPr="00DC08DD" w:rsidRDefault="006B5718" w:rsidP="009C70C0">
            <w:pPr>
              <w:pStyle w:val="KeinLeerraum"/>
              <w:rPr>
                <w:rFonts w:ascii="Times New Roman" w:hAnsi="Times New Roman"/>
                <w:lang w:val="en-GB"/>
              </w:rPr>
            </w:pPr>
          </w:p>
        </w:tc>
      </w:tr>
      <w:tr w:rsidR="006B5718" w:rsidRPr="00DC08DD" w14:paraId="57A5FB73" w14:textId="77777777" w:rsidTr="009C70C0">
        <w:trPr>
          <w:gridBefore w:val="1"/>
          <w:wBefore w:w="34" w:type="dxa"/>
          <w:cantSplit/>
        </w:trPr>
        <w:tc>
          <w:tcPr>
            <w:tcW w:w="4644" w:type="dxa"/>
          </w:tcPr>
          <w:p w14:paraId="6E9AA040"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Danmark</w:t>
            </w:r>
          </w:p>
          <w:p w14:paraId="3D029D9A"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Teva Denmark A/S</w:t>
            </w:r>
          </w:p>
          <w:p w14:paraId="2864FB6F"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Tlf: +45 44985511</w:t>
            </w:r>
          </w:p>
          <w:p w14:paraId="450E86AC" w14:textId="77777777" w:rsidR="006B5718" w:rsidRPr="00DC08DD" w:rsidRDefault="006B5718" w:rsidP="009C70C0">
            <w:pPr>
              <w:pStyle w:val="KeinLeerraum"/>
              <w:rPr>
                <w:rFonts w:ascii="Times New Roman" w:hAnsi="Times New Roman"/>
                <w:lang w:val="en-GB"/>
              </w:rPr>
            </w:pPr>
          </w:p>
        </w:tc>
        <w:tc>
          <w:tcPr>
            <w:tcW w:w="4678" w:type="dxa"/>
          </w:tcPr>
          <w:p w14:paraId="59515AE9"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Malta</w:t>
            </w:r>
          </w:p>
          <w:p w14:paraId="2119821A"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Actavis Ltd.</w:t>
            </w:r>
          </w:p>
          <w:p w14:paraId="6AA0D0AC"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36723D49" w14:textId="77777777" w:rsidR="006B5718" w:rsidRPr="00DC08DD" w:rsidRDefault="006B5718" w:rsidP="009C70C0">
            <w:pPr>
              <w:pStyle w:val="KeinLeerraum"/>
              <w:rPr>
                <w:rFonts w:ascii="Times New Roman" w:hAnsi="Times New Roman"/>
                <w:lang w:val="en-GB"/>
              </w:rPr>
            </w:pPr>
          </w:p>
        </w:tc>
      </w:tr>
      <w:tr w:rsidR="006B5718" w:rsidRPr="00DC08DD" w14:paraId="6B3D64F9" w14:textId="77777777" w:rsidTr="009C70C0">
        <w:trPr>
          <w:gridBefore w:val="1"/>
          <w:wBefore w:w="34" w:type="dxa"/>
          <w:cantSplit/>
        </w:trPr>
        <w:tc>
          <w:tcPr>
            <w:tcW w:w="4644" w:type="dxa"/>
          </w:tcPr>
          <w:p w14:paraId="15AC5421" w14:textId="77777777" w:rsidR="006B5718" w:rsidRPr="00666899" w:rsidRDefault="006B5718" w:rsidP="009C70C0">
            <w:pPr>
              <w:pStyle w:val="KeinLeerraum"/>
              <w:rPr>
                <w:rFonts w:ascii="Times New Roman" w:hAnsi="Times New Roman"/>
                <w:lang w:val="de-DE"/>
              </w:rPr>
            </w:pPr>
            <w:r w:rsidRPr="00666899">
              <w:rPr>
                <w:rFonts w:ascii="Times New Roman" w:hAnsi="Times New Roman"/>
                <w:b/>
                <w:lang w:val="de-DE"/>
              </w:rPr>
              <w:t>Deutschland</w:t>
            </w:r>
          </w:p>
          <w:p w14:paraId="0F24384E" w14:textId="77777777" w:rsidR="006B5718" w:rsidRPr="00666899" w:rsidRDefault="006B5718" w:rsidP="009C70C0">
            <w:pPr>
              <w:spacing w:after="0" w:line="240" w:lineRule="auto"/>
              <w:rPr>
                <w:rFonts w:ascii="Times New Roman" w:hAnsi="Times New Roman"/>
                <w:lang w:val="de-DE"/>
              </w:rPr>
            </w:pPr>
            <w:r w:rsidRPr="00666899">
              <w:rPr>
                <w:rFonts w:ascii="Times New Roman" w:hAnsi="Times New Roman"/>
                <w:lang w:val="de-DE"/>
              </w:rPr>
              <w:t>Actavis Group PTC ehf.</w:t>
            </w:r>
          </w:p>
          <w:p w14:paraId="7B90B24B" w14:textId="77777777" w:rsidR="006B5718" w:rsidRDefault="006B5718" w:rsidP="009C70C0">
            <w:pPr>
              <w:pStyle w:val="KeinLeerraum"/>
              <w:rPr>
                <w:rFonts w:ascii="Times New Roman" w:hAnsi="Times New Roman"/>
                <w:lang w:val="en-US"/>
              </w:rPr>
            </w:pPr>
            <w:r w:rsidRPr="00DC08DD">
              <w:rPr>
                <w:rFonts w:ascii="Times New Roman" w:hAnsi="Times New Roman"/>
                <w:lang w:val="en-US"/>
              </w:rPr>
              <w:t>Island</w:t>
            </w:r>
          </w:p>
          <w:p w14:paraId="7914DCA8" w14:textId="77777777" w:rsidR="006B5718" w:rsidRPr="00DC08DD" w:rsidRDefault="006B5718" w:rsidP="009C70C0">
            <w:pPr>
              <w:pStyle w:val="KeinLeerraum"/>
              <w:rPr>
                <w:rFonts w:ascii="Times New Roman" w:hAnsi="Times New Roman"/>
                <w:lang w:val="en-GB"/>
              </w:rPr>
            </w:pPr>
            <w:r w:rsidRPr="00B85F24">
              <w:rPr>
                <w:rFonts w:ascii="Times New Roman" w:hAnsi="Times New Roman"/>
                <w:lang w:val="en-GB"/>
              </w:rPr>
              <w:t>Tel: +354 5503300</w:t>
            </w:r>
          </w:p>
          <w:p w14:paraId="30620B26" w14:textId="77777777" w:rsidR="006B5718" w:rsidRPr="00DC08DD" w:rsidRDefault="006B5718" w:rsidP="009C70C0">
            <w:pPr>
              <w:pStyle w:val="KeinLeerraum"/>
              <w:rPr>
                <w:rFonts w:ascii="Times New Roman" w:hAnsi="Times New Roman"/>
                <w:lang w:val="en-GB"/>
              </w:rPr>
            </w:pPr>
          </w:p>
        </w:tc>
        <w:tc>
          <w:tcPr>
            <w:tcW w:w="4678" w:type="dxa"/>
          </w:tcPr>
          <w:p w14:paraId="3C527CDC"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Nederland</w:t>
            </w:r>
          </w:p>
          <w:p w14:paraId="438CC569" w14:textId="77777777" w:rsidR="006B5718" w:rsidRPr="00DC08DD" w:rsidRDefault="006B5718" w:rsidP="009C70C0">
            <w:pPr>
              <w:pStyle w:val="KeinLeerraum"/>
              <w:rPr>
                <w:rFonts w:ascii="Times New Roman" w:hAnsi="Times New Roman"/>
                <w:iCs/>
                <w:lang w:val="en-GB"/>
              </w:rPr>
            </w:pPr>
            <w:r w:rsidRPr="00DC08DD">
              <w:rPr>
                <w:rFonts w:ascii="Times New Roman" w:hAnsi="Times New Roman"/>
                <w:iCs/>
                <w:lang w:val="en-GB"/>
              </w:rPr>
              <w:t>Actavis Group PTC ehf.</w:t>
            </w:r>
          </w:p>
          <w:p w14:paraId="0A7E1D8C" w14:textId="77777777" w:rsidR="006B5718" w:rsidRDefault="006B5718" w:rsidP="009C70C0">
            <w:pPr>
              <w:pStyle w:val="KeinLeerraum"/>
              <w:rPr>
                <w:rFonts w:ascii="Times New Roman" w:hAnsi="Times New Roman"/>
                <w:iCs/>
                <w:lang w:val="en-GB"/>
              </w:rPr>
            </w:pPr>
            <w:r w:rsidRPr="00DC08DD">
              <w:rPr>
                <w:rFonts w:ascii="Times New Roman" w:hAnsi="Times New Roman"/>
                <w:iCs/>
                <w:lang w:val="en-GB"/>
              </w:rPr>
              <w:t>IJsland</w:t>
            </w:r>
          </w:p>
          <w:p w14:paraId="23403384" w14:textId="77777777" w:rsidR="006B5718" w:rsidRPr="00C5795F" w:rsidRDefault="006B5718" w:rsidP="009C70C0">
            <w:pPr>
              <w:pStyle w:val="KeinLeerraum"/>
              <w:rPr>
                <w:rFonts w:ascii="Times New Roman" w:hAnsi="Times New Roman"/>
                <w:lang w:val="en-GB"/>
              </w:rPr>
            </w:pPr>
            <w:r w:rsidRPr="00B85F24">
              <w:rPr>
                <w:rFonts w:ascii="Times New Roman" w:hAnsi="Times New Roman"/>
                <w:lang w:val="en-GB"/>
              </w:rPr>
              <w:t>Tel: +354 5503300</w:t>
            </w:r>
          </w:p>
          <w:p w14:paraId="71051682" w14:textId="77777777" w:rsidR="006B5718" w:rsidRPr="00DC08DD" w:rsidRDefault="006B5718" w:rsidP="009C70C0">
            <w:pPr>
              <w:pStyle w:val="KeinLeerraum"/>
              <w:rPr>
                <w:rFonts w:ascii="Times New Roman" w:hAnsi="Times New Roman"/>
                <w:lang w:val="en-GB"/>
              </w:rPr>
            </w:pPr>
          </w:p>
        </w:tc>
      </w:tr>
      <w:tr w:rsidR="006B5718" w:rsidRPr="00DC08DD" w14:paraId="61208E85" w14:textId="77777777" w:rsidTr="009C70C0">
        <w:trPr>
          <w:gridBefore w:val="1"/>
          <w:wBefore w:w="34" w:type="dxa"/>
          <w:cantSplit/>
        </w:trPr>
        <w:tc>
          <w:tcPr>
            <w:tcW w:w="4644" w:type="dxa"/>
          </w:tcPr>
          <w:p w14:paraId="2D5785F1" w14:textId="77777777" w:rsidR="006B5718" w:rsidRPr="00666899" w:rsidRDefault="006B5718" w:rsidP="009C70C0">
            <w:pPr>
              <w:pStyle w:val="KeinLeerraum"/>
              <w:rPr>
                <w:rFonts w:ascii="Times New Roman" w:hAnsi="Times New Roman"/>
                <w:b/>
                <w:bCs/>
                <w:lang w:val="it-IT"/>
              </w:rPr>
            </w:pPr>
            <w:r w:rsidRPr="00666899">
              <w:rPr>
                <w:rFonts w:ascii="Times New Roman" w:hAnsi="Times New Roman"/>
                <w:b/>
                <w:bCs/>
                <w:lang w:val="it-IT"/>
              </w:rPr>
              <w:t>Eesti</w:t>
            </w:r>
          </w:p>
          <w:p w14:paraId="11BA2E2B" w14:textId="6152BA87" w:rsidR="006B5718" w:rsidRPr="00666899" w:rsidRDefault="006B5718" w:rsidP="009C70C0">
            <w:pPr>
              <w:pStyle w:val="KeinLeerraum"/>
              <w:rPr>
                <w:rFonts w:ascii="Times New Roman" w:hAnsi="Times New Roman"/>
                <w:lang w:val="it-IT"/>
              </w:rPr>
            </w:pPr>
            <w:r w:rsidRPr="00666899">
              <w:rPr>
                <w:rFonts w:ascii="Times New Roman" w:hAnsi="Times New Roman"/>
                <w:lang w:val="it-IT"/>
              </w:rPr>
              <w:t>UAB Teva Baltics</w:t>
            </w:r>
            <w:r w:rsidRPr="00DC08DD">
              <w:rPr>
                <w:rFonts w:ascii="Times New Roman" w:hAnsi="Times New Roman"/>
                <w:noProof/>
              </w:rPr>
              <w:t xml:space="preserve"> Eesti filiaal</w:t>
            </w:r>
          </w:p>
          <w:p w14:paraId="2E89E344"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AE071A7" w14:textId="77777777" w:rsidR="006B5718" w:rsidRPr="00DC08DD" w:rsidRDefault="006B5718" w:rsidP="009C70C0">
            <w:pPr>
              <w:pStyle w:val="KeinLeerraum"/>
              <w:rPr>
                <w:rFonts w:ascii="Times New Roman" w:hAnsi="Times New Roman"/>
                <w:lang w:val="en-GB"/>
              </w:rPr>
            </w:pPr>
          </w:p>
        </w:tc>
        <w:tc>
          <w:tcPr>
            <w:tcW w:w="4678" w:type="dxa"/>
          </w:tcPr>
          <w:p w14:paraId="0F751E97"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Norge</w:t>
            </w:r>
          </w:p>
          <w:p w14:paraId="1B233131" w14:textId="77777777" w:rsidR="006B5718" w:rsidRPr="0056362A" w:rsidRDefault="006B5718" w:rsidP="009C70C0">
            <w:pPr>
              <w:pStyle w:val="KeinLeerraum"/>
              <w:rPr>
                <w:rFonts w:ascii="Times New Roman" w:hAnsi="Times New Roman"/>
                <w:iCs/>
                <w:lang w:val="en-US"/>
              </w:rPr>
            </w:pPr>
            <w:r w:rsidRPr="0056362A">
              <w:rPr>
                <w:rFonts w:ascii="Times New Roman" w:hAnsi="Times New Roman"/>
                <w:iCs/>
                <w:lang w:val="en-US"/>
              </w:rPr>
              <w:t>Teva Norway AS</w:t>
            </w:r>
          </w:p>
          <w:p w14:paraId="3022F054" w14:textId="77777777" w:rsidR="006B5718" w:rsidRPr="0056362A" w:rsidRDefault="006B5718" w:rsidP="009C70C0">
            <w:pPr>
              <w:pStyle w:val="KeinLeerraum"/>
              <w:rPr>
                <w:rFonts w:ascii="Times New Roman" w:hAnsi="Times New Roman"/>
                <w:iCs/>
                <w:lang w:val="en-US"/>
              </w:rPr>
            </w:pPr>
            <w:r w:rsidRPr="0056362A">
              <w:rPr>
                <w:rFonts w:ascii="Times New Roman" w:hAnsi="Times New Roman"/>
                <w:iCs/>
                <w:lang w:val="en-US"/>
              </w:rPr>
              <w:t>Tlf: +47 66775590</w:t>
            </w:r>
          </w:p>
          <w:p w14:paraId="476AA3F3" w14:textId="77777777" w:rsidR="006B5718" w:rsidRPr="00DC08DD" w:rsidRDefault="006B5718" w:rsidP="009C70C0">
            <w:pPr>
              <w:pStyle w:val="KeinLeerraum"/>
              <w:rPr>
                <w:rFonts w:ascii="Times New Roman" w:hAnsi="Times New Roman"/>
                <w:lang w:val="en-GB"/>
              </w:rPr>
            </w:pPr>
          </w:p>
        </w:tc>
      </w:tr>
      <w:tr w:rsidR="006B5718" w:rsidRPr="00DC08DD" w14:paraId="7D8A71A8" w14:textId="77777777" w:rsidTr="009C70C0">
        <w:trPr>
          <w:gridBefore w:val="1"/>
          <w:wBefore w:w="34" w:type="dxa"/>
          <w:cantSplit/>
        </w:trPr>
        <w:tc>
          <w:tcPr>
            <w:tcW w:w="4644" w:type="dxa"/>
          </w:tcPr>
          <w:p w14:paraId="39087E13" w14:textId="77777777" w:rsidR="006B5718" w:rsidRPr="00666899" w:rsidRDefault="006B5718" w:rsidP="009C70C0">
            <w:pPr>
              <w:pStyle w:val="KeinLeerraum"/>
              <w:rPr>
                <w:rFonts w:ascii="Times New Roman" w:hAnsi="Times New Roman"/>
              </w:rPr>
            </w:pPr>
            <w:r w:rsidRPr="00DC08DD">
              <w:rPr>
                <w:rFonts w:ascii="Times New Roman" w:hAnsi="Times New Roman"/>
                <w:b/>
                <w:lang w:val="en-GB"/>
              </w:rPr>
              <w:t>Ελλάδα</w:t>
            </w:r>
          </w:p>
          <w:p w14:paraId="15D97F1D" w14:textId="77777777" w:rsidR="006B5718" w:rsidRPr="00666899" w:rsidRDefault="006B5718" w:rsidP="009C70C0">
            <w:pPr>
              <w:pStyle w:val="NormalParagraphStyle"/>
              <w:spacing w:line="240" w:lineRule="auto"/>
              <w:rPr>
                <w:rFonts w:ascii="Times New Roman" w:hAnsi="Times New Roman"/>
                <w:color w:val="auto"/>
                <w:sz w:val="22"/>
                <w:szCs w:val="22"/>
                <w:lang w:val="is-IS"/>
              </w:rPr>
            </w:pPr>
            <w:r w:rsidRPr="00666899">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3EE37B4" w14:textId="3DCAAA2E" w:rsidR="006B5718" w:rsidRPr="00DC08DD" w:rsidRDefault="006B5718" w:rsidP="009C70C0">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4DBC8C2" w14:textId="77777777" w:rsidR="006B5718" w:rsidRPr="00666899" w:rsidRDefault="006B5718" w:rsidP="009C70C0">
            <w:pPr>
              <w:pStyle w:val="KeinLeerraum"/>
              <w:rPr>
                <w:rFonts w:ascii="Times New Roman" w:hAnsi="Times New Roman"/>
              </w:rPr>
            </w:pPr>
          </w:p>
        </w:tc>
        <w:tc>
          <w:tcPr>
            <w:tcW w:w="4678" w:type="dxa"/>
          </w:tcPr>
          <w:p w14:paraId="2EB1A88C" w14:textId="77777777" w:rsidR="006B5718" w:rsidRPr="0056362A" w:rsidRDefault="006B5718" w:rsidP="009C70C0">
            <w:pPr>
              <w:pStyle w:val="KeinLeerraum"/>
              <w:rPr>
                <w:rFonts w:ascii="Times New Roman" w:hAnsi="Times New Roman"/>
                <w:lang w:val="de-DE"/>
              </w:rPr>
            </w:pPr>
            <w:r w:rsidRPr="0056362A">
              <w:rPr>
                <w:rFonts w:ascii="Times New Roman" w:hAnsi="Times New Roman"/>
                <w:b/>
                <w:lang w:val="de-DE"/>
              </w:rPr>
              <w:t>Österreich</w:t>
            </w:r>
          </w:p>
          <w:p w14:paraId="709BD640" w14:textId="77777777" w:rsidR="006B5718" w:rsidRPr="0056362A" w:rsidRDefault="006B5718" w:rsidP="009C70C0">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25775BD3" w14:textId="77777777" w:rsidR="006B5718" w:rsidRPr="00DC08DD" w:rsidRDefault="006B5718" w:rsidP="009C70C0">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6F0A69D1" w14:textId="77777777" w:rsidR="006B5718" w:rsidRPr="0056362A" w:rsidRDefault="006B5718" w:rsidP="009C70C0">
            <w:pPr>
              <w:pStyle w:val="KeinLeerraum"/>
              <w:rPr>
                <w:rFonts w:ascii="Times New Roman" w:hAnsi="Times New Roman"/>
                <w:lang w:val="de-DE"/>
              </w:rPr>
            </w:pPr>
          </w:p>
        </w:tc>
      </w:tr>
      <w:tr w:rsidR="006B5718" w:rsidRPr="00DC08DD" w14:paraId="0A1F4EED" w14:textId="77777777" w:rsidTr="009C70C0">
        <w:trPr>
          <w:cantSplit/>
        </w:trPr>
        <w:tc>
          <w:tcPr>
            <w:tcW w:w="4678" w:type="dxa"/>
            <w:gridSpan w:val="2"/>
          </w:tcPr>
          <w:p w14:paraId="4337281A" w14:textId="77777777" w:rsidR="006B5718" w:rsidRPr="00666899" w:rsidRDefault="006B5718" w:rsidP="009C70C0">
            <w:pPr>
              <w:pStyle w:val="KeinLeerraum"/>
              <w:rPr>
                <w:rFonts w:ascii="Times New Roman" w:hAnsi="Times New Roman"/>
                <w:b/>
                <w:lang w:val="es-ES"/>
              </w:rPr>
            </w:pPr>
            <w:r w:rsidRPr="00666899">
              <w:rPr>
                <w:rFonts w:ascii="Times New Roman" w:hAnsi="Times New Roman"/>
                <w:b/>
                <w:lang w:val="es-ES"/>
              </w:rPr>
              <w:t>España</w:t>
            </w:r>
          </w:p>
          <w:p w14:paraId="360A40D7" w14:textId="77777777" w:rsidR="006B5718" w:rsidRPr="00666899" w:rsidRDefault="006B5718" w:rsidP="009C70C0">
            <w:pPr>
              <w:pStyle w:val="KeinLeerraum"/>
              <w:rPr>
                <w:rFonts w:ascii="Times New Roman" w:hAnsi="Times New Roman"/>
                <w:iCs/>
                <w:lang w:val="es-ES"/>
              </w:rPr>
            </w:pPr>
            <w:r w:rsidRPr="00666899">
              <w:rPr>
                <w:rFonts w:ascii="Times New Roman" w:hAnsi="Times New Roman"/>
                <w:iCs/>
                <w:lang w:val="es-ES"/>
              </w:rPr>
              <w:t>Actavis Group PTC ehf.</w:t>
            </w:r>
          </w:p>
          <w:p w14:paraId="42665850" w14:textId="77777777" w:rsidR="006B5718" w:rsidRDefault="006B5718" w:rsidP="009C70C0">
            <w:pPr>
              <w:pStyle w:val="KeinLeerraum"/>
              <w:rPr>
                <w:rFonts w:ascii="Times New Roman" w:hAnsi="Times New Roman"/>
                <w:lang w:val="en-GB"/>
              </w:rPr>
            </w:pPr>
            <w:r w:rsidRPr="00DC08DD">
              <w:rPr>
                <w:rFonts w:ascii="Times New Roman" w:hAnsi="Times New Roman"/>
                <w:lang w:val="en-GB"/>
              </w:rPr>
              <w:t>Islandia</w:t>
            </w:r>
          </w:p>
          <w:p w14:paraId="6B56D797" w14:textId="77777777" w:rsidR="006B5718" w:rsidRPr="00DC08DD" w:rsidRDefault="006B5718" w:rsidP="009C70C0">
            <w:pPr>
              <w:pStyle w:val="KeinLeerraum"/>
              <w:rPr>
                <w:rFonts w:ascii="Times New Roman" w:hAnsi="Times New Roman"/>
                <w:lang w:val="en-GB"/>
              </w:rPr>
            </w:pPr>
            <w:r w:rsidRPr="00B85F24">
              <w:rPr>
                <w:rFonts w:ascii="Times New Roman" w:hAnsi="Times New Roman"/>
                <w:lang w:val="en-GB"/>
              </w:rPr>
              <w:t>Tel: +354 5503300</w:t>
            </w:r>
          </w:p>
          <w:p w14:paraId="7D99B696" w14:textId="77777777" w:rsidR="006B5718" w:rsidRPr="00DC08DD" w:rsidRDefault="006B5718" w:rsidP="009C70C0">
            <w:pPr>
              <w:pStyle w:val="KeinLeerraum"/>
              <w:rPr>
                <w:rFonts w:ascii="Times New Roman" w:hAnsi="Times New Roman"/>
                <w:lang w:val="en-GB"/>
              </w:rPr>
            </w:pPr>
          </w:p>
        </w:tc>
        <w:tc>
          <w:tcPr>
            <w:tcW w:w="4678" w:type="dxa"/>
          </w:tcPr>
          <w:p w14:paraId="0CFE8691" w14:textId="77777777" w:rsidR="006B5718" w:rsidRPr="00DC08DD" w:rsidRDefault="006B5718" w:rsidP="009C70C0">
            <w:pPr>
              <w:pStyle w:val="KeinLeerraum"/>
              <w:rPr>
                <w:rFonts w:ascii="Times New Roman" w:hAnsi="Times New Roman"/>
                <w:b/>
                <w:bCs/>
                <w:i/>
                <w:iCs/>
                <w:lang w:val="en-GB"/>
              </w:rPr>
            </w:pPr>
            <w:r w:rsidRPr="00DC08DD">
              <w:rPr>
                <w:rFonts w:ascii="Times New Roman" w:hAnsi="Times New Roman"/>
                <w:b/>
                <w:lang w:val="en-GB"/>
              </w:rPr>
              <w:t>Polska</w:t>
            </w:r>
          </w:p>
          <w:p w14:paraId="1B7D15B6" w14:textId="77777777" w:rsidR="006B5718" w:rsidRPr="00DC08DD" w:rsidRDefault="006B5718" w:rsidP="009C70C0">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28B6A0F7" w14:textId="77777777" w:rsidR="006B5718" w:rsidRPr="00DC08DD" w:rsidRDefault="006B5718" w:rsidP="009C70C0">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0149DFE7" w14:textId="77777777" w:rsidR="006B5718" w:rsidRPr="00DC08DD" w:rsidRDefault="006B5718" w:rsidP="009C70C0">
            <w:pPr>
              <w:pStyle w:val="KeinLeerraum"/>
              <w:rPr>
                <w:rFonts w:ascii="Times New Roman" w:hAnsi="Times New Roman"/>
                <w:lang w:val="en-GB"/>
              </w:rPr>
            </w:pPr>
          </w:p>
        </w:tc>
      </w:tr>
      <w:tr w:rsidR="006B5718" w:rsidRPr="00DC08DD" w14:paraId="59EA95A4" w14:textId="77777777" w:rsidTr="009C70C0">
        <w:trPr>
          <w:cantSplit/>
        </w:trPr>
        <w:tc>
          <w:tcPr>
            <w:tcW w:w="4678" w:type="dxa"/>
            <w:gridSpan w:val="2"/>
          </w:tcPr>
          <w:p w14:paraId="6E23A1CD" w14:textId="77777777" w:rsidR="006B5718" w:rsidRPr="00666899" w:rsidRDefault="006B5718" w:rsidP="009C70C0">
            <w:pPr>
              <w:pStyle w:val="KeinLeerraum"/>
              <w:rPr>
                <w:rFonts w:ascii="Times New Roman" w:hAnsi="Times New Roman"/>
                <w:b/>
                <w:lang w:val="fr-FR"/>
              </w:rPr>
            </w:pPr>
            <w:r w:rsidRPr="00666899">
              <w:rPr>
                <w:rFonts w:ascii="Times New Roman" w:hAnsi="Times New Roman"/>
                <w:b/>
                <w:lang w:val="fr-FR"/>
              </w:rPr>
              <w:t>France</w:t>
            </w:r>
          </w:p>
          <w:p w14:paraId="68033AA8" w14:textId="77777777" w:rsidR="006B5718" w:rsidRPr="00666899" w:rsidRDefault="006B5718" w:rsidP="009C70C0">
            <w:pPr>
              <w:pStyle w:val="KeinLeerraum"/>
              <w:rPr>
                <w:rFonts w:ascii="Times New Roman" w:hAnsi="Times New Roman"/>
                <w:lang w:val="fr-FR"/>
              </w:rPr>
            </w:pPr>
            <w:r w:rsidRPr="00666899">
              <w:rPr>
                <w:rFonts w:ascii="Times New Roman" w:hAnsi="Times New Roman"/>
                <w:lang w:val="fr-FR"/>
              </w:rPr>
              <w:t>Actavis Group PTC ehf.</w:t>
            </w:r>
          </w:p>
          <w:p w14:paraId="5EEE26F5" w14:textId="77777777" w:rsidR="006B5718" w:rsidRDefault="006B5718" w:rsidP="009C70C0">
            <w:pPr>
              <w:pStyle w:val="KeinLeerraum"/>
              <w:rPr>
                <w:rFonts w:ascii="Times New Roman" w:hAnsi="Times New Roman"/>
                <w:lang w:val="fr-FR"/>
              </w:rPr>
            </w:pPr>
            <w:r w:rsidRPr="00DC08DD">
              <w:rPr>
                <w:rFonts w:ascii="Times New Roman" w:hAnsi="Times New Roman"/>
                <w:lang w:val="fr-FR"/>
              </w:rPr>
              <w:t>Islande</w:t>
            </w:r>
          </w:p>
          <w:p w14:paraId="71595C5E" w14:textId="77777777" w:rsidR="006B5718" w:rsidRPr="00666899" w:rsidRDefault="006B5718" w:rsidP="009C70C0">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66899">
              <w:rPr>
                <w:rFonts w:ascii="Times New Roman" w:hAnsi="Times New Roman"/>
                <w:lang w:val="fr-FR"/>
              </w:rPr>
              <w:t xml:space="preserve"> +354 5503300</w:t>
            </w:r>
          </w:p>
          <w:p w14:paraId="0C397A69" w14:textId="77777777" w:rsidR="006B5718" w:rsidRPr="00666899" w:rsidRDefault="006B5718" w:rsidP="009C70C0">
            <w:pPr>
              <w:pStyle w:val="KeinLeerraum"/>
              <w:rPr>
                <w:rFonts w:ascii="Times New Roman" w:hAnsi="Times New Roman"/>
                <w:b/>
                <w:lang w:val="fr-FR"/>
              </w:rPr>
            </w:pPr>
          </w:p>
        </w:tc>
        <w:tc>
          <w:tcPr>
            <w:tcW w:w="4678" w:type="dxa"/>
          </w:tcPr>
          <w:p w14:paraId="1419D627" w14:textId="77777777" w:rsidR="006B5718" w:rsidRPr="00666899" w:rsidRDefault="006B5718" w:rsidP="009C70C0">
            <w:pPr>
              <w:pStyle w:val="KeinLeerraum"/>
              <w:rPr>
                <w:rFonts w:ascii="Times New Roman" w:hAnsi="Times New Roman"/>
                <w:b/>
                <w:lang w:val="pt-BR"/>
              </w:rPr>
            </w:pPr>
            <w:r w:rsidRPr="00666899">
              <w:rPr>
                <w:rFonts w:ascii="Times New Roman" w:hAnsi="Times New Roman"/>
                <w:b/>
                <w:lang w:val="pt-BR"/>
              </w:rPr>
              <w:t>Portugal</w:t>
            </w:r>
          </w:p>
          <w:p w14:paraId="3E395F00" w14:textId="77777777" w:rsidR="006B5718" w:rsidRPr="00666899" w:rsidRDefault="006B5718" w:rsidP="009C70C0">
            <w:pPr>
              <w:pStyle w:val="KeinLeerraum"/>
              <w:rPr>
                <w:rFonts w:ascii="Times New Roman" w:hAnsi="Times New Roman"/>
                <w:iCs/>
                <w:lang w:val="pt-BR"/>
              </w:rPr>
            </w:pPr>
            <w:r w:rsidRPr="00666899">
              <w:rPr>
                <w:rFonts w:ascii="Times New Roman" w:hAnsi="Times New Roman"/>
                <w:iCs/>
                <w:lang w:val="pt-BR"/>
              </w:rPr>
              <w:t>Actavis Group PTC ehf.</w:t>
            </w:r>
          </w:p>
          <w:p w14:paraId="39FE4BC2" w14:textId="77777777" w:rsidR="006B5718" w:rsidRDefault="006B5718" w:rsidP="009C70C0">
            <w:pPr>
              <w:pStyle w:val="KeinLeerraum"/>
              <w:rPr>
                <w:rFonts w:ascii="Times New Roman" w:hAnsi="Times New Roman"/>
                <w:lang w:val="es-ES"/>
              </w:rPr>
            </w:pPr>
            <w:r w:rsidRPr="00DC08DD">
              <w:rPr>
                <w:rFonts w:ascii="Times New Roman" w:hAnsi="Times New Roman"/>
                <w:lang w:val="es-ES"/>
              </w:rPr>
              <w:t>Islândia</w:t>
            </w:r>
          </w:p>
          <w:p w14:paraId="6BAD1343" w14:textId="77777777" w:rsidR="006B5718" w:rsidRPr="001B0C82" w:rsidRDefault="006B5718" w:rsidP="009C70C0">
            <w:pPr>
              <w:pStyle w:val="KeinLeerraum"/>
              <w:rPr>
                <w:rFonts w:ascii="Times New Roman" w:hAnsi="Times New Roman"/>
                <w:lang w:val="en-GB"/>
              </w:rPr>
            </w:pPr>
            <w:r w:rsidRPr="00B85F24">
              <w:rPr>
                <w:rFonts w:ascii="Times New Roman" w:hAnsi="Times New Roman"/>
                <w:noProof/>
              </w:rPr>
              <w:t>Tel: +354 5503300</w:t>
            </w:r>
          </w:p>
          <w:p w14:paraId="69C8DD9C" w14:textId="77777777" w:rsidR="006B5718" w:rsidRPr="00DC08DD" w:rsidRDefault="006B5718" w:rsidP="009C70C0">
            <w:pPr>
              <w:pStyle w:val="KeinLeerraum"/>
              <w:rPr>
                <w:rFonts w:ascii="Times New Roman" w:hAnsi="Times New Roman"/>
                <w:lang w:val="en-GB"/>
              </w:rPr>
            </w:pPr>
          </w:p>
        </w:tc>
      </w:tr>
      <w:tr w:rsidR="006B5718" w:rsidRPr="00DC08DD" w14:paraId="33FF760F" w14:textId="77777777" w:rsidTr="009C70C0">
        <w:trPr>
          <w:cantSplit/>
        </w:trPr>
        <w:tc>
          <w:tcPr>
            <w:tcW w:w="4678" w:type="dxa"/>
            <w:gridSpan w:val="2"/>
          </w:tcPr>
          <w:p w14:paraId="177BAAF8" w14:textId="77777777" w:rsidR="006B5718" w:rsidRPr="00666899" w:rsidRDefault="006B5718" w:rsidP="009C70C0">
            <w:pPr>
              <w:tabs>
                <w:tab w:val="left" w:pos="-720"/>
                <w:tab w:val="left" w:pos="4536"/>
              </w:tabs>
              <w:suppressAutoHyphens/>
              <w:spacing w:after="0" w:line="240" w:lineRule="auto"/>
              <w:ind w:right="567"/>
              <w:rPr>
                <w:rFonts w:ascii="Times New Roman" w:hAnsi="Times New Roman"/>
                <w:b/>
                <w:noProof/>
                <w:lang w:val="sv-SE"/>
              </w:rPr>
            </w:pPr>
            <w:r w:rsidRPr="0056362A">
              <w:rPr>
                <w:rFonts w:ascii="Times New Roman" w:hAnsi="Times New Roman"/>
              </w:rPr>
              <w:br w:type="page"/>
            </w:r>
            <w:r w:rsidRPr="00666899">
              <w:rPr>
                <w:rFonts w:ascii="Times New Roman" w:hAnsi="Times New Roman"/>
                <w:b/>
                <w:noProof/>
                <w:lang w:val="sv-SE"/>
              </w:rPr>
              <w:t>Hrvatska</w:t>
            </w:r>
          </w:p>
          <w:p w14:paraId="7E5A9F44" w14:textId="77777777" w:rsidR="006B5718" w:rsidRPr="00DC08DD" w:rsidRDefault="006B5718" w:rsidP="009C70C0">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759CF63A" w14:textId="77777777" w:rsidR="006B5718" w:rsidRPr="00DC08DD" w:rsidRDefault="006B5718" w:rsidP="009C70C0">
            <w:pPr>
              <w:pStyle w:val="KeinLeerraum"/>
              <w:rPr>
                <w:rFonts w:ascii="Times New Roman" w:hAnsi="Times New Roman"/>
              </w:rPr>
            </w:pPr>
            <w:r w:rsidRPr="00DC08DD">
              <w:rPr>
                <w:rFonts w:ascii="Times New Roman" w:hAnsi="Times New Roman"/>
              </w:rPr>
              <w:t>Tel: +385 13720000</w:t>
            </w:r>
          </w:p>
          <w:p w14:paraId="219EF8F2" w14:textId="77777777" w:rsidR="006B5718" w:rsidRPr="00DC08DD" w:rsidRDefault="006B5718" w:rsidP="009C70C0">
            <w:pPr>
              <w:pStyle w:val="KeinLeerraum"/>
              <w:rPr>
                <w:rFonts w:ascii="Times New Roman" w:hAnsi="Times New Roman"/>
                <w:lang w:val="en-GB"/>
              </w:rPr>
            </w:pPr>
          </w:p>
        </w:tc>
        <w:tc>
          <w:tcPr>
            <w:tcW w:w="4678" w:type="dxa"/>
          </w:tcPr>
          <w:p w14:paraId="6AC128B7"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România</w:t>
            </w:r>
          </w:p>
          <w:p w14:paraId="0F43D54B" w14:textId="77777777" w:rsidR="006B5718" w:rsidRPr="00DC08DD" w:rsidRDefault="006B5718" w:rsidP="009C70C0">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385A456F"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A268D16" w14:textId="77777777" w:rsidR="006B5718" w:rsidRPr="00DC08DD" w:rsidRDefault="006B5718" w:rsidP="009C70C0">
            <w:pPr>
              <w:pStyle w:val="KeinLeerraum"/>
              <w:rPr>
                <w:rFonts w:ascii="Times New Roman" w:hAnsi="Times New Roman"/>
                <w:lang w:val="en-GB"/>
              </w:rPr>
            </w:pPr>
          </w:p>
        </w:tc>
      </w:tr>
      <w:tr w:rsidR="006B5718" w:rsidRPr="00DC08DD" w14:paraId="568B9BDB" w14:textId="77777777" w:rsidTr="009C70C0">
        <w:trPr>
          <w:cantSplit/>
        </w:trPr>
        <w:tc>
          <w:tcPr>
            <w:tcW w:w="4678" w:type="dxa"/>
            <w:gridSpan w:val="2"/>
          </w:tcPr>
          <w:p w14:paraId="6A60FB08" w14:textId="77777777" w:rsidR="006B5718" w:rsidRPr="00DC08DD" w:rsidRDefault="006B5718" w:rsidP="009C70C0">
            <w:pPr>
              <w:pStyle w:val="KeinLeerraum"/>
              <w:rPr>
                <w:rFonts w:ascii="Times New Roman" w:hAnsi="Times New Roman"/>
                <w:lang w:val="en-GB"/>
              </w:rPr>
            </w:pPr>
            <w:r w:rsidRPr="00DC08DD">
              <w:rPr>
                <w:rFonts w:ascii="Times New Roman" w:hAnsi="Times New Roman"/>
                <w:b/>
                <w:lang w:val="en-GB"/>
              </w:rPr>
              <w:t>Ireland</w:t>
            </w:r>
          </w:p>
          <w:p w14:paraId="258B5D17" w14:textId="77777777" w:rsidR="006B5718" w:rsidRPr="009A42FE" w:rsidRDefault="006B5718" w:rsidP="009C70C0">
            <w:pPr>
              <w:pStyle w:val="KeinLeerraum"/>
              <w:rPr>
                <w:rFonts w:ascii="Times New Roman" w:hAnsi="Times New Roman"/>
                <w:lang w:val="en-GB"/>
              </w:rPr>
            </w:pPr>
            <w:r w:rsidRPr="009A42FE">
              <w:rPr>
                <w:rFonts w:ascii="Times New Roman" w:hAnsi="Times New Roman"/>
                <w:lang w:val="en-GB"/>
              </w:rPr>
              <w:t>Teva Pharmaceuticals Ireland</w:t>
            </w:r>
          </w:p>
          <w:p w14:paraId="6E7F0682" w14:textId="57DEA182" w:rsidR="006B5718" w:rsidRDefault="006B5718" w:rsidP="009C70C0">
            <w:pPr>
              <w:pStyle w:val="KeinLeerraum"/>
              <w:rPr>
                <w:rFonts w:ascii="Times New Roman" w:hAnsi="Times New Roman"/>
                <w:lang w:val="en-GB"/>
              </w:rPr>
            </w:pPr>
            <w:r>
              <w:rPr>
                <w:rFonts w:ascii="Times New Roman" w:hAnsi="Times New Roman"/>
                <w:lang w:val="en-GB"/>
              </w:rPr>
              <w:t>Tel: +353 19127700</w:t>
            </w:r>
          </w:p>
          <w:p w14:paraId="1A298A30" w14:textId="77777777" w:rsidR="006B5718" w:rsidRPr="00DC08DD" w:rsidRDefault="006B5718" w:rsidP="009C70C0">
            <w:pPr>
              <w:pStyle w:val="KeinLeerraum"/>
              <w:rPr>
                <w:rFonts w:ascii="Times New Roman" w:hAnsi="Times New Roman"/>
                <w:lang w:val="en-GB"/>
              </w:rPr>
            </w:pPr>
          </w:p>
        </w:tc>
        <w:tc>
          <w:tcPr>
            <w:tcW w:w="4678" w:type="dxa"/>
          </w:tcPr>
          <w:p w14:paraId="46A70890"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Slovenija</w:t>
            </w:r>
          </w:p>
          <w:p w14:paraId="11004DD6"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Pliva Ljubljana d.o.o.</w:t>
            </w:r>
          </w:p>
          <w:p w14:paraId="53B6D632"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+386 15890390</w:t>
            </w:r>
          </w:p>
          <w:p w14:paraId="284412A2" w14:textId="77777777" w:rsidR="006B5718" w:rsidRPr="00DC08DD" w:rsidRDefault="006B5718" w:rsidP="009C70C0">
            <w:pPr>
              <w:pStyle w:val="KeinLeerraum"/>
              <w:rPr>
                <w:rFonts w:ascii="Times New Roman" w:hAnsi="Times New Roman"/>
                <w:b/>
                <w:lang w:val="en-GB"/>
              </w:rPr>
            </w:pPr>
          </w:p>
        </w:tc>
      </w:tr>
      <w:tr w:rsidR="006B5718" w:rsidRPr="00DC08DD" w14:paraId="65049EF8" w14:textId="77777777" w:rsidTr="009C70C0">
        <w:trPr>
          <w:cantSplit/>
        </w:trPr>
        <w:tc>
          <w:tcPr>
            <w:tcW w:w="4678" w:type="dxa"/>
            <w:gridSpan w:val="2"/>
          </w:tcPr>
          <w:p w14:paraId="44E6F394"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Ísland</w:t>
            </w:r>
          </w:p>
          <w:p w14:paraId="6B1B587E"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Actavis Group PTC ehf.</w:t>
            </w:r>
          </w:p>
          <w:p w14:paraId="131ED0EA"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Sími: +354 5503300</w:t>
            </w:r>
          </w:p>
          <w:p w14:paraId="20414D25" w14:textId="77777777" w:rsidR="006B5718" w:rsidRPr="00DC08DD" w:rsidRDefault="006B5718" w:rsidP="009C70C0">
            <w:pPr>
              <w:pStyle w:val="KeinLeerraum"/>
              <w:rPr>
                <w:rFonts w:ascii="Times New Roman" w:hAnsi="Times New Roman"/>
                <w:b/>
                <w:lang w:val="en-GB"/>
              </w:rPr>
            </w:pPr>
          </w:p>
        </w:tc>
        <w:tc>
          <w:tcPr>
            <w:tcW w:w="4678" w:type="dxa"/>
          </w:tcPr>
          <w:p w14:paraId="04393766"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Slovenská republika</w:t>
            </w:r>
          </w:p>
          <w:p w14:paraId="220EE4F3" w14:textId="77777777" w:rsidR="006B5718" w:rsidRPr="00DC08DD" w:rsidRDefault="006B5718" w:rsidP="009C70C0">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30720E27"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2295B9C6" w14:textId="77777777" w:rsidR="006B5718" w:rsidRPr="00DC08DD" w:rsidRDefault="006B5718" w:rsidP="009C70C0">
            <w:pPr>
              <w:pStyle w:val="KeinLeerraum"/>
              <w:rPr>
                <w:rFonts w:ascii="Times New Roman" w:hAnsi="Times New Roman"/>
                <w:lang w:val="en-GB"/>
              </w:rPr>
            </w:pPr>
          </w:p>
        </w:tc>
      </w:tr>
      <w:tr w:rsidR="006B5718" w:rsidRPr="00DC08DD" w14:paraId="316AE76F" w14:textId="77777777" w:rsidTr="009C70C0">
        <w:trPr>
          <w:cantSplit/>
        </w:trPr>
        <w:tc>
          <w:tcPr>
            <w:tcW w:w="4678" w:type="dxa"/>
            <w:gridSpan w:val="2"/>
          </w:tcPr>
          <w:p w14:paraId="7D537937" w14:textId="77777777" w:rsidR="006B5718" w:rsidRPr="00666899" w:rsidRDefault="006B5718" w:rsidP="009C70C0">
            <w:pPr>
              <w:pStyle w:val="KeinLeerraum"/>
              <w:rPr>
                <w:rFonts w:ascii="Times New Roman" w:hAnsi="Times New Roman"/>
                <w:lang w:val="pt-BR"/>
              </w:rPr>
            </w:pPr>
            <w:r w:rsidRPr="00666899">
              <w:rPr>
                <w:rFonts w:ascii="Times New Roman" w:hAnsi="Times New Roman"/>
                <w:b/>
                <w:lang w:val="pt-BR"/>
              </w:rPr>
              <w:t>Italia</w:t>
            </w:r>
          </w:p>
          <w:p w14:paraId="065E2D1E" w14:textId="77777777" w:rsidR="006B5718" w:rsidRPr="00666899" w:rsidRDefault="006B5718" w:rsidP="009C70C0">
            <w:pPr>
              <w:pStyle w:val="KeinLeerraum"/>
              <w:rPr>
                <w:rFonts w:ascii="Times New Roman" w:hAnsi="Times New Roman"/>
                <w:lang w:val="pt-BR"/>
              </w:rPr>
            </w:pPr>
            <w:r w:rsidRPr="00666899">
              <w:rPr>
                <w:rFonts w:ascii="Times New Roman" w:hAnsi="Times New Roman"/>
                <w:lang w:val="pt-BR"/>
              </w:rPr>
              <w:t>Actavis Group PTC ehf.</w:t>
            </w:r>
          </w:p>
          <w:p w14:paraId="65F58E38" w14:textId="77777777" w:rsidR="006B5718" w:rsidRPr="00666899" w:rsidRDefault="006B5718" w:rsidP="009C70C0">
            <w:pPr>
              <w:pStyle w:val="KeinLeerraum"/>
              <w:rPr>
                <w:rFonts w:ascii="Times New Roman" w:hAnsi="Times New Roman"/>
                <w:lang w:val="pt-BR"/>
              </w:rPr>
            </w:pPr>
            <w:r w:rsidRPr="00666899">
              <w:rPr>
                <w:rFonts w:ascii="Times New Roman" w:hAnsi="Times New Roman"/>
                <w:lang w:val="pt-BR"/>
              </w:rPr>
              <w:t>Islanda</w:t>
            </w:r>
          </w:p>
          <w:p w14:paraId="185DEEA3" w14:textId="77777777" w:rsidR="006B5718" w:rsidRPr="00666899" w:rsidRDefault="006B5718" w:rsidP="009C70C0">
            <w:pPr>
              <w:pStyle w:val="KeinLeerraum"/>
              <w:rPr>
                <w:rFonts w:ascii="Times New Roman" w:hAnsi="Times New Roman"/>
                <w:lang w:val="pt-BR"/>
              </w:rPr>
            </w:pPr>
            <w:r w:rsidRPr="00B85F24">
              <w:rPr>
                <w:rFonts w:ascii="Times New Roman" w:hAnsi="Times New Roman"/>
                <w:noProof/>
              </w:rPr>
              <w:t>Tel: +354 5503300</w:t>
            </w:r>
          </w:p>
          <w:p w14:paraId="66989318" w14:textId="77777777" w:rsidR="006B5718" w:rsidRPr="00666899" w:rsidRDefault="006B5718" w:rsidP="009C70C0">
            <w:pPr>
              <w:pStyle w:val="KeinLeerraum"/>
              <w:rPr>
                <w:rFonts w:ascii="Times New Roman" w:hAnsi="Times New Roman"/>
                <w:b/>
                <w:lang w:val="pt-BR"/>
              </w:rPr>
            </w:pPr>
          </w:p>
        </w:tc>
        <w:tc>
          <w:tcPr>
            <w:tcW w:w="4678" w:type="dxa"/>
          </w:tcPr>
          <w:p w14:paraId="064FDC2F" w14:textId="77777777" w:rsidR="006B5718" w:rsidRPr="00666899" w:rsidRDefault="006B5718" w:rsidP="009C70C0">
            <w:pPr>
              <w:pStyle w:val="KeinLeerraum"/>
              <w:rPr>
                <w:rFonts w:ascii="Times New Roman" w:hAnsi="Times New Roman"/>
                <w:lang w:val="sv-SE"/>
              </w:rPr>
            </w:pPr>
            <w:r w:rsidRPr="00666899">
              <w:rPr>
                <w:rFonts w:ascii="Times New Roman" w:hAnsi="Times New Roman"/>
                <w:b/>
                <w:lang w:val="sv-SE"/>
              </w:rPr>
              <w:t>Suomi/Finland</w:t>
            </w:r>
          </w:p>
          <w:p w14:paraId="40BEB018" w14:textId="12E6D6F0" w:rsidR="006B5718" w:rsidRPr="00666899" w:rsidRDefault="006B5718" w:rsidP="009C70C0">
            <w:pPr>
              <w:pStyle w:val="KeinLeerraum"/>
              <w:rPr>
                <w:rFonts w:ascii="Times New Roman" w:hAnsi="Times New Roman"/>
                <w:lang w:val="sv-SE"/>
              </w:rPr>
            </w:pPr>
            <w:r w:rsidRPr="00666899">
              <w:rPr>
                <w:rFonts w:ascii="Times New Roman" w:hAnsi="Times New Roman"/>
                <w:lang w:val="sv-SE"/>
              </w:rPr>
              <w:t>Teva Finland Oy</w:t>
            </w:r>
          </w:p>
          <w:p w14:paraId="6E766B52" w14:textId="77777777" w:rsidR="006B5718" w:rsidRPr="00666899" w:rsidRDefault="006B5718" w:rsidP="009C70C0">
            <w:pPr>
              <w:pStyle w:val="KeinLeerraum"/>
              <w:rPr>
                <w:rFonts w:ascii="Times New Roman" w:hAnsi="Times New Roman"/>
                <w:lang w:val="sv-SE"/>
              </w:rPr>
            </w:pPr>
            <w:r w:rsidRPr="00666899">
              <w:rPr>
                <w:rFonts w:ascii="Times New Roman" w:hAnsi="Times New Roman"/>
                <w:lang w:val="sv-SE"/>
              </w:rPr>
              <w:t>Puh/Tel: +358 201805900</w:t>
            </w:r>
          </w:p>
          <w:p w14:paraId="50002A7D" w14:textId="77777777" w:rsidR="006B5718" w:rsidRPr="00666899" w:rsidRDefault="006B5718" w:rsidP="009C70C0">
            <w:pPr>
              <w:pStyle w:val="KeinLeerraum"/>
              <w:rPr>
                <w:rFonts w:ascii="Times New Roman" w:hAnsi="Times New Roman"/>
                <w:b/>
                <w:lang w:val="sv-SE"/>
              </w:rPr>
            </w:pPr>
          </w:p>
        </w:tc>
      </w:tr>
      <w:tr w:rsidR="006B5718" w:rsidRPr="00DC08DD" w14:paraId="6670843A" w14:textId="77777777" w:rsidTr="009C70C0">
        <w:trPr>
          <w:cantSplit/>
        </w:trPr>
        <w:tc>
          <w:tcPr>
            <w:tcW w:w="4678" w:type="dxa"/>
            <w:gridSpan w:val="2"/>
          </w:tcPr>
          <w:p w14:paraId="6D3D67FC" w14:textId="77777777" w:rsidR="006B5718" w:rsidRPr="00F81B0C" w:rsidRDefault="006B5718" w:rsidP="009C70C0">
            <w:pPr>
              <w:pStyle w:val="KeinLeerraum"/>
              <w:rPr>
                <w:rFonts w:ascii="Times New Roman" w:hAnsi="Times New Roman"/>
                <w:b/>
              </w:rPr>
            </w:pPr>
            <w:r w:rsidRPr="00DC08DD">
              <w:rPr>
                <w:rFonts w:ascii="Times New Roman" w:hAnsi="Times New Roman"/>
                <w:b/>
                <w:lang w:val="en-GB"/>
              </w:rPr>
              <w:t>Κύπρος</w:t>
            </w:r>
          </w:p>
          <w:p w14:paraId="67CB2681" w14:textId="77777777" w:rsidR="006B5718" w:rsidRPr="00F81B0C" w:rsidRDefault="006B5718" w:rsidP="009C70C0">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77911BB8" w14:textId="77777777" w:rsidR="006B5718" w:rsidRPr="00F81B0C" w:rsidRDefault="006B5718" w:rsidP="009C70C0">
            <w:pPr>
              <w:pStyle w:val="KeinLeerraum"/>
              <w:rPr>
                <w:rFonts w:ascii="Times New Roman" w:hAnsi="Times New Roman"/>
              </w:rPr>
            </w:pPr>
            <w:r w:rsidRPr="00DC08DD">
              <w:rPr>
                <w:rFonts w:ascii="Times New Roman" w:hAnsi="Times New Roman"/>
                <w:lang w:val="el-GR"/>
              </w:rPr>
              <w:t>Ελλάδα</w:t>
            </w:r>
          </w:p>
          <w:p w14:paraId="14E16186" w14:textId="3CD07F71" w:rsidR="006B5718" w:rsidRPr="00F81B0C" w:rsidRDefault="006B5718" w:rsidP="009C70C0">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256718F0" w14:textId="77777777" w:rsidR="006B5718" w:rsidRPr="00F81B0C" w:rsidRDefault="006B5718" w:rsidP="009C70C0">
            <w:pPr>
              <w:pStyle w:val="KeinLeerraum"/>
              <w:rPr>
                <w:rFonts w:ascii="Times New Roman" w:hAnsi="Times New Roman"/>
              </w:rPr>
            </w:pPr>
          </w:p>
        </w:tc>
        <w:tc>
          <w:tcPr>
            <w:tcW w:w="4678" w:type="dxa"/>
          </w:tcPr>
          <w:p w14:paraId="7F347F0F" w14:textId="77777777" w:rsidR="006B5718" w:rsidRPr="0056362A" w:rsidRDefault="006B5718" w:rsidP="009C70C0">
            <w:pPr>
              <w:pStyle w:val="KeinLeerraum"/>
              <w:rPr>
                <w:rFonts w:ascii="Times New Roman" w:hAnsi="Times New Roman"/>
                <w:b/>
                <w:lang w:val="de-DE"/>
              </w:rPr>
            </w:pPr>
            <w:r w:rsidRPr="0056362A">
              <w:rPr>
                <w:rFonts w:ascii="Times New Roman" w:hAnsi="Times New Roman"/>
                <w:b/>
                <w:lang w:val="de-DE"/>
              </w:rPr>
              <w:t>Sverige</w:t>
            </w:r>
          </w:p>
          <w:p w14:paraId="1BFB546B" w14:textId="77777777" w:rsidR="006B5718" w:rsidRPr="0056362A" w:rsidRDefault="006B5718" w:rsidP="009C70C0">
            <w:pPr>
              <w:pStyle w:val="KeinLeerraum"/>
              <w:rPr>
                <w:rFonts w:ascii="Times New Roman" w:hAnsi="Times New Roman"/>
                <w:lang w:val="de-DE"/>
              </w:rPr>
            </w:pPr>
            <w:r w:rsidRPr="0056362A">
              <w:rPr>
                <w:rFonts w:ascii="Times New Roman" w:hAnsi="Times New Roman"/>
                <w:lang w:val="de-DE"/>
              </w:rPr>
              <w:t>Teva Sweden AB</w:t>
            </w:r>
          </w:p>
          <w:p w14:paraId="13E24AFD" w14:textId="77777777" w:rsidR="006B5718" w:rsidRPr="0056362A" w:rsidRDefault="006B5718" w:rsidP="009C70C0">
            <w:pPr>
              <w:pStyle w:val="KeinLeerraum"/>
              <w:rPr>
                <w:rFonts w:ascii="Times New Roman" w:hAnsi="Times New Roman"/>
                <w:lang w:val="de-DE"/>
              </w:rPr>
            </w:pPr>
            <w:r w:rsidRPr="0056362A">
              <w:rPr>
                <w:rFonts w:ascii="Times New Roman" w:hAnsi="Times New Roman"/>
                <w:lang w:val="de-DE"/>
              </w:rPr>
              <w:t>Tel: +46 42121100</w:t>
            </w:r>
          </w:p>
          <w:p w14:paraId="6B6395A3" w14:textId="77777777" w:rsidR="006B5718" w:rsidRPr="0056362A" w:rsidRDefault="006B5718" w:rsidP="009C70C0">
            <w:pPr>
              <w:pStyle w:val="KeinLeerraum"/>
              <w:rPr>
                <w:rFonts w:ascii="Times New Roman" w:hAnsi="Times New Roman"/>
                <w:lang w:val="de-DE"/>
              </w:rPr>
            </w:pPr>
          </w:p>
        </w:tc>
      </w:tr>
      <w:tr w:rsidR="006B5718" w:rsidRPr="00DC08DD" w14:paraId="5514AC10" w14:textId="77777777" w:rsidTr="009C70C0">
        <w:trPr>
          <w:cantSplit/>
        </w:trPr>
        <w:tc>
          <w:tcPr>
            <w:tcW w:w="4678" w:type="dxa"/>
            <w:gridSpan w:val="2"/>
          </w:tcPr>
          <w:p w14:paraId="058D8236" w14:textId="77777777" w:rsidR="006B5718" w:rsidRPr="00666899" w:rsidRDefault="006B5718" w:rsidP="009C70C0">
            <w:pPr>
              <w:pStyle w:val="KeinLeerraum"/>
              <w:rPr>
                <w:rFonts w:ascii="Times New Roman" w:hAnsi="Times New Roman"/>
                <w:b/>
                <w:bCs/>
                <w:lang w:eastAsia="en-GB"/>
              </w:rPr>
            </w:pPr>
            <w:r w:rsidRPr="00666899">
              <w:rPr>
                <w:rFonts w:ascii="Times New Roman" w:hAnsi="Times New Roman"/>
                <w:b/>
                <w:bCs/>
                <w:lang w:eastAsia="en-GB"/>
              </w:rPr>
              <w:t>Latvija</w:t>
            </w:r>
          </w:p>
          <w:p w14:paraId="20C8FCA1" w14:textId="25B5EC1E" w:rsidR="006B5718" w:rsidRPr="00666899" w:rsidRDefault="006B5718" w:rsidP="009C70C0">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59906A01" w14:textId="77777777" w:rsidR="006B5718" w:rsidRPr="00DC08DD" w:rsidRDefault="006B5718" w:rsidP="009C70C0">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143F8713" w14:textId="77777777" w:rsidR="006B5718" w:rsidRPr="00DC08DD" w:rsidRDefault="006B5718" w:rsidP="009C70C0">
            <w:pPr>
              <w:pStyle w:val="KeinLeerraum"/>
              <w:rPr>
                <w:rFonts w:ascii="Times New Roman" w:hAnsi="Times New Roman"/>
                <w:lang w:val="en-GB"/>
              </w:rPr>
            </w:pPr>
          </w:p>
        </w:tc>
        <w:tc>
          <w:tcPr>
            <w:tcW w:w="4678" w:type="dxa"/>
          </w:tcPr>
          <w:p w14:paraId="642DAE28" w14:textId="77777777" w:rsidR="006B5718" w:rsidRPr="00DC08DD" w:rsidRDefault="006B5718" w:rsidP="009C70C0">
            <w:pPr>
              <w:pStyle w:val="KeinLeerraum"/>
              <w:rPr>
                <w:rFonts w:ascii="Times New Roman" w:hAnsi="Times New Roman"/>
                <w:b/>
                <w:lang w:val="en-GB"/>
              </w:rPr>
            </w:pPr>
            <w:r w:rsidRPr="00DC08DD">
              <w:rPr>
                <w:rFonts w:ascii="Times New Roman" w:hAnsi="Times New Roman"/>
                <w:b/>
                <w:lang w:val="en-GB"/>
              </w:rPr>
              <w:t>United Kingdom</w:t>
            </w:r>
          </w:p>
          <w:p w14:paraId="477F0E98" w14:textId="77777777" w:rsidR="006B5718" w:rsidRPr="00DC08DD" w:rsidRDefault="006B5718" w:rsidP="009C70C0">
            <w:pPr>
              <w:pStyle w:val="KeinLeerraum"/>
              <w:rPr>
                <w:rFonts w:ascii="Times New Roman" w:hAnsi="Times New Roman"/>
                <w:lang w:val="en-GB"/>
              </w:rPr>
            </w:pPr>
            <w:r w:rsidRPr="00DC08DD">
              <w:rPr>
                <w:rFonts w:ascii="Times New Roman" w:hAnsi="Times New Roman"/>
                <w:lang w:val="en-GB"/>
              </w:rPr>
              <w:t>Actavis UK Limited</w:t>
            </w:r>
          </w:p>
          <w:p w14:paraId="705FC3CB" w14:textId="77777777" w:rsidR="006B5718" w:rsidRPr="00DC08DD" w:rsidRDefault="006B5718" w:rsidP="009C70C0">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4E73623" w14:textId="77777777" w:rsidR="006B5718" w:rsidRPr="00DC08DD" w:rsidRDefault="006B5718" w:rsidP="009C70C0">
            <w:pPr>
              <w:pStyle w:val="KeinLeerraum"/>
              <w:rPr>
                <w:rFonts w:ascii="Times New Roman" w:hAnsi="Times New Roman"/>
                <w:lang w:val="en-GB"/>
              </w:rPr>
            </w:pPr>
          </w:p>
        </w:tc>
      </w:tr>
    </w:tbl>
    <w:p w14:paraId="18A2E6BE" w14:textId="77777777" w:rsidR="0069467B" w:rsidRDefault="0069467B" w:rsidP="00DF593A">
      <w:pPr>
        <w:autoSpaceDE w:val="0"/>
        <w:autoSpaceDN w:val="0"/>
        <w:adjustRightInd w:val="0"/>
        <w:spacing w:after="0" w:line="240" w:lineRule="auto"/>
        <w:rPr>
          <w:rFonts w:ascii="Times New Roman" w:hAnsi="Times New Roman"/>
          <w:lang w:val="en-US"/>
        </w:rPr>
      </w:pPr>
    </w:p>
    <w:p w14:paraId="1195E57E" w14:textId="77777777" w:rsidR="006B5718" w:rsidRPr="00666899" w:rsidRDefault="006B5718" w:rsidP="00DF593A">
      <w:pPr>
        <w:autoSpaceDE w:val="0"/>
        <w:autoSpaceDN w:val="0"/>
        <w:adjustRightInd w:val="0"/>
        <w:spacing w:after="0" w:line="240" w:lineRule="auto"/>
        <w:rPr>
          <w:rFonts w:ascii="Times New Roman" w:hAnsi="Times New Roman"/>
          <w:lang w:val="en-US"/>
        </w:rPr>
      </w:pPr>
    </w:p>
    <w:p w14:paraId="3C7ACE5B" w14:textId="77777777" w:rsidR="00DF593A" w:rsidRPr="00496684" w:rsidRDefault="00DF593A" w:rsidP="00DF593A">
      <w:pPr>
        <w:widowControl w:val="0"/>
        <w:numPr>
          <w:ilvl w:val="12"/>
          <w:numId w:val="0"/>
        </w:numPr>
        <w:ind w:right="-2"/>
        <w:rPr>
          <w:rFonts w:ascii="Times New Roman" w:hAnsi="Times New Roman"/>
          <w:lang w:val="it-IT"/>
        </w:rPr>
      </w:pPr>
      <w:r w:rsidRPr="00496684">
        <w:rPr>
          <w:rFonts w:ascii="Times New Roman" w:hAnsi="Times New Roman"/>
          <w:b/>
          <w:lang w:val="it-IT"/>
        </w:rPr>
        <w:t>Questo foglio illustrativo è stato aggiornato il</w:t>
      </w:r>
    </w:p>
    <w:p w14:paraId="4E4B5B67" w14:textId="77777777" w:rsidR="00DF593A" w:rsidRPr="00496684" w:rsidRDefault="00DF593A" w:rsidP="00DF593A">
      <w:pPr>
        <w:autoSpaceDE w:val="0"/>
        <w:autoSpaceDN w:val="0"/>
        <w:adjustRightInd w:val="0"/>
        <w:spacing w:after="0" w:line="240" w:lineRule="auto"/>
        <w:contextualSpacing/>
        <w:rPr>
          <w:rFonts w:ascii="Times New Roman" w:hAnsi="Times New Roman"/>
          <w:bCs/>
          <w:lang w:val="it-IT"/>
        </w:rPr>
      </w:pPr>
    </w:p>
    <w:p w14:paraId="3BFE5496" w14:textId="77777777" w:rsidR="00DF593A" w:rsidRPr="00496684" w:rsidRDefault="00DF593A" w:rsidP="00DF593A">
      <w:pPr>
        <w:widowControl w:val="0"/>
        <w:spacing w:after="0" w:line="240" w:lineRule="auto"/>
        <w:ind w:right="-449"/>
        <w:rPr>
          <w:rFonts w:ascii="Times New Roman" w:hAnsi="Times New Roman"/>
          <w:b/>
          <w:lang w:val="it-IT"/>
        </w:rPr>
      </w:pPr>
      <w:r w:rsidRPr="00496684">
        <w:rPr>
          <w:rFonts w:ascii="Times New Roman" w:hAnsi="Times New Roman"/>
          <w:b/>
          <w:lang w:val="it-IT"/>
        </w:rPr>
        <w:t>Altre fonti di informazioni</w:t>
      </w:r>
    </w:p>
    <w:p w14:paraId="26FFD3FD" w14:textId="77777777" w:rsidR="00DF593A" w:rsidRPr="00496684" w:rsidRDefault="00DF593A" w:rsidP="00DF593A">
      <w:pPr>
        <w:widowControl w:val="0"/>
        <w:spacing w:after="0" w:line="240" w:lineRule="auto"/>
        <w:ind w:right="-449"/>
        <w:rPr>
          <w:rFonts w:ascii="Times New Roman" w:hAnsi="Times New Roman"/>
          <w:b/>
          <w:lang w:val="it-IT"/>
        </w:rPr>
      </w:pPr>
    </w:p>
    <w:p w14:paraId="3F744E0D" w14:textId="77777777" w:rsidR="00DF593A" w:rsidRPr="00496684" w:rsidRDefault="00DF593A" w:rsidP="00DF593A">
      <w:pPr>
        <w:widowControl w:val="0"/>
        <w:spacing w:after="0" w:line="240" w:lineRule="auto"/>
        <w:ind w:right="-2"/>
        <w:rPr>
          <w:rFonts w:ascii="Times New Roman" w:hAnsi="Times New Roman"/>
          <w:lang w:val="it-IT"/>
        </w:rPr>
      </w:pPr>
      <w:r w:rsidRPr="00496684">
        <w:rPr>
          <w:rFonts w:ascii="Times New Roman" w:hAnsi="Times New Roman"/>
          <w:lang w:val="it-IT"/>
        </w:rPr>
        <w:t xml:space="preserve">Informazioni più dettagliate su questo medicinale sono disponibili sul sito web della Agenzia europea dei medicinali: </w:t>
      </w:r>
      <w:hyperlink r:id="rId20" w:history="1">
        <w:r w:rsidR="006E4320" w:rsidRPr="00496684">
          <w:rPr>
            <w:rStyle w:val="Hyperlink"/>
            <w:rFonts w:ascii="Times New Roman" w:hAnsi="Times New Roman"/>
            <w:lang w:val="it-IT"/>
          </w:rPr>
          <w:t>http://www.ema.europa.eu</w:t>
        </w:r>
      </w:hyperlink>
      <w:r w:rsidR="006E4320" w:rsidRPr="00496684">
        <w:rPr>
          <w:rFonts w:ascii="Times New Roman" w:hAnsi="Times New Roman"/>
          <w:lang w:val="it-IT"/>
        </w:rPr>
        <w:t xml:space="preserve"> </w:t>
      </w:r>
    </w:p>
    <w:p w14:paraId="6BE32AF4" w14:textId="77777777" w:rsidR="0013265B" w:rsidRPr="00496684" w:rsidRDefault="00B94092" w:rsidP="0013265B">
      <w:pPr>
        <w:spacing w:before="80" w:after="0" w:line="240" w:lineRule="auto"/>
        <w:ind w:right="48"/>
        <w:jc w:val="center"/>
        <w:rPr>
          <w:rFonts w:ascii="Times New Roman" w:eastAsia="Times New Roman" w:hAnsi="Times New Roman"/>
          <w:lang w:val="it-IT"/>
        </w:rPr>
      </w:pPr>
      <w:r w:rsidRPr="00496684">
        <w:rPr>
          <w:rFonts w:ascii="Times New Roman" w:hAnsi="Times New Roman"/>
          <w:lang w:val="it-IT"/>
        </w:rPr>
        <w:br w:type="page"/>
      </w:r>
      <w:r w:rsidR="0013265B" w:rsidRPr="00496684">
        <w:rPr>
          <w:rFonts w:ascii="Times New Roman" w:hAnsi="Times New Roman"/>
          <w:b/>
          <w:lang w:val="it-IT"/>
        </w:rPr>
        <w:t>Foglio illustrativo: informazioni per l’utilizzatore</w:t>
      </w:r>
    </w:p>
    <w:p w14:paraId="04F3B181" w14:textId="77777777" w:rsidR="0013265B" w:rsidRPr="00496684" w:rsidRDefault="0013265B" w:rsidP="0013265B">
      <w:pPr>
        <w:autoSpaceDE w:val="0"/>
        <w:autoSpaceDN w:val="0"/>
        <w:adjustRightInd w:val="0"/>
        <w:spacing w:after="0" w:line="240" w:lineRule="auto"/>
        <w:jc w:val="center"/>
        <w:rPr>
          <w:rFonts w:ascii="Times New Roman" w:hAnsi="Times New Roman"/>
          <w:bCs/>
          <w:lang w:val="it-IT"/>
        </w:rPr>
      </w:pPr>
    </w:p>
    <w:p w14:paraId="13ED53D8" w14:textId="77777777" w:rsidR="0013265B" w:rsidRPr="00496684" w:rsidRDefault="0013265B" w:rsidP="0013265B">
      <w:pPr>
        <w:widowControl w:val="0"/>
        <w:tabs>
          <w:tab w:val="left" w:pos="9356"/>
        </w:tabs>
        <w:autoSpaceDE w:val="0"/>
        <w:autoSpaceDN w:val="0"/>
        <w:adjustRightInd w:val="0"/>
        <w:spacing w:after="0" w:line="240" w:lineRule="auto"/>
        <w:ind w:right="50"/>
        <w:jc w:val="center"/>
        <w:rPr>
          <w:rFonts w:ascii="Times New Roman" w:hAnsi="Times New Roman"/>
          <w:lang w:val="it-IT"/>
        </w:rPr>
      </w:pPr>
      <w:r w:rsidRPr="00496684">
        <w:rPr>
          <w:rFonts w:ascii="Times New Roman" w:hAnsi="Times New Roman"/>
          <w:b/>
          <w:bCs/>
          <w:spacing w:val="-1"/>
          <w:lang w:val="it-IT"/>
        </w:rPr>
        <w:t>Imatinib Actavis</w:t>
      </w:r>
      <w:r w:rsidRPr="00496684">
        <w:rPr>
          <w:rFonts w:ascii="Times New Roman" w:hAnsi="Times New Roman"/>
          <w:b/>
          <w:bCs/>
          <w:spacing w:val="1"/>
          <w:lang w:val="it-IT"/>
        </w:rPr>
        <w:t xml:space="preserve"> 400</w:t>
      </w:r>
      <w:r w:rsidRPr="00496684">
        <w:rPr>
          <w:rFonts w:ascii="Times New Roman" w:hAnsi="Times New Roman"/>
          <w:b/>
          <w:bCs/>
          <w:lang w:val="it-IT"/>
        </w:rPr>
        <w:t> </w:t>
      </w:r>
      <w:r w:rsidRPr="00496684">
        <w:rPr>
          <w:rFonts w:ascii="Times New Roman" w:hAnsi="Times New Roman"/>
          <w:b/>
          <w:bCs/>
          <w:spacing w:val="1"/>
          <w:lang w:val="it-IT"/>
        </w:rPr>
        <w:t>m</w:t>
      </w:r>
      <w:r w:rsidRPr="00496684">
        <w:rPr>
          <w:rFonts w:ascii="Times New Roman" w:hAnsi="Times New Roman"/>
          <w:b/>
          <w:bCs/>
          <w:lang w:val="it-IT"/>
        </w:rPr>
        <w:t>g capsule rigide</w:t>
      </w:r>
    </w:p>
    <w:p w14:paraId="12B63EDE" w14:textId="77777777" w:rsidR="0013265B" w:rsidRPr="00496684" w:rsidRDefault="000629AD" w:rsidP="0013265B">
      <w:pPr>
        <w:autoSpaceDE w:val="0"/>
        <w:autoSpaceDN w:val="0"/>
        <w:adjustRightInd w:val="0"/>
        <w:spacing w:after="0" w:line="240" w:lineRule="auto"/>
        <w:jc w:val="center"/>
        <w:rPr>
          <w:rFonts w:ascii="Times New Roman" w:hAnsi="Times New Roman"/>
          <w:lang w:val="it-IT"/>
        </w:rPr>
      </w:pPr>
      <w:r w:rsidRPr="00496684">
        <w:rPr>
          <w:rFonts w:ascii="Times New Roman" w:hAnsi="Times New Roman"/>
          <w:lang w:val="it-IT"/>
        </w:rPr>
        <w:t>i</w:t>
      </w:r>
      <w:r w:rsidR="0013265B" w:rsidRPr="00496684">
        <w:rPr>
          <w:rFonts w:ascii="Times New Roman" w:hAnsi="Times New Roman"/>
          <w:lang w:val="it-IT"/>
        </w:rPr>
        <w:t>matinib</w:t>
      </w:r>
    </w:p>
    <w:p w14:paraId="7496835E"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4D3A9A3E" w14:textId="77777777" w:rsidR="0013265B" w:rsidRPr="00496684" w:rsidRDefault="0013265B" w:rsidP="0013265B">
      <w:pPr>
        <w:widowControl w:val="0"/>
        <w:spacing w:after="0" w:line="240" w:lineRule="auto"/>
        <w:jc w:val="center"/>
        <w:rPr>
          <w:rFonts w:ascii="Times New Roman" w:hAnsi="Times New Roman"/>
          <w:lang w:val="it-IT"/>
        </w:rPr>
      </w:pPr>
    </w:p>
    <w:p w14:paraId="5C3C2858" w14:textId="77777777" w:rsidR="0013265B" w:rsidRPr="00496684" w:rsidRDefault="0013265B" w:rsidP="0013265B">
      <w:pPr>
        <w:widowControl w:val="0"/>
        <w:spacing w:after="0" w:line="240" w:lineRule="auto"/>
        <w:ind w:right="-2"/>
        <w:rPr>
          <w:rFonts w:ascii="Times New Roman" w:hAnsi="Times New Roman"/>
          <w:lang w:val="it-IT"/>
        </w:rPr>
      </w:pPr>
      <w:r w:rsidRPr="00496684">
        <w:rPr>
          <w:rFonts w:ascii="Times New Roman" w:hAnsi="Times New Roman"/>
          <w:b/>
          <w:lang w:val="it-IT"/>
        </w:rPr>
        <w:t>Legga attentamente questo foglio prima di prendere questo medicinale perchè contiene importanti informazioni per lei.</w:t>
      </w:r>
    </w:p>
    <w:p w14:paraId="0AE4A06C" w14:textId="77777777" w:rsidR="0013265B" w:rsidRPr="00496684" w:rsidRDefault="0013265B" w:rsidP="0013265B">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Conservi questo foglio. Potrebbe aver bisogno di leggerlo di nuovo.</w:t>
      </w:r>
    </w:p>
    <w:p w14:paraId="7FEB0AA6" w14:textId="77777777" w:rsidR="0013265B" w:rsidRPr="00496684" w:rsidRDefault="0013265B" w:rsidP="0013265B">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Se ha qualsiasi dubbio, si rivolga al medico, al farmacista o all’infermiere.</w:t>
      </w:r>
    </w:p>
    <w:p w14:paraId="77048414" w14:textId="77777777" w:rsidR="0013265B" w:rsidRPr="00496684" w:rsidRDefault="0013265B" w:rsidP="0013265B">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Questo medicinale è stato prescritto soltanto per lei. Non lo dia ad altre persone, anche se i sintomi della malattia sono uguali ai suoi, perché potrebbe essere pericoloso.</w:t>
      </w:r>
    </w:p>
    <w:p w14:paraId="034BE430" w14:textId="77777777" w:rsidR="0013265B" w:rsidRPr="00496684" w:rsidRDefault="0013265B" w:rsidP="0013265B">
      <w:pPr>
        <w:widowControl w:val="0"/>
        <w:numPr>
          <w:ilvl w:val="0"/>
          <w:numId w:val="5"/>
        </w:numPr>
        <w:tabs>
          <w:tab w:val="clear" w:pos="644"/>
        </w:tabs>
        <w:spacing w:after="0" w:line="240" w:lineRule="auto"/>
        <w:ind w:hanging="567"/>
        <w:rPr>
          <w:rFonts w:ascii="Times New Roman" w:hAnsi="Times New Roman"/>
          <w:lang w:val="it-IT"/>
        </w:rPr>
      </w:pPr>
      <w:r w:rsidRPr="00496684">
        <w:rPr>
          <w:rFonts w:ascii="Times New Roman" w:hAnsi="Times New Roman"/>
          <w:lang w:val="it-IT"/>
        </w:rPr>
        <w:t xml:space="preserve">Se si manifesta un qualsiasi effetto indesiderato, compresi quelli non elencati in questo foglio, si rivolga al medico, al farmacista o all’infermiere. </w:t>
      </w:r>
      <w:r w:rsidRPr="00496684">
        <w:rPr>
          <w:rFonts w:ascii="TimesNewRoman" w:eastAsia="SimSun" w:hAnsi="TimesNewRoman" w:cs="TimesNewRoman"/>
          <w:lang w:val="it-IT" w:eastAsia="it-IT"/>
        </w:rPr>
        <w:t>Vedere paragrafo 4.</w:t>
      </w:r>
    </w:p>
    <w:p w14:paraId="117DAEBA"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1DA4CC46" w14:textId="77777777" w:rsidR="0013265B" w:rsidRPr="00496684" w:rsidRDefault="0013265B" w:rsidP="0013265B">
      <w:pPr>
        <w:widowControl w:val="0"/>
        <w:numPr>
          <w:ilvl w:val="12"/>
          <w:numId w:val="0"/>
        </w:numPr>
        <w:ind w:right="-2"/>
        <w:rPr>
          <w:rFonts w:ascii="Times New Roman" w:hAnsi="Times New Roman"/>
          <w:lang w:val="it-IT"/>
        </w:rPr>
      </w:pPr>
      <w:r w:rsidRPr="00496684">
        <w:rPr>
          <w:rFonts w:ascii="Times New Roman" w:hAnsi="Times New Roman"/>
          <w:b/>
          <w:lang w:val="it-IT"/>
        </w:rPr>
        <w:t>Contenuto di questo foglio</w:t>
      </w:r>
    </w:p>
    <w:p w14:paraId="563D5479" w14:textId="5A47CB43"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1.</w:t>
      </w:r>
      <w:r w:rsidRPr="00496684">
        <w:rPr>
          <w:rFonts w:ascii="Times New Roman" w:hAnsi="Times New Roman"/>
          <w:lang w:val="it-IT"/>
        </w:rPr>
        <w:tab/>
        <w:t>Cos’è Imatinib Actavis e a cosa serve</w:t>
      </w:r>
    </w:p>
    <w:p w14:paraId="09DE84E5"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w:t>
      </w:r>
      <w:r w:rsidRPr="00496684">
        <w:rPr>
          <w:rFonts w:ascii="Times New Roman" w:hAnsi="Times New Roman"/>
          <w:lang w:val="it-IT"/>
        </w:rPr>
        <w:tab/>
        <w:t>Cosa deve sapere prima di prendere Imatinib Actavis</w:t>
      </w:r>
    </w:p>
    <w:p w14:paraId="389CFDFD"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3.</w:t>
      </w:r>
      <w:r w:rsidRPr="00496684">
        <w:rPr>
          <w:rFonts w:ascii="Times New Roman" w:hAnsi="Times New Roman"/>
          <w:lang w:val="it-IT"/>
        </w:rPr>
        <w:tab/>
        <w:t>Come prendere Imatinib Actavis</w:t>
      </w:r>
    </w:p>
    <w:p w14:paraId="79C8A09C"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4.</w:t>
      </w:r>
      <w:r w:rsidRPr="00496684">
        <w:rPr>
          <w:rFonts w:ascii="Times New Roman" w:hAnsi="Times New Roman"/>
          <w:lang w:val="it-IT"/>
        </w:rPr>
        <w:tab/>
        <w:t>Possibili effetti indesiderati</w:t>
      </w:r>
    </w:p>
    <w:p w14:paraId="20C66860"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5.</w:t>
      </w:r>
      <w:r w:rsidRPr="00496684">
        <w:rPr>
          <w:rFonts w:ascii="Times New Roman" w:hAnsi="Times New Roman"/>
          <w:lang w:val="it-IT"/>
        </w:rPr>
        <w:tab/>
        <w:t>Come conservare Imatinib Actavis</w:t>
      </w:r>
    </w:p>
    <w:p w14:paraId="769EED55"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6.</w:t>
      </w:r>
      <w:r w:rsidRPr="00496684">
        <w:rPr>
          <w:rFonts w:ascii="Times New Roman" w:hAnsi="Times New Roman"/>
          <w:lang w:val="it-IT"/>
        </w:rPr>
        <w:tab/>
        <w:t>Contenuto della confezione e altre informazioni</w:t>
      </w:r>
    </w:p>
    <w:p w14:paraId="4A03DA80"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10E24DD3"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4D04BA7" w14:textId="0F4DACC6" w:rsidR="0013265B" w:rsidRPr="00496684" w:rsidRDefault="0013265B" w:rsidP="0013265B">
      <w:pPr>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1.</w:t>
      </w:r>
      <w:r w:rsidRPr="00496684">
        <w:rPr>
          <w:rFonts w:ascii="Times New Roman" w:hAnsi="Times New Roman"/>
          <w:b/>
          <w:bCs/>
          <w:lang w:val="it-IT"/>
        </w:rPr>
        <w:tab/>
      </w:r>
      <w:r w:rsidRPr="00496684">
        <w:rPr>
          <w:rFonts w:ascii="Times New Roman" w:hAnsi="Times New Roman"/>
          <w:b/>
          <w:lang w:val="it-IT"/>
        </w:rPr>
        <w:t>Cos’è Imatinib Actavis e a cosa serve</w:t>
      </w:r>
    </w:p>
    <w:p w14:paraId="55F321C1" w14:textId="77777777" w:rsidR="0013265B" w:rsidRPr="00496684" w:rsidRDefault="0013265B" w:rsidP="0013265B">
      <w:pPr>
        <w:autoSpaceDE w:val="0"/>
        <w:autoSpaceDN w:val="0"/>
        <w:adjustRightInd w:val="0"/>
        <w:spacing w:after="0" w:line="240" w:lineRule="auto"/>
        <w:rPr>
          <w:rFonts w:ascii="Times New Roman" w:hAnsi="Times New Roman"/>
          <w:bCs/>
          <w:lang w:val="it-IT"/>
        </w:rPr>
      </w:pPr>
    </w:p>
    <w:p w14:paraId="6B62CC04"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è un medicinale contenente un principio attivo chiamato imatinib. Questo medicinale agisce inibendo la crescita di cellule anormali nelle patologie di seguito elencate. Queste comprendono alcuni tipi di cancro.</w:t>
      </w:r>
    </w:p>
    <w:p w14:paraId="4839ACAA"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7A1CF4C" w14:textId="483D1691" w:rsidR="0013265B" w:rsidRPr="00496684" w:rsidRDefault="0013265B" w:rsidP="0013265B">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Imatinib Actavis è un trattamento per:</w:t>
      </w:r>
    </w:p>
    <w:p w14:paraId="459A72C5"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p>
    <w:p w14:paraId="5131D970"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rFonts w:ascii="Times New Roman" w:eastAsia="Times New Roman" w:hAnsi="Times New Roman"/>
          <w:lang w:val="it-IT" w:eastAsia="it-IT"/>
        </w:rPr>
      </w:pPr>
      <w:r w:rsidRPr="00496684">
        <w:rPr>
          <w:rFonts w:ascii="Times New Roman" w:hAnsi="Times New Roman"/>
          <w:b/>
          <w:bCs/>
          <w:lang w:val="it-IT"/>
        </w:rPr>
        <w:t>Leucemia mieloide cronica (LMC).</w:t>
      </w:r>
    </w:p>
    <w:p w14:paraId="006F90C8" w14:textId="77777777" w:rsidR="0013265B" w:rsidRPr="00496684" w:rsidRDefault="0013265B" w:rsidP="0013265B">
      <w:pPr>
        <w:autoSpaceDE w:val="0"/>
        <w:autoSpaceDN w:val="0"/>
        <w:adjustRightInd w:val="0"/>
        <w:spacing w:after="0" w:line="240" w:lineRule="auto"/>
        <w:ind w:left="567"/>
        <w:rPr>
          <w:rFonts w:ascii="Times New Roman" w:hAnsi="Times New Roman"/>
          <w:lang w:val="it-IT"/>
        </w:rPr>
      </w:pPr>
      <w:r w:rsidRPr="00496684">
        <w:rPr>
          <w:rFonts w:ascii="Times New Roman" w:hAnsi="Times New Roman"/>
          <w:lang w:val="it-IT"/>
        </w:rPr>
        <w:t>La leucemia è un tumore dei globuli bianchi. I globuli bianchi normalmente aiutano l’organismo a combattere le infezioni. La leucemia mieloide cronica è una forma di leucemia nella quale alcuni globuli bianchi anormali (chiamati cellule mieloidi) iniziano a crescere senza controllo.</w:t>
      </w:r>
    </w:p>
    <w:p w14:paraId="5311FC22" w14:textId="77777777" w:rsidR="0013265B" w:rsidRPr="00496684" w:rsidRDefault="0013265B" w:rsidP="0013265B">
      <w:pPr>
        <w:autoSpaceDE w:val="0"/>
        <w:autoSpaceDN w:val="0"/>
        <w:adjustRightInd w:val="0"/>
        <w:spacing w:after="0" w:line="240" w:lineRule="auto"/>
        <w:ind w:left="567"/>
        <w:rPr>
          <w:rFonts w:ascii="Times New Roman" w:hAnsi="Times New Roman"/>
          <w:bCs/>
          <w:lang w:val="it-IT"/>
        </w:rPr>
      </w:pPr>
    </w:p>
    <w:p w14:paraId="74027606" w14:textId="77777777" w:rsidR="0013265B" w:rsidRPr="00496684" w:rsidRDefault="0013265B" w:rsidP="0013265B">
      <w:pPr>
        <w:autoSpaceDE w:val="0"/>
        <w:autoSpaceDN w:val="0"/>
        <w:adjustRightInd w:val="0"/>
        <w:spacing w:after="0" w:line="240" w:lineRule="auto"/>
        <w:ind w:left="567"/>
        <w:rPr>
          <w:rFonts w:ascii="Times New Roman" w:hAnsi="Times New Roman"/>
          <w:lang w:val="it-IT"/>
        </w:rPr>
      </w:pPr>
      <w:r w:rsidRPr="00496684">
        <w:rPr>
          <w:rFonts w:ascii="Times New Roman" w:hAnsi="Times New Roman"/>
          <w:lang w:val="it-IT"/>
        </w:rPr>
        <w:t>Nei pazienti adulti, Imatinib Actavis è indicato nella fase più avanzata della malattia (crisi blastica). Nei bambini e adolescenti, Imatinib Actavis può essere usato in fasi differenti della malattia (fase cronica, accelerata e crisi blastica).</w:t>
      </w:r>
    </w:p>
    <w:p w14:paraId="1D76A909"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0701B6F"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rFonts w:ascii="Times New Roman" w:hAnsi="Times New Roman"/>
          <w:lang w:val="it-IT"/>
        </w:rPr>
      </w:pPr>
      <w:r w:rsidRPr="00496684">
        <w:rPr>
          <w:rFonts w:ascii="Times New Roman" w:hAnsi="Times New Roman"/>
          <w:b/>
          <w:bCs/>
          <w:lang w:val="it-IT"/>
        </w:rPr>
        <w:t>Leucemia linfoblastica acuta positiva al cromosoma philadelphia (LLA Ph+).</w:t>
      </w:r>
    </w:p>
    <w:p w14:paraId="77D95F2A" w14:textId="77777777" w:rsidR="00ED67BC" w:rsidRPr="00496684" w:rsidRDefault="0013265B" w:rsidP="00CE7998">
      <w:pPr>
        <w:pStyle w:val="Text"/>
        <w:widowControl w:val="0"/>
        <w:spacing w:before="0"/>
        <w:ind w:left="567"/>
        <w:jc w:val="left"/>
        <w:rPr>
          <w:b/>
          <w:sz w:val="22"/>
          <w:szCs w:val="22"/>
          <w:lang w:val="it-IT"/>
        </w:rPr>
      </w:pPr>
      <w:r w:rsidRPr="00496684">
        <w:rPr>
          <w:color w:val="000000"/>
          <w:lang w:val="it-IT" w:eastAsia="is-IS"/>
        </w:rPr>
        <w:t xml:space="preserve">La leucemia è un tumore dei globuli bianchi. I globuli bianchi normalmente aiutano l’organismo a combattere le infezioni. La leucemia linfoblastica acuta è una forma di leucemia nella quale alcuni globuli bianchi anormali (chiamati linfoblasti) iniziano a crescere senza controllo. Imatinib Actavis inibisce la crescita di queste cellule. </w:t>
      </w:r>
    </w:p>
    <w:p w14:paraId="6924D966" w14:textId="77777777" w:rsidR="00ED67BC" w:rsidRPr="00496684" w:rsidRDefault="00ED67BC" w:rsidP="00ED67BC">
      <w:pPr>
        <w:pStyle w:val="Text"/>
        <w:widowControl w:val="0"/>
        <w:spacing w:before="0"/>
        <w:jc w:val="left"/>
        <w:rPr>
          <w:b/>
          <w:bCs/>
          <w:sz w:val="22"/>
          <w:szCs w:val="22"/>
          <w:lang w:val="it-IT"/>
        </w:rPr>
      </w:pPr>
    </w:p>
    <w:p w14:paraId="45B503BB" w14:textId="77777777" w:rsidR="00ED67BC" w:rsidRPr="00496684" w:rsidRDefault="00ED67BC" w:rsidP="00ED67BC">
      <w:pPr>
        <w:pStyle w:val="Text"/>
        <w:widowControl w:val="0"/>
        <w:spacing w:before="0"/>
        <w:jc w:val="left"/>
        <w:rPr>
          <w:b/>
          <w:sz w:val="22"/>
          <w:szCs w:val="22"/>
          <w:lang w:val="it-IT"/>
        </w:rPr>
      </w:pPr>
      <w:r w:rsidRPr="00496684">
        <w:rPr>
          <w:b/>
          <w:bCs/>
          <w:sz w:val="22"/>
          <w:szCs w:val="22"/>
          <w:lang w:val="it-IT"/>
        </w:rPr>
        <w:t xml:space="preserve">Imatinib Actavis </w:t>
      </w:r>
      <w:r w:rsidRPr="00496684">
        <w:rPr>
          <w:b/>
          <w:sz w:val="22"/>
          <w:szCs w:val="22"/>
          <w:lang w:val="it-IT"/>
        </w:rPr>
        <w:t>è anche indicato nei pazienti adulti per il trattamento di:</w:t>
      </w:r>
    </w:p>
    <w:p w14:paraId="4C5D096E" w14:textId="77777777" w:rsidR="0013265B" w:rsidRPr="00496684" w:rsidRDefault="0013265B" w:rsidP="00CE7998">
      <w:pPr>
        <w:autoSpaceDE w:val="0"/>
        <w:autoSpaceDN w:val="0"/>
        <w:adjustRightInd w:val="0"/>
        <w:spacing w:after="0" w:line="240" w:lineRule="auto"/>
        <w:ind w:left="567"/>
        <w:rPr>
          <w:rFonts w:ascii="Times New Roman" w:hAnsi="Times New Roman"/>
          <w:color w:val="000000"/>
          <w:lang w:val="it-IT" w:eastAsia="is-IS"/>
        </w:rPr>
      </w:pPr>
    </w:p>
    <w:p w14:paraId="283F9B67"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Malattie mielodisplastiche/mieloproliferative (MDS/MPD)</w:t>
      </w:r>
    </w:p>
    <w:p w14:paraId="2B397B1D" w14:textId="77777777" w:rsidR="0013265B" w:rsidRPr="00496684" w:rsidRDefault="0013265B" w:rsidP="0013265B">
      <w:pPr>
        <w:autoSpaceDE w:val="0"/>
        <w:autoSpaceDN w:val="0"/>
        <w:adjustRightInd w:val="0"/>
        <w:spacing w:after="0" w:line="240" w:lineRule="auto"/>
        <w:ind w:left="567" w:hanging="283"/>
        <w:rPr>
          <w:rFonts w:ascii="Times New Roman" w:hAnsi="Times New Roman"/>
          <w:color w:val="000000"/>
          <w:lang w:val="it-IT" w:eastAsia="is-IS"/>
        </w:rPr>
      </w:pPr>
      <w:r w:rsidRPr="00496684">
        <w:rPr>
          <w:rFonts w:ascii="Times New Roman" w:hAnsi="Times New Roman"/>
          <w:color w:val="000000"/>
          <w:lang w:val="it-IT" w:eastAsia="is-IS"/>
        </w:rPr>
        <w:t xml:space="preserve">Queste sono un gruppo di malattie ematologiche nelle quali alcune cellule del sangue iniziano a crescere senza controllo. Imatinib Actavis inibisce la crescita di queste cellule in specifici  sottotipi di queste malattie. </w:t>
      </w:r>
    </w:p>
    <w:p w14:paraId="5734BFF4"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rFonts w:ascii="Times New Roman" w:hAnsi="Times New Roman"/>
          <w:b/>
          <w:bCs/>
          <w:lang w:val="it-IT"/>
        </w:rPr>
      </w:pPr>
      <w:r w:rsidRPr="00496684">
        <w:rPr>
          <w:rFonts w:ascii="Times New Roman" w:hAnsi="Times New Roman"/>
          <w:b/>
          <w:bCs/>
          <w:lang w:val="it-IT"/>
        </w:rPr>
        <w:t>Sindrome ipereosinofila (HES) e/o leucemia eosinofila cronica (LEC)</w:t>
      </w:r>
    </w:p>
    <w:p w14:paraId="1DB4EB3B" w14:textId="77777777" w:rsidR="0013265B" w:rsidRPr="00496684" w:rsidRDefault="0013265B" w:rsidP="0013265B">
      <w:pPr>
        <w:autoSpaceDE w:val="0"/>
        <w:autoSpaceDN w:val="0"/>
        <w:adjustRightInd w:val="0"/>
        <w:spacing w:after="0" w:line="240" w:lineRule="auto"/>
        <w:ind w:left="567" w:hanging="283"/>
        <w:rPr>
          <w:rFonts w:ascii="Times New Roman" w:hAnsi="Times New Roman"/>
          <w:color w:val="000000"/>
          <w:lang w:val="it-IT" w:eastAsia="is-IS"/>
        </w:rPr>
      </w:pPr>
      <w:r w:rsidRPr="00496684">
        <w:rPr>
          <w:rFonts w:ascii="Times New Roman" w:hAnsi="Times New Roman"/>
          <w:color w:val="000000"/>
          <w:lang w:val="it-IT" w:eastAsia="is-IS"/>
        </w:rPr>
        <w:t xml:space="preserve">Sono malattie del sangue dove delle cellule del sangue (chiamate eosinofili) iniziano a crescere senza controllo. Imatinib Actavis inibisce la crescita di queste cellule in uno specifico sottotipo di queste malattie. </w:t>
      </w:r>
    </w:p>
    <w:p w14:paraId="40B0E603"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Dermatofibrosarcoma protuberans (DFSP)</w:t>
      </w:r>
    </w:p>
    <w:p w14:paraId="5D74E80A" w14:textId="77777777" w:rsidR="0013265B" w:rsidRPr="00496684" w:rsidRDefault="0013265B" w:rsidP="0013265B">
      <w:pPr>
        <w:autoSpaceDE w:val="0"/>
        <w:autoSpaceDN w:val="0"/>
        <w:adjustRightInd w:val="0"/>
        <w:spacing w:after="0" w:line="240" w:lineRule="auto"/>
        <w:ind w:left="567" w:hanging="283"/>
        <w:rPr>
          <w:rFonts w:ascii="Times New Roman" w:hAnsi="Times New Roman"/>
          <w:color w:val="000000"/>
          <w:lang w:val="it-IT" w:eastAsia="is-IS"/>
        </w:rPr>
      </w:pPr>
      <w:r w:rsidRPr="00496684">
        <w:rPr>
          <w:rFonts w:ascii="Times New Roman" w:hAnsi="Times New Roman"/>
          <w:color w:val="000000"/>
          <w:lang w:val="it-IT" w:eastAsia="is-IS"/>
        </w:rPr>
        <w:t xml:space="preserve">DFSP è un tumore del tessuto sottocutaneo nel quale alcune cellule iniziano a crescere senza controllo. Imatinib Actavis inibisce la crescita di queste cellule. </w:t>
      </w:r>
    </w:p>
    <w:p w14:paraId="68F6B780" w14:textId="77777777" w:rsidR="00ED67BC" w:rsidRPr="00496684" w:rsidRDefault="00ED67BC" w:rsidP="0013265B">
      <w:pPr>
        <w:autoSpaceDE w:val="0"/>
        <w:autoSpaceDN w:val="0"/>
        <w:adjustRightInd w:val="0"/>
        <w:spacing w:after="0" w:line="240" w:lineRule="auto"/>
        <w:rPr>
          <w:rFonts w:ascii="Times New Roman" w:hAnsi="Times New Roman"/>
          <w:lang w:val="it-IT"/>
        </w:rPr>
      </w:pPr>
    </w:p>
    <w:p w14:paraId="5BEA8A9B" w14:textId="77777777" w:rsidR="0013265B" w:rsidRPr="00496684" w:rsidRDefault="0013265B" w:rsidP="0013265B">
      <w:pPr>
        <w:autoSpaceDE w:val="0"/>
        <w:autoSpaceDN w:val="0"/>
        <w:adjustRightInd w:val="0"/>
        <w:spacing w:after="0" w:line="240" w:lineRule="auto"/>
        <w:rPr>
          <w:lang w:val="it-IT"/>
        </w:rPr>
      </w:pPr>
      <w:r w:rsidRPr="00496684">
        <w:rPr>
          <w:rFonts w:ascii="Times New Roman" w:hAnsi="Times New Roman"/>
          <w:lang w:val="it-IT"/>
        </w:rPr>
        <w:t>Nel resto di questo foglio illustrativo si useranno le abbreviazioni quando si parlerà di queste malattie</w:t>
      </w:r>
    </w:p>
    <w:p w14:paraId="4FD445BB" w14:textId="77777777" w:rsidR="0013265B" w:rsidRPr="00496684" w:rsidRDefault="0013265B" w:rsidP="0013265B">
      <w:pPr>
        <w:autoSpaceDE w:val="0"/>
        <w:autoSpaceDN w:val="0"/>
        <w:adjustRightInd w:val="0"/>
        <w:spacing w:after="0" w:line="240" w:lineRule="auto"/>
        <w:ind w:left="284"/>
        <w:rPr>
          <w:rFonts w:ascii="Times New Roman" w:hAnsi="Times New Roman"/>
          <w:lang w:val="it-IT"/>
        </w:rPr>
      </w:pPr>
    </w:p>
    <w:p w14:paraId="1D840694"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ha delle domande riguardo a come Imatinib Actavis agisce o sul motivo per cui le è stato prescritto Imatinib Actavis, consulti il medico.</w:t>
      </w:r>
    </w:p>
    <w:p w14:paraId="6CFD27F7"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46F32485"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78CCCA78"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Cosa deve sapere prima di prendere Imatinib Actavis</w:t>
      </w:r>
    </w:p>
    <w:p w14:paraId="63805AB9"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4E25523C" w14:textId="77777777" w:rsidR="0013265B" w:rsidRPr="00496684" w:rsidRDefault="0013265B" w:rsidP="0013265B">
      <w:pPr>
        <w:spacing w:after="0" w:line="240" w:lineRule="auto"/>
        <w:rPr>
          <w:rFonts w:ascii="Times New Roman" w:hAnsi="Times New Roman"/>
          <w:lang w:val="it-IT"/>
        </w:rPr>
      </w:pPr>
      <w:r w:rsidRPr="00496684">
        <w:rPr>
          <w:rFonts w:ascii="Times New Roman" w:hAnsi="Times New Roman"/>
          <w:lang w:val="it-IT"/>
        </w:rPr>
        <w:t>Imatinib Actavis le verrà prescritto solo da medici con esperienza in medicinali per il trattamento dei tumori del sangue o tumori solidi.</w:t>
      </w:r>
    </w:p>
    <w:p w14:paraId="08D09846" w14:textId="77777777" w:rsidR="0013265B" w:rsidRPr="00496684" w:rsidRDefault="0013265B" w:rsidP="0013265B">
      <w:pPr>
        <w:spacing w:after="0" w:line="240" w:lineRule="auto"/>
        <w:rPr>
          <w:rFonts w:ascii="Times New Roman" w:hAnsi="Times New Roman"/>
          <w:lang w:val="it-IT"/>
        </w:rPr>
      </w:pPr>
    </w:p>
    <w:p w14:paraId="456E6C0D"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Segua attentamente tutte le istruzioni del medico, anche se differiscono dalle informazioni generali contenute in questo foglio.</w:t>
      </w:r>
    </w:p>
    <w:p w14:paraId="38341886"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p>
    <w:p w14:paraId="419D9270" w14:textId="4F2FFB1D" w:rsidR="0013265B" w:rsidRPr="00496684" w:rsidRDefault="0013265B" w:rsidP="0013265B">
      <w:pPr>
        <w:widowControl w:val="0"/>
        <w:numPr>
          <w:ilvl w:val="12"/>
          <w:numId w:val="0"/>
        </w:numPr>
        <w:spacing w:after="0" w:line="240" w:lineRule="auto"/>
        <w:rPr>
          <w:rFonts w:ascii="Times New Roman" w:hAnsi="Times New Roman"/>
          <w:lang w:val="it-IT"/>
        </w:rPr>
      </w:pPr>
      <w:r w:rsidRPr="00496684">
        <w:rPr>
          <w:rFonts w:ascii="Times New Roman" w:hAnsi="Times New Roman"/>
          <w:b/>
          <w:lang w:val="it-IT"/>
        </w:rPr>
        <w:t>Non prenda Imatinib Actavis</w:t>
      </w:r>
    </w:p>
    <w:p w14:paraId="5507B0A6" w14:textId="77777777" w:rsidR="0013265B" w:rsidRPr="00496684" w:rsidRDefault="0013265B" w:rsidP="0013265B">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se è allergico a imatinib o ad uno qualsiasi degli altri componenti di questo medicinale (elencati al paragrafo 6).</w:t>
      </w:r>
    </w:p>
    <w:p w14:paraId="2310A19B" w14:textId="77777777" w:rsidR="0013265B" w:rsidRPr="00496684" w:rsidRDefault="0013265B" w:rsidP="0013265B">
      <w:pPr>
        <w:widowControl w:val="0"/>
        <w:numPr>
          <w:ilvl w:val="12"/>
          <w:numId w:val="0"/>
        </w:numPr>
        <w:spacing w:after="0" w:line="240" w:lineRule="auto"/>
        <w:ind w:left="567" w:hanging="567"/>
        <w:rPr>
          <w:rFonts w:ascii="Times New Roman" w:hAnsi="Times New Roman"/>
          <w:lang w:val="it-IT"/>
        </w:rPr>
      </w:pPr>
    </w:p>
    <w:p w14:paraId="50146DDB"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r w:rsidRPr="00496684">
        <w:rPr>
          <w:rFonts w:ascii="Times New Roman" w:eastAsia="Times New Roman" w:hAnsi="Times New Roman"/>
          <w:lang w:val="it-IT"/>
        </w:rPr>
        <w:t xml:space="preserve">Se è in questa situazione, </w:t>
      </w:r>
      <w:r w:rsidRPr="00496684">
        <w:rPr>
          <w:rFonts w:ascii="Times New Roman" w:eastAsia="Times New Roman" w:hAnsi="Times New Roman"/>
          <w:b/>
          <w:lang w:val="it-IT"/>
        </w:rPr>
        <w:t>consulti il medico senza prendere Imatinib Actavis.</w:t>
      </w:r>
    </w:p>
    <w:p w14:paraId="3AC74D64" w14:textId="77777777" w:rsidR="0013265B" w:rsidRPr="00496684" w:rsidRDefault="0013265B" w:rsidP="0013265B">
      <w:pPr>
        <w:widowControl w:val="0"/>
        <w:numPr>
          <w:ilvl w:val="12"/>
          <w:numId w:val="0"/>
        </w:numPr>
        <w:spacing w:after="0" w:line="240" w:lineRule="auto"/>
        <w:ind w:left="567" w:hanging="567"/>
        <w:rPr>
          <w:rFonts w:ascii="Times New Roman" w:hAnsi="Times New Roman"/>
          <w:lang w:val="it-IT"/>
        </w:rPr>
      </w:pPr>
    </w:p>
    <w:p w14:paraId="0AF0BF36" w14:textId="77777777" w:rsidR="0013265B" w:rsidRPr="00496684" w:rsidRDefault="0013265B" w:rsidP="0013265B">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Se pensa di poter essere allergico ma non è sicuro, chieda consiglio al medico.</w:t>
      </w:r>
    </w:p>
    <w:p w14:paraId="50E431D7"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D58D9EC"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Avvertenze e precauzioni</w:t>
      </w:r>
    </w:p>
    <w:p w14:paraId="34AD2440" w14:textId="77777777" w:rsidR="0013265B" w:rsidRPr="00496684" w:rsidRDefault="0013265B" w:rsidP="0013265B">
      <w:pPr>
        <w:widowControl w:val="0"/>
        <w:spacing w:after="0" w:line="240" w:lineRule="auto"/>
        <w:rPr>
          <w:rFonts w:ascii="Times New Roman" w:hAnsi="Times New Roman"/>
          <w:lang w:val="it-IT"/>
        </w:rPr>
      </w:pPr>
      <w:r w:rsidRPr="00496684">
        <w:rPr>
          <w:rFonts w:ascii="Times New Roman" w:hAnsi="Times New Roman"/>
          <w:lang w:val="it-IT"/>
        </w:rPr>
        <w:t>Si rivolga al medico prima di prendere Imatinib Actavis:</w:t>
      </w:r>
    </w:p>
    <w:p w14:paraId="71548C34" w14:textId="77777777" w:rsidR="00B83643" w:rsidRPr="00496684" w:rsidRDefault="00B83643" w:rsidP="00B83643">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ha o ha avuto disturbi al fegato, ai reni o al cuore.</w:t>
      </w:r>
    </w:p>
    <w:p w14:paraId="5393A8BE" w14:textId="77777777" w:rsidR="00B83643" w:rsidRPr="00496684" w:rsidRDefault="00B83643" w:rsidP="00B83643">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sta assumendo il medicinale levotiroxina poichè le è stata asportata la tiroide.</w:t>
      </w:r>
    </w:p>
    <w:p w14:paraId="62BD529E" w14:textId="25247EE5" w:rsidR="00B83643" w:rsidRPr="00496684" w:rsidRDefault="00B83643" w:rsidP="00B83643">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 xml:space="preserve">se lei ha mai avuto o </w:t>
      </w:r>
      <w:r w:rsidR="001430FA" w:rsidRPr="00496684">
        <w:rPr>
          <w:rFonts w:ascii="Times New Roman" w:hAnsi="Times New Roman"/>
          <w:lang w:val="it-IT"/>
        </w:rPr>
        <w:t>può</w:t>
      </w:r>
      <w:r w:rsidRPr="00496684">
        <w:rPr>
          <w:rFonts w:ascii="Times New Roman" w:hAnsi="Times New Roman"/>
          <w:lang w:val="it-IT"/>
        </w:rPr>
        <w:t xml:space="preserve"> avere in corso un’infezione da epatite B . Questo perché Imatinib Actavis </w:t>
      </w:r>
      <w:r w:rsidR="001430FA" w:rsidRPr="00496684">
        <w:rPr>
          <w:rFonts w:ascii="Times New Roman" w:hAnsi="Times New Roman"/>
          <w:lang w:val="it-IT"/>
        </w:rPr>
        <w:t>può</w:t>
      </w:r>
      <w:r w:rsidRPr="00496684">
        <w:rPr>
          <w:rFonts w:ascii="Times New Roman" w:hAnsi="Times New Roman"/>
          <w:lang w:val="it-IT"/>
        </w:rPr>
        <w:t xml:space="preserve"> causare la riattivazione dell’epatite B, che in alcuni casi può essere fatale. I pazienti verranno esaminati attentamente dal medico per i segni di questa infezione prima di iniziare il trattamento.</w:t>
      </w:r>
    </w:p>
    <w:p w14:paraId="12DCECFB" w14:textId="407C1FD7" w:rsidR="001430FA" w:rsidRPr="00496684" w:rsidRDefault="001430FA" w:rsidP="00B83643">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se presenta lividi, sanguinamento, febbre, stanchezza e confusione durante l’assunzione di Imatinib Actavis, contatti il medico. Questo può essere un segno di danno ai vasi sanguigni noto come microangiopatia trombotica (TMA).</w:t>
      </w:r>
    </w:p>
    <w:p w14:paraId="14177030" w14:textId="77777777" w:rsidR="00B83643" w:rsidRPr="00496684" w:rsidRDefault="00B83643" w:rsidP="0013265B">
      <w:pPr>
        <w:widowControl w:val="0"/>
        <w:numPr>
          <w:ilvl w:val="12"/>
          <w:numId w:val="0"/>
        </w:numPr>
        <w:spacing w:after="0" w:line="240" w:lineRule="auto"/>
        <w:rPr>
          <w:rFonts w:ascii="Times New Roman" w:eastAsia="Times New Roman" w:hAnsi="Times New Roman"/>
          <w:lang w:val="it-IT"/>
        </w:rPr>
      </w:pPr>
    </w:p>
    <w:p w14:paraId="62378D6B"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r w:rsidRPr="00496684">
        <w:rPr>
          <w:rFonts w:ascii="Times New Roman" w:eastAsia="Times New Roman" w:hAnsi="Times New Roman"/>
          <w:lang w:val="it-IT"/>
        </w:rPr>
        <w:t xml:space="preserve">Se è in una di queste situazioni, </w:t>
      </w:r>
      <w:r w:rsidRPr="00496684">
        <w:rPr>
          <w:rFonts w:ascii="Times New Roman" w:eastAsia="Times New Roman" w:hAnsi="Times New Roman"/>
          <w:b/>
          <w:lang w:val="it-IT"/>
        </w:rPr>
        <w:t>consulti il medico prima di prendere Imatinib Actavis.</w:t>
      </w:r>
    </w:p>
    <w:p w14:paraId="0839339E" w14:textId="77777777" w:rsidR="00B56712" w:rsidRPr="00496684" w:rsidRDefault="00B56712" w:rsidP="00B56712">
      <w:pPr>
        <w:pStyle w:val="Endnotentext"/>
        <w:widowControl w:val="0"/>
        <w:numPr>
          <w:ilvl w:val="12"/>
          <w:numId w:val="0"/>
        </w:numPr>
        <w:rPr>
          <w:szCs w:val="22"/>
          <w:lang w:val="it-IT"/>
        </w:rPr>
      </w:pPr>
    </w:p>
    <w:p w14:paraId="157DDD89" w14:textId="77777777" w:rsidR="00B56712" w:rsidRPr="00496684" w:rsidRDefault="00B56712" w:rsidP="00B56712">
      <w:pPr>
        <w:pStyle w:val="Endnotentext"/>
        <w:widowControl w:val="0"/>
        <w:numPr>
          <w:ilvl w:val="12"/>
          <w:numId w:val="0"/>
        </w:numPr>
        <w:tabs>
          <w:tab w:val="clear" w:pos="567"/>
        </w:tabs>
        <w:rPr>
          <w:szCs w:val="22"/>
          <w:lang w:val="it-IT"/>
        </w:rPr>
      </w:pPr>
      <w:r w:rsidRPr="00496684">
        <w:rPr>
          <w:szCs w:val="22"/>
          <w:lang w:val="it-IT"/>
        </w:rPr>
        <w:t>Durante il trattamento con Imatinib Actavis può diventare più sensibile al sole. E’ importante coprire le aree della pelle esposte al sole e utilizzare un filtro solare con un elevato fattore di protezione solare (SPF). Queste precauzioni si applicano anche ai bambini.</w:t>
      </w:r>
    </w:p>
    <w:p w14:paraId="18A89FE6"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p>
    <w:p w14:paraId="180AE6D7"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r w:rsidRPr="00496684">
        <w:rPr>
          <w:rFonts w:ascii="Times New Roman" w:eastAsia="Times New Roman" w:hAnsi="Times New Roman"/>
          <w:b/>
          <w:lang w:val="it-IT"/>
        </w:rPr>
        <w:t>Durante il trattamento con Imatinib Actavis, informi immediatamente il medico</w:t>
      </w:r>
      <w:r w:rsidRPr="00496684">
        <w:rPr>
          <w:rFonts w:ascii="Times New Roman" w:eastAsia="Times New Roman" w:hAnsi="Times New Roman"/>
          <w:lang w:val="it-IT"/>
        </w:rPr>
        <w:t xml:space="preserve"> se aumenta di peso molto velocemente. Imatinib Actavis può far trattenere al corpo acqua (grave ritenzione di liquidi).</w:t>
      </w:r>
    </w:p>
    <w:p w14:paraId="754686FE"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2DB5A3A7"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r w:rsidRPr="00496684">
        <w:rPr>
          <w:rFonts w:ascii="Times New Roman" w:eastAsia="Times New Roman" w:hAnsi="Times New Roman"/>
          <w:lang w:val="it-IT"/>
        </w:rPr>
        <w:t>Mentre sta assumendo Imatinib Actavis, il medico dovrà regolarmente controllare se il medicinale è efficace. Inoltre le verranno fatti esami del sangue e verrà pesato regolarmente.</w:t>
      </w:r>
    </w:p>
    <w:p w14:paraId="2C540E5E"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2FB7F7AD" w14:textId="77777777" w:rsidR="0013265B" w:rsidRPr="00496684" w:rsidRDefault="0013265B" w:rsidP="0013265B">
      <w:pPr>
        <w:widowControl w:val="0"/>
        <w:numPr>
          <w:ilvl w:val="12"/>
          <w:numId w:val="0"/>
        </w:numPr>
        <w:spacing w:after="0" w:line="240" w:lineRule="auto"/>
        <w:rPr>
          <w:rFonts w:ascii="Times New Roman" w:eastAsia="Times New Roman" w:hAnsi="Times New Roman"/>
          <w:b/>
          <w:lang w:val="it-IT"/>
        </w:rPr>
      </w:pPr>
      <w:r w:rsidRPr="00496684">
        <w:rPr>
          <w:rFonts w:ascii="Times New Roman" w:eastAsia="Times New Roman" w:hAnsi="Times New Roman"/>
          <w:b/>
          <w:lang w:val="it-IT"/>
        </w:rPr>
        <w:t>Bambini e adolescenti</w:t>
      </w:r>
    </w:p>
    <w:p w14:paraId="3FA58549" w14:textId="7889B87B" w:rsidR="0013265B" w:rsidRPr="00496684" w:rsidRDefault="0013265B" w:rsidP="0013265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è anche un trattamento per i bambini con LMC. Non c’è esperienza nei bambini con LMC di età inferiore a 2 anni. C’è una limitata esperienza nei bambini con LLA Ph+ ed è molto limitata l’esperienza nei bambini con MDS/MPD, DFSP, GIST e HES/LEC.</w:t>
      </w:r>
    </w:p>
    <w:p w14:paraId="4BF70867"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F0A2AD0" w14:textId="77777777" w:rsidR="0013265B" w:rsidRPr="00496684" w:rsidRDefault="0013265B" w:rsidP="0013265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Alcuni bambini e adolescenti che assumono Imatinib Actavis possono avere una crescita più lenta del normale. Il medico controllerà la crescita a intervalli regolari.</w:t>
      </w:r>
    </w:p>
    <w:p w14:paraId="24194DC6"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79C96118" w14:textId="77777777" w:rsidR="0013265B" w:rsidRPr="00496684" w:rsidRDefault="0013265B" w:rsidP="0013265B">
      <w:pPr>
        <w:widowControl w:val="0"/>
        <w:numPr>
          <w:ilvl w:val="12"/>
          <w:numId w:val="0"/>
        </w:numPr>
        <w:spacing w:after="0" w:line="240" w:lineRule="auto"/>
        <w:rPr>
          <w:rFonts w:ascii="Times New Roman" w:eastAsia="Times New Roman" w:hAnsi="Times New Roman"/>
          <w:b/>
          <w:lang w:val="it-IT"/>
        </w:rPr>
      </w:pPr>
      <w:r w:rsidRPr="00496684">
        <w:rPr>
          <w:rFonts w:ascii="Times New Roman" w:eastAsia="Times New Roman" w:hAnsi="Times New Roman"/>
          <w:b/>
          <w:lang w:val="it-IT"/>
        </w:rPr>
        <w:t>Altri medicinali e Imatinib Actavis</w:t>
      </w:r>
    </w:p>
    <w:p w14:paraId="3D9ED074"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r w:rsidRPr="00496684">
        <w:rPr>
          <w:rFonts w:ascii="Times New Roman" w:eastAsia="Times New Roman" w:hAnsi="Times New Roman"/>
          <w:lang w:val="it-IT"/>
        </w:rPr>
        <w:t>Informi il medico o il farmacista se sta assumendo, ha recentemente assunto o potrebbe assumere qualsiasi altro medicinale, compresi quelli senza prescrizione medica (come il paracetamolo) e inclusi i medicinali a base di piante medicinali (come l’erba di San Giovanni). Alcuni medicinali possono interferire con l’effetto di Imatinib Actavis quando assunti insieme. Possono aumentare o diminuire l’effetto di Imatinib Actavis portando ad un aumento degli effetti indesiderati o rendendo Imatinib Actavis meno efficace. Imatinib Actavis può fare lo stesso nei confronti di altri medicinali.</w:t>
      </w:r>
    </w:p>
    <w:p w14:paraId="10AFBA00"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p>
    <w:p w14:paraId="407F4CE5"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r w:rsidRPr="00496684">
        <w:rPr>
          <w:rFonts w:ascii="Times New Roman" w:eastAsia="Times New Roman" w:hAnsi="Times New Roman"/>
          <w:lang w:val="it-IT"/>
        </w:rPr>
        <w:t>Informi il medico se sta usando medicinali che prevengono la formazione di coaguli di sangue.</w:t>
      </w:r>
    </w:p>
    <w:p w14:paraId="6EB5BE30" w14:textId="77777777" w:rsidR="0013265B" w:rsidRPr="00496684" w:rsidRDefault="0013265B" w:rsidP="0013265B">
      <w:pPr>
        <w:widowControl w:val="0"/>
        <w:numPr>
          <w:ilvl w:val="12"/>
          <w:numId w:val="0"/>
        </w:numPr>
        <w:spacing w:after="0" w:line="240" w:lineRule="auto"/>
        <w:rPr>
          <w:rFonts w:ascii="Times New Roman" w:eastAsia="Times New Roman" w:hAnsi="Times New Roman"/>
          <w:lang w:val="it-IT"/>
        </w:rPr>
      </w:pPr>
    </w:p>
    <w:p w14:paraId="4D4E1ED7" w14:textId="77777777" w:rsidR="0013265B" w:rsidRPr="00496684" w:rsidRDefault="0013265B" w:rsidP="0013265B">
      <w:pPr>
        <w:widowControl w:val="0"/>
        <w:numPr>
          <w:ilvl w:val="12"/>
          <w:numId w:val="0"/>
        </w:numPr>
        <w:spacing w:after="0" w:line="240" w:lineRule="auto"/>
        <w:rPr>
          <w:rFonts w:ascii="Times New Roman" w:eastAsia="Times New Roman" w:hAnsi="Times New Roman"/>
          <w:b/>
          <w:lang w:val="it-IT"/>
        </w:rPr>
      </w:pPr>
      <w:r w:rsidRPr="00496684">
        <w:rPr>
          <w:rFonts w:ascii="Times New Roman" w:eastAsia="Times New Roman" w:hAnsi="Times New Roman"/>
          <w:b/>
          <w:lang w:val="it-IT"/>
        </w:rPr>
        <w:t>Gravidanza, allattamento e fertilità</w:t>
      </w:r>
    </w:p>
    <w:p w14:paraId="4901EB0E" w14:textId="77777777" w:rsidR="0013265B" w:rsidRPr="00496684" w:rsidRDefault="0013265B" w:rsidP="0013265B">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Se è in corso una gravidanza, se sospetta o sta pianificando una gravidanza, o se sta allattando con latte materno chieda consiglio al medico prima di prendere questo medicinale.</w:t>
      </w:r>
    </w:p>
    <w:p w14:paraId="69A366D4" w14:textId="77777777" w:rsidR="0013265B" w:rsidRPr="00496684" w:rsidRDefault="0013265B" w:rsidP="0013265B">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Imatinib Actavis non è raccomandato durante la gravidanza a meno che non sia strettamente necessario in quanto può essere dannoso per il bambino. Il medico discuterà con lei i possibili rischi dell’assunzione di Imatinib Actavis durante la gravidanza.</w:t>
      </w:r>
    </w:p>
    <w:p w14:paraId="6CC62CED" w14:textId="77777777" w:rsidR="006B5718" w:rsidRPr="00496684" w:rsidRDefault="0013265B"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Alle donne che </w:t>
      </w:r>
      <w:r w:rsidR="00E71A12" w:rsidRPr="00496684">
        <w:rPr>
          <w:rFonts w:ascii="Times New Roman" w:hAnsi="Times New Roman"/>
          <w:lang w:val="it-IT"/>
        </w:rPr>
        <w:t>possono</w:t>
      </w:r>
      <w:r w:rsidRPr="00496684">
        <w:rPr>
          <w:rFonts w:ascii="Times New Roman" w:hAnsi="Times New Roman"/>
          <w:lang w:val="it-IT"/>
        </w:rPr>
        <w:t xml:space="preserve"> rimanere in stato di gravidanza si consiglia l’utilizzo di un’efficace </w:t>
      </w:r>
      <w:r w:rsidR="006B5718" w:rsidRPr="00496684">
        <w:rPr>
          <w:rFonts w:ascii="Times New Roman" w:hAnsi="Times New Roman"/>
          <w:lang w:val="it-IT"/>
        </w:rPr>
        <w:t>contraccezione durante il trattamento</w:t>
      </w:r>
      <w:r w:rsidR="006B5718">
        <w:rPr>
          <w:rFonts w:ascii="Times New Roman" w:hAnsi="Times New Roman"/>
          <w:lang w:val="it-IT"/>
        </w:rPr>
        <w:t xml:space="preserve"> e per 15 giorni dopo </w:t>
      </w:r>
      <w:r w:rsidR="006B5718" w:rsidRPr="00EB262F">
        <w:rPr>
          <w:rFonts w:ascii="Times New Roman" w:hAnsi="Times New Roman"/>
          <w:lang w:val="it-IT"/>
        </w:rPr>
        <w:t>la fine</w:t>
      </w:r>
      <w:r w:rsidR="006B5718">
        <w:rPr>
          <w:rFonts w:ascii="Times New Roman" w:hAnsi="Times New Roman"/>
          <w:lang w:val="it-IT"/>
        </w:rPr>
        <w:t xml:space="preserve"> del trattamento</w:t>
      </w:r>
      <w:r w:rsidR="006B5718" w:rsidRPr="00496684">
        <w:rPr>
          <w:rFonts w:ascii="Times New Roman" w:hAnsi="Times New Roman"/>
          <w:lang w:val="it-IT"/>
        </w:rPr>
        <w:t>.</w:t>
      </w:r>
    </w:p>
    <w:p w14:paraId="4A1C4073" w14:textId="50515BFF" w:rsidR="0013265B" w:rsidRPr="006B5718" w:rsidRDefault="006B5718"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Non allatti durante il trattamento con Imatinib Actavis</w:t>
      </w:r>
      <w:r>
        <w:rPr>
          <w:rFonts w:ascii="Times New Roman" w:hAnsi="Times New Roman"/>
          <w:lang w:val="it-IT"/>
        </w:rPr>
        <w:t xml:space="preserve"> e per 15 giorni dopo </w:t>
      </w:r>
      <w:r w:rsidRPr="00EB262F">
        <w:rPr>
          <w:rFonts w:ascii="Times New Roman" w:hAnsi="Times New Roman"/>
          <w:lang w:val="it-IT"/>
        </w:rPr>
        <w:t>la fine</w:t>
      </w:r>
      <w:r>
        <w:rPr>
          <w:rFonts w:ascii="Times New Roman" w:hAnsi="Times New Roman"/>
          <w:lang w:val="it-IT"/>
        </w:rPr>
        <w:t xml:space="preserve"> del trattamento, </w:t>
      </w:r>
      <w:r w:rsidRPr="00EB262F">
        <w:rPr>
          <w:rFonts w:ascii="Times New Roman" w:hAnsi="Times New Roman"/>
          <w:lang w:val="it-IT"/>
        </w:rPr>
        <w:t xml:space="preserve">perchè </w:t>
      </w:r>
      <w:r>
        <w:rPr>
          <w:rFonts w:ascii="Times New Roman" w:hAnsi="Times New Roman"/>
          <w:lang w:val="it-IT"/>
        </w:rPr>
        <w:t>può nuocere al bambino</w:t>
      </w:r>
      <w:r w:rsidR="0013265B" w:rsidRPr="006B5718">
        <w:rPr>
          <w:rFonts w:ascii="Times New Roman" w:hAnsi="Times New Roman"/>
          <w:lang w:val="it-IT"/>
        </w:rPr>
        <w:t>.</w:t>
      </w:r>
    </w:p>
    <w:p w14:paraId="38E165CD" w14:textId="77777777" w:rsidR="0013265B" w:rsidRPr="00496684" w:rsidRDefault="0013265B" w:rsidP="0013265B">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Ai pazienti che sono preoccupati per la loro fertilità durante il trattamento con Imatinib Actavis si consiglia di consultare il medico.</w:t>
      </w:r>
    </w:p>
    <w:p w14:paraId="3A0B4423" w14:textId="77777777" w:rsidR="0013265B" w:rsidRPr="00496684" w:rsidRDefault="0013265B" w:rsidP="0013265B">
      <w:pPr>
        <w:widowControl w:val="0"/>
        <w:numPr>
          <w:ilvl w:val="12"/>
          <w:numId w:val="0"/>
        </w:numPr>
        <w:spacing w:after="0" w:line="240" w:lineRule="auto"/>
        <w:ind w:right="-2"/>
        <w:rPr>
          <w:rFonts w:ascii="Times New Roman" w:hAnsi="Times New Roman"/>
          <w:b/>
          <w:lang w:val="it-IT"/>
        </w:rPr>
      </w:pPr>
    </w:p>
    <w:p w14:paraId="5D41C44F"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Guida di veicoli e utilizzo di macchinari</w:t>
      </w:r>
    </w:p>
    <w:p w14:paraId="3F15037C" w14:textId="77777777" w:rsidR="0013265B" w:rsidRPr="00496684" w:rsidRDefault="0013265B" w:rsidP="0013265B">
      <w:pPr>
        <w:widowControl w:val="0"/>
        <w:numPr>
          <w:ilvl w:val="12"/>
          <w:numId w:val="0"/>
        </w:numPr>
        <w:spacing w:after="0" w:line="240" w:lineRule="auto"/>
        <w:ind w:right="-29"/>
        <w:rPr>
          <w:rFonts w:ascii="Times New Roman" w:hAnsi="Times New Roman"/>
          <w:lang w:val="it-IT"/>
        </w:rPr>
      </w:pPr>
      <w:r w:rsidRPr="00496684">
        <w:rPr>
          <w:rFonts w:ascii="Times New Roman" w:hAnsi="Times New Roman"/>
          <w:lang w:val="it-IT"/>
        </w:rPr>
        <w:t>Si possono avere capogiri o sonnolenza o offuscamento della vista mentre si assume questo medicinale. Se ciò accade, non guidi un veicolo o non usi strumenti o macchinari finchè si sente di nuovo bene.</w:t>
      </w:r>
    </w:p>
    <w:p w14:paraId="4BB8652C" w14:textId="77777777" w:rsidR="00E71A12" w:rsidRPr="00496684" w:rsidRDefault="00E71A12" w:rsidP="0013265B">
      <w:pPr>
        <w:widowControl w:val="0"/>
        <w:numPr>
          <w:ilvl w:val="12"/>
          <w:numId w:val="0"/>
        </w:numPr>
        <w:spacing w:after="0" w:line="240" w:lineRule="auto"/>
        <w:ind w:right="-29"/>
        <w:rPr>
          <w:rFonts w:ascii="Times New Roman" w:hAnsi="Times New Roman"/>
          <w:lang w:val="it-IT"/>
        </w:rPr>
      </w:pPr>
    </w:p>
    <w:p w14:paraId="47409478" w14:textId="77777777" w:rsidR="00E71A12" w:rsidRPr="00496684" w:rsidRDefault="00E71A12" w:rsidP="00E71A12">
      <w:pPr>
        <w:widowControl w:val="0"/>
        <w:spacing w:after="0" w:line="240" w:lineRule="auto"/>
        <w:rPr>
          <w:rFonts w:ascii="Times New Roman" w:eastAsia="Times New Roman" w:hAnsi="Times New Roman"/>
          <w:lang w:val="it-IT"/>
        </w:rPr>
      </w:pPr>
      <w:r w:rsidRPr="00496684">
        <w:rPr>
          <w:rFonts w:ascii="Times New Roman" w:eastAsia="Times New Roman" w:hAnsi="Times New Roman"/>
          <w:b/>
          <w:lang w:val="it-IT"/>
        </w:rPr>
        <w:t>Imatinib Actavis contiene sodio</w:t>
      </w:r>
    </w:p>
    <w:p w14:paraId="7C0E2F7C" w14:textId="138C9324" w:rsidR="00E71A12" w:rsidRPr="00496684" w:rsidRDefault="00E71A12" w:rsidP="00E71A12">
      <w:pPr>
        <w:widowControl w:val="0"/>
        <w:numPr>
          <w:ilvl w:val="12"/>
          <w:numId w:val="0"/>
        </w:numPr>
        <w:spacing w:after="0" w:line="240" w:lineRule="auto"/>
        <w:ind w:right="-29"/>
        <w:rPr>
          <w:rFonts w:ascii="Times New Roman" w:hAnsi="Times New Roman"/>
          <w:lang w:val="it-IT"/>
        </w:rPr>
      </w:pPr>
      <w:r w:rsidRPr="00496684">
        <w:rPr>
          <w:rFonts w:ascii="Times New Roman" w:eastAsia="Times New Roman" w:hAnsi="Times New Roman"/>
          <w:lang w:val="it-IT"/>
        </w:rPr>
        <w:t>Questo medicinale contiene meno di 1 mmol (23 mg) di sodio per capsula rigida, cioè essenzialmente ‘senza sodio’.</w:t>
      </w:r>
    </w:p>
    <w:p w14:paraId="24337E65"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684B41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0BFCE60B"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r>
      <w:r w:rsidRPr="00496684">
        <w:rPr>
          <w:rFonts w:ascii="Times New Roman" w:hAnsi="Times New Roman"/>
          <w:b/>
          <w:lang w:val="it-IT"/>
        </w:rPr>
        <w:t xml:space="preserve">Come prendere </w:t>
      </w:r>
      <w:r w:rsidRPr="00496684">
        <w:rPr>
          <w:rFonts w:ascii="Times New Roman" w:hAnsi="Times New Roman"/>
          <w:b/>
          <w:bCs/>
          <w:lang w:val="it-IT"/>
        </w:rPr>
        <w:t>Imatinib Actavis</w:t>
      </w:r>
    </w:p>
    <w:p w14:paraId="0011DCC3" w14:textId="77777777" w:rsidR="0013265B" w:rsidRPr="00496684" w:rsidRDefault="0013265B" w:rsidP="0013265B">
      <w:pPr>
        <w:autoSpaceDE w:val="0"/>
        <w:autoSpaceDN w:val="0"/>
        <w:adjustRightInd w:val="0"/>
        <w:spacing w:after="0" w:line="240" w:lineRule="auto"/>
        <w:rPr>
          <w:rFonts w:ascii="Times New Roman" w:hAnsi="Times New Roman"/>
          <w:bCs/>
          <w:lang w:val="it-IT"/>
        </w:rPr>
      </w:pPr>
    </w:p>
    <w:p w14:paraId="484ED11F"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Il medico le ha prescritto Imatinib Actavis perché lei soffre di una grave condizione. Imatinib Actavis può aiutarla a combattere questa condizione.</w:t>
      </w:r>
    </w:p>
    <w:p w14:paraId="12B97984"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7077899A"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Comunque, prenda questo medicinale seguendo sempre esattamente le istruzioni del medico o del farmacista. E’ importante che faccia ciò finchè non lo dice il medico o il farmacista. Se ha dubbi consulti il medico o il farmacista.</w:t>
      </w:r>
    </w:p>
    <w:p w14:paraId="34E6D22E"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161A04A8"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smetta di pendere Imatinib Actavis a meno che lo dica il medico. Se non è in grado di prendere il medicinale come prescritto dal medico o sente di non averne più bisogno, contatti il medico immediatamente.</w:t>
      </w:r>
    </w:p>
    <w:p w14:paraId="7F31619E"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247ADA45" w14:textId="77777777" w:rsidR="0013265B" w:rsidRPr="00496684" w:rsidRDefault="0013265B" w:rsidP="0013265B">
      <w:pPr>
        <w:widowControl w:val="0"/>
        <w:spacing w:after="0" w:line="240" w:lineRule="auto"/>
        <w:outlineLvl w:val="1"/>
        <w:rPr>
          <w:rFonts w:ascii="Times New Roman" w:eastAsia="Times New Roman" w:hAnsi="Times New Roman"/>
          <w:b/>
          <w:bCs/>
          <w:iCs/>
          <w:lang w:val="it-IT"/>
        </w:rPr>
      </w:pPr>
      <w:r w:rsidRPr="00496684">
        <w:rPr>
          <w:rFonts w:ascii="Times New Roman" w:eastAsia="Times New Roman" w:hAnsi="Times New Roman"/>
          <w:b/>
          <w:bCs/>
          <w:iCs/>
          <w:lang w:val="it-IT"/>
        </w:rPr>
        <w:t>Quanto Imatinib Actavis prendere</w:t>
      </w:r>
    </w:p>
    <w:p w14:paraId="181443E3" w14:textId="77777777" w:rsidR="0013265B" w:rsidRPr="00496684" w:rsidRDefault="0013265B" w:rsidP="0013265B">
      <w:pPr>
        <w:autoSpaceDE w:val="0"/>
        <w:autoSpaceDN w:val="0"/>
        <w:adjustRightInd w:val="0"/>
        <w:spacing w:after="0" w:line="240" w:lineRule="auto"/>
        <w:rPr>
          <w:rFonts w:ascii="Times New Roman" w:hAnsi="Times New Roman"/>
          <w:bCs/>
          <w:lang w:val="it-IT"/>
        </w:rPr>
      </w:pPr>
    </w:p>
    <w:p w14:paraId="5C7D257E" w14:textId="77777777" w:rsidR="0013265B" w:rsidRPr="00496684" w:rsidRDefault="0013265B" w:rsidP="0013265B">
      <w:pPr>
        <w:spacing w:after="0" w:line="240" w:lineRule="auto"/>
        <w:rPr>
          <w:rFonts w:ascii="Times New Roman" w:hAnsi="Times New Roman"/>
          <w:b/>
          <w:lang w:val="it-IT"/>
        </w:rPr>
      </w:pPr>
      <w:r w:rsidRPr="00496684">
        <w:rPr>
          <w:rFonts w:ascii="Times New Roman" w:hAnsi="Times New Roman"/>
          <w:b/>
          <w:lang w:val="it-IT"/>
        </w:rPr>
        <w:t>Uso negli adulti</w:t>
      </w:r>
    </w:p>
    <w:p w14:paraId="48143E4C"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Il medico le dirà esattamente quante capsule di Imatinib Actavis dovrà prendere.</w:t>
      </w:r>
    </w:p>
    <w:p w14:paraId="4BA6B630"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55A81B57"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LMC: </w:t>
      </w:r>
    </w:p>
    <w:p w14:paraId="5ABD1807" w14:textId="77777777" w:rsidR="0013265B" w:rsidRPr="00496684" w:rsidRDefault="0013265B" w:rsidP="0013265B">
      <w:pPr>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La dose iniziale usuale è di 600 mg</w:t>
      </w:r>
      <w:r w:rsidRPr="00496684">
        <w:rPr>
          <w:rFonts w:ascii="Times New Roman" w:eastAsia="Times New Roman" w:hAnsi="Times New Roman"/>
          <w:b/>
          <w:lang w:val="it-IT" w:eastAsia="it-IT"/>
        </w:rPr>
        <w:t xml:space="preserve"> </w:t>
      </w:r>
      <w:r w:rsidRPr="00496684">
        <w:rPr>
          <w:rFonts w:ascii="Times New Roman" w:eastAsia="Times New Roman" w:hAnsi="Times New Roman"/>
          <w:lang w:val="it-IT" w:eastAsia="it-IT"/>
        </w:rPr>
        <w:t xml:space="preserve">da assumere come una capsula da 400 mg più 2 capsule da 100 mg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w:t>
      </w:r>
    </w:p>
    <w:p w14:paraId="234FB324" w14:textId="77777777" w:rsidR="0013265B" w:rsidRPr="00496684" w:rsidRDefault="0013265B" w:rsidP="0013265B">
      <w:pPr>
        <w:spacing w:after="0" w:line="240" w:lineRule="auto"/>
        <w:rPr>
          <w:rFonts w:ascii="Times New Roman" w:eastAsia="Times New Roman" w:hAnsi="Times New Roman"/>
          <w:lang w:val="it-IT" w:eastAsia="it-IT"/>
        </w:rPr>
      </w:pPr>
    </w:p>
    <w:p w14:paraId="43982373" w14:textId="77777777" w:rsidR="0013265B" w:rsidRPr="00496684" w:rsidRDefault="0013265B" w:rsidP="0013265B">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Il medico potrà prescrivere una dose maggiore o minore a seconda di come risponderà al trattamento.</w:t>
      </w:r>
    </w:p>
    <w:p w14:paraId="3E94D589"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ED0ABAE"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la  dose giornaliera è di 800 mg (2 capsule), lei deve prendere una capsula alla mattina e una seconda capsula alla sera.</w:t>
      </w:r>
    </w:p>
    <w:p w14:paraId="565713EB"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65A3F2D0"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 Se è in trattamento per la LLA Ph+: </w:t>
      </w:r>
    </w:p>
    <w:p w14:paraId="5DA70A99" w14:textId="77777777" w:rsidR="0013265B" w:rsidRPr="00496684" w:rsidRDefault="0013265B" w:rsidP="0013265B">
      <w:pPr>
        <w:widowControl w:val="0"/>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 xml:space="preserve">La dose iniziale è di 600 mg da assumere come una capsula da 400 mg più 2 capsule da 100 mg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 </w:t>
      </w:r>
    </w:p>
    <w:p w14:paraId="6C4E8524"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1B56B60F"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le MSD/MPD: </w:t>
      </w:r>
    </w:p>
    <w:p w14:paraId="68931A37" w14:textId="77777777" w:rsidR="0013265B" w:rsidRPr="00496684" w:rsidRDefault="0013265B" w:rsidP="0013265B">
      <w:pPr>
        <w:widowControl w:val="0"/>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 xml:space="preserve">La dose iniziale è di 400 mg, da assumere come una capsula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 </w:t>
      </w:r>
    </w:p>
    <w:p w14:paraId="6E6195BB"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30BA1A66"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HES/LEC: </w:t>
      </w:r>
    </w:p>
    <w:p w14:paraId="6E939172" w14:textId="77777777" w:rsidR="0013265B" w:rsidRPr="00496684" w:rsidRDefault="0013265B" w:rsidP="0013265B">
      <w:pPr>
        <w:widowControl w:val="0"/>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 xml:space="preserve">La dose iniziale è di 100 mg, da assumere come una cpasula da 100 mg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 Il medico può decidere di aumentare la dose a 400 mg, da assumere come una capsula da 400 mg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 sulla base della sua risposta al trattamento. </w:t>
      </w:r>
    </w:p>
    <w:p w14:paraId="2E3FACD0"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5BD57EB4" w14:textId="77777777" w:rsidR="0013265B" w:rsidRPr="00496684" w:rsidRDefault="0013265B" w:rsidP="0013265B">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il DFSP: </w:t>
      </w:r>
    </w:p>
    <w:p w14:paraId="286AA2BF" w14:textId="77777777" w:rsidR="0013265B" w:rsidRPr="00496684" w:rsidRDefault="0013265B" w:rsidP="0013265B">
      <w:pPr>
        <w:widowControl w:val="0"/>
        <w:spacing w:after="0" w:line="240" w:lineRule="auto"/>
        <w:ind w:left="567"/>
        <w:rPr>
          <w:rFonts w:ascii="Times New Roman" w:eastAsia="Times New Roman" w:hAnsi="Times New Roman"/>
          <w:sz w:val="24"/>
          <w:szCs w:val="20"/>
          <w:lang w:val="it-IT" w:eastAsia="it-IT"/>
        </w:rPr>
      </w:pPr>
      <w:r w:rsidRPr="00496684">
        <w:rPr>
          <w:rFonts w:ascii="Times New Roman" w:eastAsia="Times New Roman" w:hAnsi="Times New Roman"/>
          <w:lang w:val="it-IT" w:eastAsia="it-IT"/>
        </w:rPr>
        <w:t>La dose è di 800 mg al giorno (2 capsule), da assumere come una capsula al mattino e una seconda capsula alla sera.</w:t>
      </w:r>
    </w:p>
    <w:p w14:paraId="1DF24DAF"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739AF34F"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Uso nei bambini e negli adolescenti</w:t>
      </w:r>
    </w:p>
    <w:p w14:paraId="1A751B82"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Il medico le dirà quante capsule di Imatinib Actavis vanno somministrate al bambino. La quantità di Imatinib Actavis somministrata dipenderà dalle condizioni del bambino, dal  peso ed altezza. </w:t>
      </w:r>
    </w:p>
    <w:p w14:paraId="19ACFCCE"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1C6B359E" w14:textId="5677429D" w:rsidR="0013265B" w:rsidRPr="00496684" w:rsidRDefault="00ED67BC" w:rsidP="0013265B">
      <w:pPr>
        <w:widowControl w:val="0"/>
        <w:spacing w:after="0" w:line="240" w:lineRule="auto"/>
        <w:rPr>
          <w:rFonts w:ascii="Times New Roman" w:eastAsia="Times New Roman" w:hAnsi="Times New Roman"/>
          <w:lang w:val="it-IT" w:eastAsia="it-IT"/>
        </w:rPr>
      </w:pPr>
      <w:r w:rsidRPr="00496684">
        <w:rPr>
          <w:lang w:val="it-IT"/>
        </w:rPr>
        <w:t xml:space="preserve"> </w:t>
      </w:r>
      <w:r w:rsidR="0013265B" w:rsidRPr="00496684">
        <w:rPr>
          <w:rFonts w:ascii="Times New Roman" w:eastAsia="Times New Roman" w:hAnsi="Times New Roman"/>
          <w:lang w:val="it-IT" w:eastAsia="it-IT"/>
        </w:rPr>
        <w:t>Nei bambini la dose totale giornaliera non deve superare 800 mg per la LMC</w:t>
      </w:r>
      <w:r w:rsidR="00DC64ED" w:rsidRPr="00496684">
        <w:rPr>
          <w:lang w:val="it-IT"/>
        </w:rPr>
        <w:t xml:space="preserve"> </w:t>
      </w:r>
      <w:r w:rsidR="00DC64ED" w:rsidRPr="00496684">
        <w:rPr>
          <w:rFonts w:ascii="Times New Roman" w:eastAsia="Times New Roman" w:hAnsi="Times New Roman"/>
          <w:lang w:val="it-IT" w:eastAsia="it-IT"/>
        </w:rPr>
        <w:t>e 600 mg per la LLA Ph+</w:t>
      </w:r>
      <w:r w:rsidR="0013265B" w:rsidRPr="00496684">
        <w:rPr>
          <w:rFonts w:ascii="Times New Roman" w:eastAsia="Times New Roman" w:hAnsi="Times New Roman"/>
          <w:lang w:val="it-IT" w:eastAsia="it-IT"/>
        </w:rPr>
        <w:t>. Il trattamento può essere somministrato al bambino come dose singola giornaliera o, in alternativa, la dose giornaliera può essere suddivisa in due somministrazioni (metà al mattino e metà alla sera).</w:t>
      </w:r>
    </w:p>
    <w:p w14:paraId="57F4AC83"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08B0DAE"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Quando e come prendere Imatinib Actavis</w:t>
      </w:r>
    </w:p>
    <w:p w14:paraId="5198C239" w14:textId="77777777" w:rsidR="0013265B" w:rsidRPr="00496684" w:rsidRDefault="0013265B" w:rsidP="0013265B">
      <w:pPr>
        <w:widowControl w:val="0"/>
        <w:numPr>
          <w:ilvl w:val="0"/>
          <w:numId w:val="7"/>
        </w:numPr>
        <w:spacing w:after="0" w:line="240" w:lineRule="auto"/>
        <w:rPr>
          <w:rFonts w:ascii="Times New Roman" w:eastAsia="Times New Roman" w:hAnsi="Times New Roman"/>
          <w:lang w:val="it-IT" w:eastAsia="it-IT"/>
        </w:rPr>
      </w:pPr>
      <w:r w:rsidRPr="00496684">
        <w:rPr>
          <w:rFonts w:ascii="Times New Roman" w:eastAsia="Times New Roman" w:hAnsi="Times New Roman"/>
          <w:b/>
          <w:lang w:val="it-IT" w:eastAsia="it-IT"/>
        </w:rPr>
        <w:t>Prenda Imatinib Actavis con un pasto.</w:t>
      </w:r>
      <w:r w:rsidRPr="00496684">
        <w:rPr>
          <w:rFonts w:ascii="Times New Roman" w:eastAsia="Times New Roman" w:hAnsi="Times New Roman"/>
          <w:lang w:val="it-IT" w:eastAsia="it-IT"/>
        </w:rPr>
        <w:t xml:space="preserve"> Questo la aiuterà a proteggere lo stomaco quando prende Imatinib Actavis.</w:t>
      </w:r>
    </w:p>
    <w:p w14:paraId="6C5FE1C4" w14:textId="77777777" w:rsidR="0013265B" w:rsidRPr="00496684" w:rsidRDefault="0013265B" w:rsidP="0013265B">
      <w:pPr>
        <w:widowControl w:val="0"/>
        <w:numPr>
          <w:ilvl w:val="0"/>
          <w:numId w:val="7"/>
        </w:numPr>
        <w:spacing w:after="0" w:line="240" w:lineRule="auto"/>
        <w:rPr>
          <w:rFonts w:ascii="Times New Roman" w:eastAsia="Times New Roman" w:hAnsi="Times New Roman"/>
          <w:lang w:val="it-IT" w:eastAsia="it-IT"/>
        </w:rPr>
      </w:pPr>
      <w:r w:rsidRPr="00496684">
        <w:rPr>
          <w:rFonts w:ascii="Times New Roman" w:eastAsia="Times New Roman" w:hAnsi="Times New Roman"/>
          <w:b/>
          <w:lang w:val="it-IT" w:eastAsia="it-IT"/>
        </w:rPr>
        <w:t xml:space="preserve">Ingoi le capsule intere con un grosso bicchiere d'acqua. </w:t>
      </w:r>
      <w:r w:rsidRPr="00496684">
        <w:rPr>
          <w:rFonts w:ascii="Times New Roman" w:eastAsia="Times New Roman" w:hAnsi="Times New Roman"/>
          <w:lang w:val="it-IT" w:eastAsia="it-IT"/>
        </w:rPr>
        <w:t>Non apra o rompa le capsule a meno che non abbia difficoltà a ingoiare (es. nei bambini).</w:t>
      </w:r>
    </w:p>
    <w:p w14:paraId="35650CF9" w14:textId="77777777" w:rsidR="0013265B" w:rsidRPr="00496684" w:rsidRDefault="0013265B" w:rsidP="0013265B">
      <w:pPr>
        <w:widowControl w:val="0"/>
        <w:numPr>
          <w:ilvl w:val="0"/>
          <w:numId w:val="7"/>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 non è in grado di deglutire le capsule, può aprirle e versare la polvere in un bicchiere d’acqua o di succo di mela.</w:t>
      </w:r>
    </w:p>
    <w:p w14:paraId="00AF6E2C" w14:textId="16723656" w:rsidR="0013265B" w:rsidRPr="00496684" w:rsidRDefault="0013265B" w:rsidP="0013265B">
      <w:pPr>
        <w:widowControl w:val="0"/>
        <w:numPr>
          <w:ilvl w:val="0"/>
          <w:numId w:val="7"/>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Se è in gravidanza o </w:t>
      </w:r>
      <w:r w:rsidR="00E71A12" w:rsidRPr="00496684">
        <w:rPr>
          <w:rFonts w:ascii="Times New Roman" w:eastAsia="Times New Roman" w:hAnsi="Times New Roman"/>
          <w:lang w:val="it-IT" w:eastAsia="it-IT"/>
        </w:rPr>
        <w:t>può</w:t>
      </w:r>
      <w:r w:rsidRPr="00496684">
        <w:rPr>
          <w:rFonts w:ascii="Times New Roman" w:eastAsia="Times New Roman" w:hAnsi="Times New Roman"/>
          <w:lang w:val="it-IT" w:eastAsia="it-IT"/>
        </w:rPr>
        <w:t xml:space="preserve"> diventarlo e sta cercando di aprire le capsule, deve maneggiare il contenuto con cautela per evitare il contatto con la cute e con gli occhi o l’inalazione. Si deve lavare le mani immediatamente dopo l’apertura delle capsule.</w:t>
      </w:r>
    </w:p>
    <w:p w14:paraId="65224CEC"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FEDE9C0"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Per quanto tempo prendere Imatinib Actavis</w:t>
      </w:r>
    </w:p>
    <w:p w14:paraId="152D6543"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Continui a prendere Imatinib Actavis ogni giorno per tutto il tempo che le dice il medico.</w:t>
      </w:r>
    </w:p>
    <w:p w14:paraId="09926E38"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519B1AA2"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Se prende più Imatinib Actavis di quanto deve</w:t>
      </w:r>
    </w:p>
    <w:p w14:paraId="46598CD9"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Se ha preso accidentalmente troppe capsule contatti </w:t>
      </w:r>
      <w:r w:rsidRPr="00496684">
        <w:rPr>
          <w:rFonts w:ascii="Times New Roman" w:eastAsia="Times New Roman" w:hAnsi="Times New Roman"/>
          <w:b/>
          <w:lang w:val="it-IT" w:eastAsia="it-IT"/>
        </w:rPr>
        <w:t>immediatamente</w:t>
      </w:r>
      <w:r w:rsidRPr="00496684">
        <w:rPr>
          <w:rFonts w:ascii="Times New Roman" w:eastAsia="Times New Roman" w:hAnsi="Times New Roman"/>
          <w:lang w:val="it-IT" w:eastAsia="it-IT"/>
        </w:rPr>
        <w:t xml:space="preserve"> il medico. Può aver bisogno di assistenza medica. Porti con sé la scatola del medicinale.</w:t>
      </w:r>
    </w:p>
    <w:p w14:paraId="747D2C0F"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p>
    <w:p w14:paraId="01102361" w14:textId="77777777" w:rsidR="0013265B" w:rsidRPr="00496684" w:rsidRDefault="0013265B" w:rsidP="0013265B">
      <w:pPr>
        <w:widowControl w:val="0"/>
        <w:numPr>
          <w:ilvl w:val="12"/>
          <w:numId w:val="0"/>
        </w:numPr>
        <w:spacing w:after="0" w:line="240" w:lineRule="auto"/>
        <w:ind w:right="-2"/>
        <w:rPr>
          <w:rFonts w:ascii="Times New Roman" w:hAnsi="Times New Roman"/>
          <w:b/>
          <w:lang w:val="it-IT"/>
        </w:rPr>
      </w:pPr>
      <w:r w:rsidRPr="00496684">
        <w:rPr>
          <w:rFonts w:ascii="Times New Roman" w:hAnsi="Times New Roman"/>
          <w:b/>
          <w:lang w:val="it-IT"/>
        </w:rPr>
        <w:t>Se dimentica di prendere Imatinib Actavis</w:t>
      </w:r>
    </w:p>
    <w:p w14:paraId="6329F151" w14:textId="77777777" w:rsidR="0013265B" w:rsidRPr="00496684" w:rsidRDefault="0013265B" w:rsidP="0013265B">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Se dimentica una dose, la prenda appena si ricorda. Tuttavia se è quasi il tempo per la prossima dose, salti la dose dimenticata.</w:t>
      </w:r>
    </w:p>
    <w:p w14:paraId="5B1B894A" w14:textId="77777777" w:rsidR="0013265B" w:rsidRPr="00496684" w:rsidRDefault="0013265B" w:rsidP="0013265B">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Quindi continui con lo schema posologico normale.</w:t>
      </w:r>
    </w:p>
    <w:p w14:paraId="4A6ED185" w14:textId="77777777" w:rsidR="0013265B" w:rsidRPr="00496684" w:rsidRDefault="0013265B" w:rsidP="0013265B">
      <w:pPr>
        <w:widowControl w:val="0"/>
        <w:numPr>
          <w:ilvl w:val="0"/>
          <w:numId w:val="8"/>
        </w:numPr>
        <w:spacing w:after="0" w:line="240" w:lineRule="auto"/>
        <w:ind w:right="-2"/>
        <w:rPr>
          <w:rFonts w:ascii="Times New Roman" w:hAnsi="Times New Roman"/>
          <w:lang w:val="it-IT"/>
        </w:rPr>
      </w:pPr>
      <w:r w:rsidRPr="00496684">
        <w:rPr>
          <w:rFonts w:ascii="Times New Roman" w:hAnsi="Times New Roman"/>
          <w:lang w:val="it-IT"/>
        </w:rPr>
        <w:t>Non prenda una dose doppia per compensare la dimenticanza della dose.</w:t>
      </w:r>
    </w:p>
    <w:p w14:paraId="1868BBE7"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p>
    <w:p w14:paraId="04FD4591" w14:textId="77777777" w:rsidR="0013265B" w:rsidRPr="00496684" w:rsidRDefault="0013265B" w:rsidP="0013265B">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 ha qualsiasi dubbio sull’uso di questo medicinale, si rivolga al medico, al farmacista o all’infermiere.</w:t>
      </w:r>
    </w:p>
    <w:p w14:paraId="03628B72"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768C37A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7C3F038F"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Pr="00496684">
        <w:rPr>
          <w:rFonts w:ascii="Times New Roman" w:hAnsi="Times New Roman"/>
          <w:b/>
          <w:lang w:val="it-IT"/>
        </w:rPr>
        <w:t>Possibili effetti indesiderati</w:t>
      </w:r>
    </w:p>
    <w:p w14:paraId="187890B1" w14:textId="77777777" w:rsidR="0013265B" w:rsidRPr="00496684" w:rsidRDefault="0013265B" w:rsidP="0013265B">
      <w:pPr>
        <w:autoSpaceDE w:val="0"/>
        <w:autoSpaceDN w:val="0"/>
        <w:adjustRightInd w:val="0"/>
        <w:spacing w:after="0" w:line="240" w:lineRule="auto"/>
        <w:rPr>
          <w:rFonts w:ascii="Times New Roman" w:hAnsi="Times New Roman"/>
          <w:bCs/>
          <w:lang w:val="it-IT"/>
        </w:rPr>
      </w:pPr>
    </w:p>
    <w:p w14:paraId="6453A6FF"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Come tutti i medicinali, questo medicinale può causare effetti indesiderati sebbene non tutte le persone li manifestino. Questi sono generalmente da lievi a moderati.</w:t>
      </w:r>
    </w:p>
    <w:p w14:paraId="783A7686" w14:textId="77777777" w:rsidR="0013265B" w:rsidRPr="00496684" w:rsidRDefault="0013265B" w:rsidP="0013265B">
      <w:pPr>
        <w:autoSpaceDE w:val="0"/>
        <w:autoSpaceDN w:val="0"/>
        <w:adjustRightInd w:val="0"/>
        <w:spacing w:after="0" w:line="240" w:lineRule="auto"/>
        <w:rPr>
          <w:rFonts w:ascii="Times New Roman" w:hAnsi="Times New Roman"/>
          <w:bCs/>
          <w:lang w:val="it-IT"/>
        </w:rPr>
      </w:pPr>
    </w:p>
    <w:p w14:paraId="75E1F67A"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Alcuni effetti indesiderati possono essere gravi. Informi il medico immediatamente se manifesta uno dei seguenti effetti:</w:t>
      </w:r>
    </w:p>
    <w:p w14:paraId="78B993A3"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0261D505" w14:textId="38436B82" w:rsidR="0013265B" w:rsidRPr="00496684" w:rsidRDefault="00ED67BC"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M</w:t>
      </w:r>
      <w:r w:rsidR="0013265B" w:rsidRPr="00496684">
        <w:rPr>
          <w:rFonts w:ascii="Times New Roman" w:eastAsia="Times New Roman" w:hAnsi="Times New Roman"/>
          <w:b/>
          <w:lang w:val="it-IT" w:eastAsia="it-IT"/>
        </w:rPr>
        <w:t>olto comuni (</w:t>
      </w:r>
      <w:r w:rsidR="0013265B" w:rsidRPr="00496684">
        <w:rPr>
          <w:rFonts w:ascii="Times New Roman" w:eastAsia="Times New Roman" w:hAnsi="Times New Roman"/>
          <w:lang w:val="it-IT" w:eastAsia="it-IT"/>
        </w:rPr>
        <w:t xml:space="preserve">può interessare più di 1 persona su 10) </w:t>
      </w:r>
      <w:r w:rsidR="0013265B" w:rsidRPr="00496684">
        <w:rPr>
          <w:rFonts w:ascii="Times New Roman" w:eastAsia="Times New Roman" w:hAnsi="Times New Roman"/>
          <w:b/>
          <w:lang w:val="it-IT" w:eastAsia="it-IT"/>
        </w:rPr>
        <w:t>o comuni (</w:t>
      </w:r>
      <w:r w:rsidR="0013265B" w:rsidRPr="00496684">
        <w:rPr>
          <w:rFonts w:ascii="Times New Roman" w:eastAsia="Times New Roman" w:hAnsi="Times New Roman"/>
          <w:lang w:val="it-IT" w:eastAsia="it-IT"/>
        </w:rPr>
        <w:t>può interessare fino a 1 persona su 10)</w:t>
      </w:r>
      <w:r w:rsidR="0013265B" w:rsidRPr="00496684">
        <w:rPr>
          <w:rFonts w:ascii="Times New Roman" w:eastAsia="Times New Roman" w:hAnsi="Times New Roman"/>
          <w:b/>
          <w:lang w:val="it-IT" w:eastAsia="it-IT"/>
        </w:rPr>
        <w:t>:</w:t>
      </w:r>
    </w:p>
    <w:p w14:paraId="7E35DD94" w14:textId="77777777" w:rsidR="0013265B" w:rsidRPr="00496684" w:rsidRDefault="0013265B" w:rsidP="0013265B">
      <w:pPr>
        <w:widowControl w:val="0"/>
        <w:numPr>
          <w:ilvl w:val="0"/>
          <w:numId w:val="21"/>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Rapido aumento di peso. Imatinib Actavis può far trattenere al  corpo acqua (grave ritenzione di liquidi).</w:t>
      </w:r>
    </w:p>
    <w:p w14:paraId="738282E2" w14:textId="369B50B4" w:rsidR="0013265B" w:rsidRPr="00496684" w:rsidRDefault="0013265B" w:rsidP="0013265B">
      <w:pPr>
        <w:widowControl w:val="0"/>
        <w:numPr>
          <w:ilvl w:val="0"/>
          <w:numId w:val="21"/>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Segni di infezione quali febbre, brividi intensi, faringite o ulcerazioni della bocca. Imatinib Actavis può ridurre il numero dei globuli bianchi così </w:t>
      </w:r>
      <w:r w:rsidR="00E71A12" w:rsidRPr="00496684">
        <w:rPr>
          <w:rFonts w:ascii="Times New Roman" w:eastAsia="Times New Roman" w:hAnsi="Times New Roman"/>
          <w:lang w:val="it-IT" w:eastAsia="it-IT"/>
        </w:rPr>
        <w:t>può</w:t>
      </w:r>
      <w:r w:rsidRPr="00496684">
        <w:rPr>
          <w:rFonts w:ascii="Times New Roman" w:eastAsia="Times New Roman" w:hAnsi="Times New Roman"/>
          <w:lang w:val="it-IT" w:eastAsia="it-IT"/>
        </w:rPr>
        <w:t xml:space="preserve"> prendere più facilmente delle infezioni.</w:t>
      </w:r>
    </w:p>
    <w:p w14:paraId="70E3FC47" w14:textId="77777777" w:rsidR="0013265B" w:rsidRPr="00496684" w:rsidRDefault="0013265B" w:rsidP="0013265B">
      <w:pPr>
        <w:widowControl w:val="0"/>
        <w:numPr>
          <w:ilvl w:val="0"/>
          <w:numId w:val="21"/>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Sanguinamenti inattesi o ecchimosi (quando non si è fatto male da solo).</w:t>
      </w:r>
    </w:p>
    <w:p w14:paraId="75522A73"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6C3364F4" w14:textId="0D803857" w:rsidR="0013265B" w:rsidRPr="00496684" w:rsidRDefault="00ED67BC"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b/>
          <w:lang w:val="it-IT" w:eastAsia="it-IT"/>
        </w:rPr>
        <w:t>N</w:t>
      </w:r>
      <w:r w:rsidR="0013265B" w:rsidRPr="00496684">
        <w:rPr>
          <w:rFonts w:ascii="Times New Roman" w:eastAsia="Times New Roman" w:hAnsi="Times New Roman"/>
          <w:b/>
          <w:lang w:val="it-IT" w:eastAsia="it-IT"/>
        </w:rPr>
        <w:t>on comuni (</w:t>
      </w:r>
      <w:r w:rsidR="0013265B" w:rsidRPr="00496684">
        <w:rPr>
          <w:rFonts w:ascii="Times New Roman" w:eastAsia="Times New Roman" w:hAnsi="Times New Roman"/>
          <w:lang w:val="it-IT" w:eastAsia="it-IT"/>
        </w:rPr>
        <w:t xml:space="preserve">può interessare fino a 1 persona su 100) </w:t>
      </w:r>
      <w:r w:rsidR="0013265B" w:rsidRPr="00496684">
        <w:rPr>
          <w:rFonts w:ascii="Times New Roman" w:eastAsia="Times New Roman" w:hAnsi="Times New Roman"/>
          <w:b/>
          <w:lang w:val="it-IT" w:eastAsia="it-IT"/>
        </w:rPr>
        <w:t>o rari (</w:t>
      </w:r>
      <w:r w:rsidR="0013265B" w:rsidRPr="00496684">
        <w:rPr>
          <w:rFonts w:ascii="Times New Roman" w:eastAsia="Times New Roman" w:hAnsi="Times New Roman"/>
          <w:lang w:val="it-IT" w:eastAsia="it-IT"/>
        </w:rPr>
        <w:t>può interessare fino 1 1 persona su 1.000)</w:t>
      </w:r>
      <w:r w:rsidR="0013265B" w:rsidRPr="00496684">
        <w:rPr>
          <w:rFonts w:ascii="Times New Roman" w:eastAsia="Times New Roman" w:hAnsi="Times New Roman"/>
          <w:b/>
          <w:lang w:val="it-IT" w:eastAsia="it-IT"/>
        </w:rPr>
        <w:t>:</w:t>
      </w:r>
    </w:p>
    <w:p w14:paraId="0AB4C321"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Dolore al torace, ritmo cardiaco irregolare (segni di problemi al cuore).</w:t>
      </w:r>
    </w:p>
    <w:p w14:paraId="53AE7E69"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Tosse, difficoltà respiratoria o respirazione dolorosa (segni di problemi ai polmoni).</w:t>
      </w:r>
    </w:p>
    <w:p w14:paraId="68346F8A"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Sensazione di testa vuota, stordimento o svenimento (segni di pressione bassa).</w:t>
      </w:r>
    </w:p>
    <w:p w14:paraId="3EA7E277"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Sensazione di malessere (nausea), con perdita di appetito, urine di colore scuro, pelle o occhi gialli (segni di problemi al fegato).</w:t>
      </w:r>
    </w:p>
    <w:p w14:paraId="49A7C732"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Eruzione cutanea, arrossamento cutaneo con vesciche sulle labbra, occhi, pelle o bocca, desquamazione cutanea, febbre, macchie in rilievo di colore rosso o viola sulla pelle, prurito, sensazione di bruciore, eruzione pustolosa (segni di problemi della pelle).</w:t>
      </w:r>
    </w:p>
    <w:p w14:paraId="4491AC72"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Forte dolore addominale, presenza di sangue nel vomito, nelle feci o nelle urine, feci nere (segni di disturbi gastrointestinali).</w:t>
      </w:r>
    </w:p>
    <w:p w14:paraId="23915EBE"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Importante diminuzione della quantità di urina, sensazione di sete (segni di problemi renali).</w:t>
      </w:r>
    </w:p>
    <w:p w14:paraId="1AEC63E3"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Sensazione di malessere (nausea) con diarrea e vomito, dolore addominale o febbre (segni di problemi intestinali).</w:t>
      </w:r>
    </w:p>
    <w:p w14:paraId="79C0AC2A"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Forte mal di testa, debolezza o paralisi degli arti o del viso, difficoltà di parola, improvvisa perdita di coscienza (segni di problemi del sistema nervoso come sanguinamento o gonfiore nel cranio/cervello).</w:t>
      </w:r>
    </w:p>
    <w:p w14:paraId="6F99CA01"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Pallore, sensazione di stanchezza e affanno e urine di colore scuro (segni di bassi valori di globuli rossi).</w:t>
      </w:r>
    </w:p>
    <w:p w14:paraId="79E78737"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Dolore agli occhi o deterioramento della visione, sanguinamento negli occhi.</w:t>
      </w:r>
    </w:p>
    <w:p w14:paraId="423B36C0"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Dolore all’anca o difficoltà a camminare.</w:t>
      </w:r>
    </w:p>
    <w:p w14:paraId="74B041A2"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Dita dei piedi o delle mani intorpidite o fredde (segni della sindrome di Raynaud).</w:t>
      </w:r>
    </w:p>
    <w:p w14:paraId="28D2D48C"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Improvviso gonfiore e arrossamento della pelle (segni di una infezione della pelle chiamata cellulite).</w:t>
      </w:r>
    </w:p>
    <w:p w14:paraId="3B30B987"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Problemi d’udito.</w:t>
      </w:r>
    </w:p>
    <w:p w14:paraId="574A527F"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Debolezza muscolare e spasmi muscolari con un ritmo cardiaco anormale (segni di modifiche del quantitativo di potassio nel sangue).</w:t>
      </w:r>
    </w:p>
    <w:p w14:paraId="594BC5E6"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Ecchimosi (lividi).</w:t>
      </w:r>
    </w:p>
    <w:p w14:paraId="4AF3FABF"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Dolore allo stomaco con sensazione di malessere (nausea).</w:t>
      </w:r>
    </w:p>
    <w:p w14:paraId="0CE74456"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Spasmi muscolari con febbre, urine rosso brune, dolore o debolezza muscolare (segni di problemi ai muscoli).</w:t>
      </w:r>
    </w:p>
    <w:p w14:paraId="1F354DA4"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Dolore pelvico talvolta con nausea e vomito, con sanguinamento vaginale inatteso, sensazione di vertigini o svenimento dovuto a pressione bassa (segni di problemi con le ovaie e l’utero).</w:t>
      </w:r>
    </w:p>
    <w:p w14:paraId="5AF06178"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Nausea, respiro corto, battito cardiaco irregolare, intorbidimento delle urine, stanchezza e/o disturbi alle articolazioni associati a risultati anomali dei test di laboratorio (ad esempio alti livelli di potassio, acido urico e calcio e bassi livelli di fosforo nel sangue).</w:t>
      </w:r>
    </w:p>
    <w:p w14:paraId="2406A063" w14:textId="2D43B25C" w:rsidR="00E71A12" w:rsidRPr="00496684" w:rsidRDefault="00E71A12"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Coaguli di sangue in piccoli vasi sanguigni (microangiopatia trombotica).</w:t>
      </w:r>
    </w:p>
    <w:p w14:paraId="52D83114"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4ADFA91A"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b/>
          <w:lang w:val="it-IT" w:eastAsia="it-IT"/>
        </w:rPr>
        <w:t>Non nota</w:t>
      </w:r>
      <w:r w:rsidRPr="00496684">
        <w:rPr>
          <w:rFonts w:ascii="Times New Roman" w:eastAsia="Times New Roman" w:hAnsi="Times New Roman"/>
          <w:lang w:val="it-IT" w:eastAsia="it-IT"/>
        </w:rPr>
        <w:t xml:space="preserve"> (la frequenza non può essere definita sulla base dei dati disponibili):</w:t>
      </w:r>
    </w:p>
    <w:p w14:paraId="01672650" w14:textId="77777777" w:rsidR="0013265B" w:rsidRPr="00496684" w:rsidRDefault="0013265B" w:rsidP="0013265B">
      <w:pPr>
        <w:widowControl w:val="0"/>
        <w:numPr>
          <w:ilvl w:val="0"/>
          <w:numId w:val="22"/>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Combinazione di una grave eruzione cutanea diffusa, sensazione di malessere, febbre, alti livelli di certi globuli bianchi del sangue o pelle e occhi gialli (segni di ittero) con difficoltà a respirare, dolore/fastido al torace, diminuzione grave delle urine emesse e sentirsi assetato ecc (segni di una reazione allergica dovuta al farmaco).</w:t>
      </w:r>
    </w:p>
    <w:p w14:paraId="6D3572B2" w14:textId="77777777" w:rsidR="00753C4E" w:rsidRPr="00496684" w:rsidRDefault="00753C4E" w:rsidP="00753C4E">
      <w:pPr>
        <w:pStyle w:val="Text"/>
        <w:widowControl w:val="0"/>
        <w:numPr>
          <w:ilvl w:val="0"/>
          <w:numId w:val="22"/>
        </w:numPr>
        <w:spacing w:before="0"/>
        <w:jc w:val="left"/>
        <w:rPr>
          <w:sz w:val="22"/>
          <w:szCs w:val="22"/>
          <w:lang w:val="it-IT"/>
        </w:rPr>
      </w:pPr>
      <w:r w:rsidRPr="00496684">
        <w:rPr>
          <w:sz w:val="22"/>
          <w:szCs w:val="22"/>
          <w:lang w:val="it-IT"/>
        </w:rPr>
        <w:t>Insufficienza renale cronica</w:t>
      </w:r>
    </w:p>
    <w:p w14:paraId="367E1A3D" w14:textId="77777777" w:rsidR="00ED67BC" w:rsidRPr="00496684" w:rsidRDefault="00ED67BC" w:rsidP="00ED67BC">
      <w:pPr>
        <w:pStyle w:val="Text"/>
        <w:widowControl w:val="0"/>
        <w:numPr>
          <w:ilvl w:val="0"/>
          <w:numId w:val="2"/>
        </w:numPr>
        <w:tabs>
          <w:tab w:val="clear" w:pos="468"/>
        </w:tabs>
        <w:spacing w:before="0"/>
        <w:ind w:left="567" w:hanging="567"/>
        <w:jc w:val="left"/>
        <w:rPr>
          <w:sz w:val="22"/>
          <w:szCs w:val="22"/>
          <w:lang w:val="it-IT"/>
        </w:rPr>
      </w:pPr>
      <w:r w:rsidRPr="00496684">
        <w:rPr>
          <w:rFonts w:eastAsia="Verdana"/>
          <w:spacing w:val="1"/>
          <w:sz w:val="22"/>
          <w:szCs w:val="22"/>
          <w:lang w:val="it-IT"/>
        </w:rPr>
        <w:t>L</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c</w:t>
      </w:r>
      <w:r w:rsidRPr="00496684">
        <w:rPr>
          <w:rFonts w:eastAsia="Verdana"/>
          <w:spacing w:val="1"/>
          <w:sz w:val="22"/>
          <w:szCs w:val="22"/>
          <w:lang w:val="it-IT"/>
        </w:rPr>
        <w:t>o</w:t>
      </w:r>
      <w:r w:rsidRPr="00496684">
        <w:rPr>
          <w:rFonts w:eastAsia="Verdana"/>
          <w:sz w:val="22"/>
          <w:szCs w:val="22"/>
          <w:lang w:val="it-IT"/>
        </w:rPr>
        <w:t>rr</w:t>
      </w:r>
      <w:r w:rsidRPr="00496684">
        <w:rPr>
          <w:rFonts w:eastAsia="Verdana"/>
          <w:spacing w:val="1"/>
          <w:sz w:val="22"/>
          <w:szCs w:val="22"/>
          <w:lang w:val="it-IT"/>
        </w:rPr>
        <w:t>e</w:t>
      </w:r>
      <w:r w:rsidRPr="00496684">
        <w:rPr>
          <w:rFonts w:eastAsia="Verdana"/>
          <w:spacing w:val="-1"/>
          <w:sz w:val="22"/>
          <w:szCs w:val="22"/>
          <w:lang w:val="it-IT"/>
        </w:rPr>
        <w:t>nz</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a</w:t>
      </w:r>
      <w:r w:rsidRPr="00496684">
        <w:rPr>
          <w:rFonts w:eastAsia="Verdana"/>
          <w:spacing w:val="1"/>
          <w:sz w:val="22"/>
          <w:szCs w:val="22"/>
          <w:lang w:val="it-IT"/>
        </w:rPr>
        <w:t>tti</w:t>
      </w:r>
      <w:r w:rsidRPr="00496684">
        <w:rPr>
          <w:rFonts w:eastAsia="Verdana"/>
          <w:spacing w:val="-1"/>
          <w:sz w:val="22"/>
          <w:szCs w:val="22"/>
          <w:lang w:val="it-IT"/>
        </w:rPr>
        <w:t>v</w:t>
      </w:r>
      <w:r w:rsidRPr="00496684">
        <w:rPr>
          <w:rFonts w:eastAsia="Verdana"/>
          <w:sz w:val="22"/>
          <w:szCs w:val="22"/>
          <w:lang w:val="it-IT"/>
        </w:rPr>
        <w:t>a</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pacing w:val="-2"/>
          <w:sz w:val="22"/>
          <w:szCs w:val="22"/>
          <w:lang w:val="it-IT"/>
        </w:rPr>
        <w:t>e</w:t>
      </w:r>
      <w:r w:rsidRPr="00496684">
        <w:rPr>
          <w:rFonts w:eastAsia="Verdana"/>
          <w:sz w:val="22"/>
          <w:szCs w:val="22"/>
          <w:lang w:val="it-IT"/>
        </w:rPr>
        <w:t>)</w:t>
      </w:r>
      <w:r w:rsidRPr="00496684">
        <w:rPr>
          <w:rFonts w:eastAsia="Verdana"/>
          <w:spacing w:val="-1"/>
          <w:sz w:val="22"/>
          <w:szCs w:val="22"/>
          <w:lang w:val="it-IT"/>
        </w:rPr>
        <w:t xml:space="preserve"> </w:t>
      </w:r>
      <w:r w:rsidRPr="00496684">
        <w:rPr>
          <w:rFonts w:eastAsia="Verdana"/>
          <w:spacing w:val="1"/>
          <w:sz w:val="22"/>
          <w:szCs w:val="22"/>
          <w:lang w:val="it-IT"/>
        </w:rPr>
        <w:t>della</w:t>
      </w:r>
      <w:r w:rsidRPr="00496684">
        <w:rPr>
          <w:rFonts w:eastAsia="Verdana"/>
          <w:spacing w:val="-2"/>
          <w:sz w:val="22"/>
          <w:szCs w:val="22"/>
          <w:lang w:val="it-IT"/>
        </w:rPr>
        <w:t xml:space="preserve">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ite</w:t>
      </w:r>
      <w:r w:rsidRPr="00496684">
        <w:rPr>
          <w:rFonts w:eastAsia="Verdana"/>
          <w:spacing w:val="-4"/>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z w:val="22"/>
          <w:szCs w:val="22"/>
          <w:lang w:val="it-IT"/>
        </w:rPr>
        <w:t xml:space="preserve">se si è </w:t>
      </w:r>
      <w:r w:rsidRPr="00496684">
        <w:rPr>
          <w:rFonts w:eastAsia="Verdana"/>
          <w:spacing w:val="2"/>
          <w:sz w:val="22"/>
          <w:szCs w:val="22"/>
          <w:lang w:val="it-IT"/>
        </w:rPr>
        <w:t>a</w:t>
      </w:r>
      <w:r w:rsidRPr="00496684">
        <w:rPr>
          <w:rFonts w:eastAsia="Verdana"/>
          <w:spacing w:val="-1"/>
          <w:sz w:val="22"/>
          <w:szCs w:val="22"/>
          <w:lang w:val="it-IT"/>
        </w:rPr>
        <w:t>vu</w:t>
      </w:r>
      <w:r w:rsidRPr="00496684">
        <w:rPr>
          <w:rFonts w:eastAsia="Verdana"/>
          <w:spacing w:val="1"/>
          <w:sz w:val="22"/>
          <w:szCs w:val="22"/>
          <w:lang w:val="it-IT"/>
        </w:rPr>
        <w:t>ta</w:t>
      </w:r>
      <w:r w:rsidRPr="00496684">
        <w:rPr>
          <w:rFonts w:eastAsia="Verdana"/>
          <w:spacing w:val="-2"/>
          <w:sz w:val="22"/>
          <w:szCs w:val="22"/>
          <w:lang w:val="it-IT"/>
        </w:rPr>
        <w:t xml:space="preserve"> </w:t>
      </w:r>
      <w:r w:rsidRPr="00496684">
        <w:rPr>
          <w:rFonts w:eastAsia="Verdana"/>
          <w:spacing w:val="1"/>
          <w:sz w:val="22"/>
          <w:szCs w:val="22"/>
          <w:lang w:val="it-IT"/>
        </w:rPr>
        <w:t>l</w:t>
      </w:r>
      <w:r w:rsidRPr="00496684">
        <w:rPr>
          <w:rFonts w:eastAsia="Verdana"/>
          <w:sz w:val="22"/>
          <w:szCs w:val="22"/>
          <w:lang w:val="it-IT"/>
        </w:rPr>
        <w:t>’</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tite</w:t>
      </w:r>
      <w:r w:rsidRPr="00496684">
        <w:rPr>
          <w:rFonts w:eastAsia="Verdana"/>
          <w:spacing w:val="-1"/>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pacing w:val="1"/>
          <w:sz w:val="22"/>
          <w:szCs w:val="22"/>
          <w:lang w:val="it-IT"/>
        </w:rPr>
        <w:t>in</w:t>
      </w:r>
      <w:r w:rsidRPr="00496684">
        <w:rPr>
          <w:rFonts w:eastAsia="Verdana"/>
          <w:spacing w:val="-3"/>
          <w:sz w:val="22"/>
          <w:szCs w:val="22"/>
          <w:lang w:val="it-IT"/>
        </w:rPr>
        <w:t xml:space="preserve"> </w:t>
      </w:r>
      <w:r w:rsidRPr="00496684">
        <w:rPr>
          <w:rFonts w:eastAsia="Verdana"/>
          <w:spacing w:val="1"/>
          <w:sz w:val="22"/>
          <w:szCs w:val="22"/>
          <w:lang w:val="it-IT"/>
        </w:rPr>
        <w:t>p</w:t>
      </w:r>
      <w:r w:rsidRPr="00496684">
        <w:rPr>
          <w:rFonts w:eastAsia="Verdana"/>
          <w:sz w:val="22"/>
          <w:szCs w:val="22"/>
          <w:lang w:val="it-IT"/>
        </w:rPr>
        <w:t>assa</w:t>
      </w:r>
      <w:r w:rsidRPr="00496684">
        <w:rPr>
          <w:rFonts w:eastAsia="Verdana"/>
          <w:spacing w:val="1"/>
          <w:sz w:val="22"/>
          <w:szCs w:val="22"/>
          <w:lang w:val="it-IT"/>
        </w:rPr>
        <w:t>to</w:t>
      </w:r>
      <w:r w:rsidRPr="00496684">
        <w:rPr>
          <w:rFonts w:eastAsia="Verdana"/>
          <w:spacing w:val="-1"/>
          <w:sz w:val="22"/>
          <w:szCs w:val="22"/>
          <w:lang w:val="it-IT"/>
        </w:rPr>
        <w:t xml:space="preserve"> </w:t>
      </w:r>
      <w:r w:rsidRPr="00496684">
        <w:rPr>
          <w:rFonts w:eastAsia="Verdana"/>
          <w:sz w:val="22"/>
          <w:szCs w:val="22"/>
          <w:lang w:val="it-IT"/>
        </w:rPr>
        <w:t>(</w:t>
      </w:r>
      <w:r w:rsidRPr="00496684">
        <w:rPr>
          <w:rFonts w:eastAsia="Verdana"/>
          <w:spacing w:val="-1"/>
          <w:sz w:val="22"/>
          <w:szCs w:val="22"/>
          <w:lang w:val="it-IT"/>
        </w:rPr>
        <w:t>un</w:t>
      </w:r>
      <w:r w:rsidRPr="00496684">
        <w:rPr>
          <w:rFonts w:eastAsia="Verdana"/>
          <w:sz w:val="22"/>
          <w:szCs w:val="22"/>
          <w:lang w:val="it-IT"/>
        </w:rPr>
        <w:t xml:space="preserve">a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del</w:t>
      </w:r>
      <w:r w:rsidRPr="00496684">
        <w:rPr>
          <w:rFonts w:eastAsia="Verdana"/>
          <w:spacing w:val="-1"/>
          <w:sz w:val="22"/>
          <w:szCs w:val="22"/>
          <w:lang w:val="it-IT"/>
        </w:rPr>
        <w:t xml:space="preserve"> f</w:t>
      </w:r>
      <w:r w:rsidRPr="00496684">
        <w:rPr>
          <w:rFonts w:eastAsia="Verdana"/>
          <w:spacing w:val="1"/>
          <w:sz w:val="22"/>
          <w:szCs w:val="22"/>
          <w:lang w:val="it-IT"/>
        </w:rPr>
        <w:t>eg</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o</w:t>
      </w:r>
      <w:r w:rsidRPr="00496684">
        <w:rPr>
          <w:rFonts w:eastAsia="Verdana"/>
          <w:sz w:val="22"/>
          <w:szCs w:val="22"/>
          <w:lang w:val="it-IT"/>
        </w:rPr>
        <w:t>).</w:t>
      </w:r>
    </w:p>
    <w:p w14:paraId="1EC17A0B" w14:textId="77777777" w:rsidR="00753C4E" w:rsidRPr="00496684" w:rsidRDefault="00753C4E" w:rsidP="00AE2366">
      <w:pPr>
        <w:widowControl w:val="0"/>
        <w:spacing w:after="0" w:line="240" w:lineRule="auto"/>
        <w:ind w:left="576"/>
        <w:rPr>
          <w:rFonts w:ascii="Times New Roman" w:eastAsia="Times New Roman" w:hAnsi="Times New Roman"/>
          <w:lang w:val="it-IT" w:eastAsia="it-IT"/>
        </w:rPr>
      </w:pPr>
    </w:p>
    <w:p w14:paraId="7F73B057" w14:textId="77777777" w:rsidR="0013265B" w:rsidRPr="00496684" w:rsidRDefault="0013265B" w:rsidP="0013265B">
      <w:pPr>
        <w:widowControl w:val="0"/>
        <w:spacing w:after="0" w:line="240" w:lineRule="auto"/>
        <w:ind w:left="576"/>
        <w:rPr>
          <w:rFonts w:ascii="Times New Roman" w:eastAsia="Times New Roman" w:hAnsi="Times New Roman"/>
          <w:lang w:val="it-IT" w:eastAsia="it-IT"/>
        </w:rPr>
      </w:pPr>
    </w:p>
    <w:p w14:paraId="1440EA3A"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lang w:val="it-IT" w:eastAsia="it-IT"/>
        </w:rPr>
        <w:t xml:space="preserve">Se manifesta uno degli effetti sopra descritti, </w:t>
      </w:r>
      <w:r w:rsidRPr="00496684">
        <w:rPr>
          <w:rFonts w:ascii="Times New Roman" w:eastAsia="Times New Roman" w:hAnsi="Times New Roman"/>
          <w:b/>
          <w:lang w:val="it-IT" w:eastAsia="it-IT"/>
        </w:rPr>
        <w:t>informi il medico immediatamente.</w:t>
      </w:r>
    </w:p>
    <w:p w14:paraId="196666D9"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08845A05"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Altri effetti indesiderati possono includere:</w:t>
      </w:r>
    </w:p>
    <w:p w14:paraId="587E145B"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77DFDD24" w14:textId="514A8EFD" w:rsidR="0013265B" w:rsidRPr="00496684" w:rsidRDefault="00ED67BC"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M</w:t>
      </w:r>
      <w:r w:rsidR="0013265B" w:rsidRPr="00496684">
        <w:rPr>
          <w:rFonts w:ascii="Times New Roman" w:eastAsia="Times New Roman" w:hAnsi="Times New Roman"/>
          <w:b/>
          <w:lang w:val="it-IT" w:eastAsia="it-IT"/>
        </w:rPr>
        <w:t>olto comuni (</w:t>
      </w:r>
      <w:r w:rsidR="0013265B" w:rsidRPr="00496684">
        <w:rPr>
          <w:rFonts w:ascii="Times New Roman" w:eastAsia="Times New Roman" w:hAnsi="Times New Roman"/>
          <w:lang w:val="it-IT" w:eastAsia="it-IT"/>
        </w:rPr>
        <w:t>può interessare più di 1 persona su 10)</w:t>
      </w:r>
      <w:r w:rsidR="0013265B" w:rsidRPr="00496684">
        <w:rPr>
          <w:rFonts w:ascii="Times New Roman" w:eastAsia="Times New Roman" w:hAnsi="Times New Roman"/>
          <w:b/>
          <w:lang w:val="it-IT" w:eastAsia="it-IT"/>
        </w:rPr>
        <w:t>:</w:t>
      </w:r>
    </w:p>
    <w:p w14:paraId="6233B878" w14:textId="77777777" w:rsidR="0013265B" w:rsidRPr="00496684" w:rsidRDefault="0013265B" w:rsidP="0013265B">
      <w:pPr>
        <w:widowControl w:val="0"/>
        <w:numPr>
          <w:ilvl w:val="0"/>
          <w:numId w:val="23"/>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Mal di testa o sensazione di stanchezza.</w:t>
      </w:r>
    </w:p>
    <w:p w14:paraId="7538C050" w14:textId="77777777" w:rsidR="0013265B" w:rsidRPr="00496684" w:rsidRDefault="0013265B" w:rsidP="0013265B">
      <w:pPr>
        <w:widowControl w:val="0"/>
        <w:numPr>
          <w:ilvl w:val="0"/>
          <w:numId w:val="23"/>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Sensazione di malessere (nausea), vomito, diarrea o indigestione.</w:t>
      </w:r>
    </w:p>
    <w:p w14:paraId="1D36AC69" w14:textId="77777777" w:rsidR="0013265B" w:rsidRPr="00496684" w:rsidRDefault="0013265B" w:rsidP="0013265B">
      <w:pPr>
        <w:widowControl w:val="0"/>
        <w:numPr>
          <w:ilvl w:val="0"/>
          <w:numId w:val="23"/>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Eruzione cutanea.</w:t>
      </w:r>
    </w:p>
    <w:p w14:paraId="5580E89F" w14:textId="77777777" w:rsidR="0013265B" w:rsidRPr="00496684" w:rsidRDefault="0013265B" w:rsidP="0013265B">
      <w:pPr>
        <w:widowControl w:val="0"/>
        <w:numPr>
          <w:ilvl w:val="0"/>
          <w:numId w:val="23"/>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Crampi muscolari o dolori articolari, ai muscoli o alle ossa</w:t>
      </w:r>
      <w:r w:rsidR="003634F3" w:rsidRPr="00496684">
        <w:rPr>
          <w:rFonts w:ascii="Times New Roman" w:eastAsia="Times New Roman" w:hAnsi="Times New Roman"/>
          <w:lang w:val="it-IT" w:eastAsia="it-IT"/>
        </w:rPr>
        <w:t xml:space="preserve">, </w:t>
      </w:r>
      <w:r w:rsidR="003634F3" w:rsidRPr="00496684">
        <w:rPr>
          <w:rFonts w:ascii="Times New Roman" w:hAnsi="Times New Roman"/>
          <w:lang w:val="it-IT"/>
        </w:rPr>
        <w:t>durante il trattamento con imatinib o dopo aver smesso di prendere imatinib</w:t>
      </w:r>
      <w:r w:rsidRPr="00496684">
        <w:rPr>
          <w:rFonts w:ascii="Times New Roman" w:eastAsia="Times New Roman" w:hAnsi="Times New Roman"/>
          <w:lang w:val="it-IT" w:eastAsia="it-IT"/>
        </w:rPr>
        <w:t>.</w:t>
      </w:r>
    </w:p>
    <w:p w14:paraId="4D69099B" w14:textId="77777777" w:rsidR="0013265B" w:rsidRPr="00496684" w:rsidRDefault="0013265B" w:rsidP="0013265B">
      <w:pPr>
        <w:widowControl w:val="0"/>
        <w:numPr>
          <w:ilvl w:val="0"/>
          <w:numId w:val="23"/>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Gonfiore per esempio intorno alle caviglie o occhi gonfi.</w:t>
      </w:r>
    </w:p>
    <w:p w14:paraId="51A26416" w14:textId="77777777" w:rsidR="0013265B" w:rsidRPr="00496684" w:rsidRDefault="0013265B" w:rsidP="0013265B">
      <w:pPr>
        <w:widowControl w:val="0"/>
        <w:numPr>
          <w:ilvl w:val="0"/>
          <w:numId w:val="23"/>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Aumento di peso.</w:t>
      </w:r>
    </w:p>
    <w:p w14:paraId="5DE68598" w14:textId="77777777" w:rsidR="0013265B" w:rsidRPr="00496684" w:rsidRDefault="0013265B" w:rsidP="0013265B">
      <w:pPr>
        <w:widowControl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Se uno di questi effetti si manifesta in maniera grave, </w:t>
      </w:r>
      <w:r w:rsidRPr="00496684">
        <w:rPr>
          <w:rFonts w:ascii="Times New Roman" w:eastAsia="Times New Roman" w:hAnsi="Times New Roman"/>
          <w:b/>
          <w:lang w:val="it-IT" w:eastAsia="it-IT"/>
        </w:rPr>
        <w:t>informi il medico.</w:t>
      </w:r>
    </w:p>
    <w:p w14:paraId="6F9FFDBE"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67D666F2" w14:textId="345C637E" w:rsidR="0013265B" w:rsidRPr="00496684" w:rsidRDefault="00ED67BC" w:rsidP="0013265B">
      <w:pPr>
        <w:widowControl w:val="0"/>
        <w:spacing w:after="0" w:line="240" w:lineRule="auto"/>
        <w:rPr>
          <w:rFonts w:ascii="Times New Roman" w:eastAsia="Times New Roman" w:hAnsi="Times New Roman"/>
          <w:b/>
          <w:bCs/>
          <w:lang w:val="it-IT" w:eastAsia="it-IT"/>
        </w:rPr>
      </w:pPr>
      <w:r w:rsidRPr="00496684">
        <w:rPr>
          <w:rFonts w:ascii="Times New Roman" w:eastAsia="Times New Roman" w:hAnsi="Times New Roman"/>
          <w:b/>
          <w:bCs/>
          <w:lang w:val="it-IT" w:eastAsia="it-IT"/>
        </w:rPr>
        <w:t>C</w:t>
      </w:r>
      <w:r w:rsidR="0013265B" w:rsidRPr="00496684">
        <w:rPr>
          <w:rFonts w:ascii="Times New Roman" w:eastAsia="Times New Roman" w:hAnsi="Times New Roman"/>
          <w:b/>
          <w:bCs/>
          <w:lang w:val="it-IT" w:eastAsia="it-IT"/>
        </w:rPr>
        <w:t xml:space="preserve">omuni </w:t>
      </w:r>
      <w:r w:rsidR="0013265B" w:rsidRPr="00496684">
        <w:rPr>
          <w:rFonts w:ascii="Times New Roman" w:eastAsia="Times New Roman" w:hAnsi="Times New Roman"/>
          <w:b/>
          <w:lang w:val="it-IT" w:eastAsia="it-IT"/>
        </w:rPr>
        <w:t>(</w:t>
      </w:r>
      <w:r w:rsidR="0013265B" w:rsidRPr="00496684">
        <w:rPr>
          <w:rFonts w:ascii="Times New Roman" w:eastAsia="Times New Roman" w:hAnsi="Times New Roman"/>
          <w:lang w:val="it-IT" w:eastAsia="it-IT"/>
        </w:rPr>
        <w:t>può interessare fino a 1 persona su 10)</w:t>
      </w:r>
      <w:r w:rsidR="0013265B" w:rsidRPr="00496684">
        <w:rPr>
          <w:rFonts w:ascii="Times New Roman" w:eastAsia="Times New Roman" w:hAnsi="Times New Roman"/>
          <w:b/>
          <w:bCs/>
          <w:lang w:val="it-IT" w:eastAsia="it-IT"/>
        </w:rPr>
        <w:t>:</w:t>
      </w:r>
    </w:p>
    <w:p w14:paraId="273834BF"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Anoressia, perdita di peso o disturbi del senso del gusto.</w:t>
      </w:r>
    </w:p>
    <w:p w14:paraId="324C4D44"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Sensazione di stordimento o di debolezza.</w:t>
      </w:r>
    </w:p>
    <w:p w14:paraId="343D074A"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Disturbi del sonno (insonnia).</w:t>
      </w:r>
    </w:p>
    <w:p w14:paraId="244D76B4"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Secrezione dagli occhi con prurito, arrossamento e gonfiore (congiuntivite), aumento della lacrimazione o visione offuscata.</w:t>
      </w:r>
    </w:p>
    <w:p w14:paraId="4ACFA28B"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Sanguinamento del naso.</w:t>
      </w:r>
    </w:p>
    <w:p w14:paraId="1A9B8F75"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Dolore o rigonfiamento addominale, flatulenza, bruciori di stomaco o stipsi.</w:t>
      </w:r>
    </w:p>
    <w:p w14:paraId="5CDB30A0"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Prurito.</w:t>
      </w:r>
    </w:p>
    <w:p w14:paraId="5FE56202"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Insolita perdita o assottigliamento dei capelli.</w:t>
      </w:r>
    </w:p>
    <w:p w14:paraId="7DEDD88A"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Torpore delle mani o dei piedi.</w:t>
      </w:r>
    </w:p>
    <w:p w14:paraId="289922F7"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Ulcerazioni della bocca.</w:t>
      </w:r>
    </w:p>
    <w:p w14:paraId="15DF28E3"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Dolore articolare con gonfiore.</w:t>
      </w:r>
    </w:p>
    <w:p w14:paraId="2D30470F"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Secchezza della bocca, secchezza della pelle o secchezza degli occhi.</w:t>
      </w:r>
    </w:p>
    <w:p w14:paraId="3022E5F0"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Riduzione o aumento della sensibilità della pelle.</w:t>
      </w:r>
    </w:p>
    <w:p w14:paraId="45DBF9B6" w14:textId="77777777" w:rsidR="0013265B" w:rsidRPr="00496684" w:rsidRDefault="0013265B" w:rsidP="0013265B">
      <w:pPr>
        <w:widowControl w:val="0"/>
        <w:numPr>
          <w:ilvl w:val="0"/>
          <w:numId w:val="24"/>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Vampate di calore, brividi o sudorazione notturna.</w:t>
      </w:r>
    </w:p>
    <w:p w14:paraId="23078692"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lang w:val="it-IT" w:eastAsia="it-IT"/>
        </w:rPr>
        <w:t>Se uno di questi effetti si manifesta in maniera grave,</w:t>
      </w:r>
      <w:r w:rsidRPr="00496684">
        <w:rPr>
          <w:rFonts w:ascii="Times New Roman" w:eastAsia="Times New Roman" w:hAnsi="Times New Roman"/>
          <w:b/>
          <w:lang w:val="it-IT" w:eastAsia="it-IT"/>
        </w:rPr>
        <w:t xml:space="preserve"> informi il medico.</w:t>
      </w:r>
    </w:p>
    <w:p w14:paraId="72C26581"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26BCF73B"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b/>
          <w:lang w:val="it-IT" w:eastAsia="it-IT"/>
        </w:rPr>
        <w:t xml:space="preserve">Non nota </w:t>
      </w:r>
      <w:r w:rsidRPr="00496684">
        <w:rPr>
          <w:rFonts w:ascii="Times New Roman" w:eastAsia="Times New Roman" w:hAnsi="Times New Roman"/>
          <w:lang w:val="it-IT" w:eastAsia="it-IT"/>
        </w:rPr>
        <w:t>(la frequenza non può essere definita sulla base dei dati disponibili)</w:t>
      </w:r>
      <w:r w:rsidRPr="00496684">
        <w:rPr>
          <w:rFonts w:ascii="Times New Roman" w:eastAsia="Times New Roman" w:hAnsi="Times New Roman"/>
          <w:b/>
          <w:lang w:val="it-IT" w:eastAsia="it-IT"/>
        </w:rPr>
        <w:t>:</w:t>
      </w:r>
    </w:p>
    <w:p w14:paraId="3A656588" w14:textId="77777777" w:rsidR="0013265B" w:rsidRPr="00496684" w:rsidRDefault="0013265B" w:rsidP="0013265B">
      <w:pPr>
        <w:widowControl w:val="0"/>
        <w:numPr>
          <w:ilvl w:val="0"/>
          <w:numId w:val="25"/>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Arrossamento e/o gonfiore dei palmi delle mani e delle piante dei piedi che può essere accompagnato da sensazione di formicolio e bruciore doloroso.</w:t>
      </w:r>
    </w:p>
    <w:p w14:paraId="5EF4D6BD" w14:textId="77777777" w:rsidR="00B56712" w:rsidRPr="00496684" w:rsidRDefault="00BF48F7" w:rsidP="0013265B">
      <w:pPr>
        <w:widowControl w:val="0"/>
        <w:numPr>
          <w:ilvl w:val="0"/>
          <w:numId w:val="25"/>
        </w:numPr>
        <w:spacing w:after="0" w:line="240" w:lineRule="auto"/>
        <w:rPr>
          <w:rFonts w:ascii="Times New Roman" w:eastAsia="Times New Roman" w:hAnsi="Times New Roman"/>
          <w:lang w:val="it-IT" w:eastAsia="it-IT"/>
        </w:rPr>
      </w:pPr>
      <w:r w:rsidRPr="00496684">
        <w:rPr>
          <w:rFonts w:ascii="Times New Roman" w:hAnsi="Times New Roman"/>
          <w:lang w:val="it-IT"/>
        </w:rPr>
        <w:t>Lesioni della cuta dolorose e/o con formazione di vesciche.</w:t>
      </w:r>
    </w:p>
    <w:p w14:paraId="71DF03AC" w14:textId="77777777" w:rsidR="0013265B" w:rsidRPr="00496684" w:rsidRDefault="0013265B" w:rsidP="0013265B">
      <w:pPr>
        <w:widowControl w:val="0"/>
        <w:numPr>
          <w:ilvl w:val="0"/>
          <w:numId w:val="25"/>
        </w:num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Rallentamento della crescita in bambini e adolescenti.</w:t>
      </w:r>
    </w:p>
    <w:p w14:paraId="02E626CA" w14:textId="77777777" w:rsidR="0013265B" w:rsidRPr="00496684" w:rsidRDefault="0013265B" w:rsidP="0013265B">
      <w:pPr>
        <w:widowControl w:val="0"/>
        <w:spacing w:after="0" w:line="240" w:lineRule="auto"/>
        <w:rPr>
          <w:rFonts w:ascii="Times New Roman" w:eastAsia="Times New Roman" w:hAnsi="Times New Roman"/>
          <w:b/>
          <w:lang w:val="it-IT" w:eastAsia="it-IT"/>
        </w:rPr>
      </w:pPr>
      <w:r w:rsidRPr="00496684">
        <w:rPr>
          <w:rFonts w:ascii="Times New Roman" w:eastAsia="Times New Roman" w:hAnsi="Times New Roman"/>
          <w:lang w:val="it-IT" w:eastAsia="it-IT"/>
        </w:rPr>
        <w:t>Se uno di questi effetti si manifesta in maniera grave,</w:t>
      </w:r>
      <w:r w:rsidRPr="00496684">
        <w:rPr>
          <w:rFonts w:ascii="Times New Roman" w:eastAsia="Times New Roman" w:hAnsi="Times New Roman"/>
          <w:b/>
          <w:lang w:val="it-IT" w:eastAsia="it-IT"/>
        </w:rPr>
        <w:t xml:space="preserve"> informi il medico.</w:t>
      </w:r>
    </w:p>
    <w:p w14:paraId="526AD3F8" w14:textId="77777777" w:rsidR="0013265B" w:rsidRPr="00496684" w:rsidRDefault="0013265B" w:rsidP="0013265B">
      <w:pPr>
        <w:widowControl w:val="0"/>
        <w:spacing w:after="0" w:line="240" w:lineRule="auto"/>
        <w:rPr>
          <w:rFonts w:ascii="Times New Roman" w:eastAsia="Times New Roman" w:hAnsi="Times New Roman"/>
          <w:lang w:val="it-IT" w:eastAsia="it-IT"/>
        </w:rPr>
      </w:pPr>
    </w:p>
    <w:p w14:paraId="6752C0F6" w14:textId="77777777" w:rsidR="0013265B" w:rsidRPr="00496684" w:rsidRDefault="0013265B" w:rsidP="0013265B">
      <w:pPr>
        <w:tabs>
          <w:tab w:val="left" w:pos="6300"/>
        </w:tabs>
        <w:spacing w:after="0" w:line="240" w:lineRule="auto"/>
        <w:ind w:right="-2"/>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Segnalazione degli effetti indesiderati</w:t>
      </w:r>
    </w:p>
    <w:p w14:paraId="6CC1957A" w14:textId="77777777" w:rsidR="0013265B" w:rsidRPr="00496684" w:rsidRDefault="0013265B" w:rsidP="0013265B">
      <w:pPr>
        <w:suppressAutoHyphens/>
        <w:rPr>
          <w:rFonts w:ascii="Times New Roman" w:eastAsia="Times New Roman" w:hAnsi="Times New Roman"/>
          <w:lang w:val="it-IT" w:eastAsia="it-IT"/>
        </w:rPr>
      </w:pPr>
      <w:r w:rsidRPr="00496684">
        <w:rPr>
          <w:rFonts w:ascii="Times New Roman" w:eastAsia="Times New Roman" w:hAnsi="Times New Roman"/>
          <w:lang w:val="it-IT" w:eastAsia="it-IT"/>
        </w:rPr>
        <w:t xml:space="preserve">Se manifesta un qualsiasi effetto indesiderato, compresi quelli non elencati in questo foglio, si rivolga al medico, al farmacista o all’infermiere. Lei può inoltre segnalare gli effetti indesiderati direttamente tramite </w:t>
      </w:r>
      <w:r w:rsidRPr="00496684">
        <w:rPr>
          <w:rFonts w:ascii="Times New Roman" w:eastAsia="Times New Roman" w:hAnsi="Times New Roman"/>
          <w:highlight w:val="lightGray"/>
          <w:lang w:val="it-IT" w:eastAsia="it-IT"/>
        </w:rPr>
        <w:t>il sistema nazionale di segnalazione riportato nell’</w:t>
      </w:r>
      <w:hyperlink r:id="rId21" w:history="1">
        <w:r w:rsidRPr="00496684">
          <w:rPr>
            <w:rFonts w:ascii="Times New Roman" w:hAnsi="Times New Roman"/>
            <w:noProof/>
            <w:color w:val="0000FF"/>
            <w:highlight w:val="lightGray"/>
            <w:u w:val="single"/>
            <w:lang w:val="it-IT"/>
          </w:rPr>
          <w:t>Allegato V</w:t>
        </w:r>
      </w:hyperlink>
      <w:r w:rsidRPr="00496684">
        <w:rPr>
          <w:rFonts w:ascii="Times New Roman" w:hAnsi="Times New Roman"/>
          <w:noProof/>
          <w:lang w:val="it-IT"/>
        </w:rPr>
        <w:t>. Segnalando gli effetti indesiderati lei può contribuire a fornire maggiori informazioni sulla sicurezza di questo medicinale.</w:t>
      </w:r>
      <w:r w:rsidRPr="00496684">
        <w:rPr>
          <w:rFonts w:ascii="Times New Roman" w:eastAsia="Times New Roman" w:hAnsi="Times New Roman"/>
          <w:lang w:val="it-IT" w:eastAsia="it-IT"/>
        </w:rPr>
        <w:t xml:space="preserve"> </w:t>
      </w:r>
    </w:p>
    <w:p w14:paraId="599049AD"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p>
    <w:p w14:paraId="0F676278"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Pr="00496684">
        <w:rPr>
          <w:rFonts w:ascii="Times New Roman" w:hAnsi="Times New Roman"/>
          <w:b/>
          <w:lang w:val="it-IT"/>
        </w:rPr>
        <w:t xml:space="preserve">Come conservare </w:t>
      </w:r>
      <w:r w:rsidRPr="00496684">
        <w:rPr>
          <w:rFonts w:ascii="Times New Roman" w:hAnsi="Times New Roman"/>
          <w:b/>
          <w:bCs/>
          <w:lang w:val="it-IT"/>
        </w:rPr>
        <w:t>Imatinib Actavis</w:t>
      </w:r>
    </w:p>
    <w:p w14:paraId="0C39494C"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p>
    <w:p w14:paraId="0CBDA8D4" w14:textId="77777777" w:rsidR="0013265B" w:rsidRPr="00496684" w:rsidRDefault="0013265B" w:rsidP="0013265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Tenere questo medicinale fuori dalla vista e dalla portata dei bambini.</w:t>
      </w:r>
    </w:p>
    <w:p w14:paraId="630273AD" w14:textId="569B8A69" w:rsidR="0013265B" w:rsidRPr="00496684" w:rsidRDefault="0013265B" w:rsidP="0013265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Non usi questo medicinale dopo la data di scadenza che è riportata sulla scatola </w:t>
      </w:r>
      <w:r w:rsidR="00ED67BC" w:rsidRPr="00496684">
        <w:rPr>
          <w:rFonts w:ascii="Times New Roman" w:eastAsia="Times New Roman" w:hAnsi="Times New Roman"/>
          <w:lang w:val="it-IT" w:eastAsia="it-IT"/>
        </w:rPr>
        <w:t xml:space="preserve">e sul blister </w:t>
      </w:r>
      <w:r w:rsidRPr="00496684">
        <w:rPr>
          <w:rFonts w:ascii="Times New Roman" w:eastAsia="Times New Roman" w:hAnsi="Times New Roman"/>
          <w:lang w:val="it-IT" w:eastAsia="it-IT"/>
        </w:rPr>
        <w:t xml:space="preserve">dopo </w:t>
      </w:r>
      <w:r w:rsidR="00B56712" w:rsidRPr="00496684">
        <w:rPr>
          <w:rFonts w:ascii="Times New Roman" w:eastAsia="Times New Roman" w:hAnsi="Times New Roman"/>
          <w:lang w:val="it-IT" w:eastAsia="it-IT"/>
        </w:rPr>
        <w:t>Scad</w:t>
      </w:r>
      <w:r w:rsidRPr="00496684">
        <w:rPr>
          <w:rFonts w:ascii="Times New Roman" w:eastAsia="Times New Roman" w:hAnsi="Times New Roman"/>
          <w:lang w:val="it-IT" w:eastAsia="it-IT"/>
        </w:rPr>
        <w:t>. La data di scadenza si riferisce all’ultimo giorno di quel mese</w:t>
      </w:r>
    </w:p>
    <w:p w14:paraId="701CA98F" w14:textId="77777777" w:rsidR="0013265B" w:rsidRPr="00496684" w:rsidRDefault="0013265B" w:rsidP="0013265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Non conservare a temperatura superiore ai </w:t>
      </w:r>
      <w:smartTag w:uri="urn:schemas-microsoft-com:office:smarttags" w:element="metricconverter">
        <w:smartTagPr>
          <w:attr w:name="ProductID" w:val="25ﾰC"/>
        </w:smartTagPr>
        <w:r w:rsidRPr="00496684">
          <w:rPr>
            <w:rFonts w:ascii="Times New Roman" w:eastAsia="Times New Roman" w:hAnsi="Times New Roman"/>
            <w:lang w:val="it-IT" w:eastAsia="it-IT"/>
          </w:rPr>
          <w:t>25°C</w:t>
        </w:r>
      </w:smartTag>
      <w:r w:rsidRPr="00496684">
        <w:rPr>
          <w:rFonts w:ascii="Times New Roman" w:eastAsia="Times New Roman" w:hAnsi="Times New Roman"/>
          <w:lang w:val="it-IT" w:eastAsia="it-IT"/>
        </w:rPr>
        <w:t>. Conservare nella confezione originale per proteggere il medicinale dall’umidità.</w:t>
      </w:r>
    </w:p>
    <w:p w14:paraId="16A1BA81" w14:textId="77777777" w:rsidR="0013265B" w:rsidRPr="00496684" w:rsidRDefault="0013265B" w:rsidP="0013265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utilizzare se la confezione dovesse essere danneggiata o presentare segni di manomissione.</w:t>
      </w:r>
    </w:p>
    <w:p w14:paraId="557C9B89" w14:textId="77777777" w:rsidR="0013265B" w:rsidRPr="00496684" w:rsidRDefault="0013265B" w:rsidP="0013265B">
      <w:pPr>
        <w:suppressAutoHyphens/>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getti alcun medicinale nell’acqua di scarico e nei rifiuti domestici. Chieda al farmacista come eliminare i medicinali che non utilizza più. Questo aiuterà a proteggere l’ambiente.</w:t>
      </w:r>
    </w:p>
    <w:p w14:paraId="2867CB36"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0EB946F"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8AA3A8B"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Pr="00496684">
        <w:rPr>
          <w:rFonts w:ascii="Times New Roman" w:hAnsi="Times New Roman"/>
          <w:b/>
          <w:lang w:val="it-IT"/>
        </w:rPr>
        <w:t>Contenuto della confezione e altre informazioni</w:t>
      </w:r>
    </w:p>
    <w:p w14:paraId="1594C6A2" w14:textId="77777777" w:rsidR="0013265B" w:rsidRPr="00496684" w:rsidRDefault="0013265B" w:rsidP="0013265B">
      <w:pPr>
        <w:autoSpaceDE w:val="0"/>
        <w:autoSpaceDN w:val="0"/>
        <w:adjustRightInd w:val="0"/>
        <w:spacing w:after="0" w:line="240" w:lineRule="auto"/>
        <w:rPr>
          <w:rFonts w:ascii="Times New Roman" w:hAnsi="Times New Roman"/>
          <w:bCs/>
          <w:lang w:val="it-IT"/>
        </w:rPr>
      </w:pPr>
    </w:p>
    <w:p w14:paraId="0794EA0E" w14:textId="77777777" w:rsidR="0013265B" w:rsidRPr="00496684" w:rsidRDefault="0013265B" w:rsidP="0013265B">
      <w:pPr>
        <w:autoSpaceDE w:val="0"/>
        <w:autoSpaceDN w:val="0"/>
        <w:adjustRightInd w:val="0"/>
        <w:spacing w:after="0" w:line="240" w:lineRule="auto"/>
        <w:rPr>
          <w:rFonts w:ascii="Times New Roman" w:hAnsi="Times New Roman"/>
          <w:b/>
          <w:bCs/>
          <w:lang w:val="it-IT"/>
        </w:rPr>
      </w:pPr>
      <w:r w:rsidRPr="00496684">
        <w:rPr>
          <w:rFonts w:ascii="Times New Roman" w:hAnsi="Times New Roman"/>
          <w:b/>
          <w:lang w:val="it-IT"/>
        </w:rPr>
        <w:t xml:space="preserve">Cosa contiene </w:t>
      </w:r>
      <w:r w:rsidRPr="00496684">
        <w:rPr>
          <w:rFonts w:ascii="Times New Roman" w:hAnsi="Times New Roman"/>
          <w:b/>
          <w:bCs/>
          <w:lang w:val="it-IT"/>
        </w:rPr>
        <w:t xml:space="preserve">Imatinib Actavis </w:t>
      </w:r>
    </w:p>
    <w:p w14:paraId="76E3CD36" w14:textId="77777777" w:rsidR="0013265B" w:rsidRPr="00496684" w:rsidRDefault="0013265B" w:rsidP="0013265B">
      <w:pPr>
        <w:widowControl w:val="0"/>
        <w:numPr>
          <w:ilvl w:val="0"/>
          <w:numId w:val="13"/>
        </w:numPr>
        <w:spacing w:after="0" w:line="240" w:lineRule="auto"/>
        <w:ind w:left="567" w:right="-2" w:hanging="567"/>
        <w:jc w:val="both"/>
        <w:rPr>
          <w:rFonts w:ascii="Times New Roman" w:hAnsi="Times New Roman"/>
          <w:lang w:val="it-IT"/>
        </w:rPr>
      </w:pPr>
      <w:r w:rsidRPr="00496684">
        <w:rPr>
          <w:rFonts w:ascii="Times New Roman" w:hAnsi="Times New Roman"/>
          <w:lang w:val="it-IT"/>
        </w:rPr>
        <w:t>Il principio attivo è imatinib (come mesilato). Ogni capsula contiene 400 mg di imatinib (come mesilato).</w:t>
      </w:r>
    </w:p>
    <w:p w14:paraId="1C447E51" w14:textId="77777777" w:rsidR="0013265B" w:rsidRPr="00496684" w:rsidRDefault="0013265B" w:rsidP="0013265B">
      <w:pPr>
        <w:autoSpaceDE w:val="0"/>
        <w:autoSpaceDN w:val="0"/>
        <w:adjustRightInd w:val="0"/>
        <w:spacing w:after="0" w:line="240" w:lineRule="auto"/>
        <w:ind w:left="567" w:hanging="567"/>
        <w:jc w:val="both"/>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 xml:space="preserve">Gli altri componenti sono: </w:t>
      </w:r>
    </w:p>
    <w:p w14:paraId="0AAE99E8" w14:textId="77777777" w:rsidR="0013265B" w:rsidRPr="00496684" w:rsidRDefault="0013265B" w:rsidP="0013265B">
      <w:pPr>
        <w:autoSpaceDE w:val="0"/>
        <w:autoSpaceDN w:val="0"/>
        <w:adjustRightInd w:val="0"/>
        <w:spacing w:after="0" w:line="240" w:lineRule="auto"/>
        <w:ind w:left="567"/>
        <w:jc w:val="both"/>
        <w:rPr>
          <w:rFonts w:ascii="Times New Roman" w:hAnsi="Times New Roman"/>
          <w:lang w:val="it-IT"/>
        </w:rPr>
      </w:pPr>
      <w:r w:rsidRPr="00496684">
        <w:rPr>
          <w:rFonts w:ascii="Times New Roman" w:hAnsi="Times New Roman"/>
          <w:lang w:val="it-IT"/>
        </w:rPr>
        <w:t xml:space="preserve">Contenuto della capsula: cellulosa microcristallina, copovidone, crospovidone, sodio stearil fumarato, silice (colloidale idrofobica e colloidale anidra). </w:t>
      </w:r>
    </w:p>
    <w:p w14:paraId="675320C3" w14:textId="77777777" w:rsidR="0013265B" w:rsidRPr="00496684" w:rsidRDefault="0013265B" w:rsidP="0013265B">
      <w:pPr>
        <w:autoSpaceDE w:val="0"/>
        <w:autoSpaceDN w:val="0"/>
        <w:adjustRightInd w:val="0"/>
        <w:spacing w:after="0" w:line="240" w:lineRule="auto"/>
        <w:ind w:left="567"/>
        <w:jc w:val="both"/>
        <w:rPr>
          <w:rFonts w:ascii="Times New Roman" w:hAnsi="Times New Roman"/>
          <w:lang w:val="it-IT"/>
        </w:rPr>
      </w:pPr>
      <w:r w:rsidRPr="00496684">
        <w:rPr>
          <w:rFonts w:ascii="Times New Roman" w:hAnsi="Times New Roman"/>
          <w:lang w:val="it-IT"/>
        </w:rPr>
        <w:t xml:space="preserve">Involucro </w:t>
      </w:r>
      <w:r w:rsidRPr="00496684">
        <w:rPr>
          <w:rFonts w:ascii="Times New Roman" w:hAnsi="Times New Roman"/>
          <w:lang w:val="it-IT"/>
        </w:rPr>
        <w:tab/>
        <w:t xml:space="preserve">della capsula: ipromellosa, titanio diossido (E171). ferro ossido giallo (E172), ferro ossido rosso (E172), ferro ossido nero (E172). </w:t>
      </w:r>
    </w:p>
    <w:p w14:paraId="7B1CBD9D" w14:textId="77777777" w:rsidR="0013265B" w:rsidRPr="00496684" w:rsidRDefault="0013265B" w:rsidP="0013265B">
      <w:pPr>
        <w:autoSpaceDE w:val="0"/>
        <w:autoSpaceDN w:val="0"/>
        <w:adjustRightInd w:val="0"/>
        <w:spacing w:after="0" w:line="240" w:lineRule="auto"/>
        <w:ind w:left="567"/>
        <w:jc w:val="both"/>
        <w:rPr>
          <w:rFonts w:ascii="Times New Roman" w:hAnsi="Times New Roman"/>
          <w:lang w:val="it-IT"/>
        </w:rPr>
      </w:pPr>
      <w:r w:rsidRPr="00496684">
        <w:rPr>
          <w:rFonts w:ascii="Times New Roman" w:hAnsi="Times New Roman"/>
          <w:lang w:val="it-IT"/>
        </w:rPr>
        <w:t>Inchiostro della stampa: gommalacca glassa-45%, ferro ossido nero (E172), glicole propilenico, ammonio idrossido 28%.</w:t>
      </w:r>
    </w:p>
    <w:p w14:paraId="18A33C01" w14:textId="77777777" w:rsidR="0013265B" w:rsidRPr="00496684" w:rsidRDefault="0013265B" w:rsidP="0013265B">
      <w:pPr>
        <w:autoSpaceDE w:val="0"/>
        <w:autoSpaceDN w:val="0"/>
        <w:adjustRightInd w:val="0"/>
        <w:spacing w:after="0" w:line="240" w:lineRule="auto"/>
        <w:ind w:left="567"/>
        <w:jc w:val="both"/>
        <w:rPr>
          <w:rFonts w:ascii="Times New Roman" w:hAnsi="Times New Roman"/>
          <w:lang w:val="it-IT"/>
        </w:rPr>
      </w:pPr>
    </w:p>
    <w:p w14:paraId="4941B187" w14:textId="77777777" w:rsidR="0013265B" w:rsidRPr="00496684" w:rsidRDefault="0013265B" w:rsidP="0013265B">
      <w:pPr>
        <w:spacing w:after="0"/>
        <w:ind w:right="-2"/>
        <w:rPr>
          <w:rFonts w:ascii="Times New Roman" w:hAnsi="Times New Roman"/>
          <w:b/>
          <w:lang w:val="it-IT"/>
        </w:rPr>
      </w:pPr>
      <w:r w:rsidRPr="00496684">
        <w:rPr>
          <w:rFonts w:ascii="Times New Roman" w:hAnsi="Times New Roman"/>
          <w:b/>
          <w:lang w:val="it-IT"/>
        </w:rPr>
        <w:t>Descrizione dell’aspetto di Imatinib Actavis e contenuto della confezione</w:t>
      </w:r>
    </w:p>
    <w:p w14:paraId="78446699"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Capsula rigida con testa di colore arancio opaco e corpo stampato con 400 mg in inchiostro nero. </w:t>
      </w:r>
    </w:p>
    <w:p w14:paraId="732104A0"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La capsula contiene una polvere gialla chiara.</w:t>
      </w:r>
    </w:p>
    <w:p w14:paraId="54BB5081"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10C51BC" w14:textId="77777777" w:rsidR="0013265B" w:rsidRPr="00496684" w:rsidRDefault="0013265B" w:rsidP="0013265B">
      <w:pPr>
        <w:autoSpaceDE w:val="0"/>
        <w:autoSpaceDN w:val="0"/>
        <w:adjustRightInd w:val="0"/>
        <w:spacing w:after="0" w:line="240" w:lineRule="auto"/>
        <w:rPr>
          <w:rFonts w:ascii="Times New Roman" w:hAnsi="Times New Roman"/>
          <w:bCs/>
          <w:i/>
          <w:lang w:val="it-IT"/>
        </w:rPr>
      </w:pPr>
      <w:r w:rsidRPr="00496684">
        <w:rPr>
          <w:rFonts w:ascii="Times New Roman" w:hAnsi="Times New Roman"/>
          <w:bCs/>
          <w:i/>
          <w:lang w:val="it-IT"/>
        </w:rPr>
        <w:t>Confezioni:</w:t>
      </w:r>
    </w:p>
    <w:p w14:paraId="40A87037" w14:textId="77777777" w:rsidR="0013265B" w:rsidRPr="00496684" w:rsidRDefault="0013265B" w:rsidP="0013265B">
      <w:pPr>
        <w:ind w:right="-2"/>
        <w:rPr>
          <w:rFonts w:ascii="Times New Roman" w:hAnsi="Times New Roman"/>
          <w:lang w:val="it-IT"/>
        </w:rPr>
      </w:pPr>
      <w:r w:rsidRPr="00496684">
        <w:rPr>
          <w:rFonts w:ascii="Times New Roman" w:hAnsi="Times New Roman"/>
          <w:lang w:val="it-IT"/>
        </w:rPr>
        <w:t>Le capsule sono fornite in confezioni con blister in alluminio da  10, 30, 60  o 90 capsule.</w:t>
      </w:r>
    </w:p>
    <w:p w14:paraId="18E5BC6F"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possibile che non tutte le confezioni siano commercializzate</w:t>
      </w:r>
    </w:p>
    <w:p w14:paraId="407AA89E"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3CA39B60" w14:textId="77777777" w:rsidR="0013265B" w:rsidRPr="00496684" w:rsidRDefault="0013265B" w:rsidP="0013265B">
      <w:pPr>
        <w:spacing w:after="0" w:line="240" w:lineRule="auto"/>
        <w:ind w:right="-2"/>
        <w:rPr>
          <w:rFonts w:ascii="Times New Roman" w:hAnsi="Times New Roman"/>
          <w:b/>
          <w:lang w:val="it-IT"/>
        </w:rPr>
      </w:pPr>
      <w:r w:rsidRPr="00496684">
        <w:rPr>
          <w:rFonts w:ascii="Times New Roman" w:hAnsi="Times New Roman"/>
          <w:b/>
          <w:lang w:val="it-IT"/>
        </w:rPr>
        <w:t>Titolare dell’autorizzazione all’immissione in commercio</w:t>
      </w:r>
    </w:p>
    <w:p w14:paraId="6B8C93E1"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0B120F0F"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Reykjavíkurvegur 76-78,</w:t>
      </w:r>
    </w:p>
    <w:p w14:paraId="4ED870B7"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Hafnarfjörður</w:t>
      </w:r>
    </w:p>
    <w:p w14:paraId="6068F425"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356B1D36"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694C7E6D" w14:textId="77777777" w:rsidR="0013265B" w:rsidRPr="00496684" w:rsidRDefault="0013265B" w:rsidP="0013265B">
      <w:pPr>
        <w:spacing w:after="0" w:line="240" w:lineRule="auto"/>
        <w:ind w:right="-2"/>
        <w:rPr>
          <w:rFonts w:ascii="Times New Roman" w:hAnsi="Times New Roman"/>
          <w:b/>
          <w:lang w:val="it-IT"/>
        </w:rPr>
      </w:pPr>
      <w:r w:rsidRPr="00496684">
        <w:rPr>
          <w:rFonts w:ascii="Times New Roman" w:hAnsi="Times New Roman"/>
          <w:b/>
          <w:lang w:val="it-IT"/>
        </w:rPr>
        <w:t>Produttore</w:t>
      </w:r>
    </w:p>
    <w:p w14:paraId="369B0553" w14:textId="77777777" w:rsidR="0013265B" w:rsidRPr="00496684" w:rsidRDefault="0013265B" w:rsidP="0013265B">
      <w:pPr>
        <w:spacing w:after="0" w:line="240" w:lineRule="auto"/>
        <w:rPr>
          <w:rFonts w:ascii="Times New Roman" w:hAnsi="Times New Roman"/>
          <w:lang w:val="it-IT"/>
        </w:rPr>
      </w:pPr>
      <w:r w:rsidRPr="00496684">
        <w:rPr>
          <w:rFonts w:ascii="Times New Roman" w:hAnsi="Times New Roman"/>
          <w:lang w:val="it-IT"/>
        </w:rPr>
        <w:t>S.C. Sindan</w:t>
      </w:r>
      <w:r w:rsidRPr="00496684">
        <w:rPr>
          <w:rFonts w:ascii="Times New Roman" w:hAnsi="Times New Roman"/>
          <w:lang w:val="it-IT"/>
        </w:rPr>
        <w:noBreakHyphen/>
        <w:t>Pharma S.R.L.</w:t>
      </w:r>
    </w:p>
    <w:p w14:paraId="7427FFF0" w14:textId="77777777" w:rsidR="0013265B" w:rsidRPr="00496684" w:rsidRDefault="0013265B" w:rsidP="0013265B">
      <w:pPr>
        <w:spacing w:after="0" w:line="240" w:lineRule="auto"/>
        <w:rPr>
          <w:rFonts w:ascii="Times New Roman" w:hAnsi="Times New Roman"/>
          <w:lang w:val="it-IT"/>
        </w:rPr>
      </w:pPr>
      <w:r w:rsidRPr="00496684">
        <w:rPr>
          <w:rFonts w:ascii="Times New Roman" w:hAnsi="Times New Roman"/>
          <w:lang w:val="it-IT"/>
        </w:rPr>
        <w:t>11 Ion Mihalache Blvd</w:t>
      </w:r>
    </w:p>
    <w:p w14:paraId="3D92A2A2" w14:textId="77777777" w:rsidR="0013265B" w:rsidRPr="00496684" w:rsidRDefault="0013265B" w:rsidP="0013265B">
      <w:pPr>
        <w:spacing w:after="0" w:line="240" w:lineRule="auto"/>
        <w:rPr>
          <w:rFonts w:ascii="Times New Roman" w:hAnsi="Times New Roman"/>
          <w:lang w:val="it-IT"/>
        </w:rPr>
      </w:pPr>
      <w:r w:rsidRPr="00496684">
        <w:rPr>
          <w:rFonts w:ascii="Times New Roman" w:hAnsi="Times New Roman"/>
          <w:lang w:val="it-IT"/>
        </w:rPr>
        <w:t>Bucarest</w:t>
      </w:r>
    </w:p>
    <w:p w14:paraId="3D75F1D9" w14:textId="77777777" w:rsidR="0013265B" w:rsidRPr="00496684" w:rsidRDefault="0013265B" w:rsidP="0013265B">
      <w:pPr>
        <w:spacing w:after="0" w:line="240" w:lineRule="auto"/>
        <w:rPr>
          <w:rFonts w:ascii="Times New Roman" w:hAnsi="Times New Roman"/>
          <w:lang w:val="it-IT"/>
        </w:rPr>
      </w:pPr>
      <w:r w:rsidRPr="00496684">
        <w:rPr>
          <w:rFonts w:ascii="Times New Roman" w:hAnsi="Times New Roman"/>
          <w:lang w:val="it-IT"/>
        </w:rPr>
        <w:t>Romania</w:t>
      </w:r>
    </w:p>
    <w:p w14:paraId="70CBF93B" w14:textId="77777777" w:rsidR="0013265B" w:rsidRPr="00496684" w:rsidRDefault="0013265B" w:rsidP="0013265B">
      <w:pPr>
        <w:autoSpaceDE w:val="0"/>
        <w:autoSpaceDN w:val="0"/>
        <w:adjustRightInd w:val="0"/>
        <w:spacing w:after="0" w:line="240" w:lineRule="auto"/>
        <w:rPr>
          <w:rFonts w:ascii="Times New Roman" w:hAnsi="Times New Roman"/>
          <w:lang w:val="it-IT"/>
        </w:rPr>
      </w:pPr>
    </w:p>
    <w:p w14:paraId="5C253FBF" w14:textId="77777777" w:rsidR="0013265B" w:rsidRPr="00496684" w:rsidRDefault="0013265B" w:rsidP="0013265B">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Per ulteriori informazioni su questo medicinale, contatti il rappresentate locale del titolare dell’autorizzazione all’immissione in commercio.</w:t>
      </w:r>
    </w:p>
    <w:p w14:paraId="1C0B7135" w14:textId="77777777" w:rsidR="0013265B" w:rsidRPr="00496684" w:rsidRDefault="0013265B" w:rsidP="0013265B">
      <w:pPr>
        <w:autoSpaceDE w:val="0"/>
        <w:autoSpaceDN w:val="0"/>
        <w:adjustRightInd w:val="0"/>
        <w:spacing w:after="0" w:line="240" w:lineRule="auto"/>
        <w:rPr>
          <w:rFonts w:ascii="Times New Roman" w:hAnsi="Times New Roman"/>
          <w:lang w:val="it-IT"/>
        </w:rPr>
      </w:pPr>
    </w:p>
    <w:tbl>
      <w:tblPr>
        <w:tblW w:w="9356" w:type="dxa"/>
        <w:tblInd w:w="-34" w:type="dxa"/>
        <w:tblLayout w:type="fixed"/>
        <w:tblLook w:val="0000" w:firstRow="0" w:lastRow="0" w:firstColumn="0" w:lastColumn="0" w:noHBand="0" w:noVBand="0"/>
      </w:tblPr>
      <w:tblGrid>
        <w:gridCol w:w="34"/>
        <w:gridCol w:w="4644"/>
        <w:gridCol w:w="4678"/>
      </w:tblGrid>
      <w:tr w:rsidR="0080347A" w:rsidRPr="00DC08DD" w14:paraId="21C25C4C" w14:textId="77777777" w:rsidTr="009C70C0">
        <w:trPr>
          <w:gridBefore w:val="1"/>
          <w:wBefore w:w="34" w:type="dxa"/>
          <w:cantSplit/>
        </w:trPr>
        <w:tc>
          <w:tcPr>
            <w:tcW w:w="4644" w:type="dxa"/>
          </w:tcPr>
          <w:p w14:paraId="4B9D7B8B" w14:textId="77777777" w:rsidR="0080347A" w:rsidRPr="00666899" w:rsidRDefault="0080347A" w:rsidP="009C70C0">
            <w:pPr>
              <w:pStyle w:val="KeinLeerraum"/>
              <w:rPr>
                <w:rFonts w:ascii="Times New Roman" w:hAnsi="Times New Roman"/>
                <w:lang w:val="fr-FR"/>
              </w:rPr>
            </w:pPr>
            <w:r w:rsidRPr="00666899">
              <w:rPr>
                <w:rFonts w:ascii="Times New Roman" w:hAnsi="Times New Roman"/>
                <w:b/>
                <w:lang w:val="fr-FR"/>
              </w:rPr>
              <w:t>België/Belgique/Belgien</w:t>
            </w:r>
          </w:p>
          <w:p w14:paraId="73995803" w14:textId="77777777" w:rsidR="0080347A" w:rsidRPr="00666899" w:rsidRDefault="0080347A" w:rsidP="009C70C0">
            <w:pPr>
              <w:pStyle w:val="KeinLeerraum"/>
              <w:rPr>
                <w:rFonts w:ascii="Times New Roman" w:hAnsi="Times New Roman"/>
                <w:lang w:val="fr-FR"/>
              </w:rPr>
            </w:pPr>
            <w:r w:rsidRPr="00666899">
              <w:rPr>
                <w:rFonts w:ascii="Times New Roman" w:hAnsi="Times New Roman"/>
                <w:lang w:val="fr-FR"/>
              </w:rPr>
              <w:t>Actavis Group PTC ehf.</w:t>
            </w:r>
          </w:p>
          <w:p w14:paraId="5CD26718"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IJsland/Islande/Island</w:t>
            </w:r>
          </w:p>
          <w:p w14:paraId="0EC9F53D"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Tél/Tel: +354 5503300</w:t>
            </w:r>
          </w:p>
          <w:p w14:paraId="74D1DFC0" w14:textId="77777777" w:rsidR="0080347A" w:rsidRPr="00DC08DD" w:rsidRDefault="0080347A" w:rsidP="009C70C0">
            <w:pPr>
              <w:pStyle w:val="KeinLeerraum"/>
              <w:rPr>
                <w:rFonts w:ascii="Times New Roman" w:hAnsi="Times New Roman"/>
                <w:lang w:val="en-GB"/>
              </w:rPr>
            </w:pPr>
          </w:p>
        </w:tc>
        <w:tc>
          <w:tcPr>
            <w:tcW w:w="4678" w:type="dxa"/>
          </w:tcPr>
          <w:p w14:paraId="3281CA9A"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Lietuva</w:t>
            </w:r>
          </w:p>
          <w:p w14:paraId="3846478B" w14:textId="7EC1548F" w:rsidR="0080347A" w:rsidRPr="00DC08DD" w:rsidRDefault="0080347A" w:rsidP="009C70C0">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7B3371EA"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7FA616B7" w14:textId="77777777" w:rsidR="0080347A" w:rsidRPr="00DC08DD" w:rsidRDefault="0080347A" w:rsidP="009C70C0">
            <w:pPr>
              <w:pStyle w:val="KeinLeerraum"/>
              <w:rPr>
                <w:rFonts w:ascii="Times New Roman" w:hAnsi="Times New Roman"/>
                <w:lang w:val="en-GB"/>
              </w:rPr>
            </w:pPr>
          </w:p>
        </w:tc>
      </w:tr>
      <w:tr w:rsidR="0080347A" w:rsidRPr="00DC08DD" w14:paraId="6EE634E9" w14:textId="77777777" w:rsidTr="009C70C0">
        <w:trPr>
          <w:gridBefore w:val="1"/>
          <w:wBefore w:w="34" w:type="dxa"/>
          <w:cantSplit/>
        </w:trPr>
        <w:tc>
          <w:tcPr>
            <w:tcW w:w="4644" w:type="dxa"/>
          </w:tcPr>
          <w:p w14:paraId="385BA627" w14:textId="77777777" w:rsidR="0080347A" w:rsidRPr="00DC08DD" w:rsidRDefault="0080347A" w:rsidP="009C70C0">
            <w:pPr>
              <w:pStyle w:val="KeinLeerraum"/>
              <w:rPr>
                <w:rFonts w:ascii="Times New Roman" w:hAnsi="Times New Roman"/>
                <w:b/>
                <w:bCs/>
                <w:lang w:val="en-GB"/>
              </w:rPr>
            </w:pPr>
            <w:r w:rsidRPr="00DC08DD">
              <w:rPr>
                <w:rFonts w:ascii="Times New Roman" w:hAnsi="Times New Roman"/>
                <w:b/>
                <w:bCs/>
                <w:lang w:val="en-GB"/>
              </w:rPr>
              <w:t>България</w:t>
            </w:r>
          </w:p>
          <w:p w14:paraId="2F01F824"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Актавис ЕАД</w:t>
            </w:r>
          </w:p>
          <w:p w14:paraId="79994BF9"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90499EE" w14:textId="77777777" w:rsidR="0080347A" w:rsidRPr="00DC08DD" w:rsidRDefault="0080347A" w:rsidP="009C70C0">
            <w:pPr>
              <w:pStyle w:val="KeinLeerraum"/>
              <w:rPr>
                <w:rFonts w:ascii="Times New Roman" w:hAnsi="Times New Roman"/>
                <w:lang w:val="en-GB"/>
              </w:rPr>
            </w:pPr>
          </w:p>
        </w:tc>
        <w:tc>
          <w:tcPr>
            <w:tcW w:w="4678" w:type="dxa"/>
          </w:tcPr>
          <w:p w14:paraId="1091E65A" w14:textId="77777777" w:rsidR="0080347A" w:rsidRPr="00666899" w:rsidRDefault="0080347A" w:rsidP="009C70C0">
            <w:pPr>
              <w:pStyle w:val="KeinLeerraum"/>
              <w:rPr>
                <w:rFonts w:ascii="Times New Roman" w:hAnsi="Times New Roman"/>
                <w:lang w:val="en-GB"/>
              </w:rPr>
            </w:pPr>
            <w:r w:rsidRPr="00666899">
              <w:rPr>
                <w:rFonts w:ascii="Times New Roman" w:hAnsi="Times New Roman"/>
                <w:b/>
                <w:lang w:val="en-GB"/>
              </w:rPr>
              <w:t>Luxembourg/Luxemburg</w:t>
            </w:r>
          </w:p>
          <w:p w14:paraId="483EC896" w14:textId="77777777" w:rsidR="0080347A" w:rsidRPr="00666899" w:rsidRDefault="0080347A" w:rsidP="009C70C0">
            <w:pPr>
              <w:pStyle w:val="KeinLeerraum"/>
              <w:rPr>
                <w:rFonts w:ascii="Times New Roman" w:hAnsi="Times New Roman"/>
                <w:lang w:val="en-GB"/>
              </w:rPr>
            </w:pPr>
            <w:r w:rsidRPr="00666899">
              <w:rPr>
                <w:rFonts w:ascii="Times New Roman" w:hAnsi="Times New Roman"/>
                <w:lang w:val="en-GB"/>
              </w:rPr>
              <w:t>Actavis Group PTC ehf.</w:t>
            </w:r>
          </w:p>
          <w:p w14:paraId="2BA1FDAE"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Islande/Island</w:t>
            </w:r>
          </w:p>
          <w:p w14:paraId="008DD83A" w14:textId="77777777" w:rsidR="0080347A" w:rsidRPr="001B0C82" w:rsidRDefault="0080347A" w:rsidP="009C70C0">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CACDEA5" w14:textId="77777777" w:rsidR="0080347A" w:rsidRPr="00DC08DD" w:rsidRDefault="0080347A" w:rsidP="009C70C0">
            <w:pPr>
              <w:pStyle w:val="KeinLeerraum"/>
              <w:rPr>
                <w:rFonts w:ascii="Times New Roman" w:hAnsi="Times New Roman"/>
                <w:lang w:val="en-GB"/>
              </w:rPr>
            </w:pPr>
          </w:p>
        </w:tc>
      </w:tr>
      <w:tr w:rsidR="0080347A" w:rsidRPr="00DC08DD" w14:paraId="5F12DF11" w14:textId="77777777" w:rsidTr="009C70C0">
        <w:trPr>
          <w:gridBefore w:val="1"/>
          <w:wBefore w:w="34" w:type="dxa"/>
          <w:cantSplit/>
          <w:trHeight w:val="751"/>
        </w:trPr>
        <w:tc>
          <w:tcPr>
            <w:tcW w:w="4644" w:type="dxa"/>
          </w:tcPr>
          <w:p w14:paraId="1088B334" w14:textId="77777777" w:rsidR="0080347A" w:rsidRPr="00666899" w:rsidRDefault="0080347A" w:rsidP="009C70C0">
            <w:pPr>
              <w:pStyle w:val="KeinLeerraum"/>
              <w:rPr>
                <w:rFonts w:ascii="Times New Roman" w:hAnsi="Times New Roman"/>
              </w:rPr>
            </w:pPr>
            <w:r w:rsidRPr="00666899">
              <w:rPr>
                <w:rFonts w:ascii="Times New Roman" w:hAnsi="Times New Roman"/>
                <w:b/>
              </w:rPr>
              <w:t>Česká republika</w:t>
            </w:r>
          </w:p>
          <w:p w14:paraId="674F7C39" w14:textId="77777777" w:rsidR="0080347A" w:rsidRPr="00DC08DD" w:rsidRDefault="0080347A" w:rsidP="009C70C0">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6F5D8898"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724E3304" w14:textId="77777777" w:rsidR="0080347A" w:rsidRPr="00DC08DD" w:rsidRDefault="0080347A" w:rsidP="009C70C0">
            <w:pPr>
              <w:pStyle w:val="KeinLeerraum"/>
              <w:rPr>
                <w:rFonts w:ascii="Times New Roman" w:hAnsi="Times New Roman"/>
                <w:lang w:val="en-GB"/>
              </w:rPr>
            </w:pPr>
          </w:p>
        </w:tc>
        <w:tc>
          <w:tcPr>
            <w:tcW w:w="4678" w:type="dxa"/>
          </w:tcPr>
          <w:p w14:paraId="3D080DC6"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Magyarország</w:t>
            </w:r>
          </w:p>
          <w:p w14:paraId="79053F5D" w14:textId="77777777" w:rsidR="0080347A" w:rsidRPr="00DC08DD" w:rsidRDefault="0080347A" w:rsidP="009C70C0">
            <w:pPr>
              <w:pStyle w:val="KeinLeerraum"/>
              <w:rPr>
                <w:rFonts w:ascii="Times New Roman" w:hAnsi="Times New Roman"/>
                <w:lang w:val="en-GB"/>
              </w:rPr>
            </w:pPr>
            <w:r w:rsidRPr="00DC08DD">
              <w:rPr>
                <w:rFonts w:ascii="Times New Roman" w:hAnsi="Times New Roman"/>
                <w:noProof/>
              </w:rPr>
              <w:t>Teva Gyógyszergyár Zrt.</w:t>
            </w:r>
          </w:p>
          <w:p w14:paraId="595CDC34"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A7895AC" w14:textId="77777777" w:rsidR="0080347A" w:rsidRPr="00DC08DD" w:rsidRDefault="0080347A" w:rsidP="009C70C0">
            <w:pPr>
              <w:pStyle w:val="KeinLeerraum"/>
              <w:rPr>
                <w:rFonts w:ascii="Times New Roman" w:hAnsi="Times New Roman"/>
                <w:lang w:val="en-GB"/>
              </w:rPr>
            </w:pPr>
          </w:p>
        </w:tc>
      </w:tr>
      <w:tr w:rsidR="0080347A" w:rsidRPr="00DC08DD" w14:paraId="20BD1AF1" w14:textId="77777777" w:rsidTr="009C70C0">
        <w:trPr>
          <w:gridBefore w:val="1"/>
          <w:wBefore w:w="34" w:type="dxa"/>
          <w:cantSplit/>
        </w:trPr>
        <w:tc>
          <w:tcPr>
            <w:tcW w:w="4644" w:type="dxa"/>
          </w:tcPr>
          <w:p w14:paraId="72048B7B"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Danmark</w:t>
            </w:r>
          </w:p>
          <w:p w14:paraId="3367D4A3"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Teva Denmark A/S</w:t>
            </w:r>
          </w:p>
          <w:p w14:paraId="31553AB9"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Tlf: +45 44985511</w:t>
            </w:r>
          </w:p>
          <w:p w14:paraId="2DBA85F4" w14:textId="77777777" w:rsidR="0080347A" w:rsidRPr="00DC08DD" w:rsidRDefault="0080347A" w:rsidP="009C70C0">
            <w:pPr>
              <w:pStyle w:val="KeinLeerraum"/>
              <w:rPr>
                <w:rFonts w:ascii="Times New Roman" w:hAnsi="Times New Roman"/>
                <w:lang w:val="en-GB"/>
              </w:rPr>
            </w:pPr>
          </w:p>
        </w:tc>
        <w:tc>
          <w:tcPr>
            <w:tcW w:w="4678" w:type="dxa"/>
          </w:tcPr>
          <w:p w14:paraId="67B1A4B3"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Malta</w:t>
            </w:r>
          </w:p>
          <w:p w14:paraId="250856AC"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Ltd.</w:t>
            </w:r>
          </w:p>
          <w:p w14:paraId="4BF1D0B0"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16DFBF5D" w14:textId="77777777" w:rsidR="0080347A" w:rsidRPr="00DC08DD" w:rsidRDefault="0080347A" w:rsidP="009C70C0">
            <w:pPr>
              <w:pStyle w:val="KeinLeerraum"/>
              <w:rPr>
                <w:rFonts w:ascii="Times New Roman" w:hAnsi="Times New Roman"/>
                <w:lang w:val="en-GB"/>
              </w:rPr>
            </w:pPr>
          </w:p>
        </w:tc>
      </w:tr>
      <w:tr w:rsidR="0080347A" w:rsidRPr="00DC08DD" w14:paraId="6FF86BE0" w14:textId="77777777" w:rsidTr="009C70C0">
        <w:trPr>
          <w:gridBefore w:val="1"/>
          <w:wBefore w:w="34" w:type="dxa"/>
          <w:cantSplit/>
        </w:trPr>
        <w:tc>
          <w:tcPr>
            <w:tcW w:w="4644" w:type="dxa"/>
          </w:tcPr>
          <w:p w14:paraId="11BF6652" w14:textId="77777777" w:rsidR="0080347A" w:rsidRPr="00666899" w:rsidRDefault="0080347A" w:rsidP="009C70C0">
            <w:pPr>
              <w:pStyle w:val="KeinLeerraum"/>
              <w:rPr>
                <w:rFonts w:ascii="Times New Roman" w:hAnsi="Times New Roman"/>
                <w:lang w:val="de-DE"/>
              </w:rPr>
            </w:pPr>
            <w:r w:rsidRPr="00666899">
              <w:rPr>
                <w:rFonts w:ascii="Times New Roman" w:hAnsi="Times New Roman"/>
                <w:b/>
                <w:lang w:val="de-DE"/>
              </w:rPr>
              <w:t>Deutschland</w:t>
            </w:r>
          </w:p>
          <w:p w14:paraId="76C5184D" w14:textId="77777777" w:rsidR="0080347A" w:rsidRPr="00666899" w:rsidRDefault="0080347A" w:rsidP="009C70C0">
            <w:pPr>
              <w:spacing w:after="0" w:line="240" w:lineRule="auto"/>
              <w:rPr>
                <w:rFonts w:ascii="Times New Roman" w:hAnsi="Times New Roman"/>
                <w:lang w:val="de-DE"/>
              </w:rPr>
            </w:pPr>
            <w:r w:rsidRPr="00666899">
              <w:rPr>
                <w:rFonts w:ascii="Times New Roman" w:hAnsi="Times New Roman"/>
                <w:lang w:val="de-DE"/>
              </w:rPr>
              <w:t>Actavis Group PTC ehf.</w:t>
            </w:r>
          </w:p>
          <w:p w14:paraId="02422AE0" w14:textId="77777777" w:rsidR="0080347A" w:rsidRDefault="0080347A" w:rsidP="009C70C0">
            <w:pPr>
              <w:pStyle w:val="KeinLeerraum"/>
              <w:rPr>
                <w:rFonts w:ascii="Times New Roman" w:hAnsi="Times New Roman"/>
                <w:lang w:val="en-US"/>
              </w:rPr>
            </w:pPr>
            <w:r w:rsidRPr="00DC08DD">
              <w:rPr>
                <w:rFonts w:ascii="Times New Roman" w:hAnsi="Times New Roman"/>
                <w:lang w:val="en-US"/>
              </w:rPr>
              <w:t>Island</w:t>
            </w:r>
          </w:p>
          <w:p w14:paraId="3F73923D"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4FBE1736" w14:textId="77777777" w:rsidR="0080347A" w:rsidRPr="00DC08DD" w:rsidRDefault="0080347A" w:rsidP="009C70C0">
            <w:pPr>
              <w:pStyle w:val="KeinLeerraum"/>
              <w:rPr>
                <w:rFonts w:ascii="Times New Roman" w:hAnsi="Times New Roman"/>
                <w:lang w:val="en-GB"/>
              </w:rPr>
            </w:pPr>
          </w:p>
        </w:tc>
        <w:tc>
          <w:tcPr>
            <w:tcW w:w="4678" w:type="dxa"/>
          </w:tcPr>
          <w:p w14:paraId="4A8D566C"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Nederland</w:t>
            </w:r>
          </w:p>
          <w:p w14:paraId="2B3944FA" w14:textId="77777777" w:rsidR="0080347A" w:rsidRPr="00DC08DD" w:rsidRDefault="0080347A" w:rsidP="009C70C0">
            <w:pPr>
              <w:pStyle w:val="KeinLeerraum"/>
              <w:rPr>
                <w:rFonts w:ascii="Times New Roman" w:hAnsi="Times New Roman"/>
                <w:iCs/>
                <w:lang w:val="en-GB"/>
              </w:rPr>
            </w:pPr>
            <w:r w:rsidRPr="00DC08DD">
              <w:rPr>
                <w:rFonts w:ascii="Times New Roman" w:hAnsi="Times New Roman"/>
                <w:iCs/>
                <w:lang w:val="en-GB"/>
              </w:rPr>
              <w:t>Actavis Group PTC ehf.</w:t>
            </w:r>
          </w:p>
          <w:p w14:paraId="4F17F932" w14:textId="77777777" w:rsidR="0080347A" w:rsidRDefault="0080347A" w:rsidP="009C70C0">
            <w:pPr>
              <w:pStyle w:val="KeinLeerraum"/>
              <w:rPr>
                <w:rFonts w:ascii="Times New Roman" w:hAnsi="Times New Roman"/>
                <w:iCs/>
                <w:lang w:val="en-GB"/>
              </w:rPr>
            </w:pPr>
            <w:r w:rsidRPr="00DC08DD">
              <w:rPr>
                <w:rFonts w:ascii="Times New Roman" w:hAnsi="Times New Roman"/>
                <w:iCs/>
                <w:lang w:val="en-GB"/>
              </w:rPr>
              <w:t>IJsland</w:t>
            </w:r>
          </w:p>
          <w:p w14:paraId="65BFCCDA" w14:textId="77777777" w:rsidR="0080347A" w:rsidRPr="00C5795F"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0A22B14C" w14:textId="77777777" w:rsidR="0080347A" w:rsidRPr="00DC08DD" w:rsidRDefault="0080347A" w:rsidP="009C70C0">
            <w:pPr>
              <w:pStyle w:val="KeinLeerraum"/>
              <w:rPr>
                <w:rFonts w:ascii="Times New Roman" w:hAnsi="Times New Roman"/>
                <w:lang w:val="en-GB"/>
              </w:rPr>
            </w:pPr>
          </w:p>
        </w:tc>
      </w:tr>
      <w:tr w:rsidR="0080347A" w:rsidRPr="00DC08DD" w14:paraId="31350C1A" w14:textId="77777777" w:rsidTr="009C70C0">
        <w:trPr>
          <w:gridBefore w:val="1"/>
          <w:wBefore w:w="34" w:type="dxa"/>
          <w:cantSplit/>
        </w:trPr>
        <w:tc>
          <w:tcPr>
            <w:tcW w:w="4644" w:type="dxa"/>
          </w:tcPr>
          <w:p w14:paraId="284F6437" w14:textId="77777777" w:rsidR="0080347A" w:rsidRPr="00666899" w:rsidRDefault="0080347A" w:rsidP="009C70C0">
            <w:pPr>
              <w:pStyle w:val="KeinLeerraum"/>
              <w:rPr>
                <w:rFonts w:ascii="Times New Roman" w:hAnsi="Times New Roman"/>
                <w:b/>
                <w:bCs/>
                <w:lang w:val="it-IT"/>
              </w:rPr>
            </w:pPr>
            <w:r w:rsidRPr="00666899">
              <w:rPr>
                <w:rFonts w:ascii="Times New Roman" w:hAnsi="Times New Roman"/>
                <w:b/>
                <w:bCs/>
                <w:lang w:val="it-IT"/>
              </w:rPr>
              <w:t>Eesti</w:t>
            </w:r>
          </w:p>
          <w:p w14:paraId="08C464C8" w14:textId="7E252604" w:rsidR="0080347A" w:rsidRPr="00666899" w:rsidRDefault="0080347A" w:rsidP="009C70C0">
            <w:pPr>
              <w:pStyle w:val="KeinLeerraum"/>
              <w:rPr>
                <w:rFonts w:ascii="Times New Roman" w:hAnsi="Times New Roman"/>
                <w:lang w:val="it-IT"/>
              </w:rPr>
            </w:pPr>
            <w:r w:rsidRPr="00666899">
              <w:rPr>
                <w:rFonts w:ascii="Times New Roman" w:hAnsi="Times New Roman"/>
                <w:lang w:val="it-IT"/>
              </w:rPr>
              <w:t>UAB Teva Baltics</w:t>
            </w:r>
            <w:r w:rsidRPr="00DC08DD">
              <w:rPr>
                <w:rFonts w:ascii="Times New Roman" w:hAnsi="Times New Roman"/>
                <w:noProof/>
              </w:rPr>
              <w:t xml:space="preserve"> Eesti filiaal</w:t>
            </w:r>
          </w:p>
          <w:p w14:paraId="715AF51D"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497A5D09" w14:textId="77777777" w:rsidR="0080347A" w:rsidRPr="00DC08DD" w:rsidRDefault="0080347A" w:rsidP="009C70C0">
            <w:pPr>
              <w:pStyle w:val="KeinLeerraum"/>
              <w:rPr>
                <w:rFonts w:ascii="Times New Roman" w:hAnsi="Times New Roman"/>
                <w:lang w:val="en-GB"/>
              </w:rPr>
            </w:pPr>
          </w:p>
        </w:tc>
        <w:tc>
          <w:tcPr>
            <w:tcW w:w="4678" w:type="dxa"/>
          </w:tcPr>
          <w:p w14:paraId="764FF3B7"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Norge</w:t>
            </w:r>
          </w:p>
          <w:p w14:paraId="74459E53" w14:textId="77777777" w:rsidR="0080347A" w:rsidRPr="0056362A" w:rsidRDefault="0080347A" w:rsidP="009C70C0">
            <w:pPr>
              <w:pStyle w:val="KeinLeerraum"/>
              <w:rPr>
                <w:rFonts w:ascii="Times New Roman" w:hAnsi="Times New Roman"/>
                <w:iCs/>
                <w:lang w:val="en-US"/>
              </w:rPr>
            </w:pPr>
            <w:r w:rsidRPr="0056362A">
              <w:rPr>
                <w:rFonts w:ascii="Times New Roman" w:hAnsi="Times New Roman"/>
                <w:iCs/>
                <w:lang w:val="en-US"/>
              </w:rPr>
              <w:t>Teva Norway AS</w:t>
            </w:r>
          </w:p>
          <w:p w14:paraId="2DD7D71B" w14:textId="77777777" w:rsidR="0080347A" w:rsidRPr="0056362A" w:rsidRDefault="0080347A" w:rsidP="009C70C0">
            <w:pPr>
              <w:pStyle w:val="KeinLeerraum"/>
              <w:rPr>
                <w:rFonts w:ascii="Times New Roman" w:hAnsi="Times New Roman"/>
                <w:iCs/>
                <w:lang w:val="en-US"/>
              </w:rPr>
            </w:pPr>
            <w:r w:rsidRPr="0056362A">
              <w:rPr>
                <w:rFonts w:ascii="Times New Roman" w:hAnsi="Times New Roman"/>
                <w:iCs/>
                <w:lang w:val="en-US"/>
              </w:rPr>
              <w:t>Tlf: +47 66775590</w:t>
            </w:r>
          </w:p>
          <w:p w14:paraId="4C63F183" w14:textId="77777777" w:rsidR="0080347A" w:rsidRPr="00DC08DD" w:rsidRDefault="0080347A" w:rsidP="009C70C0">
            <w:pPr>
              <w:pStyle w:val="KeinLeerraum"/>
              <w:rPr>
                <w:rFonts w:ascii="Times New Roman" w:hAnsi="Times New Roman"/>
                <w:lang w:val="en-GB"/>
              </w:rPr>
            </w:pPr>
          </w:p>
        </w:tc>
      </w:tr>
      <w:tr w:rsidR="0080347A" w:rsidRPr="00DC08DD" w14:paraId="3F9D35F6" w14:textId="77777777" w:rsidTr="009C70C0">
        <w:trPr>
          <w:gridBefore w:val="1"/>
          <w:wBefore w:w="34" w:type="dxa"/>
          <w:cantSplit/>
        </w:trPr>
        <w:tc>
          <w:tcPr>
            <w:tcW w:w="4644" w:type="dxa"/>
          </w:tcPr>
          <w:p w14:paraId="5B1E0F4B" w14:textId="77777777" w:rsidR="0080347A" w:rsidRPr="00666899" w:rsidRDefault="0080347A" w:rsidP="009C70C0">
            <w:pPr>
              <w:pStyle w:val="KeinLeerraum"/>
              <w:rPr>
                <w:rFonts w:ascii="Times New Roman" w:hAnsi="Times New Roman"/>
              </w:rPr>
            </w:pPr>
            <w:r w:rsidRPr="00DC08DD">
              <w:rPr>
                <w:rFonts w:ascii="Times New Roman" w:hAnsi="Times New Roman"/>
                <w:b/>
                <w:lang w:val="en-GB"/>
              </w:rPr>
              <w:t>Ελλάδα</w:t>
            </w:r>
          </w:p>
          <w:p w14:paraId="2B3DA5E3" w14:textId="77777777" w:rsidR="0080347A" w:rsidRPr="00666899" w:rsidRDefault="0080347A" w:rsidP="009C70C0">
            <w:pPr>
              <w:pStyle w:val="NormalParagraphStyle"/>
              <w:spacing w:line="240" w:lineRule="auto"/>
              <w:rPr>
                <w:rFonts w:ascii="Times New Roman" w:hAnsi="Times New Roman"/>
                <w:color w:val="auto"/>
                <w:sz w:val="22"/>
                <w:szCs w:val="22"/>
                <w:lang w:val="is-IS"/>
              </w:rPr>
            </w:pPr>
            <w:r w:rsidRPr="00666899">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7711AFAE" w14:textId="72306FAC" w:rsidR="0080347A" w:rsidRPr="00DC08DD" w:rsidRDefault="0080347A" w:rsidP="009C70C0">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C8DAB94" w14:textId="77777777" w:rsidR="0080347A" w:rsidRPr="00666899" w:rsidRDefault="0080347A" w:rsidP="009C70C0">
            <w:pPr>
              <w:pStyle w:val="KeinLeerraum"/>
              <w:rPr>
                <w:rFonts w:ascii="Times New Roman" w:hAnsi="Times New Roman"/>
              </w:rPr>
            </w:pPr>
          </w:p>
        </w:tc>
        <w:tc>
          <w:tcPr>
            <w:tcW w:w="4678" w:type="dxa"/>
          </w:tcPr>
          <w:p w14:paraId="61FC5941" w14:textId="77777777" w:rsidR="0080347A" w:rsidRPr="0056362A" w:rsidRDefault="0080347A" w:rsidP="009C70C0">
            <w:pPr>
              <w:pStyle w:val="KeinLeerraum"/>
              <w:rPr>
                <w:rFonts w:ascii="Times New Roman" w:hAnsi="Times New Roman"/>
                <w:lang w:val="de-DE"/>
              </w:rPr>
            </w:pPr>
            <w:r w:rsidRPr="0056362A">
              <w:rPr>
                <w:rFonts w:ascii="Times New Roman" w:hAnsi="Times New Roman"/>
                <w:b/>
                <w:lang w:val="de-DE"/>
              </w:rPr>
              <w:t>Österreich</w:t>
            </w:r>
          </w:p>
          <w:p w14:paraId="28F902A2" w14:textId="77777777" w:rsidR="0080347A" w:rsidRPr="0056362A" w:rsidRDefault="0080347A" w:rsidP="009C70C0">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73E6C987" w14:textId="77777777" w:rsidR="0080347A" w:rsidRPr="00DC08DD" w:rsidRDefault="0080347A" w:rsidP="009C70C0">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77CE4796" w14:textId="77777777" w:rsidR="0080347A" w:rsidRPr="0056362A" w:rsidRDefault="0080347A" w:rsidP="009C70C0">
            <w:pPr>
              <w:pStyle w:val="KeinLeerraum"/>
              <w:rPr>
                <w:rFonts w:ascii="Times New Roman" w:hAnsi="Times New Roman"/>
                <w:lang w:val="de-DE"/>
              </w:rPr>
            </w:pPr>
          </w:p>
        </w:tc>
      </w:tr>
      <w:tr w:rsidR="0080347A" w:rsidRPr="00DC08DD" w14:paraId="58B9A007" w14:textId="77777777" w:rsidTr="009C70C0">
        <w:trPr>
          <w:cantSplit/>
        </w:trPr>
        <w:tc>
          <w:tcPr>
            <w:tcW w:w="4678" w:type="dxa"/>
            <w:gridSpan w:val="2"/>
          </w:tcPr>
          <w:p w14:paraId="0D2BEA93" w14:textId="77777777" w:rsidR="0080347A" w:rsidRPr="00666899" w:rsidRDefault="0080347A" w:rsidP="009C70C0">
            <w:pPr>
              <w:pStyle w:val="KeinLeerraum"/>
              <w:rPr>
                <w:rFonts w:ascii="Times New Roman" w:hAnsi="Times New Roman"/>
                <w:b/>
                <w:lang w:val="es-ES"/>
              </w:rPr>
            </w:pPr>
            <w:r w:rsidRPr="00666899">
              <w:rPr>
                <w:rFonts w:ascii="Times New Roman" w:hAnsi="Times New Roman"/>
                <w:b/>
                <w:lang w:val="es-ES"/>
              </w:rPr>
              <w:t>España</w:t>
            </w:r>
          </w:p>
          <w:p w14:paraId="68D2B276" w14:textId="77777777" w:rsidR="0080347A" w:rsidRPr="00666899" w:rsidRDefault="0080347A" w:rsidP="009C70C0">
            <w:pPr>
              <w:pStyle w:val="KeinLeerraum"/>
              <w:rPr>
                <w:rFonts w:ascii="Times New Roman" w:hAnsi="Times New Roman"/>
                <w:iCs/>
                <w:lang w:val="es-ES"/>
              </w:rPr>
            </w:pPr>
            <w:r w:rsidRPr="00666899">
              <w:rPr>
                <w:rFonts w:ascii="Times New Roman" w:hAnsi="Times New Roman"/>
                <w:iCs/>
                <w:lang w:val="es-ES"/>
              </w:rPr>
              <w:t>Actavis Group PTC ehf.</w:t>
            </w:r>
          </w:p>
          <w:p w14:paraId="76154762"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Islandia</w:t>
            </w:r>
          </w:p>
          <w:p w14:paraId="296077BC"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74DE27CF" w14:textId="77777777" w:rsidR="0080347A" w:rsidRPr="00DC08DD" w:rsidRDefault="0080347A" w:rsidP="009C70C0">
            <w:pPr>
              <w:pStyle w:val="KeinLeerraum"/>
              <w:rPr>
                <w:rFonts w:ascii="Times New Roman" w:hAnsi="Times New Roman"/>
                <w:lang w:val="en-GB"/>
              </w:rPr>
            </w:pPr>
          </w:p>
        </w:tc>
        <w:tc>
          <w:tcPr>
            <w:tcW w:w="4678" w:type="dxa"/>
          </w:tcPr>
          <w:p w14:paraId="09AA191A" w14:textId="77777777" w:rsidR="0080347A" w:rsidRPr="00DC08DD" w:rsidRDefault="0080347A" w:rsidP="009C70C0">
            <w:pPr>
              <w:pStyle w:val="KeinLeerraum"/>
              <w:rPr>
                <w:rFonts w:ascii="Times New Roman" w:hAnsi="Times New Roman"/>
                <w:b/>
                <w:bCs/>
                <w:i/>
                <w:iCs/>
                <w:lang w:val="en-GB"/>
              </w:rPr>
            </w:pPr>
            <w:r w:rsidRPr="00DC08DD">
              <w:rPr>
                <w:rFonts w:ascii="Times New Roman" w:hAnsi="Times New Roman"/>
                <w:b/>
                <w:lang w:val="en-GB"/>
              </w:rPr>
              <w:t>Polska</w:t>
            </w:r>
          </w:p>
          <w:p w14:paraId="5D91B94F" w14:textId="77777777" w:rsidR="0080347A" w:rsidRPr="00DC08DD" w:rsidRDefault="0080347A" w:rsidP="009C70C0">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3A7EF4C0" w14:textId="77777777" w:rsidR="0080347A" w:rsidRPr="00DC08DD" w:rsidRDefault="0080347A" w:rsidP="009C70C0">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3380368D" w14:textId="77777777" w:rsidR="0080347A" w:rsidRPr="00DC08DD" w:rsidRDefault="0080347A" w:rsidP="009C70C0">
            <w:pPr>
              <w:pStyle w:val="KeinLeerraum"/>
              <w:rPr>
                <w:rFonts w:ascii="Times New Roman" w:hAnsi="Times New Roman"/>
                <w:lang w:val="en-GB"/>
              </w:rPr>
            </w:pPr>
          </w:p>
        </w:tc>
      </w:tr>
      <w:tr w:rsidR="0080347A" w:rsidRPr="00DC08DD" w14:paraId="08B6ED2C" w14:textId="77777777" w:rsidTr="009C70C0">
        <w:trPr>
          <w:cantSplit/>
        </w:trPr>
        <w:tc>
          <w:tcPr>
            <w:tcW w:w="4678" w:type="dxa"/>
            <w:gridSpan w:val="2"/>
          </w:tcPr>
          <w:p w14:paraId="643D2075" w14:textId="77777777" w:rsidR="0080347A" w:rsidRPr="00666899" w:rsidRDefault="0080347A" w:rsidP="009C70C0">
            <w:pPr>
              <w:pStyle w:val="KeinLeerraum"/>
              <w:rPr>
                <w:rFonts w:ascii="Times New Roman" w:hAnsi="Times New Roman"/>
                <w:b/>
                <w:lang w:val="fr-FR"/>
              </w:rPr>
            </w:pPr>
            <w:r w:rsidRPr="00666899">
              <w:rPr>
                <w:rFonts w:ascii="Times New Roman" w:hAnsi="Times New Roman"/>
                <w:b/>
                <w:lang w:val="fr-FR"/>
              </w:rPr>
              <w:t>France</w:t>
            </w:r>
          </w:p>
          <w:p w14:paraId="18130245" w14:textId="77777777" w:rsidR="0080347A" w:rsidRPr="00666899" w:rsidRDefault="0080347A" w:rsidP="009C70C0">
            <w:pPr>
              <w:pStyle w:val="KeinLeerraum"/>
              <w:rPr>
                <w:rFonts w:ascii="Times New Roman" w:hAnsi="Times New Roman"/>
                <w:lang w:val="fr-FR"/>
              </w:rPr>
            </w:pPr>
            <w:r w:rsidRPr="00666899">
              <w:rPr>
                <w:rFonts w:ascii="Times New Roman" w:hAnsi="Times New Roman"/>
                <w:lang w:val="fr-FR"/>
              </w:rPr>
              <w:t>Actavis Group PTC ehf.</w:t>
            </w:r>
          </w:p>
          <w:p w14:paraId="2C4ADBC5" w14:textId="77777777" w:rsidR="0080347A" w:rsidRDefault="0080347A" w:rsidP="009C70C0">
            <w:pPr>
              <w:pStyle w:val="KeinLeerraum"/>
              <w:rPr>
                <w:rFonts w:ascii="Times New Roman" w:hAnsi="Times New Roman"/>
                <w:lang w:val="fr-FR"/>
              </w:rPr>
            </w:pPr>
            <w:r w:rsidRPr="00DC08DD">
              <w:rPr>
                <w:rFonts w:ascii="Times New Roman" w:hAnsi="Times New Roman"/>
                <w:lang w:val="fr-FR"/>
              </w:rPr>
              <w:t>Islande</w:t>
            </w:r>
          </w:p>
          <w:p w14:paraId="4EDDF214" w14:textId="77777777" w:rsidR="0080347A" w:rsidRPr="00666899" w:rsidRDefault="0080347A" w:rsidP="009C70C0">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66899">
              <w:rPr>
                <w:rFonts w:ascii="Times New Roman" w:hAnsi="Times New Roman"/>
                <w:lang w:val="fr-FR"/>
              </w:rPr>
              <w:t xml:space="preserve"> +354 5503300</w:t>
            </w:r>
          </w:p>
          <w:p w14:paraId="339CB71E" w14:textId="77777777" w:rsidR="0080347A" w:rsidRPr="00666899" w:rsidRDefault="0080347A" w:rsidP="009C70C0">
            <w:pPr>
              <w:pStyle w:val="KeinLeerraum"/>
              <w:rPr>
                <w:rFonts w:ascii="Times New Roman" w:hAnsi="Times New Roman"/>
                <w:b/>
                <w:lang w:val="fr-FR"/>
              </w:rPr>
            </w:pPr>
          </w:p>
        </w:tc>
        <w:tc>
          <w:tcPr>
            <w:tcW w:w="4678" w:type="dxa"/>
          </w:tcPr>
          <w:p w14:paraId="1E29C92D" w14:textId="77777777" w:rsidR="0080347A" w:rsidRPr="00666899" w:rsidRDefault="0080347A" w:rsidP="009C70C0">
            <w:pPr>
              <w:pStyle w:val="KeinLeerraum"/>
              <w:rPr>
                <w:rFonts w:ascii="Times New Roman" w:hAnsi="Times New Roman"/>
                <w:b/>
                <w:lang w:val="pt-BR"/>
              </w:rPr>
            </w:pPr>
            <w:r w:rsidRPr="00666899">
              <w:rPr>
                <w:rFonts w:ascii="Times New Roman" w:hAnsi="Times New Roman"/>
                <w:b/>
                <w:lang w:val="pt-BR"/>
              </w:rPr>
              <w:t>Portugal</w:t>
            </w:r>
          </w:p>
          <w:p w14:paraId="44177D91" w14:textId="77777777" w:rsidR="0080347A" w:rsidRPr="00666899" w:rsidRDefault="0080347A" w:rsidP="009C70C0">
            <w:pPr>
              <w:pStyle w:val="KeinLeerraum"/>
              <w:rPr>
                <w:rFonts w:ascii="Times New Roman" w:hAnsi="Times New Roman"/>
                <w:iCs/>
                <w:lang w:val="pt-BR"/>
              </w:rPr>
            </w:pPr>
            <w:r w:rsidRPr="00666899">
              <w:rPr>
                <w:rFonts w:ascii="Times New Roman" w:hAnsi="Times New Roman"/>
                <w:iCs/>
                <w:lang w:val="pt-BR"/>
              </w:rPr>
              <w:t>Actavis Group PTC ehf.</w:t>
            </w:r>
          </w:p>
          <w:p w14:paraId="543902AF" w14:textId="77777777" w:rsidR="0080347A" w:rsidRDefault="0080347A" w:rsidP="009C70C0">
            <w:pPr>
              <w:pStyle w:val="KeinLeerraum"/>
              <w:rPr>
                <w:rFonts w:ascii="Times New Roman" w:hAnsi="Times New Roman"/>
                <w:lang w:val="es-ES"/>
              </w:rPr>
            </w:pPr>
            <w:r w:rsidRPr="00DC08DD">
              <w:rPr>
                <w:rFonts w:ascii="Times New Roman" w:hAnsi="Times New Roman"/>
                <w:lang w:val="es-ES"/>
              </w:rPr>
              <w:t>Islândia</w:t>
            </w:r>
          </w:p>
          <w:p w14:paraId="2A28D9B4" w14:textId="77777777" w:rsidR="0080347A" w:rsidRPr="001B0C82" w:rsidRDefault="0080347A" w:rsidP="009C70C0">
            <w:pPr>
              <w:pStyle w:val="KeinLeerraum"/>
              <w:rPr>
                <w:rFonts w:ascii="Times New Roman" w:hAnsi="Times New Roman"/>
                <w:lang w:val="en-GB"/>
              </w:rPr>
            </w:pPr>
            <w:r w:rsidRPr="00B85F24">
              <w:rPr>
                <w:rFonts w:ascii="Times New Roman" w:hAnsi="Times New Roman"/>
                <w:noProof/>
              </w:rPr>
              <w:t>Tel: +354 5503300</w:t>
            </w:r>
          </w:p>
          <w:p w14:paraId="7C3497F8" w14:textId="77777777" w:rsidR="0080347A" w:rsidRPr="00DC08DD" w:rsidRDefault="0080347A" w:rsidP="009C70C0">
            <w:pPr>
              <w:pStyle w:val="KeinLeerraum"/>
              <w:rPr>
                <w:rFonts w:ascii="Times New Roman" w:hAnsi="Times New Roman"/>
                <w:lang w:val="en-GB"/>
              </w:rPr>
            </w:pPr>
          </w:p>
        </w:tc>
      </w:tr>
      <w:tr w:rsidR="0080347A" w:rsidRPr="00DC08DD" w14:paraId="3B1726B5" w14:textId="77777777" w:rsidTr="009C70C0">
        <w:trPr>
          <w:cantSplit/>
        </w:trPr>
        <w:tc>
          <w:tcPr>
            <w:tcW w:w="4678" w:type="dxa"/>
            <w:gridSpan w:val="2"/>
          </w:tcPr>
          <w:p w14:paraId="6CB56FFF" w14:textId="77777777" w:rsidR="0080347A" w:rsidRPr="00666899" w:rsidRDefault="0080347A" w:rsidP="009C70C0">
            <w:pPr>
              <w:tabs>
                <w:tab w:val="left" w:pos="-720"/>
                <w:tab w:val="left" w:pos="4536"/>
              </w:tabs>
              <w:suppressAutoHyphens/>
              <w:spacing w:after="0" w:line="240" w:lineRule="auto"/>
              <w:ind w:right="567"/>
              <w:rPr>
                <w:rFonts w:ascii="Times New Roman" w:hAnsi="Times New Roman"/>
                <w:b/>
                <w:noProof/>
                <w:lang w:val="sv-SE"/>
              </w:rPr>
            </w:pPr>
            <w:r w:rsidRPr="0056362A">
              <w:rPr>
                <w:rFonts w:ascii="Times New Roman" w:hAnsi="Times New Roman"/>
              </w:rPr>
              <w:br w:type="page"/>
            </w:r>
            <w:r w:rsidRPr="00666899">
              <w:rPr>
                <w:rFonts w:ascii="Times New Roman" w:hAnsi="Times New Roman"/>
                <w:b/>
                <w:noProof/>
                <w:lang w:val="sv-SE"/>
              </w:rPr>
              <w:t>Hrvatska</w:t>
            </w:r>
          </w:p>
          <w:p w14:paraId="079680A0" w14:textId="77777777" w:rsidR="0080347A" w:rsidRPr="00DC08DD" w:rsidRDefault="0080347A" w:rsidP="009C70C0">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33D13EAF" w14:textId="77777777" w:rsidR="0080347A" w:rsidRPr="00DC08DD" w:rsidRDefault="0080347A" w:rsidP="009C70C0">
            <w:pPr>
              <w:pStyle w:val="KeinLeerraum"/>
              <w:rPr>
                <w:rFonts w:ascii="Times New Roman" w:hAnsi="Times New Roman"/>
              </w:rPr>
            </w:pPr>
            <w:r w:rsidRPr="00DC08DD">
              <w:rPr>
                <w:rFonts w:ascii="Times New Roman" w:hAnsi="Times New Roman"/>
              </w:rPr>
              <w:t>Tel: +385 13720000</w:t>
            </w:r>
          </w:p>
          <w:p w14:paraId="7D5EA121" w14:textId="77777777" w:rsidR="0080347A" w:rsidRPr="00DC08DD" w:rsidRDefault="0080347A" w:rsidP="009C70C0">
            <w:pPr>
              <w:pStyle w:val="KeinLeerraum"/>
              <w:rPr>
                <w:rFonts w:ascii="Times New Roman" w:hAnsi="Times New Roman"/>
                <w:lang w:val="en-GB"/>
              </w:rPr>
            </w:pPr>
          </w:p>
        </w:tc>
        <w:tc>
          <w:tcPr>
            <w:tcW w:w="4678" w:type="dxa"/>
          </w:tcPr>
          <w:p w14:paraId="32585BDC"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România</w:t>
            </w:r>
          </w:p>
          <w:p w14:paraId="02C8DDEB" w14:textId="77777777" w:rsidR="0080347A" w:rsidRPr="00DC08DD" w:rsidRDefault="0080347A" w:rsidP="009C70C0">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6EF62F6C"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5864522" w14:textId="77777777" w:rsidR="0080347A" w:rsidRPr="00DC08DD" w:rsidRDefault="0080347A" w:rsidP="009C70C0">
            <w:pPr>
              <w:pStyle w:val="KeinLeerraum"/>
              <w:rPr>
                <w:rFonts w:ascii="Times New Roman" w:hAnsi="Times New Roman"/>
                <w:lang w:val="en-GB"/>
              </w:rPr>
            </w:pPr>
          </w:p>
        </w:tc>
      </w:tr>
      <w:tr w:rsidR="0080347A" w:rsidRPr="00DC08DD" w14:paraId="2E82F966" w14:textId="77777777" w:rsidTr="009C70C0">
        <w:trPr>
          <w:cantSplit/>
        </w:trPr>
        <w:tc>
          <w:tcPr>
            <w:tcW w:w="4678" w:type="dxa"/>
            <w:gridSpan w:val="2"/>
          </w:tcPr>
          <w:p w14:paraId="0234C340"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Ireland</w:t>
            </w:r>
          </w:p>
          <w:p w14:paraId="3D332B64" w14:textId="77777777" w:rsidR="0080347A" w:rsidRPr="009A42FE" w:rsidRDefault="0080347A" w:rsidP="009C70C0">
            <w:pPr>
              <w:pStyle w:val="KeinLeerraum"/>
              <w:rPr>
                <w:rFonts w:ascii="Times New Roman" w:hAnsi="Times New Roman"/>
                <w:lang w:val="en-GB"/>
              </w:rPr>
            </w:pPr>
            <w:r w:rsidRPr="009A42FE">
              <w:rPr>
                <w:rFonts w:ascii="Times New Roman" w:hAnsi="Times New Roman"/>
                <w:lang w:val="en-GB"/>
              </w:rPr>
              <w:t>Teva Pharmaceuticals Ireland</w:t>
            </w:r>
          </w:p>
          <w:p w14:paraId="6F147D8F" w14:textId="70233A27" w:rsidR="0080347A" w:rsidRDefault="0080347A" w:rsidP="009C70C0">
            <w:pPr>
              <w:pStyle w:val="KeinLeerraum"/>
              <w:rPr>
                <w:rFonts w:ascii="Times New Roman" w:hAnsi="Times New Roman"/>
                <w:lang w:val="en-GB"/>
              </w:rPr>
            </w:pPr>
            <w:r>
              <w:rPr>
                <w:rFonts w:ascii="Times New Roman" w:hAnsi="Times New Roman"/>
                <w:lang w:val="en-GB"/>
              </w:rPr>
              <w:t>Tel: +353 19127700</w:t>
            </w:r>
          </w:p>
          <w:p w14:paraId="0021CCD1" w14:textId="77777777" w:rsidR="0080347A" w:rsidRPr="00DC08DD" w:rsidRDefault="0080347A" w:rsidP="009C70C0">
            <w:pPr>
              <w:pStyle w:val="KeinLeerraum"/>
              <w:rPr>
                <w:rFonts w:ascii="Times New Roman" w:hAnsi="Times New Roman"/>
                <w:lang w:val="en-GB"/>
              </w:rPr>
            </w:pPr>
          </w:p>
        </w:tc>
        <w:tc>
          <w:tcPr>
            <w:tcW w:w="4678" w:type="dxa"/>
          </w:tcPr>
          <w:p w14:paraId="2BBB16C3"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Slovenija</w:t>
            </w:r>
          </w:p>
          <w:p w14:paraId="43651075"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Pliva Ljubljana d.o.o.</w:t>
            </w:r>
          </w:p>
          <w:p w14:paraId="173523A9"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+386 15890390</w:t>
            </w:r>
          </w:p>
          <w:p w14:paraId="6CA5C4FC" w14:textId="77777777" w:rsidR="0080347A" w:rsidRPr="00DC08DD" w:rsidRDefault="0080347A" w:rsidP="009C70C0">
            <w:pPr>
              <w:pStyle w:val="KeinLeerraum"/>
              <w:rPr>
                <w:rFonts w:ascii="Times New Roman" w:hAnsi="Times New Roman"/>
                <w:b/>
                <w:lang w:val="en-GB"/>
              </w:rPr>
            </w:pPr>
          </w:p>
        </w:tc>
      </w:tr>
      <w:tr w:rsidR="0080347A" w:rsidRPr="00DC08DD" w14:paraId="09ABC5B0" w14:textId="77777777" w:rsidTr="009C70C0">
        <w:trPr>
          <w:cantSplit/>
        </w:trPr>
        <w:tc>
          <w:tcPr>
            <w:tcW w:w="4678" w:type="dxa"/>
            <w:gridSpan w:val="2"/>
          </w:tcPr>
          <w:p w14:paraId="71A68FA6"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Ísland</w:t>
            </w:r>
          </w:p>
          <w:p w14:paraId="1DE1CC17"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Group PTC ehf.</w:t>
            </w:r>
          </w:p>
          <w:p w14:paraId="7A5F60B3"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Sími: +354 5503300</w:t>
            </w:r>
          </w:p>
          <w:p w14:paraId="380DA4C5" w14:textId="77777777" w:rsidR="0080347A" w:rsidRPr="00DC08DD" w:rsidRDefault="0080347A" w:rsidP="009C70C0">
            <w:pPr>
              <w:pStyle w:val="KeinLeerraum"/>
              <w:rPr>
                <w:rFonts w:ascii="Times New Roman" w:hAnsi="Times New Roman"/>
                <w:b/>
                <w:lang w:val="en-GB"/>
              </w:rPr>
            </w:pPr>
          </w:p>
        </w:tc>
        <w:tc>
          <w:tcPr>
            <w:tcW w:w="4678" w:type="dxa"/>
          </w:tcPr>
          <w:p w14:paraId="7E76E910"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Slovenská republika</w:t>
            </w:r>
          </w:p>
          <w:p w14:paraId="32D8004D" w14:textId="77777777" w:rsidR="0080347A" w:rsidRPr="00DC08DD" w:rsidRDefault="0080347A" w:rsidP="009C70C0">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3905C9F"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43E00A6" w14:textId="77777777" w:rsidR="0080347A" w:rsidRPr="00DC08DD" w:rsidRDefault="0080347A" w:rsidP="009C70C0">
            <w:pPr>
              <w:pStyle w:val="KeinLeerraum"/>
              <w:rPr>
                <w:rFonts w:ascii="Times New Roman" w:hAnsi="Times New Roman"/>
                <w:lang w:val="en-GB"/>
              </w:rPr>
            </w:pPr>
          </w:p>
        </w:tc>
      </w:tr>
      <w:tr w:rsidR="0080347A" w:rsidRPr="00DC08DD" w14:paraId="11684215" w14:textId="77777777" w:rsidTr="009C70C0">
        <w:trPr>
          <w:cantSplit/>
        </w:trPr>
        <w:tc>
          <w:tcPr>
            <w:tcW w:w="4678" w:type="dxa"/>
            <w:gridSpan w:val="2"/>
          </w:tcPr>
          <w:p w14:paraId="1DCB9B46" w14:textId="77777777" w:rsidR="0080347A" w:rsidRPr="00666899" w:rsidRDefault="0080347A" w:rsidP="009C70C0">
            <w:pPr>
              <w:pStyle w:val="KeinLeerraum"/>
              <w:rPr>
                <w:rFonts w:ascii="Times New Roman" w:hAnsi="Times New Roman"/>
                <w:lang w:val="pt-BR"/>
              </w:rPr>
            </w:pPr>
            <w:r w:rsidRPr="00666899">
              <w:rPr>
                <w:rFonts w:ascii="Times New Roman" w:hAnsi="Times New Roman"/>
                <w:b/>
                <w:lang w:val="pt-BR"/>
              </w:rPr>
              <w:t>Italia</w:t>
            </w:r>
          </w:p>
          <w:p w14:paraId="271097F6" w14:textId="77777777" w:rsidR="0080347A" w:rsidRPr="00666899" w:rsidRDefault="0080347A" w:rsidP="009C70C0">
            <w:pPr>
              <w:pStyle w:val="KeinLeerraum"/>
              <w:rPr>
                <w:rFonts w:ascii="Times New Roman" w:hAnsi="Times New Roman"/>
                <w:lang w:val="pt-BR"/>
              </w:rPr>
            </w:pPr>
            <w:r w:rsidRPr="00666899">
              <w:rPr>
                <w:rFonts w:ascii="Times New Roman" w:hAnsi="Times New Roman"/>
                <w:lang w:val="pt-BR"/>
              </w:rPr>
              <w:t>Actavis Group PTC ehf.</w:t>
            </w:r>
          </w:p>
          <w:p w14:paraId="42A26F71" w14:textId="77777777" w:rsidR="0080347A" w:rsidRPr="00666899" w:rsidRDefault="0080347A" w:rsidP="009C70C0">
            <w:pPr>
              <w:pStyle w:val="KeinLeerraum"/>
              <w:rPr>
                <w:rFonts w:ascii="Times New Roman" w:hAnsi="Times New Roman"/>
                <w:lang w:val="pt-BR"/>
              </w:rPr>
            </w:pPr>
            <w:r w:rsidRPr="00666899">
              <w:rPr>
                <w:rFonts w:ascii="Times New Roman" w:hAnsi="Times New Roman"/>
                <w:lang w:val="pt-BR"/>
              </w:rPr>
              <w:t>Islanda</w:t>
            </w:r>
          </w:p>
          <w:p w14:paraId="6C9A08EE" w14:textId="77777777" w:rsidR="0080347A" w:rsidRPr="00666899" w:rsidRDefault="0080347A" w:rsidP="009C70C0">
            <w:pPr>
              <w:pStyle w:val="KeinLeerraum"/>
              <w:rPr>
                <w:rFonts w:ascii="Times New Roman" w:hAnsi="Times New Roman"/>
                <w:lang w:val="pt-BR"/>
              </w:rPr>
            </w:pPr>
            <w:r w:rsidRPr="00B85F24">
              <w:rPr>
                <w:rFonts w:ascii="Times New Roman" w:hAnsi="Times New Roman"/>
                <w:noProof/>
              </w:rPr>
              <w:t>Tel: +354 5503300</w:t>
            </w:r>
          </w:p>
          <w:p w14:paraId="6C558C38" w14:textId="77777777" w:rsidR="0080347A" w:rsidRPr="00666899" w:rsidRDefault="0080347A" w:rsidP="009C70C0">
            <w:pPr>
              <w:pStyle w:val="KeinLeerraum"/>
              <w:rPr>
                <w:rFonts w:ascii="Times New Roman" w:hAnsi="Times New Roman"/>
                <w:b/>
                <w:lang w:val="pt-BR"/>
              </w:rPr>
            </w:pPr>
          </w:p>
        </w:tc>
        <w:tc>
          <w:tcPr>
            <w:tcW w:w="4678" w:type="dxa"/>
          </w:tcPr>
          <w:p w14:paraId="28F120A1" w14:textId="77777777" w:rsidR="0080347A" w:rsidRPr="00666899" w:rsidRDefault="0080347A" w:rsidP="009C70C0">
            <w:pPr>
              <w:pStyle w:val="KeinLeerraum"/>
              <w:rPr>
                <w:rFonts w:ascii="Times New Roman" w:hAnsi="Times New Roman"/>
                <w:lang w:val="sv-SE"/>
              </w:rPr>
            </w:pPr>
            <w:r w:rsidRPr="00666899">
              <w:rPr>
                <w:rFonts w:ascii="Times New Roman" w:hAnsi="Times New Roman"/>
                <w:b/>
                <w:lang w:val="sv-SE"/>
              </w:rPr>
              <w:t>Suomi/Finland</w:t>
            </w:r>
          </w:p>
          <w:p w14:paraId="457D83B3" w14:textId="127AE774" w:rsidR="0080347A" w:rsidRPr="00666899" w:rsidRDefault="0080347A" w:rsidP="009C70C0">
            <w:pPr>
              <w:pStyle w:val="KeinLeerraum"/>
              <w:rPr>
                <w:rFonts w:ascii="Times New Roman" w:hAnsi="Times New Roman"/>
                <w:lang w:val="sv-SE"/>
              </w:rPr>
            </w:pPr>
            <w:r w:rsidRPr="00666899">
              <w:rPr>
                <w:rFonts w:ascii="Times New Roman" w:hAnsi="Times New Roman"/>
                <w:lang w:val="sv-SE"/>
              </w:rPr>
              <w:t>Teva Finland Oy</w:t>
            </w:r>
          </w:p>
          <w:p w14:paraId="7B32413E" w14:textId="77777777" w:rsidR="0080347A" w:rsidRPr="00666899" w:rsidRDefault="0080347A" w:rsidP="009C70C0">
            <w:pPr>
              <w:pStyle w:val="KeinLeerraum"/>
              <w:rPr>
                <w:rFonts w:ascii="Times New Roman" w:hAnsi="Times New Roman"/>
                <w:lang w:val="sv-SE"/>
              </w:rPr>
            </w:pPr>
            <w:r w:rsidRPr="00666899">
              <w:rPr>
                <w:rFonts w:ascii="Times New Roman" w:hAnsi="Times New Roman"/>
                <w:lang w:val="sv-SE"/>
              </w:rPr>
              <w:t>Puh/Tel: +358 201805900</w:t>
            </w:r>
          </w:p>
          <w:p w14:paraId="51FDD1D9" w14:textId="77777777" w:rsidR="0080347A" w:rsidRPr="00666899" w:rsidRDefault="0080347A" w:rsidP="009C70C0">
            <w:pPr>
              <w:pStyle w:val="KeinLeerraum"/>
              <w:rPr>
                <w:rFonts w:ascii="Times New Roman" w:hAnsi="Times New Roman"/>
                <w:b/>
                <w:lang w:val="sv-SE"/>
              </w:rPr>
            </w:pPr>
          </w:p>
        </w:tc>
      </w:tr>
      <w:tr w:rsidR="0080347A" w:rsidRPr="00DC08DD" w14:paraId="7F5EC464" w14:textId="77777777" w:rsidTr="009C70C0">
        <w:trPr>
          <w:cantSplit/>
        </w:trPr>
        <w:tc>
          <w:tcPr>
            <w:tcW w:w="4678" w:type="dxa"/>
            <w:gridSpan w:val="2"/>
          </w:tcPr>
          <w:p w14:paraId="67BBE7B5" w14:textId="77777777" w:rsidR="0080347A" w:rsidRPr="00F81B0C" w:rsidRDefault="0080347A" w:rsidP="009C70C0">
            <w:pPr>
              <w:pStyle w:val="KeinLeerraum"/>
              <w:rPr>
                <w:rFonts w:ascii="Times New Roman" w:hAnsi="Times New Roman"/>
                <w:b/>
              </w:rPr>
            </w:pPr>
            <w:r w:rsidRPr="00DC08DD">
              <w:rPr>
                <w:rFonts w:ascii="Times New Roman" w:hAnsi="Times New Roman"/>
                <w:b/>
                <w:lang w:val="en-GB"/>
              </w:rPr>
              <w:t>Κύπρος</w:t>
            </w:r>
          </w:p>
          <w:p w14:paraId="2EB500EB" w14:textId="77777777" w:rsidR="0080347A" w:rsidRPr="00F81B0C" w:rsidRDefault="0080347A" w:rsidP="009C70C0">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70F0FC01" w14:textId="77777777" w:rsidR="0080347A" w:rsidRPr="00F81B0C" w:rsidRDefault="0080347A" w:rsidP="009C70C0">
            <w:pPr>
              <w:pStyle w:val="KeinLeerraum"/>
              <w:rPr>
                <w:rFonts w:ascii="Times New Roman" w:hAnsi="Times New Roman"/>
              </w:rPr>
            </w:pPr>
            <w:r w:rsidRPr="00DC08DD">
              <w:rPr>
                <w:rFonts w:ascii="Times New Roman" w:hAnsi="Times New Roman"/>
                <w:lang w:val="el-GR"/>
              </w:rPr>
              <w:t>Ελλάδα</w:t>
            </w:r>
          </w:p>
          <w:p w14:paraId="68009AE3" w14:textId="100DF53B" w:rsidR="0080347A" w:rsidRPr="00F81B0C" w:rsidRDefault="0080347A" w:rsidP="009C70C0">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7A42DF49" w14:textId="77777777" w:rsidR="0080347A" w:rsidRPr="00F81B0C" w:rsidRDefault="0080347A" w:rsidP="009C70C0">
            <w:pPr>
              <w:pStyle w:val="KeinLeerraum"/>
              <w:rPr>
                <w:rFonts w:ascii="Times New Roman" w:hAnsi="Times New Roman"/>
              </w:rPr>
            </w:pPr>
          </w:p>
        </w:tc>
        <w:tc>
          <w:tcPr>
            <w:tcW w:w="4678" w:type="dxa"/>
          </w:tcPr>
          <w:p w14:paraId="727CF824" w14:textId="77777777" w:rsidR="0080347A" w:rsidRPr="0056362A" w:rsidRDefault="0080347A" w:rsidP="009C70C0">
            <w:pPr>
              <w:pStyle w:val="KeinLeerraum"/>
              <w:rPr>
                <w:rFonts w:ascii="Times New Roman" w:hAnsi="Times New Roman"/>
                <w:b/>
                <w:lang w:val="de-DE"/>
              </w:rPr>
            </w:pPr>
            <w:r w:rsidRPr="0056362A">
              <w:rPr>
                <w:rFonts w:ascii="Times New Roman" w:hAnsi="Times New Roman"/>
                <w:b/>
                <w:lang w:val="de-DE"/>
              </w:rPr>
              <w:t>Sverige</w:t>
            </w:r>
          </w:p>
          <w:p w14:paraId="3F486A40" w14:textId="77777777" w:rsidR="0080347A" w:rsidRPr="0056362A" w:rsidRDefault="0080347A" w:rsidP="009C70C0">
            <w:pPr>
              <w:pStyle w:val="KeinLeerraum"/>
              <w:rPr>
                <w:rFonts w:ascii="Times New Roman" w:hAnsi="Times New Roman"/>
                <w:lang w:val="de-DE"/>
              </w:rPr>
            </w:pPr>
            <w:r w:rsidRPr="0056362A">
              <w:rPr>
                <w:rFonts w:ascii="Times New Roman" w:hAnsi="Times New Roman"/>
                <w:lang w:val="de-DE"/>
              </w:rPr>
              <w:t>Teva Sweden AB</w:t>
            </w:r>
          </w:p>
          <w:p w14:paraId="5820E5C0" w14:textId="77777777" w:rsidR="0080347A" w:rsidRPr="0056362A" w:rsidRDefault="0080347A" w:rsidP="009C70C0">
            <w:pPr>
              <w:pStyle w:val="KeinLeerraum"/>
              <w:rPr>
                <w:rFonts w:ascii="Times New Roman" w:hAnsi="Times New Roman"/>
                <w:lang w:val="de-DE"/>
              </w:rPr>
            </w:pPr>
            <w:r w:rsidRPr="0056362A">
              <w:rPr>
                <w:rFonts w:ascii="Times New Roman" w:hAnsi="Times New Roman"/>
                <w:lang w:val="de-DE"/>
              </w:rPr>
              <w:t>Tel: +46 42121100</w:t>
            </w:r>
          </w:p>
          <w:p w14:paraId="011AE20D" w14:textId="77777777" w:rsidR="0080347A" w:rsidRPr="0056362A" w:rsidRDefault="0080347A" w:rsidP="009C70C0">
            <w:pPr>
              <w:pStyle w:val="KeinLeerraum"/>
              <w:rPr>
                <w:rFonts w:ascii="Times New Roman" w:hAnsi="Times New Roman"/>
                <w:lang w:val="de-DE"/>
              </w:rPr>
            </w:pPr>
          </w:p>
        </w:tc>
      </w:tr>
      <w:tr w:rsidR="0080347A" w:rsidRPr="00DC08DD" w14:paraId="62D55DB8" w14:textId="77777777" w:rsidTr="009C70C0">
        <w:trPr>
          <w:cantSplit/>
        </w:trPr>
        <w:tc>
          <w:tcPr>
            <w:tcW w:w="4678" w:type="dxa"/>
            <w:gridSpan w:val="2"/>
          </w:tcPr>
          <w:p w14:paraId="71A12EF5" w14:textId="77777777" w:rsidR="0080347A" w:rsidRPr="00666899" w:rsidRDefault="0080347A" w:rsidP="009C70C0">
            <w:pPr>
              <w:pStyle w:val="KeinLeerraum"/>
              <w:rPr>
                <w:rFonts w:ascii="Times New Roman" w:hAnsi="Times New Roman"/>
                <w:b/>
                <w:bCs/>
                <w:lang w:eastAsia="en-GB"/>
              </w:rPr>
            </w:pPr>
            <w:r w:rsidRPr="00666899">
              <w:rPr>
                <w:rFonts w:ascii="Times New Roman" w:hAnsi="Times New Roman"/>
                <w:b/>
                <w:bCs/>
                <w:lang w:eastAsia="en-GB"/>
              </w:rPr>
              <w:t>Latvija</w:t>
            </w:r>
          </w:p>
          <w:p w14:paraId="4F935155" w14:textId="028592BB" w:rsidR="0080347A" w:rsidRPr="00666899" w:rsidRDefault="0080347A" w:rsidP="009C70C0">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61A40C1C" w14:textId="77777777" w:rsidR="0080347A" w:rsidRPr="00DC08DD" w:rsidRDefault="0080347A" w:rsidP="009C70C0">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6D716D07" w14:textId="77777777" w:rsidR="0080347A" w:rsidRPr="00DC08DD" w:rsidRDefault="0080347A" w:rsidP="009C70C0">
            <w:pPr>
              <w:pStyle w:val="KeinLeerraum"/>
              <w:rPr>
                <w:rFonts w:ascii="Times New Roman" w:hAnsi="Times New Roman"/>
                <w:lang w:val="en-GB"/>
              </w:rPr>
            </w:pPr>
          </w:p>
        </w:tc>
        <w:tc>
          <w:tcPr>
            <w:tcW w:w="4678" w:type="dxa"/>
          </w:tcPr>
          <w:p w14:paraId="3370A419"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United Kingdom</w:t>
            </w:r>
          </w:p>
          <w:p w14:paraId="035424FC"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UK Limited</w:t>
            </w:r>
          </w:p>
          <w:p w14:paraId="4E1B791D" w14:textId="77777777" w:rsidR="0080347A" w:rsidRPr="00DC08DD" w:rsidRDefault="0080347A" w:rsidP="009C70C0">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0F0235C4" w14:textId="77777777" w:rsidR="0080347A" w:rsidRPr="00DC08DD" w:rsidRDefault="0080347A" w:rsidP="009C70C0">
            <w:pPr>
              <w:pStyle w:val="KeinLeerraum"/>
              <w:rPr>
                <w:rFonts w:ascii="Times New Roman" w:hAnsi="Times New Roman"/>
                <w:lang w:val="en-GB"/>
              </w:rPr>
            </w:pPr>
          </w:p>
        </w:tc>
      </w:tr>
    </w:tbl>
    <w:p w14:paraId="7FB66DB4" w14:textId="77777777" w:rsidR="0013265B" w:rsidRDefault="0013265B" w:rsidP="0013265B">
      <w:pPr>
        <w:autoSpaceDE w:val="0"/>
        <w:autoSpaceDN w:val="0"/>
        <w:adjustRightInd w:val="0"/>
        <w:spacing w:after="0" w:line="240" w:lineRule="auto"/>
        <w:rPr>
          <w:rFonts w:ascii="Times New Roman" w:hAnsi="Times New Roman"/>
          <w:lang w:val="en-US"/>
        </w:rPr>
      </w:pPr>
    </w:p>
    <w:p w14:paraId="0970E8BE" w14:textId="77777777" w:rsidR="0080347A" w:rsidRPr="00666899" w:rsidRDefault="0080347A" w:rsidP="0013265B">
      <w:pPr>
        <w:autoSpaceDE w:val="0"/>
        <w:autoSpaceDN w:val="0"/>
        <w:adjustRightInd w:val="0"/>
        <w:spacing w:after="0" w:line="240" w:lineRule="auto"/>
        <w:rPr>
          <w:rFonts w:ascii="Times New Roman" w:hAnsi="Times New Roman"/>
          <w:lang w:val="en-US"/>
        </w:rPr>
      </w:pPr>
    </w:p>
    <w:p w14:paraId="149B9AC3" w14:textId="77777777" w:rsidR="0013265B" w:rsidRPr="00496684" w:rsidRDefault="0013265B" w:rsidP="0013265B">
      <w:pPr>
        <w:widowControl w:val="0"/>
        <w:numPr>
          <w:ilvl w:val="12"/>
          <w:numId w:val="0"/>
        </w:numPr>
        <w:ind w:right="-2"/>
        <w:rPr>
          <w:rFonts w:ascii="Times New Roman" w:hAnsi="Times New Roman"/>
          <w:lang w:val="it-IT"/>
        </w:rPr>
      </w:pPr>
      <w:r w:rsidRPr="00496684">
        <w:rPr>
          <w:rFonts w:ascii="Times New Roman" w:hAnsi="Times New Roman"/>
          <w:b/>
          <w:lang w:val="it-IT"/>
        </w:rPr>
        <w:t>Questo foglio illustrativo è stato aggiornato il</w:t>
      </w:r>
    </w:p>
    <w:p w14:paraId="308CF4CC" w14:textId="77777777" w:rsidR="0013265B" w:rsidRPr="00496684" w:rsidRDefault="0013265B" w:rsidP="0013265B">
      <w:pPr>
        <w:autoSpaceDE w:val="0"/>
        <w:autoSpaceDN w:val="0"/>
        <w:adjustRightInd w:val="0"/>
        <w:spacing w:after="0" w:line="240" w:lineRule="auto"/>
        <w:contextualSpacing/>
        <w:rPr>
          <w:rFonts w:ascii="Times New Roman" w:hAnsi="Times New Roman"/>
          <w:bCs/>
          <w:lang w:val="it-IT"/>
        </w:rPr>
      </w:pPr>
    </w:p>
    <w:p w14:paraId="2A97F44D" w14:textId="77777777" w:rsidR="0013265B" w:rsidRPr="00496684" w:rsidRDefault="0013265B" w:rsidP="0013265B">
      <w:pPr>
        <w:widowControl w:val="0"/>
        <w:spacing w:after="0" w:line="240" w:lineRule="auto"/>
        <w:ind w:right="-449"/>
        <w:rPr>
          <w:rFonts w:ascii="Times New Roman" w:hAnsi="Times New Roman"/>
          <w:b/>
          <w:lang w:val="it-IT"/>
        </w:rPr>
      </w:pPr>
      <w:r w:rsidRPr="00496684">
        <w:rPr>
          <w:rFonts w:ascii="Times New Roman" w:hAnsi="Times New Roman"/>
          <w:b/>
          <w:lang w:val="it-IT"/>
        </w:rPr>
        <w:t>Altre fonti di informazioni</w:t>
      </w:r>
    </w:p>
    <w:p w14:paraId="2283FEAC" w14:textId="77777777" w:rsidR="0013265B" w:rsidRPr="00496684" w:rsidRDefault="0013265B" w:rsidP="0013265B">
      <w:pPr>
        <w:widowControl w:val="0"/>
        <w:spacing w:after="0" w:line="240" w:lineRule="auto"/>
        <w:ind w:right="-449"/>
        <w:rPr>
          <w:rFonts w:ascii="Times New Roman" w:hAnsi="Times New Roman"/>
          <w:b/>
          <w:lang w:val="it-IT"/>
        </w:rPr>
      </w:pPr>
    </w:p>
    <w:p w14:paraId="3CCDD803" w14:textId="77777777" w:rsidR="0013265B" w:rsidRPr="00496684" w:rsidRDefault="0013265B" w:rsidP="0013265B">
      <w:pPr>
        <w:widowControl w:val="0"/>
        <w:spacing w:after="0" w:line="240" w:lineRule="auto"/>
        <w:ind w:right="-2"/>
        <w:rPr>
          <w:rFonts w:ascii="Times New Roman" w:hAnsi="Times New Roman"/>
          <w:lang w:val="it-IT"/>
        </w:rPr>
      </w:pPr>
      <w:r w:rsidRPr="00496684">
        <w:rPr>
          <w:rFonts w:ascii="Times New Roman" w:hAnsi="Times New Roman"/>
          <w:lang w:val="it-IT"/>
        </w:rPr>
        <w:t xml:space="preserve">Informazioni più dettagliate su questo medicinale sono disponibili sul sito web della Agenzia europea dei medicinali: </w:t>
      </w:r>
      <w:hyperlink r:id="rId22" w:history="1">
        <w:r w:rsidRPr="00496684">
          <w:rPr>
            <w:rFonts w:ascii="Times New Roman" w:hAnsi="Times New Roman"/>
            <w:color w:val="0000FF"/>
            <w:u w:val="single"/>
            <w:lang w:val="it-IT"/>
          </w:rPr>
          <w:t>http://www.ema.europa.eu</w:t>
        </w:r>
      </w:hyperlink>
      <w:r w:rsidRPr="00496684">
        <w:rPr>
          <w:rFonts w:ascii="Times New Roman" w:hAnsi="Times New Roman"/>
          <w:lang w:val="it-IT"/>
        </w:rPr>
        <w:t xml:space="preserve"> </w:t>
      </w:r>
    </w:p>
    <w:p w14:paraId="3FE4C887" w14:textId="77777777" w:rsidR="0013265B" w:rsidRPr="00496684" w:rsidRDefault="0013265B" w:rsidP="0013265B">
      <w:pPr>
        <w:spacing w:before="80" w:after="0" w:line="240" w:lineRule="auto"/>
        <w:ind w:right="48"/>
        <w:rPr>
          <w:lang w:val="it-IT"/>
        </w:rPr>
      </w:pPr>
      <w:r w:rsidRPr="00496684">
        <w:rPr>
          <w:lang w:val="it-IT"/>
        </w:rPr>
        <w:t xml:space="preserve"> </w:t>
      </w:r>
    </w:p>
    <w:p w14:paraId="269CBC7F" w14:textId="77777777" w:rsidR="0013265B" w:rsidRPr="00496684" w:rsidRDefault="0013265B" w:rsidP="00CE7998">
      <w:pPr>
        <w:spacing w:before="80" w:after="0" w:line="240" w:lineRule="auto"/>
        <w:ind w:right="48"/>
        <w:rPr>
          <w:rFonts w:ascii="Times New Roman" w:hAnsi="Times New Roman"/>
          <w:lang w:val="it-IT"/>
        </w:rPr>
      </w:pPr>
    </w:p>
    <w:p w14:paraId="65F80DFB" w14:textId="77777777" w:rsidR="00CB6833" w:rsidRPr="00496684" w:rsidRDefault="0013265B" w:rsidP="0013265B">
      <w:pPr>
        <w:spacing w:before="80" w:after="0" w:line="240" w:lineRule="auto"/>
        <w:ind w:right="48"/>
        <w:jc w:val="center"/>
        <w:rPr>
          <w:rFonts w:ascii="Times New Roman" w:eastAsia="Times New Roman" w:hAnsi="Times New Roman"/>
          <w:lang w:val="it-IT"/>
        </w:rPr>
      </w:pPr>
      <w:r w:rsidRPr="00496684">
        <w:rPr>
          <w:rFonts w:ascii="Times New Roman" w:hAnsi="Times New Roman"/>
          <w:lang w:val="it-IT"/>
        </w:rPr>
        <w:br w:type="page"/>
      </w:r>
      <w:r w:rsidR="00CB6833" w:rsidRPr="00496684">
        <w:rPr>
          <w:rFonts w:ascii="Times New Roman" w:hAnsi="Times New Roman"/>
          <w:b/>
          <w:lang w:val="it-IT"/>
        </w:rPr>
        <w:t>Foglio illustrativo: informazioni per l’utilizzatore</w:t>
      </w:r>
    </w:p>
    <w:p w14:paraId="783D38B6" w14:textId="77777777" w:rsidR="00B94092" w:rsidRPr="00496684" w:rsidRDefault="00B94092" w:rsidP="00B94092">
      <w:pPr>
        <w:autoSpaceDE w:val="0"/>
        <w:autoSpaceDN w:val="0"/>
        <w:adjustRightInd w:val="0"/>
        <w:spacing w:after="0" w:line="240" w:lineRule="auto"/>
        <w:jc w:val="center"/>
        <w:rPr>
          <w:rFonts w:ascii="Times New Roman" w:hAnsi="Times New Roman"/>
          <w:bCs/>
          <w:lang w:val="it-IT"/>
        </w:rPr>
      </w:pPr>
    </w:p>
    <w:p w14:paraId="5FB598D9" w14:textId="77777777" w:rsidR="00B94092" w:rsidRPr="00496684" w:rsidRDefault="00B94092" w:rsidP="00B94092">
      <w:pPr>
        <w:widowControl w:val="0"/>
        <w:tabs>
          <w:tab w:val="left" w:pos="9356"/>
        </w:tabs>
        <w:autoSpaceDE w:val="0"/>
        <w:autoSpaceDN w:val="0"/>
        <w:adjustRightInd w:val="0"/>
        <w:spacing w:after="0" w:line="240" w:lineRule="auto"/>
        <w:ind w:right="50"/>
        <w:jc w:val="center"/>
        <w:rPr>
          <w:rFonts w:ascii="Times New Roman" w:hAnsi="Times New Roman"/>
          <w:lang w:val="it-IT"/>
        </w:rPr>
      </w:pPr>
      <w:r w:rsidRPr="00496684">
        <w:rPr>
          <w:rFonts w:ascii="Times New Roman" w:hAnsi="Times New Roman"/>
          <w:b/>
          <w:bCs/>
          <w:spacing w:val="-1"/>
          <w:lang w:val="it-IT"/>
        </w:rPr>
        <w:t>Imatinib Actavis</w:t>
      </w:r>
      <w:r w:rsidRPr="00496684">
        <w:rPr>
          <w:rFonts w:ascii="Times New Roman" w:hAnsi="Times New Roman"/>
          <w:b/>
          <w:bCs/>
          <w:spacing w:val="1"/>
          <w:lang w:val="it-IT"/>
        </w:rPr>
        <w:t xml:space="preserve"> </w:t>
      </w:r>
      <w:r w:rsidRPr="00496684">
        <w:rPr>
          <w:rFonts w:ascii="Times New Roman" w:hAnsi="Times New Roman"/>
          <w:b/>
          <w:bCs/>
          <w:lang w:val="it-IT"/>
        </w:rPr>
        <w:t>100 </w:t>
      </w:r>
      <w:r w:rsidRPr="00496684">
        <w:rPr>
          <w:rFonts w:ascii="Times New Roman" w:hAnsi="Times New Roman"/>
          <w:b/>
          <w:bCs/>
          <w:spacing w:val="1"/>
          <w:lang w:val="it-IT"/>
        </w:rPr>
        <w:t>m</w:t>
      </w:r>
      <w:r w:rsidRPr="00496684">
        <w:rPr>
          <w:rFonts w:ascii="Times New Roman" w:hAnsi="Times New Roman"/>
          <w:b/>
          <w:bCs/>
          <w:lang w:val="it-IT"/>
        </w:rPr>
        <w:t xml:space="preserve">g </w:t>
      </w:r>
      <w:r w:rsidR="00CB6833" w:rsidRPr="00496684">
        <w:rPr>
          <w:rFonts w:ascii="Times New Roman" w:hAnsi="Times New Roman"/>
          <w:b/>
          <w:bCs/>
          <w:spacing w:val="3"/>
          <w:lang w:val="it-IT"/>
        </w:rPr>
        <w:t>compresse rivestite con film</w:t>
      </w:r>
    </w:p>
    <w:p w14:paraId="54B5AB0D" w14:textId="77777777" w:rsidR="00B94092" w:rsidRPr="00496684" w:rsidRDefault="000629AD" w:rsidP="00B94092">
      <w:pPr>
        <w:autoSpaceDE w:val="0"/>
        <w:autoSpaceDN w:val="0"/>
        <w:adjustRightInd w:val="0"/>
        <w:spacing w:after="0" w:line="240" w:lineRule="auto"/>
        <w:jc w:val="center"/>
        <w:rPr>
          <w:rFonts w:ascii="Times New Roman" w:hAnsi="Times New Roman"/>
          <w:lang w:val="it-IT"/>
        </w:rPr>
      </w:pPr>
      <w:r w:rsidRPr="00496684">
        <w:rPr>
          <w:rFonts w:ascii="Times New Roman" w:hAnsi="Times New Roman"/>
          <w:lang w:val="it-IT"/>
        </w:rPr>
        <w:t>i</w:t>
      </w:r>
      <w:r w:rsidR="00B94092" w:rsidRPr="00496684">
        <w:rPr>
          <w:rFonts w:ascii="Times New Roman" w:hAnsi="Times New Roman"/>
          <w:lang w:val="it-IT"/>
        </w:rPr>
        <w:t>matinib</w:t>
      </w:r>
    </w:p>
    <w:p w14:paraId="586FF2FA"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59C9582E" w14:textId="77777777" w:rsidR="00CB6833" w:rsidRPr="00496684" w:rsidRDefault="00CB6833" w:rsidP="00CB6833">
      <w:pPr>
        <w:widowControl w:val="0"/>
        <w:ind w:right="-2"/>
        <w:rPr>
          <w:rFonts w:ascii="Times New Roman" w:hAnsi="Times New Roman"/>
          <w:lang w:val="it-IT"/>
        </w:rPr>
      </w:pPr>
      <w:r w:rsidRPr="00496684">
        <w:rPr>
          <w:rFonts w:ascii="Times New Roman" w:hAnsi="Times New Roman"/>
          <w:b/>
          <w:lang w:val="it-IT"/>
        </w:rPr>
        <w:t>Legga attentamente questo foglio prima di prendere questo medicinale perchè contiene importanti informazioni per lei.</w:t>
      </w:r>
    </w:p>
    <w:p w14:paraId="1C48C41D" w14:textId="77777777" w:rsidR="00CB6833" w:rsidRPr="00496684" w:rsidRDefault="00CB6833" w:rsidP="00CB6833">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Conservi questo foglio. Potrebbe aver bisogno di leggerlo di nuovo.</w:t>
      </w:r>
    </w:p>
    <w:p w14:paraId="2E98597D" w14:textId="77777777" w:rsidR="00CB6833" w:rsidRPr="00496684" w:rsidRDefault="00CB6833" w:rsidP="00CB6833">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Se ha qualsiasi dubbio, si rivolga al medico, al farmacista o all’infermiere.</w:t>
      </w:r>
    </w:p>
    <w:p w14:paraId="25ADD8CB" w14:textId="77777777" w:rsidR="00CB6833" w:rsidRPr="00496684" w:rsidRDefault="00CB6833" w:rsidP="00CB6833">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Questo medicinale è stato prescritto soltanto per lei. Non lo dia ad altre persone, anche se i sintomi della malattia sono uguali ai suoi, perché potrebbe essere pericoloso.</w:t>
      </w:r>
    </w:p>
    <w:p w14:paraId="1962A90F" w14:textId="77777777" w:rsidR="00CB6833" w:rsidRPr="00496684" w:rsidRDefault="00CB6833" w:rsidP="00CB6833">
      <w:pPr>
        <w:widowControl w:val="0"/>
        <w:numPr>
          <w:ilvl w:val="0"/>
          <w:numId w:val="5"/>
        </w:numPr>
        <w:tabs>
          <w:tab w:val="clear" w:pos="644"/>
        </w:tabs>
        <w:spacing w:after="0" w:line="240" w:lineRule="auto"/>
        <w:ind w:hanging="567"/>
        <w:rPr>
          <w:rFonts w:ascii="Times New Roman" w:hAnsi="Times New Roman"/>
          <w:lang w:val="it-IT"/>
        </w:rPr>
      </w:pPr>
      <w:r w:rsidRPr="00496684">
        <w:rPr>
          <w:rFonts w:ascii="Times New Roman" w:hAnsi="Times New Roman"/>
          <w:lang w:val="it-IT"/>
        </w:rPr>
        <w:t>Se si manifesta un qualsiasi effetto indesiderato, compresi quelli non elencati in questo foglio, si rivolga al medico, al farmacista o all’infermiere.</w:t>
      </w:r>
      <w:r w:rsidR="001B4D7F" w:rsidRPr="00496684">
        <w:rPr>
          <w:rFonts w:ascii="TimesNewRoman" w:eastAsia="SimSun" w:hAnsi="TimesNewRoman" w:cs="TimesNewRoman"/>
          <w:lang w:val="it-IT" w:eastAsia="it-IT"/>
        </w:rPr>
        <w:t xml:space="preserve"> Vedere paragrafo 4.</w:t>
      </w:r>
    </w:p>
    <w:p w14:paraId="78FC5899"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03DFCF9C" w14:textId="77777777" w:rsidR="00CB6833" w:rsidRPr="00496684" w:rsidRDefault="00CB6833" w:rsidP="00CB6833">
      <w:pPr>
        <w:widowControl w:val="0"/>
        <w:numPr>
          <w:ilvl w:val="12"/>
          <w:numId w:val="0"/>
        </w:numPr>
        <w:ind w:right="-2"/>
        <w:rPr>
          <w:rFonts w:ascii="Times New Roman" w:hAnsi="Times New Roman"/>
          <w:lang w:val="it-IT"/>
        </w:rPr>
      </w:pPr>
      <w:r w:rsidRPr="00496684">
        <w:rPr>
          <w:rFonts w:ascii="Times New Roman" w:hAnsi="Times New Roman"/>
          <w:b/>
          <w:lang w:val="it-IT"/>
        </w:rPr>
        <w:t>Contenuto di questo foglio</w:t>
      </w:r>
    </w:p>
    <w:p w14:paraId="3C2C480C" w14:textId="5E3C42DA" w:rsidR="00CB6833" w:rsidRPr="00496684" w:rsidRDefault="00CB6833" w:rsidP="00CB683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1.</w:t>
      </w:r>
      <w:r w:rsidRPr="00496684">
        <w:rPr>
          <w:rFonts w:ascii="Times New Roman" w:hAnsi="Times New Roman"/>
          <w:lang w:val="it-IT"/>
        </w:rPr>
        <w:tab/>
        <w:t xml:space="preserve">Cos’è </w:t>
      </w:r>
      <w:r w:rsidR="00521ABE" w:rsidRPr="00496684">
        <w:rPr>
          <w:rFonts w:ascii="Times New Roman" w:hAnsi="Times New Roman"/>
          <w:lang w:val="it-IT"/>
        </w:rPr>
        <w:t>Imatinib Actavis</w:t>
      </w:r>
      <w:r w:rsidRPr="00496684">
        <w:rPr>
          <w:rFonts w:ascii="Times New Roman" w:hAnsi="Times New Roman"/>
          <w:lang w:val="it-IT"/>
        </w:rPr>
        <w:t xml:space="preserve"> e a cosa serve</w:t>
      </w:r>
    </w:p>
    <w:p w14:paraId="09D4CCEE" w14:textId="77777777" w:rsidR="00CB6833" w:rsidRPr="00496684" w:rsidRDefault="00CB6833" w:rsidP="00CB683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w:t>
      </w:r>
      <w:r w:rsidRPr="00496684">
        <w:rPr>
          <w:rFonts w:ascii="Times New Roman" w:hAnsi="Times New Roman"/>
          <w:lang w:val="it-IT"/>
        </w:rPr>
        <w:tab/>
        <w:t xml:space="preserve">Cosa deve sapere prima di prendere </w:t>
      </w:r>
      <w:r w:rsidR="00521ABE" w:rsidRPr="00496684">
        <w:rPr>
          <w:rFonts w:ascii="Times New Roman" w:hAnsi="Times New Roman"/>
          <w:lang w:val="it-IT"/>
        </w:rPr>
        <w:t>Imatinib Actavis</w:t>
      </w:r>
    </w:p>
    <w:p w14:paraId="43C66E66" w14:textId="77777777" w:rsidR="00CB6833" w:rsidRPr="00496684" w:rsidRDefault="00CB6833" w:rsidP="00CB683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3.</w:t>
      </w:r>
      <w:r w:rsidRPr="00496684">
        <w:rPr>
          <w:rFonts w:ascii="Times New Roman" w:hAnsi="Times New Roman"/>
          <w:lang w:val="it-IT"/>
        </w:rPr>
        <w:tab/>
        <w:t xml:space="preserve">Come prendere </w:t>
      </w:r>
      <w:r w:rsidR="00521ABE" w:rsidRPr="00496684">
        <w:rPr>
          <w:rFonts w:ascii="Times New Roman" w:hAnsi="Times New Roman"/>
          <w:lang w:val="it-IT"/>
        </w:rPr>
        <w:t>Imatinib Actavis</w:t>
      </w:r>
    </w:p>
    <w:p w14:paraId="2E8611C7" w14:textId="77777777" w:rsidR="00CB6833" w:rsidRPr="00496684" w:rsidRDefault="00CB6833" w:rsidP="00CB683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4.</w:t>
      </w:r>
      <w:r w:rsidRPr="00496684">
        <w:rPr>
          <w:rFonts w:ascii="Times New Roman" w:hAnsi="Times New Roman"/>
          <w:lang w:val="it-IT"/>
        </w:rPr>
        <w:tab/>
        <w:t>Possibili effetti indesiderati</w:t>
      </w:r>
    </w:p>
    <w:p w14:paraId="6864C726" w14:textId="77777777" w:rsidR="00CB6833" w:rsidRPr="00496684" w:rsidRDefault="00CB6833" w:rsidP="00CB683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5.</w:t>
      </w:r>
      <w:r w:rsidRPr="00496684">
        <w:rPr>
          <w:rFonts w:ascii="Times New Roman" w:hAnsi="Times New Roman"/>
          <w:lang w:val="it-IT"/>
        </w:rPr>
        <w:tab/>
        <w:t xml:space="preserve">Come conservare </w:t>
      </w:r>
      <w:r w:rsidR="00521ABE" w:rsidRPr="00496684">
        <w:rPr>
          <w:rFonts w:ascii="Times New Roman" w:hAnsi="Times New Roman"/>
          <w:lang w:val="it-IT"/>
        </w:rPr>
        <w:t>Imatinib Actavis</w:t>
      </w:r>
    </w:p>
    <w:p w14:paraId="7D38DE0F" w14:textId="77777777" w:rsidR="00CB6833" w:rsidRPr="00496684" w:rsidRDefault="00CB6833" w:rsidP="00CB683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6.</w:t>
      </w:r>
      <w:r w:rsidRPr="00496684">
        <w:rPr>
          <w:rFonts w:ascii="Times New Roman" w:hAnsi="Times New Roman"/>
          <w:lang w:val="it-IT"/>
        </w:rPr>
        <w:tab/>
        <w:t>Contenuto della confezione e altre informazioni</w:t>
      </w:r>
    </w:p>
    <w:p w14:paraId="09ABDCD0"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2142D8AD"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1C7F38C5" w14:textId="48DD7B10" w:rsidR="00B94092" w:rsidRPr="00496684" w:rsidRDefault="00B94092" w:rsidP="00B94092">
      <w:pPr>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1.</w:t>
      </w:r>
      <w:r w:rsidRPr="00496684">
        <w:rPr>
          <w:rFonts w:ascii="Times New Roman" w:hAnsi="Times New Roman"/>
          <w:b/>
          <w:bCs/>
          <w:lang w:val="it-IT"/>
        </w:rPr>
        <w:tab/>
      </w:r>
      <w:r w:rsidR="00332B0F" w:rsidRPr="00496684">
        <w:rPr>
          <w:rFonts w:ascii="Times New Roman" w:hAnsi="Times New Roman"/>
          <w:b/>
          <w:lang w:val="it-IT"/>
        </w:rPr>
        <w:t>Cos’è Imatinib Actavis e a cosa serve</w:t>
      </w:r>
    </w:p>
    <w:p w14:paraId="57B1A1D3" w14:textId="77777777" w:rsidR="00B94092" w:rsidRPr="00496684" w:rsidRDefault="00B94092" w:rsidP="00B94092">
      <w:pPr>
        <w:autoSpaceDE w:val="0"/>
        <w:autoSpaceDN w:val="0"/>
        <w:adjustRightInd w:val="0"/>
        <w:spacing w:after="0" w:line="240" w:lineRule="auto"/>
        <w:rPr>
          <w:rFonts w:ascii="Times New Roman" w:hAnsi="Times New Roman"/>
          <w:bCs/>
          <w:lang w:val="it-IT"/>
        </w:rPr>
      </w:pPr>
    </w:p>
    <w:p w14:paraId="549A07B3" w14:textId="77777777" w:rsidR="00BC698F" w:rsidRPr="00496684" w:rsidRDefault="00521ABE" w:rsidP="00BC698F">
      <w:pPr>
        <w:pStyle w:val="Text"/>
        <w:widowControl w:val="0"/>
        <w:spacing w:before="0"/>
        <w:jc w:val="left"/>
        <w:rPr>
          <w:sz w:val="22"/>
          <w:szCs w:val="22"/>
          <w:lang w:val="it-IT"/>
        </w:rPr>
      </w:pPr>
      <w:r w:rsidRPr="00496684">
        <w:rPr>
          <w:sz w:val="22"/>
          <w:szCs w:val="22"/>
          <w:lang w:val="it-IT"/>
        </w:rPr>
        <w:t>Imatinib Actavis</w:t>
      </w:r>
      <w:r w:rsidR="00CB6833" w:rsidRPr="00496684">
        <w:rPr>
          <w:sz w:val="22"/>
          <w:szCs w:val="22"/>
          <w:lang w:val="it-IT"/>
        </w:rPr>
        <w:t xml:space="preserve"> è un medicinale contenente un principio attivo chiamato imatinib. Questo medicinale agisce inibendo la crescita di cellule anormali </w:t>
      </w:r>
      <w:r w:rsidR="00BC698F" w:rsidRPr="00496684">
        <w:rPr>
          <w:sz w:val="22"/>
          <w:szCs w:val="22"/>
          <w:lang w:val="it-IT"/>
        </w:rPr>
        <w:t xml:space="preserve">nelle patologie di seguito elencate. </w:t>
      </w:r>
    </w:p>
    <w:p w14:paraId="34263505" w14:textId="77777777" w:rsidR="00BC698F" w:rsidRPr="00496684" w:rsidRDefault="00BC698F" w:rsidP="00BC698F">
      <w:pPr>
        <w:pStyle w:val="Text"/>
        <w:widowControl w:val="0"/>
        <w:spacing w:before="0"/>
        <w:jc w:val="left"/>
        <w:rPr>
          <w:sz w:val="22"/>
          <w:szCs w:val="22"/>
          <w:lang w:val="it-IT"/>
        </w:rPr>
      </w:pPr>
      <w:r w:rsidRPr="00496684">
        <w:rPr>
          <w:sz w:val="22"/>
          <w:szCs w:val="22"/>
          <w:lang w:val="it-IT"/>
        </w:rPr>
        <w:t>Queste comprendono alcuni tipi di cancro.</w:t>
      </w:r>
    </w:p>
    <w:p w14:paraId="38CCD63C" w14:textId="77777777" w:rsidR="00CB6833" w:rsidRPr="00496684" w:rsidRDefault="00CB6833" w:rsidP="00D008F2">
      <w:pPr>
        <w:pStyle w:val="Text"/>
        <w:widowControl w:val="0"/>
        <w:spacing w:before="0"/>
        <w:jc w:val="left"/>
        <w:rPr>
          <w:lang w:val="it-IT"/>
        </w:rPr>
      </w:pPr>
    </w:p>
    <w:p w14:paraId="25439856" w14:textId="4B58092E" w:rsidR="00BC698F" w:rsidRPr="00496684" w:rsidRDefault="00BC698F" w:rsidP="00BC698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Imatinib Actavis è un trattamento per:</w:t>
      </w:r>
    </w:p>
    <w:p w14:paraId="2D37DB3C" w14:textId="77777777" w:rsidR="00BC698F" w:rsidRPr="00496684" w:rsidRDefault="00BC698F" w:rsidP="00BC698F">
      <w:pPr>
        <w:autoSpaceDE w:val="0"/>
        <w:autoSpaceDN w:val="0"/>
        <w:adjustRightInd w:val="0"/>
        <w:spacing w:after="0" w:line="240" w:lineRule="auto"/>
        <w:rPr>
          <w:rFonts w:ascii="Times New Roman" w:hAnsi="Times New Roman"/>
          <w:b/>
          <w:bCs/>
          <w:lang w:val="it-IT"/>
        </w:rPr>
      </w:pPr>
    </w:p>
    <w:p w14:paraId="52E244EB"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rFonts w:ascii="Times New Roman" w:eastAsia="Times New Roman" w:hAnsi="Times New Roman"/>
          <w:lang w:val="it-IT" w:eastAsia="it-IT"/>
        </w:rPr>
      </w:pPr>
      <w:r w:rsidRPr="00496684">
        <w:rPr>
          <w:rFonts w:ascii="Times New Roman" w:hAnsi="Times New Roman"/>
          <w:b/>
          <w:bCs/>
          <w:lang w:val="it-IT"/>
        </w:rPr>
        <w:t>Leucemia mieloide cronica (LMC).</w:t>
      </w:r>
    </w:p>
    <w:p w14:paraId="4D7AC715" w14:textId="77777777" w:rsidR="00BC698F" w:rsidRPr="00496684" w:rsidRDefault="00BC698F" w:rsidP="00BC698F">
      <w:pPr>
        <w:autoSpaceDE w:val="0"/>
        <w:autoSpaceDN w:val="0"/>
        <w:adjustRightInd w:val="0"/>
        <w:spacing w:after="0" w:line="240" w:lineRule="auto"/>
        <w:ind w:left="567"/>
        <w:rPr>
          <w:rFonts w:ascii="Times New Roman" w:hAnsi="Times New Roman"/>
          <w:lang w:val="it-IT"/>
        </w:rPr>
      </w:pPr>
      <w:r w:rsidRPr="00496684">
        <w:rPr>
          <w:rFonts w:ascii="Times New Roman" w:hAnsi="Times New Roman"/>
          <w:lang w:val="it-IT"/>
        </w:rPr>
        <w:t>La leucemia è un tumore dei globuli bianchi. I globuli bianchi normalmente aiutano l’organismo a combattere le infezioni. La leucemia mieloide cronica è una forma di leucemia nella quale certi globuli bianchi anormali (chiamati cellule mieloidi) iniziano a crescere senza controllo.</w:t>
      </w:r>
    </w:p>
    <w:p w14:paraId="7A34570D" w14:textId="77777777" w:rsidR="00BC698F" w:rsidRPr="00496684" w:rsidRDefault="00BC698F" w:rsidP="00BC698F">
      <w:pPr>
        <w:autoSpaceDE w:val="0"/>
        <w:autoSpaceDN w:val="0"/>
        <w:adjustRightInd w:val="0"/>
        <w:spacing w:after="0" w:line="240" w:lineRule="auto"/>
        <w:ind w:left="567"/>
        <w:rPr>
          <w:rFonts w:ascii="Times New Roman" w:hAnsi="Times New Roman"/>
          <w:bCs/>
          <w:lang w:val="it-IT"/>
        </w:rPr>
      </w:pPr>
    </w:p>
    <w:p w14:paraId="44FC998A" w14:textId="77777777" w:rsidR="00BC698F" w:rsidRPr="00496684" w:rsidRDefault="00BC698F" w:rsidP="00CE7998">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Nei pazienti adulti, Imatinib Actavis è indicato per l'uso nella fase più avanzata della malattia (crisi blastica). Nei bambini e adolescenti, Imatinib Actavis può essere usato in fasi differenti della malattia (fase cronica, accelerata e crisi blastica).</w:t>
      </w:r>
    </w:p>
    <w:p w14:paraId="299B1AE0" w14:textId="77777777" w:rsidR="00BC698F" w:rsidRPr="00496684" w:rsidRDefault="00BC698F" w:rsidP="00BC698F">
      <w:pPr>
        <w:autoSpaceDE w:val="0"/>
        <w:autoSpaceDN w:val="0"/>
        <w:adjustRightInd w:val="0"/>
        <w:spacing w:after="0" w:line="240" w:lineRule="auto"/>
        <w:rPr>
          <w:rFonts w:ascii="Times New Roman" w:hAnsi="Times New Roman"/>
          <w:lang w:val="it-IT"/>
        </w:rPr>
      </w:pPr>
    </w:p>
    <w:p w14:paraId="05B98ECA"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rFonts w:ascii="Times New Roman" w:hAnsi="Times New Roman"/>
          <w:lang w:val="it-IT"/>
        </w:rPr>
      </w:pPr>
      <w:r w:rsidRPr="00496684">
        <w:rPr>
          <w:rFonts w:ascii="Times New Roman" w:hAnsi="Times New Roman"/>
          <w:b/>
          <w:bCs/>
          <w:lang w:val="it-IT"/>
        </w:rPr>
        <w:t>Leucemia linfoblastica acuta positiva al cromosoma philadelphia (LLA Ph+).</w:t>
      </w:r>
    </w:p>
    <w:p w14:paraId="3AA796A7" w14:textId="77777777" w:rsidR="00DB03B2" w:rsidRPr="00496684" w:rsidRDefault="00BC698F" w:rsidP="00DB03B2">
      <w:pPr>
        <w:pStyle w:val="Default"/>
        <w:ind w:left="567"/>
        <w:rPr>
          <w:sz w:val="22"/>
          <w:szCs w:val="22"/>
          <w:lang w:val="it-IT"/>
        </w:rPr>
      </w:pPr>
      <w:r w:rsidRPr="00496684">
        <w:rPr>
          <w:sz w:val="22"/>
          <w:szCs w:val="22"/>
          <w:lang w:val="it-IT"/>
        </w:rPr>
        <w:t xml:space="preserve">La leucemia è un tumore dei globuli bianchi. I globuli bianchi normalmente aiutano l’organismo a combattere le infezioni. La leucemia linfoblastica acuta è una forma di leucemia nella quale certi globuli bianchi anormali (chiamati linfoblasti) iniziano a crescere senza controllo. Imatinib Actavis inibisce la crescita di queste cellule. </w:t>
      </w:r>
    </w:p>
    <w:p w14:paraId="4A4B5225" w14:textId="77777777" w:rsidR="00DB03B2" w:rsidRPr="00496684" w:rsidRDefault="00DB03B2" w:rsidP="00DB03B2">
      <w:pPr>
        <w:pStyle w:val="Text"/>
        <w:widowControl w:val="0"/>
        <w:spacing w:before="0"/>
        <w:jc w:val="left"/>
        <w:rPr>
          <w:b/>
          <w:sz w:val="22"/>
          <w:szCs w:val="22"/>
          <w:lang w:val="it-IT"/>
        </w:rPr>
      </w:pPr>
    </w:p>
    <w:p w14:paraId="469B283D" w14:textId="77777777" w:rsidR="00DB03B2" w:rsidRPr="00496684" w:rsidRDefault="00DB03B2" w:rsidP="00DB03B2">
      <w:pPr>
        <w:pStyle w:val="Text"/>
        <w:widowControl w:val="0"/>
        <w:spacing w:before="0"/>
        <w:jc w:val="left"/>
        <w:rPr>
          <w:b/>
          <w:sz w:val="22"/>
          <w:szCs w:val="22"/>
          <w:lang w:val="it-IT"/>
        </w:rPr>
      </w:pPr>
      <w:r w:rsidRPr="00496684">
        <w:rPr>
          <w:b/>
          <w:bCs/>
          <w:sz w:val="22"/>
          <w:szCs w:val="22"/>
          <w:lang w:val="it-IT"/>
        </w:rPr>
        <w:t xml:space="preserve">Imatinib Actavis </w:t>
      </w:r>
      <w:r w:rsidRPr="00496684">
        <w:rPr>
          <w:b/>
          <w:sz w:val="22"/>
          <w:szCs w:val="22"/>
          <w:lang w:val="it-IT"/>
        </w:rPr>
        <w:t>è anche indicato nei pazienti adulti per il trattamento di:</w:t>
      </w:r>
    </w:p>
    <w:p w14:paraId="49637AFC" w14:textId="77777777" w:rsidR="00BC698F" w:rsidRPr="00496684" w:rsidRDefault="00BC698F" w:rsidP="00D008F2">
      <w:pPr>
        <w:pStyle w:val="Default"/>
        <w:ind w:left="567"/>
        <w:rPr>
          <w:sz w:val="22"/>
          <w:szCs w:val="22"/>
          <w:lang w:val="it-IT"/>
        </w:rPr>
      </w:pPr>
    </w:p>
    <w:p w14:paraId="0871F2B0"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Malattie mielodisplastiche/mieloproliferative (MDS/MPD)</w:t>
      </w:r>
    </w:p>
    <w:p w14:paraId="1677F4F3" w14:textId="77777777" w:rsidR="00BC698F" w:rsidRPr="00496684" w:rsidRDefault="00BC698F" w:rsidP="00D008F2">
      <w:pPr>
        <w:pStyle w:val="Default"/>
        <w:ind w:left="567"/>
        <w:rPr>
          <w:sz w:val="22"/>
          <w:szCs w:val="22"/>
          <w:lang w:val="it-IT"/>
        </w:rPr>
      </w:pPr>
      <w:r w:rsidRPr="00496684">
        <w:rPr>
          <w:sz w:val="22"/>
          <w:szCs w:val="22"/>
          <w:lang w:val="it-IT"/>
        </w:rPr>
        <w:t xml:space="preserve">Queste sono un gruppo di malattie ematologiche nelle quali alcune cellule del sangue iniziano a crescere senza controllo. Imatinib Actavis inibisce la crescita di queste cellule in certi sottotipi di queste malattie. </w:t>
      </w:r>
    </w:p>
    <w:p w14:paraId="12FCCBCC"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rFonts w:ascii="Times New Roman" w:hAnsi="Times New Roman"/>
          <w:b/>
          <w:bCs/>
          <w:lang w:val="it-IT"/>
        </w:rPr>
      </w:pPr>
      <w:r w:rsidRPr="00496684">
        <w:rPr>
          <w:rFonts w:ascii="Times New Roman" w:hAnsi="Times New Roman"/>
          <w:b/>
          <w:bCs/>
          <w:lang w:val="it-IT"/>
        </w:rPr>
        <w:t>Sindrome ipereosinofila (HES) e/o leucemia eosinofila cronica (LEC)</w:t>
      </w:r>
    </w:p>
    <w:p w14:paraId="07230976" w14:textId="77777777" w:rsidR="00BC698F" w:rsidRPr="00496684" w:rsidRDefault="00BC698F" w:rsidP="00D008F2">
      <w:pPr>
        <w:pStyle w:val="Default"/>
        <w:ind w:left="567"/>
        <w:rPr>
          <w:sz w:val="22"/>
          <w:szCs w:val="22"/>
          <w:lang w:val="it-IT"/>
        </w:rPr>
      </w:pPr>
      <w:r w:rsidRPr="00496684">
        <w:rPr>
          <w:sz w:val="22"/>
          <w:szCs w:val="22"/>
          <w:lang w:val="it-IT"/>
        </w:rPr>
        <w:t xml:space="preserve">Sono malattie del sangue dove delle cellule del sangue (chiamate eosinofili) iniziano a crescere senza controllo. Imatinib Actavis inibisce la crescita di queste cellule in un certo sottotipo di queste malattie. </w:t>
      </w:r>
    </w:p>
    <w:p w14:paraId="662E97C1"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Dermatofibrosarcoma protuberans (DFSP)</w:t>
      </w:r>
    </w:p>
    <w:p w14:paraId="2480C78B" w14:textId="77777777" w:rsidR="00BC698F" w:rsidRPr="00496684" w:rsidRDefault="00BC698F" w:rsidP="00D008F2">
      <w:pPr>
        <w:pStyle w:val="Default"/>
        <w:ind w:left="567"/>
        <w:rPr>
          <w:sz w:val="22"/>
          <w:szCs w:val="22"/>
          <w:lang w:val="it-IT"/>
        </w:rPr>
      </w:pPr>
      <w:r w:rsidRPr="00496684">
        <w:rPr>
          <w:sz w:val="22"/>
          <w:szCs w:val="22"/>
          <w:lang w:val="it-IT"/>
        </w:rPr>
        <w:t xml:space="preserve">DFSP è un tumore del tessuto sottocutaneo nel quale alcune cellule iniziano a crescere senza controllo. Imatinib Actavis inibisce la crescita di queste cellule. </w:t>
      </w:r>
    </w:p>
    <w:p w14:paraId="7B73DFB5" w14:textId="77777777" w:rsidR="00BC698F" w:rsidRPr="00496684" w:rsidRDefault="00BC698F" w:rsidP="00BC698F">
      <w:pPr>
        <w:autoSpaceDE w:val="0"/>
        <w:autoSpaceDN w:val="0"/>
        <w:adjustRightInd w:val="0"/>
        <w:spacing w:after="0" w:line="240" w:lineRule="auto"/>
        <w:ind w:left="284"/>
        <w:rPr>
          <w:lang w:val="it-IT"/>
        </w:rPr>
      </w:pPr>
    </w:p>
    <w:p w14:paraId="275A1625" w14:textId="77777777" w:rsidR="00BC698F" w:rsidRPr="00496684" w:rsidRDefault="00BC698F" w:rsidP="00D008F2">
      <w:pPr>
        <w:autoSpaceDE w:val="0"/>
        <w:autoSpaceDN w:val="0"/>
        <w:adjustRightInd w:val="0"/>
        <w:spacing w:after="0" w:line="240" w:lineRule="auto"/>
        <w:rPr>
          <w:lang w:val="it-IT"/>
        </w:rPr>
      </w:pPr>
      <w:r w:rsidRPr="00496684">
        <w:rPr>
          <w:rFonts w:ascii="Times New Roman" w:hAnsi="Times New Roman"/>
          <w:lang w:val="it-IT"/>
        </w:rPr>
        <w:t>Nel resto di questo foglio illustrativo si useranno le abbreviazioni quando si parlerà di queste malattie</w:t>
      </w:r>
    </w:p>
    <w:p w14:paraId="461058CA" w14:textId="77777777" w:rsidR="00CB6833" w:rsidRPr="00496684" w:rsidRDefault="00CB6833" w:rsidP="00CB6833">
      <w:pPr>
        <w:autoSpaceDE w:val="0"/>
        <w:autoSpaceDN w:val="0"/>
        <w:adjustRightInd w:val="0"/>
        <w:spacing w:after="0" w:line="240" w:lineRule="auto"/>
        <w:rPr>
          <w:rFonts w:ascii="Times New Roman" w:hAnsi="Times New Roman"/>
          <w:lang w:val="it-IT"/>
        </w:rPr>
      </w:pPr>
    </w:p>
    <w:p w14:paraId="7C2B24EE" w14:textId="77777777" w:rsidR="00CB6833" w:rsidRPr="00496684" w:rsidRDefault="00CB6833" w:rsidP="00CB6833">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 xml:space="preserve">Se ha delle domande riguardo a come </w:t>
      </w:r>
      <w:r w:rsidR="00521ABE" w:rsidRPr="00496684">
        <w:rPr>
          <w:rFonts w:ascii="Times New Roman" w:hAnsi="Times New Roman"/>
          <w:lang w:val="it-IT"/>
        </w:rPr>
        <w:t>Imatinib Actavis</w:t>
      </w:r>
      <w:r w:rsidRPr="00496684">
        <w:rPr>
          <w:rFonts w:ascii="Times New Roman" w:hAnsi="Times New Roman"/>
          <w:lang w:val="it-IT"/>
        </w:rPr>
        <w:t xml:space="preserve"> agisce o sul motivo per cui le è stato prescritto </w:t>
      </w:r>
      <w:r w:rsidR="00521ABE" w:rsidRPr="00496684">
        <w:rPr>
          <w:rFonts w:ascii="Times New Roman" w:hAnsi="Times New Roman"/>
          <w:lang w:val="it-IT"/>
        </w:rPr>
        <w:t>Imatinib Actavis</w:t>
      </w:r>
      <w:r w:rsidRPr="00496684">
        <w:rPr>
          <w:rFonts w:ascii="Times New Roman" w:hAnsi="Times New Roman"/>
          <w:lang w:val="it-IT"/>
        </w:rPr>
        <w:t>, consulti il medico</w:t>
      </w:r>
    </w:p>
    <w:p w14:paraId="1E34BFB7"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68AB8FB1" w14:textId="77777777" w:rsidR="0020671B" w:rsidRPr="00496684" w:rsidRDefault="0020671B" w:rsidP="00B94092">
      <w:pPr>
        <w:autoSpaceDE w:val="0"/>
        <w:autoSpaceDN w:val="0"/>
        <w:adjustRightInd w:val="0"/>
        <w:spacing w:after="0" w:line="240" w:lineRule="auto"/>
        <w:rPr>
          <w:rFonts w:ascii="Times New Roman" w:hAnsi="Times New Roman"/>
          <w:lang w:val="it-IT"/>
        </w:rPr>
      </w:pPr>
    </w:p>
    <w:p w14:paraId="18B46CB1" w14:textId="77777777" w:rsidR="00B94092" w:rsidRPr="00496684" w:rsidRDefault="00B94092" w:rsidP="00B94092">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r>
      <w:r w:rsidR="006428F5" w:rsidRPr="00496684">
        <w:rPr>
          <w:rFonts w:ascii="Times New Roman" w:hAnsi="Times New Roman"/>
          <w:b/>
          <w:bCs/>
          <w:lang w:val="it-IT"/>
        </w:rPr>
        <w:t xml:space="preserve">Cosa deve sapere prima di prendere </w:t>
      </w:r>
      <w:r w:rsidRPr="00496684">
        <w:rPr>
          <w:rFonts w:ascii="Times New Roman" w:hAnsi="Times New Roman"/>
          <w:b/>
          <w:bCs/>
          <w:lang w:val="it-IT"/>
        </w:rPr>
        <w:t>Imatinib Actavis</w:t>
      </w:r>
    </w:p>
    <w:p w14:paraId="5CBA91A6" w14:textId="77777777" w:rsidR="006428F5" w:rsidRPr="00496684" w:rsidRDefault="006428F5" w:rsidP="00B94092">
      <w:pPr>
        <w:autoSpaceDE w:val="0"/>
        <w:autoSpaceDN w:val="0"/>
        <w:adjustRightInd w:val="0"/>
        <w:spacing w:after="0" w:line="240" w:lineRule="auto"/>
        <w:rPr>
          <w:rFonts w:ascii="Times New Roman" w:hAnsi="Times New Roman"/>
          <w:bCs/>
          <w:lang w:val="it-IT"/>
        </w:rPr>
      </w:pPr>
    </w:p>
    <w:p w14:paraId="7C7274DA" w14:textId="77777777" w:rsidR="006428F5" w:rsidRPr="00496684" w:rsidRDefault="00521ABE" w:rsidP="006428F5">
      <w:pPr>
        <w:pStyle w:val="Textkrper3"/>
        <w:spacing w:after="0" w:line="240" w:lineRule="auto"/>
        <w:rPr>
          <w:rFonts w:ascii="Times New Roman" w:hAnsi="Times New Roman"/>
          <w:sz w:val="22"/>
          <w:szCs w:val="22"/>
          <w:lang w:val="it-IT"/>
        </w:rPr>
      </w:pPr>
      <w:r w:rsidRPr="00496684">
        <w:rPr>
          <w:rFonts w:ascii="Times New Roman" w:hAnsi="Times New Roman"/>
          <w:sz w:val="22"/>
          <w:szCs w:val="22"/>
          <w:lang w:val="it-IT"/>
        </w:rPr>
        <w:t>Imatinib Actavis</w:t>
      </w:r>
      <w:r w:rsidR="006428F5" w:rsidRPr="00496684">
        <w:rPr>
          <w:rFonts w:ascii="Times New Roman" w:hAnsi="Times New Roman"/>
          <w:sz w:val="22"/>
          <w:szCs w:val="22"/>
          <w:lang w:val="it-IT"/>
        </w:rPr>
        <w:t xml:space="preserve"> le verrà prescritto solo da medici con esperienza in medicinali per il trattamento dei tumori del sangue </w:t>
      </w:r>
      <w:r w:rsidR="00BC698F" w:rsidRPr="00496684">
        <w:rPr>
          <w:rFonts w:ascii="Times New Roman" w:hAnsi="Times New Roman"/>
          <w:sz w:val="22"/>
          <w:szCs w:val="22"/>
          <w:lang w:val="it-IT"/>
        </w:rPr>
        <w:t>o tumori solidi.</w:t>
      </w:r>
      <w:r w:rsidR="006428F5" w:rsidRPr="00496684">
        <w:rPr>
          <w:rFonts w:ascii="Times New Roman" w:hAnsi="Times New Roman"/>
          <w:sz w:val="22"/>
          <w:szCs w:val="22"/>
          <w:lang w:val="it-IT"/>
        </w:rPr>
        <w:t>.</w:t>
      </w:r>
    </w:p>
    <w:p w14:paraId="4DF9D072" w14:textId="77777777" w:rsidR="006428F5" w:rsidRPr="00496684" w:rsidRDefault="006428F5" w:rsidP="006428F5">
      <w:pPr>
        <w:pStyle w:val="Textkrper3"/>
        <w:spacing w:after="0" w:line="240" w:lineRule="auto"/>
        <w:rPr>
          <w:rFonts w:ascii="Times New Roman" w:hAnsi="Times New Roman"/>
          <w:sz w:val="22"/>
          <w:szCs w:val="22"/>
          <w:lang w:val="it-IT"/>
        </w:rPr>
      </w:pPr>
    </w:p>
    <w:p w14:paraId="03BE8BFF" w14:textId="77777777" w:rsidR="006428F5" w:rsidRPr="00496684" w:rsidRDefault="006428F5" w:rsidP="006428F5">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Segua attentamente tutte le istruzioni del medico, anche se differiscono dalle informazioni generali contenute in questo foglio.</w:t>
      </w:r>
    </w:p>
    <w:p w14:paraId="400D5C4D" w14:textId="77777777" w:rsidR="006428F5" w:rsidRPr="00496684" w:rsidRDefault="006428F5" w:rsidP="006428F5">
      <w:pPr>
        <w:widowControl w:val="0"/>
        <w:numPr>
          <w:ilvl w:val="12"/>
          <w:numId w:val="0"/>
        </w:numPr>
        <w:spacing w:after="0" w:line="240" w:lineRule="auto"/>
        <w:ind w:right="-2"/>
        <w:rPr>
          <w:rFonts w:ascii="Times New Roman" w:hAnsi="Times New Roman"/>
          <w:lang w:val="it-IT"/>
        </w:rPr>
      </w:pPr>
    </w:p>
    <w:p w14:paraId="5B9AC552" w14:textId="595ACF8C" w:rsidR="006428F5" w:rsidRPr="00496684" w:rsidRDefault="006428F5" w:rsidP="006428F5">
      <w:pPr>
        <w:widowControl w:val="0"/>
        <w:numPr>
          <w:ilvl w:val="12"/>
          <w:numId w:val="0"/>
        </w:numPr>
        <w:spacing w:after="0" w:line="240" w:lineRule="auto"/>
        <w:rPr>
          <w:rFonts w:ascii="Times New Roman" w:hAnsi="Times New Roman"/>
          <w:lang w:val="it-IT"/>
        </w:rPr>
      </w:pPr>
      <w:r w:rsidRPr="00496684">
        <w:rPr>
          <w:rFonts w:ascii="Times New Roman" w:hAnsi="Times New Roman"/>
          <w:b/>
          <w:lang w:val="it-IT"/>
        </w:rPr>
        <w:t xml:space="preserve">Non prenda </w:t>
      </w:r>
      <w:r w:rsidR="00521ABE" w:rsidRPr="00496684">
        <w:rPr>
          <w:rFonts w:ascii="Times New Roman" w:hAnsi="Times New Roman"/>
          <w:b/>
          <w:lang w:val="it-IT"/>
        </w:rPr>
        <w:t>Imatinib Actavis</w:t>
      </w:r>
    </w:p>
    <w:p w14:paraId="5B90C257" w14:textId="77777777" w:rsidR="006428F5" w:rsidRPr="00496684" w:rsidRDefault="006428F5" w:rsidP="006428F5">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se è allergico a imatinib, alla soia, all'arachide o ad uno qualsiasi degli altri componenti di questo medicinale (elencati al paragrafo 6).</w:t>
      </w:r>
    </w:p>
    <w:p w14:paraId="5B7C5E7E" w14:textId="77777777" w:rsidR="00BB22B5" w:rsidRPr="00496684" w:rsidRDefault="00BB22B5" w:rsidP="006428F5">
      <w:pPr>
        <w:widowControl w:val="0"/>
        <w:numPr>
          <w:ilvl w:val="12"/>
          <w:numId w:val="0"/>
        </w:numPr>
        <w:spacing w:after="0" w:line="240" w:lineRule="auto"/>
        <w:ind w:left="567" w:hanging="567"/>
        <w:rPr>
          <w:rFonts w:ascii="Times New Roman" w:hAnsi="Times New Roman"/>
          <w:lang w:val="it-IT"/>
        </w:rPr>
      </w:pPr>
    </w:p>
    <w:p w14:paraId="4D41EE46" w14:textId="77777777" w:rsidR="006428F5" w:rsidRPr="00496684" w:rsidRDefault="006428F5" w:rsidP="006428F5">
      <w:pPr>
        <w:pStyle w:val="Endnotentext"/>
        <w:widowControl w:val="0"/>
        <w:numPr>
          <w:ilvl w:val="12"/>
          <w:numId w:val="0"/>
        </w:numPr>
        <w:tabs>
          <w:tab w:val="clear" w:pos="567"/>
        </w:tabs>
        <w:rPr>
          <w:b/>
          <w:szCs w:val="22"/>
          <w:lang w:val="it-IT"/>
        </w:rPr>
      </w:pPr>
      <w:r w:rsidRPr="00496684">
        <w:rPr>
          <w:szCs w:val="22"/>
          <w:lang w:val="it-IT"/>
        </w:rPr>
        <w:t xml:space="preserve">Se è in questa situazione, </w:t>
      </w:r>
      <w:r w:rsidRPr="00496684">
        <w:rPr>
          <w:b/>
          <w:szCs w:val="22"/>
          <w:lang w:val="it-IT"/>
        </w:rPr>
        <w:t xml:space="preserve">consulti il medico senza prendere </w:t>
      </w:r>
      <w:r w:rsidR="00521ABE" w:rsidRPr="00496684">
        <w:rPr>
          <w:b/>
          <w:szCs w:val="22"/>
          <w:lang w:val="it-IT"/>
        </w:rPr>
        <w:t>Imatinib Actavis</w:t>
      </w:r>
      <w:r w:rsidRPr="00496684">
        <w:rPr>
          <w:b/>
          <w:szCs w:val="22"/>
          <w:lang w:val="it-IT"/>
        </w:rPr>
        <w:t>.</w:t>
      </w:r>
    </w:p>
    <w:p w14:paraId="755EDFD9" w14:textId="77777777" w:rsidR="00BB22B5" w:rsidRPr="00496684" w:rsidRDefault="00BB22B5" w:rsidP="006428F5">
      <w:pPr>
        <w:pStyle w:val="Endnotentext"/>
        <w:widowControl w:val="0"/>
        <w:numPr>
          <w:ilvl w:val="12"/>
          <w:numId w:val="0"/>
        </w:numPr>
        <w:tabs>
          <w:tab w:val="clear" w:pos="567"/>
        </w:tabs>
        <w:rPr>
          <w:szCs w:val="22"/>
          <w:lang w:val="it-IT"/>
        </w:rPr>
      </w:pPr>
    </w:p>
    <w:p w14:paraId="53BE81AA" w14:textId="77777777" w:rsidR="006428F5" w:rsidRPr="00496684" w:rsidRDefault="006428F5" w:rsidP="006428F5">
      <w:pPr>
        <w:widowControl w:val="0"/>
        <w:numPr>
          <w:ilvl w:val="12"/>
          <w:numId w:val="0"/>
        </w:numPr>
        <w:ind w:left="567" w:hanging="567"/>
        <w:rPr>
          <w:rFonts w:ascii="Times New Roman" w:hAnsi="Times New Roman"/>
          <w:lang w:val="it-IT"/>
        </w:rPr>
      </w:pPr>
      <w:r w:rsidRPr="00496684">
        <w:rPr>
          <w:rFonts w:ascii="Times New Roman" w:hAnsi="Times New Roman"/>
          <w:lang w:val="it-IT"/>
        </w:rPr>
        <w:t>Se pensa di poter essere allergico ma non è sicuro, chieda consiglio al medico.</w:t>
      </w:r>
    </w:p>
    <w:p w14:paraId="4E813E15" w14:textId="77777777" w:rsidR="006428F5" w:rsidRPr="00496684" w:rsidRDefault="006428F5" w:rsidP="006428F5">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Avvertenze e precauzioni</w:t>
      </w:r>
    </w:p>
    <w:p w14:paraId="4F3797FA" w14:textId="77777777" w:rsidR="006428F5" w:rsidRPr="00496684" w:rsidRDefault="006428F5" w:rsidP="006428F5">
      <w:pPr>
        <w:widowControl w:val="0"/>
        <w:spacing w:after="0" w:line="240" w:lineRule="auto"/>
        <w:rPr>
          <w:rFonts w:ascii="Times New Roman" w:hAnsi="Times New Roman"/>
          <w:lang w:val="it-IT"/>
        </w:rPr>
      </w:pPr>
      <w:r w:rsidRPr="00496684">
        <w:rPr>
          <w:rFonts w:ascii="Times New Roman" w:hAnsi="Times New Roman"/>
          <w:lang w:val="it-IT"/>
        </w:rPr>
        <w:t xml:space="preserve">Si rivolga al medico prima di prendere </w:t>
      </w:r>
      <w:r w:rsidR="00521ABE" w:rsidRPr="00496684">
        <w:rPr>
          <w:rFonts w:ascii="Times New Roman" w:hAnsi="Times New Roman"/>
          <w:lang w:val="it-IT"/>
        </w:rPr>
        <w:t>Imatinib Actavis</w:t>
      </w:r>
      <w:r w:rsidRPr="00496684">
        <w:rPr>
          <w:rFonts w:ascii="Times New Roman" w:hAnsi="Times New Roman"/>
          <w:lang w:val="it-IT"/>
        </w:rPr>
        <w:t>:</w:t>
      </w:r>
    </w:p>
    <w:p w14:paraId="22CE1E53" w14:textId="77777777" w:rsidR="006428F5" w:rsidRPr="00496684" w:rsidRDefault="006428F5" w:rsidP="006428F5">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 xml:space="preserve">se ha o ha avuto disturbi al fegato, </w:t>
      </w:r>
      <w:r w:rsidR="00211389" w:rsidRPr="00496684">
        <w:rPr>
          <w:rFonts w:ascii="Times New Roman" w:hAnsi="Times New Roman"/>
          <w:lang w:val="it-IT"/>
        </w:rPr>
        <w:t xml:space="preserve">ai </w:t>
      </w:r>
      <w:r w:rsidRPr="00496684">
        <w:rPr>
          <w:rFonts w:ascii="Times New Roman" w:hAnsi="Times New Roman"/>
          <w:lang w:val="it-IT"/>
        </w:rPr>
        <w:t xml:space="preserve">reni o </w:t>
      </w:r>
      <w:r w:rsidR="00211389" w:rsidRPr="00496684">
        <w:rPr>
          <w:rFonts w:ascii="Times New Roman" w:hAnsi="Times New Roman"/>
          <w:lang w:val="it-IT"/>
        </w:rPr>
        <w:t xml:space="preserve">al </w:t>
      </w:r>
      <w:r w:rsidRPr="00496684">
        <w:rPr>
          <w:rFonts w:ascii="Times New Roman" w:hAnsi="Times New Roman"/>
          <w:lang w:val="it-IT"/>
        </w:rPr>
        <w:t>c</w:t>
      </w:r>
      <w:r w:rsidR="00211389" w:rsidRPr="00496684">
        <w:rPr>
          <w:rFonts w:ascii="Times New Roman" w:hAnsi="Times New Roman"/>
          <w:lang w:val="it-IT"/>
        </w:rPr>
        <w:t>uore</w:t>
      </w:r>
      <w:r w:rsidRPr="00496684">
        <w:rPr>
          <w:rFonts w:ascii="Times New Roman" w:hAnsi="Times New Roman"/>
          <w:lang w:val="it-IT"/>
        </w:rPr>
        <w:t>.</w:t>
      </w:r>
    </w:p>
    <w:p w14:paraId="586E1B16" w14:textId="77777777" w:rsidR="006428F5" w:rsidRPr="00496684" w:rsidRDefault="006428F5" w:rsidP="006428F5">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sta assumendo il medicinale levotiroxina poichè le è stata asportata la tiroide.</w:t>
      </w:r>
    </w:p>
    <w:p w14:paraId="1311F908" w14:textId="733F0DEB" w:rsidR="00EC423F" w:rsidRPr="00496684" w:rsidRDefault="00EC423F" w:rsidP="00EC423F">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 xml:space="preserve">se lei ha mai avuto o </w:t>
      </w:r>
      <w:r w:rsidR="00E71A12" w:rsidRPr="00496684">
        <w:rPr>
          <w:rFonts w:ascii="Times New Roman" w:hAnsi="Times New Roman"/>
          <w:lang w:val="it-IT"/>
        </w:rPr>
        <w:t>può</w:t>
      </w:r>
      <w:r w:rsidRPr="00496684">
        <w:rPr>
          <w:rFonts w:ascii="Times New Roman" w:hAnsi="Times New Roman"/>
          <w:lang w:val="it-IT"/>
        </w:rPr>
        <w:t xml:space="preserve"> avere in corso un’infezione da epatite B . Questo perché Imatinib Actavis </w:t>
      </w:r>
      <w:r w:rsidR="00E71A12" w:rsidRPr="00496684">
        <w:rPr>
          <w:rFonts w:ascii="Times New Roman" w:hAnsi="Times New Roman"/>
          <w:lang w:val="it-IT"/>
        </w:rPr>
        <w:t>può</w:t>
      </w:r>
      <w:r w:rsidRPr="00496684">
        <w:rPr>
          <w:rFonts w:ascii="Times New Roman" w:hAnsi="Times New Roman"/>
          <w:lang w:val="it-IT"/>
        </w:rPr>
        <w:t xml:space="preserve"> causare la riattivazione dell’epatite B, che in alcuni casi può essere fatale. I pazienti verranno esaminati attentamente dal medico per i segni di questa infezione prima di iniziare il trattamento.</w:t>
      </w:r>
    </w:p>
    <w:p w14:paraId="56C70536" w14:textId="28CDAA55" w:rsidR="00E71A12" w:rsidRPr="00496684" w:rsidRDefault="00E71A12" w:rsidP="00EC423F">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se presenta lividi, sanguinamento, febbre, stanchezza e confusione durante l’assunzione di Imatinib Actavis, contatti il medico. Questo può essere un segno di danno ai vasi sanguigni noto come microangiopatia trombotica (TMA).</w:t>
      </w:r>
    </w:p>
    <w:p w14:paraId="338B59CF" w14:textId="77777777" w:rsidR="00EC423F" w:rsidRPr="00496684" w:rsidRDefault="00EC423F" w:rsidP="00EC423F">
      <w:pPr>
        <w:widowControl w:val="0"/>
        <w:spacing w:after="0" w:line="240" w:lineRule="auto"/>
        <w:ind w:left="283"/>
        <w:rPr>
          <w:rFonts w:ascii="Times New Roman" w:hAnsi="Times New Roman"/>
          <w:lang w:val="it-IT"/>
        </w:rPr>
      </w:pPr>
    </w:p>
    <w:p w14:paraId="040132FE" w14:textId="77777777" w:rsidR="006428F5" w:rsidRPr="00496684" w:rsidRDefault="006428F5" w:rsidP="006428F5">
      <w:pPr>
        <w:pStyle w:val="Endnotentext"/>
        <w:widowControl w:val="0"/>
        <w:numPr>
          <w:ilvl w:val="12"/>
          <w:numId w:val="0"/>
        </w:numPr>
        <w:tabs>
          <w:tab w:val="clear" w:pos="567"/>
        </w:tabs>
        <w:rPr>
          <w:szCs w:val="22"/>
          <w:lang w:val="it-IT"/>
        </w:rPr>
      </w:pPr>
      <w:r w:rsidRPr="00496684">
        <w:rPr>
          <w:szCs w:val="22"/>
          <w:lang w:val="it-IT"/>
        </w:rPr>
        <w:t xml:space="preserve">Se è in una di queste situazioni, </w:t>
      </w:r>
      <w:r w:rsidRPr="00496684">
        <w:rPr>
          <w:b/>
          <w:szCs w:val="22"/>
          <w:lang w:val="it-IT"/>
        </w:rPr>
        <w:t xml:space="preserve">consulti il medico prima di prendere </w:t>
      </w:r>
      <w:r w:rsidR="00521ABE" w:rsidRPr="00496684">
        <w:rPr>
          <w:b/>
          <w:szCs w:val="22"/>
          <w:lang w:val="it-IT"/>
        </w:rPr>
        <w:t>Imatinib Actavis</w:t>
      </w:r>
      <w:r w:rsidRPr="00496684">
        <w:rPr>
          <w:b/>
          <w:szCs w:val="22"/>
          <w:lang w:val="it-IT"/>
        </w:rPr>
        <w:t>.</w:t>
      </w:r>
    </w:p>
    <w:p w14:paraId="3D0DF71E" w14:textId="77777777" w:rsidR="00B56712" w:rsidRPr="00496684" w:rsidRDefault="00B56712" w:rsidP="00B56712">
      <w:pPr>
        <w:pStyle w:val="Endnotentext"/>
        <w:widowControl w:val="0"/>
        <w:numPr>
          <w:ilvl w:val="12"/>
          <w:numId w:val="0"/>
        </w:numPr>
        <w:rPr>
          <w:szCs w:val="22"/>
          <w:lang w:val="it-IT"/>
        </w:rPr>
      </w:pPr>
    </w:p>
    <w:p w14:paraId="5BCE0041" w14:textId="77777777" w:rsidR="00B56712" w:rsidRPr="00496684" w:rsidRDefault="00B56712" w:rsidP="00B56712">
      <w:pPr>
        <w:pStyle w:val="Endnotentext"/>
        <w:widowControl w:val="0"/>
        <w:numPr>
          <w:ilvl w:val="12"/>
          <w:numId w:val="0"/>
        </w:numPr>
        <w:tabs>
          <w:tab w:val="clear" w:pos="567"/>
        </w:tabs>
        <w:rPr>
          <w:szCs w:val="22"/>
          <w:lang w:val="it-IT"/>
        </w:rPr>
      </w:pPr>
      <w:r w:rsidRPr="00496684">
        <w:rPr>
          <w:szCs w:val="22"/>
          <w:lang w:val="it-IT"/>
        </w:rPr>
        <w:t>Durante il trattamento con Imatinib Actavis può diventare più sensibile al sole. E’ importante coprire le aree della pelle esposte al sole e utilizzare un filtro solare con un elevato fattore di protezione solare (SPF). Queste precauzioni si applicano anche ai bambini.</w:t>
      </w:r>
    </w:p>
    <w:p w14:paraId="08ECACF6" w14:textId="77777777" w:rsidR="006428F5" w:rsidRPr="00496684" w:rsidRDefault="006428F5" w:rsidP="006428F5">
      <w:pPr>
        <w:pStyle w:val="Endnotentext"/>
        <w:widowControl w:val="0"/>
        <w:numPr>
          <w:ilvl w:val="12"/>
          <w:numId w:val="0"/>
        </w:numPr>
        <w:tabs>
          <w:tab w:val="clear" w:pos="567"/>
        </w:tabs>
        <w:rPr>
          <w:szCs w:val="22"/>
          <w:lang w:val="it-IT"/>
        </w:rPr>
      </w:pPr>
    </w:p>
    <w:p w14:paraId="7AB409B1" w14:textId="77777777" w:rsidR="006428F5" w:rsidRPr="00496684" w:rsidRDefault="006428F5" w:rsidP="006428F5">
      <w:pPr>
        <w:pStyle w:val="Endnotentext"/>
        <w:widowControl w:val="0"/>
        <w:numPr>
          <w:ilvl w:val="12"/>
          <w:numId w:val="0"/>
        </w:numPr>
        <w:tabs>
          <w:tab w:val="clear" w:pos="567"/>
        </w:tabs>
        <w:rPr>
          <w:szCs w:val="22"/>
          <w:lang w:val="it-IT"/>
        </w:rPr>
      </w:pPr>
      <w:r w:rsidRPr="00496684">
        <w:rPr>
          <w:b/>
          <w:szCs w:val="22"/>
          <w:lang w:val="it-IT"/>
        </w:rPr>
        <w:t xml:space="preserve">Durante il trattamento con </w:t>
      </w:r>
      <w:r w:rsidR="00521ABE" w:rsidRPr="00496684">
        <w:rPr>
          <w:b/>
          <w:szCs w:val="22"/>
          <w:lang w:val="it-IT"/>
        </w:rPr>
        <w:t>Imatinib Actavis</w:t>
      </w:r>
      <w:r w:rsidRPr="00496684">
        <w:rPr>
          <w:b/>
          <w:szCs w:val="22"/>
          <w:lang w:val="it-IT"/>
        </w:rPr>
        <w:t>, informi immediatamente il medico</w:t>
      </w:r>
      <w:r w:rsidRPr="00496684">
        <w:rPr>
          <w:szCs w:val="22"/>
          <w:lang w:val="it-IT"/>
        </w:rPr>
        <w:t xml:space="preserve"> se aumenta di peso molto velocemente. </w:t>
      </w:r>
      <w:r w:rsidR="00521ABE" w:rsidRPr="00496684">
        <w:rPr>
          <w:szCs w:val="22"/>
          <w:lang w:val="it-IT"/>
        </w:rPr>
        <w:t>Imatinib Actavis</w:t>
      </w:r>
      <w:r w:rsidRPr="00496684">
        <w:rPr>
          <w:szCs w:val="22"/>
          <w:lang w:val="it-IT"/>
        </w:rPr>
        <w:t xml:space="preserve"> può far trattenere al suo corpo acqua (grave ritenzione di </w:t>
      </w:r>
      <w:r w:rsidR="00211389" w:rsidRPr="00496684">
        <w:rPr>
          <w:szCs w:val="22"/>
          <w:lang w:val="it-IT"/>
        </w:rPr>
        <w:t>liquidi</w:t>
      </w:r>
      <w:r w:rsidRPr="00496684">
        <w:rPr>
          <w:szCs w:val="22"/>
          <w:lang w:val="it-IT"/>
        </w:rPr>
        <w:t>).</w:t>
      </w:r>
    </w:p>
    <w:p w14:paraId="67E4D192" w14:textId="77777777" w:rsidR="006428F5" w:rsidRPr="00496684" w:rsidRDefault="006428F5" w:rsidP="006428F5">
      <w:pPr>
        <w:autoSpaceDE w:val="0"/>
        <w:autoSpaceDN w:val="0"/>
        <w:adjustRightInd w:val="0"/>
        <w:spacing w:after="0" w:line="240" w:lineRule="auto"/>
        <w:rPr>
          <w:rFonts w:ascii="Times New Roman" w:hAnsi="Times New Roman"/>
          <w:lang w:val="it-IT"/>
        </w:rPr>
      </w:pPr>
    </w:p>
    <w:p w14:paraId="5048BB0F" w14:textId="77777777" w:rsidR="006428F5" w:rsidRPr="00496684" w:rsidRDefault="006428F5" w:rsidP="006428F5">
      <w:pPr>
        <w:pStyle w:val="Endnotentext"/>
        <w:widowControl w:val="0"/>
        <w:numPr>
          <w:ilvl w:val="12"/>
          <w:numId w:val="0"/>
        </w:numPr>
        <w:tabs>
          <w:tab w:val="clear" w:pos="567"/>
        </w:tabs>
        <w:rPr>
          <w:szCs w:val="22"/>
          <w:lang w:val="it-IT"/>
        </w:rPr>
      </w:pPr>
      <w:r w:rsidRPr="00496684">
        <w:rPr>
          <w:szCs w:val="22"/>
          <w:lang w:val="it-IT"/>
        </w:rPr>
        <w:t xml:space="preserve">Mentre sta assumendo </w:t>
      </w:r>
      <w:r w:rsidR="00521ABE" w:rsidRPr="00496684">
        <w:rPr>
          <w:szCs w:val="22"/>
          <w:lang w:val="it-IT"/>
        </w:rPr>
        <w:t>Imatinib Actavis</w:t>
      </w:r>
      <w:r w:rsidRPr="00496684">
        <w:rPr>
          <w:szCs w:val="22"/>
          <w:lang w:val="it-IT"/>
        </w:rPr>
        <w:t>, il medico dovrà regolarmente controllare se il medicinale è efficace. Inoltre le verranno fatti esami del sangue e verrà pesato regolarmente.</w:t>
      </w:r>
    </w:p>
    <w:p w14:paraId="113D134E" w14:textId="77777777" w:rsidR="006428F5" w:rsidRPr="00496684" w:rsidRDefault="006428F5" w:rsidP="006428F5">
      <w:pPr>
        <w:autoSpaceDE w:val="0"/>
        <w:autoSpaceDN w:val="0"/>
        <w:adjustRightInd w:val="0"/>
        <w:spacing w:after="0" w:line="240" w:lineRule="auto"/>
        <w:rPr>
          <w:rFonts w:ascii="Times New Roman" w:hAnsi="Times New Roman"/>
          <w:lang w:val="it-IT"/>
        </w:rPr>
      </w:pPr>
    </w:p>
    <w:p w14:paraId="6F1A5D8B" w14:textId="77777777" w:rsidR="006428F5" w:rsidRPr="00496684" w:rsidRDefault="006428F5" w:rsidP="006428F5">
      <w:pPr>
        <w:pStyle w:val="Endnotentext"/>
        <w:widowControl w:val="0"/>
        <w:numPr>
          <w:ilvl w:val="12"/>
          <w:numId w:val="0"/>
        </w:numPr>
        <w:tabs>
          <w:tab w:val="clear" w:pos="567"/>
        </w:tabs>
        <w:rPr>
          <w:b/>
          <w:szCs w:val="22"/>
          <w:lang w:val="it-IT"/>
        </w:rPr>
      </w:pPr>
      <w:r w:rsidRPr="00496684">
        <w:rPr>
          <w:b/>
          <w:szCs w:val="22"/>
          <w:lang w:val="it-IT"/>
        </w:rPr>
        <w:t>Bambini e adolescenti</w:t>
      </w:r>
    </w:p>
    <w:p w14:paraId="61837EE7" w14:textId="19990D7E" w:rsidR="006428F5" w:rsidRPr="00496684" w:rsidRDefault="00521ABE" w:rsidP="006428F5">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w:t>
      </w:r>
      <w:r w:rsidR="006428F5" w:rsidRPr="00496684">
        <w:rPr>
          <w:rFonts w:ascii="Times New Roman" w:eastAsia="Times New Roman" w:hAnsi="Times New Roman"/>
          <w:lang w:val="it-IT" w:eastAsia="it-IT"/>
        </w:rPr>
        <w:t xml:space="preserve"> è anche un trattamento per i bambini con LMC. Non c’è esperienza nei bambini con LMC di età inferiore a 2 anni.</w:t>
      </w:r>
      <w:r w:rsidR="00BC698F" w:rsidRPr="00496684">
        <w:rPr>
          <w:rFonts w:ascii="Times New Roman" w:eastAsia="Times New Roman" w:hAnsi="Times New Roman"/>
          <w:lang w:val="it-IT" w:eastAsia="it-IT"/>
        </w:rPr>
        <w:t xml:space="preserve"> C’è una limitata esperienza nei bambini con LLA Ph+ e molto limitata esperienza nei bambini con MDS/MPD, DFSP, GIST e HES/LEC.</w:t>
      </w:r>
    </w:p>
    <w:p w14:paraId="0CA842DB" w14:textId="77777777" w:rsidR="006428F5" w:rsidRPr="00496684" w:rsidRDefault="006428F5" w:rsidP="006428F5">
      <w:pPr>
        <w:autoSpaceDE w:val="0"/>
        <w:autoSpaceDN w:val="0"/>
        <w:adjustRightInd w:val="0"/>
        <w:spacing w:after="0" w:line="240" w:lineRule="auto"/>
        <w:rPr>
          <w:rFonts w:ascii="Times New Roman" w:hAnsi="Times New Roman"/>
          <w:lang w:val="it-IT"/>
        </w:rPr>
      </w:pPr>
    </w:p>
    <w:p w14:paraId="2E19845B" w14:textId="77777777" w:rsidR="006428F5" w:rsidRPr="00496684" w:rsidRDefault="006428F5" w:rsidP="006428F5">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Alcuni bambini e adolescenti che assumono </w:t>
      </w:r>
      <w:r w:rsidR="00521ABE" w:rsidRPr="00496684">
        <w:rPr>
          <w:rFonts w:ascii="Times New Roman" w:eastAsia="Times New Roman" w:hAnsi="Times New Roman"/>
          <w:lang w:val="it-IT" w:eastAsia="it-IT"/>
        </w:rPr>
        <w:t>Imatinib Actavis</w:t>
      </w:r>
      <w:r w:rsidRPr="00496684">
        <w:rPr>
          <w:rFonts w:ascii="Times New Roman" w:eastAsia="Times New Roman" w:hAnsi="Times New Roman"/>
          <w:lang w:val="it-IT" w:eastAsia="it-IT"/>
        </w:rPr>
        <w:t xml:space="preserve"> possono avere una crescita più lenta del normale. Il medico controllerà la crescita a intervalli regolari</w:t>
      </w:r>
    </w:p>
    <w:p w14:paraId="23F764C3" w14:textId="77777777" w:rsidR="00B94092" w:rsidRPr="00496684" w:rsidRDefault="00B94092" w:rsidP="00B94092">
      <w:pPr>
        <w:autoSpaceDE w:val="0"/>
        <w:autoSpaceDN w:val="0"/>
        <w:adjustRightInd w:val="0"/>
        <w:spacing w:after="0" w:line="240" w:lineRule="auto"/>
        <w:ind w:left="567" w:hanging="567"/>
        <w:rPr>
          <w:rFonts w:ascii="Times New Roman" w:hAnsi="Times New Roman"/>
          <w:lang w:val="it-IT"/>
        </w:rPr>
      </w:pPr>
    </w:p>
    <w:p w14:paraId="64E14E2D" w14:textId="77777777" w:rsidR="006428F5" w:rsidRPr="00496684" w:rsidRDefault="006428F5" w:rsidP="006428F5">
      <w:pPr>
        <w:pStyle w:val="Endnotentext"/>
        <w:widowControl w:val="0"/>
        <w:numPr>
          <w:ilvl w:val="12"/>
          <w:numId w:val="0"/>
        </w:numPr>
        <w:tabs>
          <w:tab w:val="clear" w:pos="567"/>
        </w:tabs>
        <w:rPr>
          <w:b/>
          <w:szCs w:val="22"/>
          <w:lang w:val="it-IT"/>
        </w:rPr>
      </w:pPr>
      <w:r w:rsidRPr="00496684">
        <w:rPr>
          <w:b/>
          <w:szCs w:val="22"/>
          <w:lang w:val="it-IT"/>
        </w:rPr>
        <w:t xml:space="preserve">Altri medicinali e </w:t>
      </w:r>
      <w:r w:rsidR="00521ABE" w:rsidRPr="00496684">
        <w:rPr>
          <w:b/>
          <w:szCs w:val="22"/>
          <w:lang w:val="it-IT"/>
        </w:rPr>
        <w:t>Imatinib Actavis</w:t>
      </w:r>
    </w:p>
    <w:p w14:paraId="3280FD2C" w14:textId="77777777" w:rsidR="006428F5" w:rsidRPr="00496684" w:rsidRDefault="006428F5" w:rsidP="006428F5">
      <w:pPr>
        <w:pStyle w:val="Endnotentext"/>
        <w:widowControl w:val="0"/>
        <w:numPr>
          <w:ilvl w:val="12"/>
          <w:numId w:val="0"/>
        </w:numPr>
        <w:tabs>
          <w:tab w:val="clear" w:pos="567"/>
        </w:tabs>
        <w:rPr>
          <w:szCs w:val="22"/>
          <w:lang w:val="it-IT"/>
        </w:rPr>
      </w:pPr>
      <w:r w:rsidRPr="00496684">
        <w:rPr>
          <w:szCs w:val="22"/>
          <w:lang w:val="it-IT"/>
        </w:rPr>
        <w:t xml:space="preserve">Informi il medico o il farmacista se sta assumendo, ha recentemente assunto o potrebbe assumere qualsiasi altro medicinale, compresi quelli senza prescrizione medica (come il paracetamolo) e inclusi i medicinali a base di </w:t>
      </w:r>
      <w:r w:rsidR="00211389" w:rsidRPr="00496684">
        <w:rPr>
          <w:szCs w:val="22"/>
          <w:lang w:val="it-IT"/>
        </w:rPr>
        <w:t xml:space="preserve">piante medicinali </w:t>
      </w:r>
      <w:r w:rsidRPr="00496684">
        <w:rPr>
          <w:szCs w:val="22"/>
          <w:lang w:val="it-IT"/>
        </w:rPr>
        <w:t xml:space="preserve">(come l’erba di San Giovanni). Alcuni medicinali possono interferire con l’effetto di </w:t>
      </w:r>
      <w:r w:rsidR="00521ABE" w:rsidRPr="00496684">
        <w:rPr>
          <w:szCs w:val="22"/>
          <w:lang w:val="it-IT"/>
        </w:rPr>
        <w:t>Imatinib Actavis</w:t>
      </w:r>
      <w:r w:rsidRPr="00496684">
        <w:rPr>
          <w:szCs w:val="22"/>
          <w:lang w:val="it-IT"/>
        </w:rPr>
        <w:t xml:space="preserve"> quando assunti insieme. Possono aumentare o diminuire l’effetto di </w:t>
      </w:r>
      <w:r w:rsidR="00521ABE" w:rsidRPr="00496684">
        <w:rPr>
          <w:szCs w:val="22"/>
          <w:lang w:val="it-IT"/>
        </w:rPr>
        <w:t>Imatinib Actavis</w:t>
      </w:r>
      <w:r w:rsidRPr="00496684">
        <w:rPr>
          <w:szCs w:val="22"/>
          <w:lang w:val="it-IT"/>
        </w:rPr>
        <w:t xml:space="preserve"> portando ad un aumento degli effetti indesiderati o rendendo </w:t>
      </w:r>
      <w:r w:rsidR="00521ABE" w:rsidRPr="00496684">
        <w:rPr>
          <w:szCs w:val="22"/>
          <w:lang w:val="it-IT"/>
        </w:rPr>
        <w:t>Imatinib Actavis</w:t>
      </w:r>
      <w:r w:rsidRPr="00496684">
        <w:rPr>
          <w:szCs w:val="22"/>
          <w:lang w:val="it-IT"/>
        </w:rPr>
        <w:t xml:space="preserve"> meno efficace. </w:t>
      </w:r>
      <w:r w:rsidR="00521ABE" w:rsidRPr="00496684">
        <w:rPr>
          <w:szCs w:val="22"/>
          <w:lang w:val="it-IT"/>
        </w:rPr>
        <w:t>Imatinib Actavis</w:t>
      </w:r>
      <w:r w:rsidRPr="00496684">
        <w:rPr>
          <w:szCs w:val="22"/>
          <w:lang w:val="it-IT"/>
        </w:rPr>
        <w:t xml:space="preserve"> può fare lo stesso nei confronti di altri medicinali.</w:t>
      </w:r>
    </w:p>
    <w:p w14:paraId="197D5F3F" w14:textId="77777777" w:rsidR="006428F5" w:rsidRPr="00496684" w:rsidRDefault="006428F5" w:rsidP="006428F5">
      <w:pPr>
        <w:pStyle w:val="Endnotentext"/>
        <w:widowControl w:val="0"/>
        <w:numPr>
          <w:ilvl w:val="12"/>
          <w:numId w:val="0"/>
        </w:numPr>
        <w:tabs>
          <w:tab w:val="clear" w:pos="567"/>
        </w:tabs>
        <w:rPr>
          <w:szCs w:val="22"/>
          <w:lang w:val="it-IT"/>
        </w:rPr>
      </w:pPr>
    </w:p>
    <w:p w14:paraId="79BBBAB1" w14:textId="77777777" w:rsidR="006428F5" w:rsidRPr="00496684" w:rsidRDefault="006428F5" w:rsidP="006428F5">
      <w:pPr>
        <w:pStyle w:val="Endnotentext"/>
        <w:widowControl w:val="0"/>
        <w:numPr>
          <w:ilvl w:val="12"/>
          <w:numId w:val="0"/>
        </w:numPr>
        <w:tabs>
          <w:tab w:val="clear" w:pos="567"/>
        </w:tabs>
        <w:rPr>
          <w:szCs w:val="22"/>
          <w:lang w:val="it-IT"/>
        </w:rPr>
      </w:pPr>
      <w:r w:rsidRPr="00496684">
        <w:rPr>
          <w:szCs w:val="22"/>
          <w:lang w:val="it-IT"/>
        </w:rPr>
        <w:t>Informi il medico se sta usando medicinali che prevengono la formazione di coaguli di sangue.</w:t>
      </w:r>
    </w:p>
    <w:p w14:paraId="31F60B18"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471455AF" w14:textId="77777777" w:rsidR="006428F5" w:rsidRPr="00496684" w:rsidRDefault="0014627F" w:rsidP="006428F5">
      <w:pPr>
        <w:pStyle w:val="Endnotentext"/>
        <w:widowControl w:val="0"/>
        <w:numPr>
          <w:ilvl w:val="12"/>
          <w:numId w:val="0"/>
        </w:numPr>
        <w:tabs>
          <w:tab w:val="clear" w:pos="567"/>
        </w:tabs>
        <w:rPr>
          <w:b/>
          <w:szCs w:val="22"/>
          <w:lang w:val="it-IT"/>
        </w:rPr>
      </w:pPr>
      <w:r w:rsidRPr="00496684">
        <w:rPr>
          <w:b/>
          <w:szCs w:val="22"/>
          <w:lang w:val="it-IT"/>
        </w:rPr>
        <w:t>Gravidanza,</w:t>
      </w:r>
      <w:r w:rsidR="006428F5" w:rsidRPr="00496684">
        <w:rPr>
          <w:b/>
          <w:szCs w:val="22"/>
          <w:lang w:val="it-IT"/>
        </w:rPr>
        <w:t xml:space="preserve"> allattamento e fertilità</w:t>
      </w:r>
    </w:p>
    <w:p w14:paraId="7227FCBA" w14:textId="77777777" w:rsidR="006428F5" w:rsidRPr="00496684" w:rsidRDefault="006428F5" w:rsidP="006428F5">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Se è in corso una gravidanza, se sospetta o sta pianificando una gravidanza, o se sta allattando con latte materno chieda consiglio al medico prima di prendere questo medicinale.</w:t>
      </w:r>
    </w:p>
    <w:p w14:paraId="031769D4" w14:textId="77777777" w:rsidR="006428F5" w:rsidRPr="00496684" w:rsidRDefault="00521ABE" w:rsidP="006428F5">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Imatinib Actavis</w:t>
      </w:r>
      <w:r w:rsidR="006428F5" w:rsidRPr="00496684">
        <w:rPr>
          <w:rFonts w:ascii="Times New Roman" w:hAnsi="Times New Roman"/>
          <w:lang w:val="it-IT"/>
        </w:rPr>
        <w:t xml:space="preserve"> non è raccomandato durante la gravidanza a meno che non sia strettamente necessario in quanto può </w:t>
      </w:r>
      <w:r w:rsidR="00211389" w:rsidRPr="00496684">
        <w:rPr>
          <w:rFonts w:ascii="Times New Roman" w:hAnsi="Times New Roman"/>
          <w:lang w:val="it-IT"/>
        </w:rPr>
        <w:t>essere dannoso per i</w:t>
      </w:r>
      <w:r w:rsidR="006428F5" w:rsidRPr="00496684">
        <w:rPr>
          <w:rFonts w:ascii="Times New Roman" w:hAnsi="Times New Roman"/>
          <w:lang w:val="it-IT"/>
        </w:rPr>
        <w:t xml:space="preserve">l bambino. Il medico discuterà con lei i possibili rischi dell’assunzione di </w:t>
      </w:r>
      <w:r w:rsidRPr="00496684">
        <w:rPr>
          <w:rFonts w:ascii="Times New Roman" w:hAnsi="Times New Roman"/>
          <w:lang w:val="it-IT"/>
        </w:rPr>
        <w:t>Imatinib Actavis</w:t>
      </w:r>
      <w:r w:rsidR="006428F5" w:rsidRPr="00496684">
        <w:rPr>
          <w:rFonts w:ascii="Times New Roman" w:hAnsi="Times New Roman"/>
          <w:lang w:val="it-IT"/>
        </w:rPr>
        <w:t xml:space="preserve"> durante la gravidanza.</w:t>
      </w:r>
    </w:p>
    <w:p w14:paraId="16045E08" w14:textId="77777777" w:rsidR="006B5718" w:rsidRPr="00496684" w:rsidRDefault="006428F5"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Alle donne che </w:t>
      </w:r>
      <w:r w:rsidR="00E71A12" w:rsidRPr="00496684">
        <w:rPr>
          <w:rFonts w:ascii="Times New Roman" w:hAnsi="Times New Roman"/>
          <w:lang w:val="it-IT"/>
        </w:rPr>
        <w:t>possono</w:t>
      </w:r>
      <w:r w:rsidRPr="00496684">
        <w:rPr>
          <w:rFonts w:ascii="Times New Roman" w:hAnsi="Times New Roman"/>
          <w:lang w:val="it-IT"/>
        </w:rPr>
        <w:t xml:space="preserve"> rimanere in stato di gravidanza si consiglia l’utilizzo di un’efficace </w:t>
      </w:r>
      <w:r w:rsidR="006B5718" w:rsidRPr="00496684">
        <w:rPr>
          <w:rFonts w:ascii="Times New Roman" w:hAnsi="Times New Roman"/>
          <w:lang w:val="it-IT"/>
        </w:rPr>
        <w:t>contraccezione durante il trattamento</w:t>
      </w:r>
      <w:r w:rsidR="006B5718">
        <w:rPr>
          <w:rFonts w:ascii="Times New Roman" w:hAnsi="Times New Roman"/>
          <w:lang w:val="it-IT"/>
        </w:rPr>
        <w:t xml:space="preserve"> e per 15 giorni dopo </w:t>
      </w:r>
      <w:r w:rsidR="006B5718" w:rsidRPr="00EB262F">
        <w:rPr>
          <w:rFonts w:ascii="Times New Roman" w:hAnsi="Times New Roman"/>
          <w:lang w:val="it-IT"/>
        </w:rPr>
        <w:t>la fine</w:t>
      </w:r>
      <w:r w:rsidR="006B5718">
        <w:rPr>
          <w:rFonts w:ascii="Times New Roman" w:hAnsi="Times New Roman"/>
          <w:lang w:val="it-IT"/>
        </w:rPr>
        <w:t xml:space="preserve"> del trattamento</w:t>
      </w:r>
      <w:r w:rsidR="006B5718" w:rsidRPr="00496684">
        <w:rPr>
          <w:rFonts w:ascii="Times New Roman" w:hAnsi="Times New Roman"/>
          <w:lang w:val="it-IT"/>
        </w:rPr>
        <w:t>.</w:t>
      </w:r>
    </w:p>
    <w:p w14:paraId="215F780E" w14:textId="1674BF72" w:rsidR="006428F5" w:rsidRPr="006B5718" w:rsidRDefault="006B5718"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Non allatti durante il trattamento con Imatinib Actavis</w:t>
      </w:r>
      <w:r>
        <w:rPr>
          <w:rFonts w:ascii="Times New Roman" w:hAnsi="Times New Roman"/>
          <w:lang w:val="it-IT"/>
        </w:rPr>
        <w:t xml:space="preserve"> e per 15 giorni dopo </w:t>
      </w:r>
      <w:r w:rsidRPr="00EB262F">
        <w:rPr>
          <w:rFonts w:ascii="Times New Roman" w:hAnsi="Times New Roman"/>
          <w:lang w:val="it-IT"/>
        </w:rPr>
        <w:t>la fine</w:t>
      </w:r>
      <w:r>
        <w:rPr>
          <w:rFonts w:ascii="Times New Roman" w:hAnsi="Times New Roman"/>
          <w:lang w:val="it-IT"/>
        </w:rPr>
        <w:t xml:space="preserve"> del trattamento, </w:t>
      </w:r>
      <w:r w:rsidRPr="00EB262F">
        <w:rPr>
          <w:rFonts w:ascii="Times New Roman" w:hAnsi="Times New Roman"/>
          <w:lang w:val="it-IT"/>
        </w:rPr>
        <w:t xml:space="preserve">perchè </w:t>
      </w:r>
      <w:r>
        <w:rPr>
          <w:rFonts w:ascii="Times New Roman" w:hAnsi="Times New Roman"/>
          <w:lang w:val="it-IT"/>
        </w:rPr>
        <w:t>può nuocere al bambino</w:t>
      </w:r>
      <w:r w:rsidR="006428F5" w:rsidRPr="006B5718">
        <w:rPr>
          <w:rFonts w:ascii="Times New Roman" w:hAnsi="Times New Roman"/>
          <w:lang w:val="it-IT"/>
        </w:rPr>
        <w:t>.</w:t>
      </w:r>
    </w:p>
    <w:p w14:paraId="668D6216" w14:textId="77777777" w:rsidR="006428F5" w:rsidRPr="00496684" w:rsidRDefault="006428F5" w:rsidP="006428F5">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Ai pazienti che sono preoccupati per la loro fertilità durante il trattamento con </w:t>
      </w:r>
      <w:r w:rsidR="00521ABE" w:rsidRPr="00496684">
        <w:rPr>
          <w:rFonts w:ascii="Times New Roman" w:hAnsi="Times New Roman"/>
          <w:lang w:val="it-IT"/>
        </w:rPr>
        <w:t>Imatinib Actavis</w:t>
      </w:r>
      <w:r w:rsidRPr="00496684">
        <w:rPr>
          <w:rFonts w:ascii="Times New Roman" w:hAnsi="Times New Roman"/>
          <w:lang w:val="it-IT"/>
        </w:rPr>
        <w:t xml:space="preserve"> si consiglia di consultare il medico.</w:t>
      </w:r>
    </w:p>
    <w:p w14:paraId="58F8DE40"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5E732B8B" w14:textId="77777777" w:rsidR="006428F5" w:rsidRPr="00496684" w:rsidRDefault="006428F5" w:rsidP="006428F5">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Guida di veicoli e utilizzo di macchinari</w:t>
      </w:r>
    </w:p>
    <w:p w14:paraId="035A5BBA" w14:textId="77777777" w:rsidR="006428F5" w:rsidRPr="00496684" w:rsidRDefault="006428F5" w:rsidP="006428F5">
      <w:pPr>
        <w:widowControl w:val="0"/>
        <w:numPr>
          <w:ilvl w:val="12"/>
          <w:numId w:val="0"/>
        </w:numPr>
        <w:spacing w:after="0" w:line="240" w:lineRule="auto"/>
        <w:ind w:right="-29"/>
        <w:rPr>
          <w:rFonts w:ascii="Times New Roman" w:hAnsi="Times New Roman"/>
          <w:lang w:val="it-IT"/>
        </w:rPr>
      </w:pPr>
      <w:r w:rsidRPr="00496684">
        <w:rPr>
          <w:rFonts w:ascii="Times New Roman" w:hAnsi="Times New Roman"/>
          <w:lang w:val="it-IT"/>
        </w:rPr>
        <w:t xml:space="preserve">Si possono avere </w:t>
      </w:r>
      <w:r w:rsidR="00211389" w:rsidRPr="00496684">
        <w:rPr>
          <w:rFonts w:ascii="Times New Roman" w:hAnsi="Times New Roman"/>
          <w:lang w:val="it-IT"/>
        </w:rPr>
        <w:t xml:space="preserve">capogiri </w:t>
      </w:r>
      <w:r w:rsidRPr="00496684">
        <w:rPr>
          <w:rFonts w:ascii="Times New Roman" w:hAnsi="Times New Roman"/>
          <w:lang w:val="it-IT"/>
        </w:rPr>
        <w:t>o sonnolenza o offuscamento della vista mentre si assume questo medicinale. Se ciò accade, non guidi un veicolo o non usi strumenti o macchinari finchè si sente di nuovo bene.</w:t>
      </w:r>
    </w:p>
    <w:p w14:paraId="3C7D9516"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38CD2E68" w14:textId="77777777" w:rsidR="00B94092" w:rsidRPr="00496684" w:rsidRDefault="00B94092" w:rsidP="00B94092">
      <w:pPr>
        <w:autoSpaceDE w:val="0"/>
        <w:autoSpaceDN w:val="0"/>
        <w:adjustRightInd w:val="0"/>
        <w:spacing w:after="0" w:line="240" w:lineRule="auto"/>
        <w:rPr>
          <w:rFonts w:ascii="TimesNewRoman" w:hAnsi="TimesNewRoman" w:cs="TimesNewRoman"/>
          <w:b/>
          <w:lang w:val="it-IT" w:eastAsia="is-IS"/>
        </w:rPr>
      </w:pPr>
      <w:r w:rsidRPr="00496684">
        <w:rPr>
          <w:rFonts w:ascii="TimesNewRoman" w:hAnsi="TimesNewRoman" w:cs="TimesNewRoman"/>
          <w:b/>
          <w:lang w:val="it-IT" w:eastAsia="is-IS"/>
        </w:rPr>
        <w:t>Imatinib Actavis cont</w:t>
      </w:r>
      <w:r w:rsidR="006428F5" w:rsidRPr="00496684">
        <w:rPr>
          <w:rFonts w:ascii="TimesNewRoman" w:hAnsi="TimesNewRoman" w:cs="TimesNewRoman"/>
          <w:b/>
          <w:lang w:val="it-IT" w:eastAsia="is-IS"/>
        </w:rPr>
        <w:t>iene</w:t>
      </w:r>
      <w:r w:rsidRPr="00496684">
        <w:rPr>
          <w:rFonts w:ascii="TimesNewRoman" w:hAnsi="TimesNewRoman" w:cs="TimesNewRoman"/>
          <w:b/>
          <w:lang w:val="it-IT" w:eastAsia="is-IS"/>
        </w:rPr>
        <w:t xml:space="preserve"> lecitin</w:t>
      </w:r>
      <w:r w:rsidR="006428F5" w:rsidRPr="00496684">
        <w:rPr>
          <w:rFonts w:ascii="TimesNewRoman" w:hAnsi="TimesNewRoman" w:cs="TimesNewRoman"/>
          <w:b/>
          <w:lang w:val="it-IT" w:eastAsia="is-IS"/>
        </w:rPr>
        <w:t xml:space="preserve">a </w:t>
      </w:r>
      <w:r w:rsidR="00902363" w:rsidRPr="00496684">
        <w:rPr>
          <w:rFonts w:ascii="TimesNewRoman" w:hAnsi="TimesNewRoman" w:cs="TimesNewRoman"/>
          <w:b/>
          <w:lang w:val="it-IT" w:eastAsia="is-IS"/>
        </w:rPr>
        <w:t>(so</w:t>
      </w:r>
      <w:r w:rsidR="006428F5" w:rsidRPr="00496684">
        <w:rPr>
          <w:rFonts w:ascii="TimesNewRoman" w:hAnsi="TimesNewRoman" w:cs="TimesNewRoman"/>
          <w:b/>
          <w:lang w:val="it-IT" w:eastAsia="is-IS"/>
        </w:rPr>
        <w:t>i</w:t>
      </w:r>
      <w:r w:rsidR="00902363" w:rsidRPr="00496684">
        <w:rPr>
          <w:rFonts w:ascii="TimesNewRoman" w:hAnsi="TimesNewRoman" w:cs="TimesNewRoman"/>
          <w:b/>
          <w:lang w:val="it-IT" w:eastAsia="is-IS"/>
        </w:rPr>
        <w:t>a)</w:t>
      </w:r>
    </w:p>
    <w:p w14:paraId="327A1536" w14:textId="77777777" w:rsidR="006428F5" w:rsidRPr="00496684" w:rsidRDefault="006428F5" w:rsidP="00B94092">
      <w:pPr>
        <w:autoSpaceDE w:val="0"/>
        <w:autoSpaceDN w:val="0"/>
        <w:adjustRightInd w:val="0"/>
        <w:spacing w:after="0" w:line="240" w:lineRule="auto"/>
        <w:rPr>
          <w:rFonts w:ascii="TimesNewRoman" w:hAnsi="TimesNewRoman" w:cs="TimesNewRoman"/>
          <w:lang w:val="it-IT" w:eastAsia="is-IS"/>
        </w:rPr>
      </w:pPr>
      <w:r w:rsidRPr="00496684">
        <w:rPr>
          <w:rFonts w:ascii="TimesNewRoman" w:hAnsi="TimesNewRoman" w:cs="TimesNewRoman"/>
          <w:lang w:val="it-IT" w:eastAsia="is-IS"/>
        </w:rPr>
        <w:t>Se lei è allergico all'arachide o alla soia, non prenda questo medicinale</w:t>
      </w:r>
      <w:r w:rsidR="00F17AB1" w:rsidRPr="00496684">
        <w:rPr>
          <w:rFonts w:ascii="TimesNewRoman" w:hAnsi="TimesNewRoman" w:cs="TimesNewRoman"/>
          <w:lang w:val="it-IT" w:eastAsia="is-IS"/>
        </w:rPr>
        <w:t>.</w:t>
      </w:r>
    </w:p>
    <w:p w14:paraId="4BB458FC" w14:textId="77777777" w:rsidR="00E71A12" w:rsidRPr="00496684" w:rsidRDefault="00E71A12" w:rsidP="00B94092">
      <w:pPr>
        <w:autoSpaceDE w:val="0"/>
        <w:autoSpaceDN w:val="0"/>
        <w:adjustRightInd w:val="0"/>
        <w:spacing w:after="0" w:line="240" w:lineRule="auto"/>
        <w:rPr>
          <w:rFonts w:ascii="TimesNewRoman" w:hAnsi="TimesNewRoman" w:cs="TimesNewRoman"/>
          <w:lang w:val="it-IT" w:eastAsia="is-IS"/>
        </w:rPr>
      </w:pPr>
    </w:p>
    <w:p w14:paraId="3B585FEA" w14:textId="77777777" w:rsidR="00E71A12" w:rsidRPr="00496684" w:rsidRDefault="00E71A12" w:rsidP="00E71A12">
      <w:pPr>
        <w:widowControl w:val="0"/>
        <w:spacing w:after="0" w:line="240" w:lineRule="auto"/>
        <w:rPr>
          <w:rFonts w:ascii="Times New Roman" w:eastAsia="Times New Roman" w:hAnsi="Times New Roman"/>
          <w:lang w:val="it-IT"/>
        </w:rPr>
      </w:pPr>
      <w:r w:rsidRPr="00496684">
        <w:rPr>
          <w:rFonts w:ascii="Times New Roman" w:eastAsia="Times New Roman" w:hAnsi="Times New Roman"/>
          <w:b/>
          <w:lang w:val="it-IT"/>
        </w:rPr>
        <w:t>Imatinib Actavis contiene sodio</w:t>
      </w:r>
    </w:p>
    <w:p w14:paraId="60C687E6" w14:textId="30356C78" w:rsidR="00E71A12" w:rsidRPr="00496684" w:rsidRDefault="00E71A12" w:rsidP="00E71A12">
      <w:pPr>
        <w:autoSpaceDE w:val="0"/>
        <w:autoSpaceDN w:val="0"/>
        <w:adjustRightInd w:val="0"/>
        <w:spacing w:after="0" w:line="240" w:lineRule="auto"/>
        <w:rPr>
          <w:rFonts w:ascii="TimesNewRoman" w:hAnsi="TimesNewRoman" w:cs="TimesNewRoman"/>
          <w:lang w:val="it-IT" w:eastAsia="is-IS"/>
        </w:rPr>
      </w:pPr>
      <w:r w:rsidRPr="00496684">
        <w:rPr>
          <w:rFonts w:ascii="Times New Roman" w:eastAsia="Times New Roman" w:hAnsi="Times New Roman"/>
          <w:lang w:val="it-IT"/>
        </w:rPr>
        <w:t xml:space="preserve">Questo medicinale contiene meno di 1 mmol (23 mg) di sodio per </w:t>
      </w:r>
      <w:r w:rsidR="004C1B54" w:rsidRPr="00496684">
        <w:rPr>
          <w:rFonts w:ascii="Times New Roman" w:eastAsia="Times New Roman" w:hAnsi="Times New Roman"/>
          <w:lang w:val="it-IT"/>
        </w:rPr>
        <w:t>compressa rivestita con film</w:t>
      </w:r>
      <w:r w:rsidRPr="00496684">
        <w:rPr>
          <w:rFonts w:ascii="Times New Roman" w:eastAsia="Times New Roman" w:hAnsi="Times New Roman"/>
          <w:lang w:val="it-IT"/>
        </w:rPr>
        <w:t>, cioè essenzialmente ‘senza sodio’.</w:t>
      </w:r>
    </w:p>
    <w:p w14:paraId="108C92C2"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7BE6E3A8" w14:textId="77777777" w:rsidR="0020671B" w:rsidRPr="00496684" w:rsidRDefault="0020671B" w:rsidP="00B94092">
      <w:pPr>
        <w:autoSpaceDE w:val="0"/>
        <w:autoSpaceDN w:val="0"/>
        <w:adjustRightInd w:val="0"/>
        <w:spacing w:after="0" w:line="240" w:lineRule="auto"/>
        <w:rPr>
          <w:rFonts w:ascii="Times New Roman" w:hAnsi="Times New Roman"/>
          <w:lang w:val="it-IT"/>
        </w:rPr>
      </w:pPr>
    </w:p>
    <w:p w14:paraId="63B8934C" w14:textId="77777777" w:rsidR="00B94092" w:rsidRPr="00496684" w:rsidRDefault="00B94092" w:rsidP="00B94092">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r>
      <w:r w:rsidR="006428F5" w:rsidRPr="00496684">
        <w:rPr>
          <w:rFonts w:ascii="Times New Roman" w:hAnsi="Times New Roman"/>
          <w:b/>
          <w:lang w:val="it-IT"/>
        </w:rPr>
        <w:t xml:space="preserve">Come prendere </w:t>
      </w:r>
      <w:r w:rsidRPr="00496684">
        <w:rPr>
          <w:rFonts w:ascii="Times New Roman" w:hAnsi="Times New Roman"/>
          <w:b/>
          <w:bCs/>
          <w:lang w:val="it-IT"/>
        </w:rPr>
        <w:t>Imatinib Actavis</w:t>
      </w:r>
    </w:p>
    <w:p w14:paraId="3AF7C0C6" w14:textId="77777777" w:rsidR="00B94092" w:rsidRPr="00496684" w:rsidRDefault="00B94092" w:rsidP="00B94092">
      <w:pPr>
        <w:autoSpaceDE w:val="0"/>
        <w:autoSpaceDN w:val="0"/>
        <w:adjustRightInd w:val="0"/>
        <w:spacing w:after="0" w:line="240" w:lineRule="auto"/>
        <w:rPr>
          <w:rFonts w:ascii="Times New Roman" w:hAnsi="Times New Roman"/>
          <w:bCs/>
          <w:lang w:val="it-IT"/>
        </w:rPr>
      </w:pPr>
    </w:p>
    <w:p w14:paraId="4DAB3090" w14:textId="77777777" w:rsidR="006428F5" w:rsidRPr="00496684" w:rsidRDefault="006428F5" w:rsidP="006428F5">
      <w:pPr>
        <w:pStyle w:val="Text"/>
        <w:widowControl w:val="0"/>
        <w:spacing w:before="0"/>
        <w:jc w:val="left"/>
        <w:rPr>
          <w:sz w:val="22"/>
          <w:szCs w:val="22"/>
          <w:lang w:val="it-IT"/>
        </w:rPr>
      </w:pPr>
      <w:r w:rsidRPr="00496684">
        <w:rPr>
          <w:sz w:val="22"/>
          <w:szCs w:val="22"/>
          <w:lang w:val="it-IT"/>
        </w:rPr>
        <w:t xml:space="preserve">Il medico le ha prescritto </w:t>
      </w:r>
      <w:r w:rsidR="00521ABE" w:rsidRPr="00496684">
        <w:rPr>
          <w:sz w:val="22"/>
          <w:szCs w:val="22"/>
          <w:lang w:val="it-IT"/>
        </w:rPr>
        <w:t>Imatinib Actavis</w:t>
      </w:r>
      <w:r w:rsidRPr="00496684">
        <w:rPr>
          <w:sz w:val="22"/>
          <w:szCs w:val="22"/>
          <w:lang w:val="it-IT"/>
        </w:rPr>
        <w:t xml:space="preserve"> perché lei soffre di una grave condizione. </w:t>
      </w:r>
      <w:r w:rsidR="00521ABE" w:rsidRPr="00496684">
        <w:rPr>
          <w:sz w:val="22"/>
          <w:szCs w:val="22"/>
          <w:lang w:val="it-IT"/>
        </w:rPr>
        <w:t>Imatinib Actavis</w:t>
      </w:r>
      <w:r w:rsidRPr="00496684">
        <w:rPr>
          <w:sz w:val="22"/>
          <w:szCs w:val="22"/>
          <w:lang w:val="it-IT"/>
        </w:rPr>
        <w:t xml:space="preserve"> può aiutarla a combattere questa condizione.</w:t>
      </w:r>
    </w:p>
    <w:p w14:paraId="3B72ECD7" w14:textId="77777777" w:rsidR="006428F5" w:rsidRPr="00496684" w:rsidRDefault="006428F5" w:rsidP="006428F5">
      <w:pPr>
        <w:pStyle w:val="Text"/>
        <w:widowControl w:val="0"/>
        <w:spacing w:before="0"/>
        <w:jc w:val="left"/>
        <w:rPr>
          <w:sz w:val="22"/>
          <w:szCs w:val="22"/>
          <w:lang w:val="it-IT"/>
        </w:rPr>
      </w:pPr>
    </w:p>
    <w:p w14:paraId="42F4B67E" w14:textId="77777777" w:rsidR="006428F5" w:rsidRPr="00496684" w:rsidRDefault="006428F5" w:rsidP="006428F5">
      <w:pPr>
        <w:pStyle w:val="Text"/>
        <w:widowControl w:val="0"/>
        <w:spacing w:before="0"/>
        <w:jc w:val="left"/>
        <w:rPr>
          <w:sz w:val="22"/>
          <w:szCs w:val="22"/>
          <w:lang w:val="it-IT"/>
        </w:rPr>
      </w:pPr>
      <w:r w:rsidRPr="00496684">
        <w:rPr>
          <w:sz w:val="22"/>
          <w:szCs w:val="22"/>
          <w:lang w:val="it-IT"/>
        </w:rPr>
        <w:t>Comunque, prenda questo medicinale seguendo sempre esattamente le istruzioni del medico o del farmacista. E’ importante che faccia ciò finchè non lo dice il medico o il farmacista. Se ha dubbi consulti il medico o il farmacista.</w:t>
      </w:r>
    </w:p>
    <w:p w14:paraId="4109D711" w14:textId="77777777" w:rsidR="006428F5" w:rsidRPr="00496684" w:rsidRDefault="006428F5" w:rsidP="006428F5">
      <w:pPr>
        <w:pStyle w:val="Text"/>
        <w:widowControl w:val="0"/>
        <w:spacing w:before="0"/>
        <w:jc w:val="left"/>
        <w:rPr>
          <w:sz w:val="22"/>
          <w:szCs w:val="22"/>
          <w:lang w:val="it-IT"/>
        </w:rPr>
      </w:pPr>
    </w:p>
    <w:p w14:paraId="318C721B" w14:textId="77777777" w:rsidR="006428F5" w:rsidRPr="00496684" w:rsidRDefault="006428F5" w:rsidP="006428F5">
      <w:pPr>
        <w:pStyle w:val="Text"/>
        <w:widowControl w:val="0"/>
        <w:spacing w:before="0"/>
        <w:jc w:val="left"/>
        <w:rPr>
          <w:sz w:val="22"/>
          <w:szCs w:val="22"/>
          <w:lang w:val="it-IT"/>
        </w:rPr>
      </w:pPr>
      <w:r w:rsidRPr="00496684">
        <w:rPr>
          <w:sz w:val="22"/>
          <w:szCs w:val="22"/>
          <w:lang w:val="it-IT"/>
        </w:rPr>
        <w:t xml:space="preserve">Non smetta di pendere </w:t>
      </w:r>
      <w:r w:rsidR="00521ABE" w:rsidRPr="00496684">
        <w:rPr>
          <w:sz w:val="22"/>
          <w:szCs w:val="22"/>
          <w:lang w:val="it-IT"/>
        </w:rPr>
        <w:t>Imatinib Actavis</w:t>
      </w:r>
      <w:r w:rsidRPr="00496684">
        <w:rPr>
          <w:sz w:val="22"/>
          <w:szCs w:val="22"/>
          <w:lang w:val="it-IT"/>
        </w:rPr>
        <w:t xml:space="preserve"> a meno che lo dica il medico. Se non è in grado di prendere il medicinale come prescritto dal medico o sente di non averne più bisogno, contatti il medico immediatamente.</w:t>
      </w:r>
    </w:p>
    <w:p w14:paraId="740241DC"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15A57CC7" w14:textId="77777777" w:rsidR="006428F5" w:rsidRPr="00496684" w:rsidRDefault="006428F5" w:rsidP="006428F5">
      <w:pPr>
        <w:pStyle w:val="berschrift2"/>
        <w:keepNext w:val="0"/>
        <w:widowControl w:val="0"/>
        <w:spacing w:before="0" w:after="0" w:line="240" w:lineRule="auto"/>
        <w:rPr>
          <w:rFonts w:ascii="Times New Roman" w:hAnsi="Times New Roman"/>
          <w:i w:val="0"/>
          <w:sz w:val="22"/>
          <w:szCs w:val="22"/>
          <w:lang w:val="it-IT"/>
        </w:rPr>
      </w:pPr>
      <w:r w:rsidRPr="00496684">
        <w:rPr>
          <w:rFonts w:ascii="Times New Roman" w:hAnsi="Times New Roman"/>
          <w:i w:val="0"/>
          <w:sz w:val="22"/>
          <w:szCs w:val="22"/>
          <w:lang w:val="it-IT"/>
        </w:rPr>
        <w:t xml:space="preserve">Quanto </w:t>
      </w:r>
      <w:r w:rsidR="00521ABE" w:rsidRPr="00496684">
        <w:rPr>
          <w:rFonts w:ascii="Times New Roman" w:hAnsi="Times New Roman"/>
          <w:i w:val="0"/>
          <w:sz w:val="22"/>
          <w:szCs w:val="22"/>
          <w:lang w:val="it-IT"/>
        </w:rPr>
        <w:t>Imatinib Actavis</w:t>
      </w:r>
      <w:r w:rsidRPr="00496684">
        <w:rPr>
          <w:rFonts w:ascii="Times New Roman" w:hAnsi="Times New Roman"/>
          <w:i w:val="0"/>
          <w:sz w:val="22"/>
          <w:szCs w:val="22"/>
          <w:lang w:val="it-IT"/>
        </w:rPr>
        <w:t xml:space="preserve"> prendere</w:t>
      </w:r>
    </w:p>
    <w:p w14:paraId="08B0887B" w14:textId="77777777" w:rsidR="00B94092" w:rsidRPr="00496684" w:rsidRDefault="00B94092" w:rsidP="00B94092">
      <w:pPr>
        <w:autoSpaceDE w:val="0"/>
        <w:autoSpaceDN w:val="0"/>
        <w:adjustRightInd w:val="0"/>
        <w:spacing w:after="0" w:line="240" w:lineRule="auto"/>
        <w:rPr>
          <w:rFonts w:ascii="Times New Roman" w:hAnsi="Times New Roman"/>
          <w:bCs/>
          <w:lang w:val="it-IT"/>
        </w:rPr>
      </w:pPr>
    </w:p>
    <w:p w14:paraId="77709446" w14:textId="77777777" w:rsidR="006428F5" w:rsidRPr="00496684" w:rsidRDefault="006428F5" w:rsidP="006428F5">
      <w:pPr>
        <w:spacing w:after="0" w:line="240" w:lineRule="auto"/>
        <w:rPr>
          <w:rFonts w:ascii="Times New Roman" w:hAnsi="Times New Roman"/>
          <w:b/>
          <w:lang w:val="it-IT"/>
        </w:rPr>
      </w:pPr>
      <w:r w:rsidRPr="00496684">
        <w:rPr>
          <w:rFonts w:ascii="Times New Roman" w:hAnsi="Times New Roman"/>
          <w:b/>
          <w:lang w:val="it-IT"/>
        </w:rPr>
        <w:t>Uso negli adulti</w:t>
      </w:r>
    </w:p>
    <w:p w14:paraId="34F5271C" w14:textId="77777777" w:rsidR="006428F5" w:rsidRPr="00496684" w:rsidRDefault="006428F5" w:rsidP="006428F5">
      <w:pPr>
        <w:pStyle w:val="Text"/>
        <w:widowControl w:val="0"/>
        <w:spacing w:before="0"/>
        <w:jc w:val="left"/>
        <w:rPr>
          <w:sz w:val="22"/>
          <w:szCs w:val="22"/>
          <w:lang w:val="it-IT"/>
        </w:rPr>
      </w:pPr>
      <w:r w:rsidRPr="00496684">
        <w:rPr>
          <w:sz w:val="22"/>
          <w:szCs w:val="22"/>
          <w:lang w:val="it-IT"/>
        </w:rPr>
        <w:t xml:space="preserve">Il medico le dirà esattamente quante </w:t>
      </w:r>
      <w:r w:rsidR="004A5A14" w:rsidRPr="00496684">
        <w:rPr>
          <w:sz w:val="22"/>
          <w:szCs w:val="22"/>
          <w:lang w:val="it-IT"/>
        </w:rPr>
        <w:t xml:space="preserve">compresse </w:t>
      </w:r>
      <w:r w:rsidRPr="00496684">
        <w:rPr>
          <w:sz w:val="22"/>
          <w:szCs w:val="22"/>
          <w:lang w:val="it-IT"/>
        </w:rPr>
        <w:t xml:space="preserve">di </w:t>
      </w:r>
      <w:r w:rsidR="00521ABE" w:rsidRPr="00496684">
        <w:rPr>
          <w:sz w:val="22"/>
          <w:szCs w:val="22"/>
          <w:lang w:val="it-IT"/>
        </w:rPr>
        <w:t>Imatinib Actavis</w:t>
      </w:r>
      <w:r w:rsidRPr="00496684">
        <w:rPr>
          <w:sz w:val="22"/>
          <w:szCs w:val="22"/>
          <w:lang w:val="it-IT"/>
        </w:rPr>
        <w:t xml:space="preserve"> dovrà prendere.</w:t>
      </w:r>
    </w:p>
    <w:p w14:paraId="3BEA2361" w14:textId="77777777" w:rsidR="00BC698F" w:rsidRPr="00496684" w:rsidRDefault="00BC698F" w:rsidP="006428F5">
      <w:pPr>
        <w:pStyle w:val="Text"/>
        <w:widowControl w:val="0"/>
        <w:spacing w:before="0"/>
        <w:jc w:val="left"/>
        <w:rPr>
          <w:sz w:val="22"/>
          <w:szCs w:val="22"/>
          <w:lang w:val="it-IT"/>
        </w:rPr>
      </w:pPr>
    </w:p>
    <w:p w14:paraId="205C21A6" w14:textId="77777777" w:rsidR="006428F5" w:rsidRPr="00496684" w:rsidRDefault="006428F5" w:rsidP="006428F5">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w:t>
      </w:r>
    </w:p>
    <w:p w14:paraId="098395E1"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LMC: </w:t>
      </w:r>
    </w:p>
    <w:p w14:paraId="53B72F12" w14:textId="77777777" w:rsidR="00BC698F" w:rsidRPr="00496684" w:rsidRDefault="00BC698F" w:rsidP="00087236">
      <w:pPr>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La dose iniziale usuale è di 600 mg</w:t>
      </w:r>
      <w:r w:rsidRPr="00496684">
        <w:rPr>
          <w:rFonts w:ascii="Times New Roman" w:eastAsia="Times New Roman" w:hAnsi="Times New Roman"/>
          <w:b/>
          <w:lang w:val="it-IT" w:eastAsia="it-IT"/>
        </w:rPr>
        <w:t xml:space="preserve"> </w:t>
      </w:r>
      <w:r w:rsidRPr="00496684">
        <w:rPr>
          <w:rFonts w:ascii="Times New Roman" w:eastAsia="Times New Roman" w:hAnsi="Times New Roman"/>
          <w:lang w:val="it-IT" w:eastAsia="it-IT"/>
        </w:rPr>
        <w:t xml:space="preserve">da assumere come </w:t>
      </w:r>
      <w:r w:rsidR="00087236" w:rsidRPr="00496684">
        <w:rPr>
          <w:rFonts w:ascii="Times New Roman" w:eastAsia="Times New Roman" w:hAnsi="Times New Roman"/>
          <w:lang w:val="it-IT" w:eastAsia="it-IT"/>
        </w:rPr>
        <w:t>6 compresse</w:t>
      </w:r>
      <w:r w:rsidRPr="00496684">
        <w:rPr>
          <w:rFonts w:ascii="Times New Roman" w:eastAsia="Times New Roman" w:hAnsi="Times New Roman"/>
          <w:lang w:val="it-IT" w:eastAsia="it-IT"/>
        </w:rPr>
        <w:t xml:space="preserve">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w:t>
      </w:r>
    </w:p>
    <w:p w14:paraId="3595A3CD" w14:textId="77777777" w:rsidR="00BC698F" w:rsidRPr="00496684" w:rsidRDefault="00BC698F" w:rsidP="00BC698F">
      <w:pPr>
        <w:spacing w:after="0" w:line="240" w:lineRule="auto"/>
        <w:rPr>
          <w:rFonts w:ascii="Times New Roman" w:eastAsia="Times New Roman" w:hAnsi="Times New Roman"/>
          <w:lang w:val="it-IT" w:eastAsia="it-IT"/>
        </w:rPr>
      </w:pPr>
    </w:p>
    <w:p w14:paraId="48B9B648" w14:textId="77777777" w:rsidR="00BC698F" w:rsidRPr="00496684" w:rsidRDefault="00BC698F" w:rsidP="00BC698F">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Il medico potrà prescrivere un dosaggio maggiore o minore a seconda di come risponderà al trattamento.</w:t>
      </w:r>
    </w:p>
    <w:p w14:paraId="1792B496" w14:textId="77777777" w:rsidR="00BC698F" w:rsidRPr="00496684" w:rsidRDefault="00BC698F" w:rsidP="00BC698F">
      <w:pPr>
        <w:autoSpaceDE w:val="0"/>
        <w:autoSpaceDN w:val="0"/>
        <w:adjustRightInd w:val="0"/>
        <w:spacing w:after="0" w:line="240" w:lineRule="auto"/>
        <w:rPr>
          <w:rFonts w:ascii="Times New Roman" w:hAnsi="Times New Roman"/>
          <w:lang w:val="it-IT"/>
        </w:rPr>
      </w:pPr>
    </w:p>
    <w:p w14:paraId="72269C75" w14:textId="77777777" w:rsidR="00BC698F" w:rsidRPr="00496684" w:rsidRDefault="00BC698F" w:rsidP="00BC698F">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la sua dose giornaliera è di 800 mg (</w:t>
      </w:r>
      <w:r w:rsidR="00087236" w:rsidRPr="00496684">
        <w:rPr>
          <w:rFonts w:ascii="Times New Roman" w:hAnsi="Times New Roman"/>
          <w:lang w:val="it-IT"/>
        </w:rPr>
        <w:t>8</w:t>
      </w:r>
      <w:r w:rsidRPr="00496684">
        <w:rPr>
          <w:rFonts w:ascii="Times New Roman" w:hAnsi="Times New Roman"/>
          <w:lang w:val="it-IT"/>
        </w:rPr>
        <w:t xml:space="preserve"> </w:t>
      </w:r>
      <w:r w:rsidR="00087236" w:rsidRPr="00496684">
        <w:rPr>
          <w:rFonts w:ascii="Times New Roman" w:hAnsi="Times New Roman"/>
          <w:lang w:val="it-IT"/>
        </w:rPr>
        <w:t>compresse</w:t>
      </w:r>
      <w:r w:rsidRPr="00496684">
        <w:rPr>
          <w:rFonts w:ascii="Times New Roman" w:hAnsi="Times New Roman"/>
          <w:lang w:val="it-IT"/>
        </w:rPr>
        <w:t xml:space="preserve">), lei deve prendere </w:t>
      </w:r>
      <w:r w:rsidR="00087236" w:rsidRPr="00496684">
        <w:rPr>
          <w:rFonts w:ascii="Times New Roman" w:hAnsi="Times New Roman"/>
          <w:lang w:val="it-IT"/>
        </w:rPr>
        <w:t>4</w:t>
      </w:r>
      <w:r w:rsidRPr="00496684">
        <w:rPr>
          <w:rFonts w:ascii="Times New Roman" w:hAnsi="Times New Roman"/>
          <w:lang w:val="it-IT"/>
        </w:rPr>
        <w:t xml:space="preserve"> </w:t>
      </w:r>
      <w:r w:rsidR="00087236" w:rsidRPr="00496684">
        <w:rPr>
          <w:rFonts w:ascii="Times New Roman" w:hAnsi="Times New Roman"/>
          <w:lang w:val="it-IT"/>
        </w:rPr>
        <w:t>compresse</w:t>
      </w:r>
      <w:r w:rsidRPr="00496684">
        <w:rPr>
          <w:rFonts w:ascii="Times New Roman" w:hAnsi="Times New Roman"/>
          <w:lang w:val="it-IT"/>
        </w:rPr>
        <w:t xml:space="preserve"> alla mattina e </w:t>
      </w:r>
      <w:r w:rsidR="00087236" w:rsidRPr="00496684">
        <w:rPr>
          <w:rFonts w:ascii="Times New Roman" w:hAnsi="Times New Roman"/>
          <w:lang w:val="it-IT"/>
        </w:rPr>
        <w:t>4</w:t>
      </w:r>
      <w:r w:rsidRPr="00496684">
        <w:rPr>
          <w:rFonts w:ascii="Times New Roman" w:hAnsi="Times New Roman"/>
          <w:lang w:val="it-IT"/>
        </w:rPr>
        <w:t xml:space="preserve"> </w:t>
      </w:r>
      <w:r w:rsidR="00087236" w:rsidRPr="00496684">
        <w:rPr>
          <w:rFonts w:ascii="Times New Roman" w:hAnsi="Times New Roman"/>
          <w:lang w:val="it-IT"/>
        </w:rPr>
        <w:t>compresse</w:t>
      </w:r>
      <w:r w:rsidRPr="00496684">
        <w:rPr>
          <w:rFonts w:ascii="Times New Roman" w:hAnsi="Times New Roman"/>
          <w:lang w:val="it-IT"/>
        </w:rPr>
        <w:t xml:space="preserve"> alla sera.</w:t>
      </w:r>
    </w:p>
    <w:p w14:paraId="4E4D16A9" w14:textId="77777777" w:rsidR="00BC698F" w:rsidRPr="00496684" w:rsidRDefault="00BC698F" w:rsidP="00BC698F">
      <w:pPr>
        <w:pStyle w:val="Text"/>
        <w:widowControl w:val="0"/>
        <w:spacing w:before="0"/>
        <w:jc w:val="left"/>
        <w:rPr>
          <w:sz w:val="22"/>
          <w:szCs w:val="22"/>
          <w:lang w:val="it-IT"/>
        </w:rPr>
      </w:pPr>
    </w:p>
    <w:p w14:paraId="7E6B296F"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 Se è in trattamento per la LLA Ph+: </w:t>
      </w:r>
    </w:p>
    <w:p w14:paraId="70217192" w14:textId="77777777" w:rsidR="00BC698F" w:rsidRPr="00496684" w:rsidRDefault="00BC698F" w:rsidP="00087236">
      <w:pPr>
        <w:pStyle w:val="Text"/>
        <w:widowControl w:val="0"/>
        <w:spacing w:before="0"/>
        <w:ind w:left="567"/>
        <w:jc w:val="left"/>
        <w:rPr>
          <w:sz w:val="22"/>
          <w:szCs w:val="22"/>
          <w:lang w:val="it-IT"/>
        </w:rPr>
      </w:pPr>
      <w:r w:rsidRPr="00496684">
        <w:rPr>
          <w:sz w:val="22"/>
          <w:szCs w:val="22"/>
          <w:lang w:val="it-IT"/>
        </w:rPr>
        <w:t xml:space="preserve">La dose iniziale è di 600 mg da assumere come </w:t>
      </w:r>
      <w:r w:rsidR="00087236" w:rsidRPr="00496684">
        <w:rPr>
          <w:sz w:val="22"/>
          <w:szCs w:val="22"/>
          <w:lang w:val="it-IT"/>
        </w:rPr>
        <w:t>6</w:t>
      </w:r>
      <w:r w:rsidRPr="00496684">
        <w:rPr>
          <w:sz w:val="22"/>
          <w:szCs w:val="22"/>
          <w:lang w:val="it-IT"/>
        </w:rPr>
        <w:t xml:space="preserve"> </w:t>
      </w:r>
      <w:r w:rsidR="00087236" w:rsidRPr="00496684">
        <w:rPr>
          <w:sz w:val="22"/>
          <w:szCs w:val="22"/>
          <w:lang w:val="it-IT"/>
        </w:rPr>
        <w:t xml:space="preserve">compresse </w:t>
      </w:r>
      <w:r w:rsidRPr="00496684">
        <w:rPr>
          <w:sz w:val="22"/>
          <w:szCs w:val="22"/>
          <w:lang w:val="it-IT"/>
        </w:rPr>
        <w:t xml:space="preserve"> </w:t>
      </w:r>
      <w:r w:rsidRPr="00496684">
        <w:rPr>
          <w:b/>
          <w:sz w:val="22"/>
          <w:szCs w:val="22"/>
          <w:lang w:val="it-IT"/>
        </w:rPr>
        <w:t>una volta</w:t>
      </w:r>
      <w:r w:rsidRPr="00496684">
        <w:rPr>
          <w:sz w:val="22"/>
          <w:szCs w:val="22"/>
          <w:lang w:val="it-IT"/>
        </w:rPr>
        <w:t xml:space="preserve"> al giorno. </w:t>
      </w:r>
    </w:p>
    <w:p w14:paraId="4E0EDDC2" w14:textId="77777777" w:rsidR="00BC698F" w:rsidRPr="00496684" w:rsidRDefault="00BC698F" w:rsidP="00BC698F">
      <w:pPr>
        <w:pStyle w:val="Text"/>
        <w:widowControl w:val="0"/>
        <w:spacing w:before="0"/>
        <w:jc w:val="left"/>
        <w:rPr>
          <w:sz w:val="22"/>
          <w:szCs w:val="22"/>
          <w:lang w:val="it-IT"/>
        </w:rPr>
      </w:pPr>
    </w:p>
    <w:p w14:paraId="2B5E2EB9"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le MSD/MPD: </w:t>
      </w:r>
    </w:p>
    <w:p w14:paraId="5733417A" w14:textId="77777777" w:rsidR="00BC698F" w:rsidRPr="00496684" w:rsidRDefault="00BC698F" w:rsidP="00D008F2">
      <w:pPr>
        <w:pStyle w:val="Text"/>
        <w:widowControl w:val="0"/>
        <w:spacing w:before="0"/>
        <w:ind w:left="567"/>
        <w:jc w:val="left"/>
        <w:rPr>
          <w:sz w:val="22"/>
          <w:szCs w:val="22"/>
          <w:lang w:val="it-IT"/>
        </w:rPr>
      </w:pPr>
      <w:r w:rsidRPr="00496684">
        <w:rPr>
          <w:sz w:val="22"/>
          <w:szCs w:val="22"/>
          <w:lang w:val="it-IT"/>
        </w:rPr>
        <w:t xml:space="preserve">La dose iniziale è di 400 mg, da assumere come </w:t>
      </w:r>
      <w:r w:rsidR="00087236" w:rsidRPr="00496684">
        <w:rPr>
          <w:sz w:val="22"/>
          <w:szCs w:val="22"/>
          <w:lang w:val="it-IT"/>
        </w:rPr>
        <w:t>4</w:t>
      </w:r>
      <w:r w:rsidRPr="00496684">
        <w:rPr>
          <w:sz w:val="22"/>
          <w:szCs w:val="22"/>
          <w:lang w:val="it-IT"/>
        </w:rPr>
        <w:t xml:space="preserve"> </w:t>
      </w:r>
      <w:r w:rsidR="00087236" w:rsidRPr="00496684">
        <w:rPr>
          <w:sz w:val="22"/>
          <w:szCs w:val="22"/>
          <w:lang w:val="it-IT"/>
        </w:rPr>
        <w:t>compresse</w:t>
      </w:r>
      <w:r w:rsidRPr="00496684">
        <w:rPr>
          <w:sz w:val="22"/>
          <w:szCs w:val="22"/>
          <w:lang w:val="it-IT"/>
        </w:rPr>
        <w:t xml:space="preserve"> </w:t>
      </w:r>
      <w:r w:rsidRPr="00496684">
        <w:rPr>
          <w:b/>
          <w:sz w:val="22"/>
          <w:szCs w:val="22"/>
          <w:lang w:val="it-IT"/>
        </w:rPr>
        <w:t>una volta</w:t>
      </w:r>
      <w:r w:rsidRPr="00496684">
        <w:rPr>
          <w:sz w:val="22"/>
          <w:szCs w:val="22"/>
          <w:lang w:val="it-IT"/>
        </w:rPr>
        <w:t xml:space="preserve"> al giorno. </w:t>
      </w:r>
    </w:p>
    <w:p w14:paraId="6463D017" w14:textId="77777777" w:rsidR="00BC698F" w:rsidRPr="00496684" w:rsidRDefault="00BC698F" w:rsidP="00BC698F">
      <w:pPr>
        <w:pStyle w:val="Text"/>
        <w:widowControl w:val="0"/>
        <w:spacing w:before="0"/>
        <w:jc w:val="left"/>
        <w:rPr>
          <w:sz w:val="22"/>
          <w:szCs w:val="22"/>
          <w:lang w:val="it-IT"/>
        </w:rPr>
      </w:pPr>
      <w:r w:rsidRPr="00496684">
        <w:rPr>
          <w:sz w:val="22"/>
          <w:szCs w:val="22"/>
          <w:lang w:val="it-IT"/>
        </w:rPr>
        <w:t xml:space="preserve"> </w:t>
      </w:r>
    </w:p>
    <w:p w14:paraId="6432FC56"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HES/LEC: </w:t>
      </w:r>
    </w:p>
    <w:p w14:paraId="1307645C" w14:textId="77777777" w:rsidR="00BC698F" w:rsidRPr="00496684" w:rsidRDefault="00BC698F" w:rsidP="00087236">
      <w:pPr>
        <w:pStyle w:val="Text"/>
        <w:widowControl w:val="0"/>
        <w:spacing w:before="0"/>
        <w:ind w:left="567"/>
        <w:jc w:val="left"/>
        <w:rPr>
          <w:sz w:val="22"/>
          <w:szCs w:val="22"/>
          <w:lang w:val="it-IT"/>
        </w:rPr>
      </w:pPr>
      <w:r w:rsidRPr="00496684">
        <w:rPr>
          <w:sz w:val="22"/>
          <w:szCs w:val="22"/>
          <w:lang w:val="it-IT"/>
        </w:rPr>
        <w:t xml:space="preserve">La dose iniziale è di 100 mg, da assumere come </w:t>
      </w:r>
      <w:r w:rsidR="005842DF" w:rsidRPr="00496684">
        <w:rPr>
          <w:sz w:val="22"/>
          <w:szCs w:val="22"/>
          <w:lang w:val="it-IT"/>
        </w:rPr>
        <w:t>1 compressa</w:t>
      </w:r>
      <w:r w:rsidRPr="00496684">
        <w:rPr>
          <w:sz w:val="22"/>
          <w:szCs w:val="22"/>
          <w:lang w:val="it-IT"/>
        </w:rPr>
        <w:t xml:space="preserve"> </w:t>
      </w:r>
      <w:r w:rsidRPr="00496684">
        <w:rPr>
          <w:b/>
          <w:sz w:val="22"/>
          <w:szCs w:val="22"/>
          <w:lang w:val="it-IT"/>
        </w:rPr>
        <w:t>una volta</w:t>
      </w:r>
      <w:r w:rsidRPr="00496684">
        <w:rPr>
          <w:sz w:val="22"/>
          <w:szCs w:val="22"/>
          <w:lang w:val="it-IT"/>
        </w:rPr>
        <w:t xml:space="preserve"> al giorno. Il medico può decidere di aumentare il dosaggio a 400 mg, da assumere come </w:t>
      </w:r>
      <w:r w:rsidR="005842DF" w:rsidRPr="00496684">
        <w:rPr>
          <w:sz w:val="22"/>
          <w:szCs w:val="22"/>
          <w:lang w:val="it-IT"/>
        </w:rPr>
        <w:t>4 compresse</w:t>
      </w:r>
      <w:r w:rsidRPr="00496684">
        <w:rPr>
          <w:sz w:val="22"/>
          <w:szCs w:val="22"/>
          <w:lang w:val="it-IT"/>
        </w:rPr>
        <w:t xml:space="preserve"> </w:t>
      </w:r>
      <w:r w:rsidRPr="00496684">
        <w:rPr>
          <w:b/>
          <w:sz w:val="22"/>
          <w:szCs w:val="22"/>
          <w:lang w:val="it-IT"/>
        </w:rPr>
        <w:t>una volta</w:t>
      </w:r>
      <w:r w:rsidRPr="00496684">
        <w:rPr>
          <w:sz w:val="22"/>
          <w:szCs w:val="22"/>
          <w:lang w:val="it-IT"/>
        </w:rPr>
        <w:t xml:space="preserve"> al giorno sulla base della sua risposta al trattamento. </w:t>
      </w:r>
    </w:p>
    <w:p w14:paraId="1DA1CD3B" w14:textId="77777777" w:rsidR="00BC698F" w:rsidRPr="00496684" w:rsidRDefault="00BC698F" w:rsidP="00BC698F">
      <w:pPr>
        <w:pStyle w:val="Text"/>
        <w:widowControl w:val="0"/>
        <w:spacing w:before="0"/>
        <w:jc w:val="left"/>
        <w:rPr>
          <w:sz w:val="22"/>
          <w:szCs w:val="22"/>
          <w:lang w:val="it-IT"/>
        </w:rPr>
      </w:pPr>
    </w:p>
    <w:p w14:paraId="634AFF90"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il DFSP: </w:t>
      </w:r>
    </w:p>
    <w:p w14:paraId="4F3B1AD1" w14:textId="77777777" w:rsidR="00BC698F" w:rsidRPr="00496684" w:rsidRDefault="00BC698F" w:rsidP="00D008F2">
      <w:pPr>
        <w:pStyle w:val="Text"/>
        <w:widowControl w:val="0"/>
        <w:spacing w:before="0"/>
        <w:ind w:left="567"/>
        <w:jc w:val="left"/>
        <w:rPr>
          <w:lang w:val="it-IT"/>
        </w:rPr>
      </w:pPr>
      <w:r w:rsidRPr="00496684">
        <w:rPr>
          <w:sz w:val="22"/>
          <w:szCs w:val="22"/>
          <w:lang w:val="it-IT"/>
        </w:rPr>
        <w:t>La dose è di 800 mg al giorno (</w:t>
      </w:r>
      <w:r w:rsidR="005842DF" w:rsidRPr="00496684">
        <w:rPr>
          <w:sz w:val="22"/>
          <w:szCs w:val="22"/>
          <w:lang w:val="it-IT"/>
        </w:rPr>
        <w:t>8 compresse</w:t>
      </w:r>
      <w:r w:rsidRPr="00496684">
        <w:rPr>
          <w:sz w:val="22"/>
          <w:szCs w:val="22"/>
          <w:lang w:val="it-IT"/>
        </w:rPr>
        <w:t xml:space="preserve">), da assumere come </w:t>
      </w:r>
      <w:r w:rsidR="005842DF" w:rsidRPr="00496684">
        <w:rPr>
          <w:sz w:val="22"/>
          <w:szCs w:val="22"/>
          <w:lang w:val="it-IT"/>
        </w:rPr>
        <w:t>4 compresse</w:t>
      </w:r>
      <w:r w:rsidRPr="00496684">
        <w:rPr>
          <w:sz w:val="22"/>
          <w:szCs w:val="22"/>
          <w:lang w:val="it-IT"/>
        </w:rPr>
        <w:t xml:space="preserve"> al mattino e </w:t>
      </w:r>
      <w:r w:rsidR="005842DF" w:rsidRPr="00496684">
        <w:rPr>
          <w:sz w:val="22"/>
          <w:szCs w:val="22"/>
          <w:lang w:val="it-IT"/>
        </w:rPr>
        <w:t>4 compresse</w:t>
      </w:r>
      <w:r w:rsidRPr="00496684">
        <w:rPr>
          <w:sz w:val="22"/>
          <w:szCs w:val="22"/>
          <w:lang w:val="it-IT"/>
        </w:rPr>
        <w:t xml:space="preserve"> alla sera.</w:t>
      </w:r>
    </w:p>
    <w:p w14:paraId="2980A629" w14:textId="77777777" w:rsidR="00B94092" w:rsidRPr="00496684" w:rsidRDefault="00B94092" w:rsidP="0014627F">
      <w:pPr>
        <w:autoSpaceDE w:val="0"/>
        <w:autoSpaceDN w:val="0"/>
        <w:adjustRightInd w:val="0"/>
        <w:spacing w:after="0" w:line="240" w:lineRule="auto"/>
        <w:rPr>
          <w:rFonts w:ascii="Times New Roman" w:hAnsi="Times New Roman"/>
          <w:lang w:val="it-IT"/>
        </w:rPr>
      </w:pPr>
    </w:p>
    <w:p w14:paraId="47732B64" w14:textId="77777777" w:rsidR="003E577B" w:rsidRPr="00496684" w:rsidRDefault="003E577B" w:rsidP="0014627F">
      <w:pPr>
        <w:pStyle w:val="Text"/>
        <w:widowControl w:val="0"/>
        <w:spacing w:before="0"/>
        <w:jc w:val="left"/>
        <w:rPr>
          <w:b/>
          <w:sz w:val="22"/>
          <w:szCs w:val="22"/>
          <w:lang w:val="it-IT"/>
        </w:rPr>
      </w:pPr>
      <w:r w:rsidRPr="00496684">
        <w:rPr>
          <w:b/>
          <w:sz w:val="22"/>
          <w:szCs w:val="22"/>
          <w:lang w:val="it-IT"/>
        </w:rPr>
        <w:t>Uso nei bambini e negli adolescenti</w:t>
      </w:r>
    </w:p>
    <w:p w14:paraId="28547385" w14:textId="77777777" w:rsidR="005842DF" w:rsidRPr="00496684" w:rsidRDefault="003E577B" w:rsidP="0014627F">
      <w:pPr>
        <w:pStyle w:val="Text"/>
        <w:widowControl w:val="0"/>
        <w:spacing w:before="0"/>
        <w:jc w:val="left"/>
        <w:rPr>
          <w:sz w:val="22"/>
          <w:szCs w:val="22"/>
          <w:lang w:val="it-IT"/>
        </w:rPr>
      </w:pPr>
      <w:r w:rsidRPr="00496684">
        <w:rPr>
          <w:sz w:val="22"/>
          <w:szCs w:val="22"/>
          <w:lang w:val="it-IT"/>
        </w:rPr>
        <w:t xml:space="preserve">Il medico le dirà quante </w:t>
      </w:r>
      <w:r w:rsidR="00384D77" w:rsidRPr="00496684">
        <w:rPr>
          <w:sz w:val="22"/>
          <w:szCs w:val="22"/>
          <w:lang w:val="it-IT"/>
        </w:rPr>
        <w:t>compresse</w:t>
      </w:r>
      <w:r w:rsidRPr="00496684">
        <w:rPr>
          <w:sz w:val="22"/>
          <w:szCs w:val="22"/>
          <w:lang w:val="it-IT"/>
        </w:rPr>
        <w:t xml:space="preserve"> di </w:t>
      </w:r>
      <w:r w:rsidR="00521ABE" w:rsidRPr="00496684">
        <w:rPr>
          <w:sz w:val="22"/>
          <w:szCs w:val="22"/>
          <w:lang w:val="it-IT"/>
        </w:rPr>
        <w:t>Imatinib Actavis</w:t>
      </w:r>
      <w:r w:rsidRPr="00496684">
        <w:rPr>
          <w:sz w:val="22"/>
          <w:szCs w:val="22"/>
          <w:lang w:val="it-IT"/>
        </w:rPr>
        <w:t xml:space="preserve"> vanno somministrate al bambino. La quantità di </w:t>
      </w:r>
      <w:r w:rsidR="00521ABE" w:rsidRPr="00496684">
        <w:rPr>
          <w:sz w:val="22"/>
          <w:szCs w:val="22"/>
          <w:lang w:val="it-IT"/>
        </w:rPr>
        <w:t>Imatinib Actavis</w:t>
      </w:r>
      <w:r w:rsidRPr="00496684">
        <w:rPr>
          <w:sz w:val="22"/>
          <w:szCs w:val="22"/>
          <w:lang w:val="it-IT"/>
        </w:rPr>
        <w:t xml:space="preserve"> somministrata dipenderà dalle condizioni del bambino, dal suo peso ed altezza. </w:t>
      </w:r>
    </w:p>
    <w:p w14:paraId="4AE08723" w14:textId="77777777" w:rsidR="005842DF" w:rsidRPr="00496684" w:rsidRDefault="005842DF" w:rsidP="0014627F">
      <w:pPr>
        <w:pStyle w:val="Text"/>
        <w:widowControl w:val="0"/>
        <w:spacing w:before="0"/>
        <w:jc w:val="left"/>
        <w:rPr>
          <w:sz w:val="22"/>
          <w:szCs w:val="22"/>
          <w:lang w:val="it-IT"/>
        </w:rPr>
      </w:pPr>
    </w:p>
    <w:p w14:paraId="22AD310B" w14:textId="1FA7524C" w:rsidR="003E577B" w:rsidRPr="00496684" w:rsidRDefault="003E577B" w:rsidP="0014627F">
      <w:pPr>
        <w:pStyle w:val="Text"/>
        <w:widowControl w:val="0"/>
        <w:spacing w:before="0"/>
        <w:jc w:val="left"/>
        <w:rPr>
          <w:sz w:val="22"/>
          <w:szCs w:val="22"/>
          <w:lang w:val="it-IT"/>
        </w:rPr>
      </w:pPr>
      <w:r w:rsidRPr="00496684">
        <w:rPr>
          <w:sz w:val="22"/>
          <w:szCs w:val="22"/>
          <w:lang w:val="it-IT"/>
        </w:rPr>
        <w:t>Nei bambini la dose totale giornaliera non deve superare 800 mg</w:t>
      </w:r>
      <w:r w:rsidR="005842DF" w:rsidRPr="00496684">
        <w:rPr>
          <w:sz w:val="22"/>
          <w:szCs w:val="22"/>
          <w:lang w:val="it-IT"/>
        </w:rPr>
        <w:t xml:space="preserve"> in caso di LMC</w:t>
      </w:r>
      <w:r w:rsidR="004A36B4" w:rsidRPr="00496684">
        <w:rPr>
          <w:rFonts w:ascii="Calibri" w:eastAsia="Calibri" w:hAnsi="Calibri"/>
          <w:sz w:val="22"/>
          <w:szCs w:val="22"/>
          <w:lang w:val="it-IT" w:eastAsia="en-US"/>
        </w:rPr>
        <w:t xml:space="preserve"> </w:t>
      </w:r>
      <w:r w:rsidR="004A36B4" w:rsidRPr="00496684">
        <w:rPr>
          <w:sz w:val="22"/>
          <w:szCs w:val="22"/>
          <w:lang w:val="it-IT"/>
        </w:rPr>
        <w:t xml:space="preserve">e 600 mg </w:t>
      </w:r>
      <w:r w:rsidR="001E469E" w:rsidRPr="00496684">
        <w:rPr>
          <w:sz w:val="22"/>
          <w:szCs w:val="22"/>
          <w:lang w:val="it-IT"/>
        </w:rPr>
        <w:t>per la</w:t>
      </w:r>
      <w:r w:rsidR="004A36B4" w:rsidRPr="00496684">
        <w:rPr>
          <w:sz w:val="22"/>
          <w:szCs w:val="22"/>
          <w:lang w:val="it-IT"/>
        </w:rPr>
        <w:t xml:space="preserve"> LLA Ph+</w:t>
      </w:r>
      <w:r w:rsidRPr="00496684">
        <w:rPr>
          <w:sz w:val="22"/>
          <w:szCs w:val="22"/>
          <w:lang w:val="it-IT"/>
        </w:rPr>
        <w:t>. Il trattamento può essere somministrato al bambino come dose singola giornaliera o, in alternativa, la dose giornaliera può essere suddivisa in due somministrazioni (metà al mattino e metà alla sera).</w:t>
      </w:r>
    </w:p>
    <w:p w14:paraId="693F38FA"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3979C1B0" w14:textId="77777777" w:rsidR="00B94092" w:rsidRPr="00496684" w:rsidRDefault="003E577B" w:rsidP="003E577B">
      <w:pPr>
        <w:pStyle w:val="Text"/>
        <w:widowControl w:val="0"/>
        <w:spacing w:before="0"/>
        <w:jc w:val="left"/>
        <w:rPr>
          <w:b/>
          <w:sz w:val="22"/>
          <w:szCs w:val="22"/>
          <w:lang w:val="it-IT"/>
        </w:rPr>
      </w:pPr>
      <w:r w:rsidRPr="00496684">
        <w:rPr>
          <w:b/>
          <w:sz w:val="22"/>
          <w:szCs w:val="22"/>
          <w:lang w:val="it-IT"/>
        </w:rPr>
        <w:t xml:space="preserve">Quando e come prendere  </w:t>
      </w:r>
      <w:r w:rsidR="00B94092" w:rsidRPr="00496684">
        <w:rPr>
          <w:b/>
          <w:bCs/>
          <w:lang w:val="it-IT"/>
        </w:rPr>
        <w:t>Imatinib Actavis</w:t>
      </w:r>
    </w:p>
    <w:p w14:paraId="0F0841E0" w14:textId="77777777" w:rsidR="003E577B" w:rsidRPr="00496684" w:rsidRDefault="003E577B" w:rsidP="003E577B">
      <w:pPr>
        <w:pStyle w:val="Text"/>
        <w:widowControl w:val="0"/>
        <w:numPr>
          <w:ilvl w:val="0"/>
          <w:numId w:val="7"/>
        </w:numPr>
        <w:spacing w:before="0"/>
        <w:jc w:val="left"/>
        <w:rPr>
          <w:sz w:val="22"/>
          <w:szCs w:val="22"/>
          <w:lang w:val="it-IT"/>
        </w:rPr>
      </w:pPr>
      <w:r w:rsidRPr="00496684">
        <w:rPr>
          <w:b/>
          <w:sz w:val="22"/>
          <w:szCs w:val="22"/>
          <w:lang w:val="it-IT"/>
        </w:rPr>
        <w:t xml:space="preserve">Prenda </w:t>
      </w:r>
      <w:r w:rsidR="00521ABE" w:rsidRPr="00496684">
        <w:rPr>
          <w:b/>
          <w:sz w:val="22"/>
          <w:szCs w:val="22"/>
          <w:lang w:val="it-IT"/>
        </w:rPr>
        <w:t>Imatinib Actavis</w:t>
      </w:r>
      <w:r w:rsidRPr="00496684">
        <w:rPr>
          <w:b/>
          <w:sz w:val="22"/>
          <w:szCs w:val="22"/>
          <w:lang w:val="it-IT"/>
        </w:rPr>
        <w:t xml:space="preserve"> con un pasto.</w:t>
      </w:r>
      <w:r w:rsidRPr="00496684">
        <w:rPr>
          <w:sz w:val="22"/>
          <w:szCs w:val="22"/>
          <w:lang w:val="it-IT"/>
        </w:rPr>
        <w:t xml:space="preserve"> Questo la aiuterà a proteggere lo stomaco quando prende </w:t>
      </w:r>
      <w:r w:rsidR="00521ABE" w:rsidRPr="00496684">
        <w:rPr>
          <w:sz w:val="22"/>
          <w:szCs w:val="22"/>
          <w:lang w:val="it-IT"/>
        </w:rPr>
        <w:t>Imatinib Actavis</w:t>
      </w:r>
      <w:r w:rsidRPr="00496684">
        <w:rPr>
          <w:sz w:val="22"/>
          <w:szCs w:val="22"/>
          <w:lang w:val="it-IT"/>
        </w:rPr>
        <w:t>.</w:t>
      </w:r>
    </w:p>
    <w:p w14:paraId="4AD3E60C" w14:textId="77777777" w:rsidR="003E577B" w:rsidRPr="00496684" w:rsidRDefault="003E577B" w:rsidP="00B94092">
      <w:pPr>
        <w:autoSpaceDE w:val="0"/>
        <w:autoSpaceDN w:val="0"/>
        <w:adjustRightInd w:val="0"/>
        <w:spacing w:after="0" w:line="240" w:lineRule="auto"/>
        <w:ind w:left="567" w:hanging="567"/>
        <w:rPr>
          <w:rFonts w:ascii="Times New Roman" w:hAnsi="Times New Roman"/>
          <w:lang w:val="it-IT"/>
        </w:rPr>
      </w:pPr>
    </w:p>
    <w:p w14:paraId="3E2D32A0" w14:textId="77777777" w:rsidR="003E577B" w:rsidRPr="00496684" w:rsidRDefault="003E577B" w:rsidP="00B94092">
      <w:pPr>
        <w:pStyle w:val="KeinLeerraum"/>
        <w:rPr>
          <w:rFonts w:ascii="Times New Roman" w:hAnsi="Times New Roman"/>
          <w:lang w:val="it-IT"/>
        </w:rPr>
      </w:pPr>
      <w:r w:rsidRPr="00496684">
        <w:rPr>
          <w:b/>
          <w:lang w:val="it-IT"/>
        </w:rPr>
        <w:t>-</w:t>
      </w:r>
      <w:r w:rsidRPr="00496684">
        <w:rPr>
          <w:b/>
          <w:lang w:val="it-IT"/>
        </w:rPr>
        <w:tab/>
      </w:r>
      <w:r w:rsidR="00211389" w:rsidRPr="00496684">
        <w:rPr>
          <w:rFonts w:ascii="Times New Roman" w:hAnsi="Times New Roman"/>
          <w:b/>
          <w:bCs/>
          <w:lang w:val="it-IT"/>
        </w:rPr>
        <w:t xml:space="preserve">Ingoi </w:t>
      </w:r>
      <w:r w:rsidRPr="00496684">
        <w:rPr>
          <w:rFonts w:ascii="Times New Roman" w:hAnsi="Times New Roman"/>
          <w:b/>
          <w:bCs/>
          <w:lang w:val="it-IT"/>
        </w:rPr>
        <w:t xml:space="preserve">le compresse intere con un </w:t>
      </w:r>
      <w:r w:rsidR="0014627F" w:rsidRPr="00496684">
        <w:rPr>
          <w:rFonts w:ascii="Times New Roman" w:hAnsi="Times New Roman"/>
          <w:b/>
          <w:bCs/>
          <w:lang w:val="it-IT"/>
        </w:rPr>
        <w:t>abbondate</w:t>
      </w:r>
      <w:r w:rsidRPr="00496684">
        <w:rPr>
          <w:rFonts w:ascii="Times New Roman" w:hAnsi="Times New Roman"/>
          <w:b/>
          <w:bCs/>
          <w:lang w:val="it-IT"/>
        </w:rPr>
        <w:t xml:space="preserve"> bicchiere d'acqua</w:t>
      </w:r>
    </w:p>
    <w:p w14:paraId="66FBFCEA" w14:textId="710CF7F0" w:rsidR="00B94092" w:rsidRPr="00496684" w:rsidRDefault="00693A7C" w:rsidP="00B94092">
      <w:pPr>
        <w:autoSpaceDE w:val="0"/>
        <w:autoSpaceDN w:val="0"/>
        <w:adjustRightInd w:val="0"/>
        <w:spacing w:after="0" w:line="240" w:lineRule="auto"/>
        <w:ind w:left="567" w:hanging="567"/>
        <w:rPr>
          <w:rFonts w:ascii="Times New Roman" w:hAnsi="Times New Roman"/>
          <w:lang w:val="it-IT"/>
        </w:rPr>
      </w:pPr>
      <w:r w:rsidRPr="00496684">
        <w:rPr>
          <w:rFonts w:ascii="Times New Roman" w:hAnsi="Times New Roman"/>
          <w:b/>
          <w:bCs/>
          <w:lang w:val="it-IT"/>
        </w:rPr>
        <w:tab/>
      </w:r>
      <w:r w:rsidR="003E577B" w:rsidRPr="00496684">
        <w:rPr>
          <w:rFonts w:ascii="Times New Roman" w:hAnsi="Times New Roman"/>
          <w:lang w:val="it-IT"/>
        </w:rPr>
        <w:t>La compressa può essere suddivisa in due metà</w:t>
      </w:r>
      <w:r w:rsidR="00B94092" w:rsidRPr="00496684">
        <w:rPr>
          <w:rFonts w:ascii="Times New Roman" w:hAnsi="Times New Roman"/>
          <w:lang w:val="it-IT"/>
        </w:rPr>
        <w:t>.</w:t>
      </w:r>
    </w:p>
    <w:p w14:paraId="6C228036" w14:textId="77777777" w:rsidR="00B94092" w:rsidRPr="00496684" w:rsidRDefault="00B94092" w:rsidP="00B94092">
      <w:pPr>
        <w:widowControl w:val="0"/>
        <w:autoSpaceDE w:val="0"/>
        <w:autoSpaceDN w:val="0"/>
        <w:adjustRightInd w:val="0"/>
        <w:spacing w:after="0" w:line="240" w:lineRule="auto"/>
        <w:ind w:right="-20"/>
        <w:rPr>
          <w:rFonts w:ascii="Times New Roman" w:hAnsi="Times New Roman"/>
          <w:spacing w:val="-4"/>
          <w:lang w:val="it-IT"/>
        </w:rPr>
      </w:pPr>
    </w:p>
    <w:p w14:paraId="029D8458" w14:textId="77777777" w:rsidR="003E577B" w:rsidRPr="00496684" w:rsidRDefault="003E577B" w:rsidP="003E577B">
      <w:pPr>
        <w:pStyle w:val="Text"/>
        <w:widowControl w:val="0"/>
        <w:spacing w:before="0"/>
        <w:jc w:val="left"/>
        <w:rPr>
          <w:sz w:val="22"/>
          <w:szCs w:val="22"/>
          <w:lang w:val="it-IT"/>
        </w:rPr>
      </w:pPr>
      <w:r w:rsidRPr="00496684">
        <w:rPr>
          <w:sz w:val="22"/>
          <w:szCs w:val="22"/>
          <w:lang w:val="it-IT"/>
        </w:rPr>
        <w:t xml:space="preserve">Se non è in grado di deglutire le compresse, può scioglierle in un bicchiere di acqua </w:t>
      </w:r>
      <w:r w:rsidR="00667289" w:rsidRPr="00496684">
        <w:rPr>
          <w:sz w:val="22"/>
          <w:szCs w:val="22"/>
          <w:lang w:val="it-IT"/>
        </w:rPr>
        <w:t xml:space="preserve">liscia o minerale </w:t>
      </w:r>
      <w:r w:rsidRPr="00496684">
        <w:rPr>
          <w:sz w:val="22"/>
          <w:szCs w:val="22"/>
          <w:lang w:val="it-IT"/>
        </w:rPr>
        <w:t>o di succo di mela:</w:t>
      </w:r>
    </w:p>
    <w:p w14:paraId="6FEAC6A8" w14:textId="77777777" w:rsidR="003E577B" w:rsidRPr="00496684" w:rsidRDefault="003E577B" w:rsidP="003E577B">
      <w:pPr>
        <w:pStyle w:val="Text"/>
        <w:widowControl w:val="0"/>
        <w:spacing w:before="0"/>
        <w:jc w:val="left"/>
        <w:rPr>
          <w:sz w:val="22"/>
          <w:szCs w:val="22"/>
          <w:lang w:val="it-IT"/>
        </w:rPr>
      </w:pPr>
      <w:r w:rsidRPr="00496684">
        <w:rPr>
          <w:sz w:val="22"/>
          <w:szCs w:val="22"/>
          <w:lang w:val="it-IT"/>
        </w:rPr>
        <w:t>-</w:t>
      </w:r>
      <w:r w:rsidRPr="00496684">
        <w:rPr>
          <w:sz w:val="22"/>
          <w:szCs w:val="22"/>
          <w:lang w:val="it-IT"/>
        </w:rPr>
        <w:tab/>
        <w:t>Usare circa 50 ml per ogni compressa da 100 mg.</w:t>
      </w:r>
    </w:p>
    <w:p w14:paraId="1CD41F0F" w14:textId="77777777" w:rsidR="003E577B" w:rsidRPr="00496684" w:rsidRDefault="003E577B" w:rsidP="003E577B">
      <w:pPr>
        <w:pStyle w:val="Text"/>
        <w:widowControl w:val="0"/>
        <w:spacing w:before="0"/>
        <w:jc w:val="left"/>
        <w:rPr>
          <w:sz w:val="22"/>
          <w:szCs w:val="22"/>
          <w:lang w:val="it-IT"/>
        </w:rPr>
      </w:pPr>
      <w:r w:rsidRPr="00496684">
        <w:rPr>
          <w:sz w:val="22"/>
          <w:szCs w:val="22"/>
          <w:lang w:val="it-IT"/>
        </w:rPr>
        <w:t>-</w:t>
      </w:r>
      <w:r w:rsidRPr="00496684">
        <w:rPr>
          <w:sz w:val="22"/>
          <w:szCs w:val="22"/>
          <w:lang w:val="it-IT"/>
        </w:rPr>
        <w:tab/>
        <w:t>Agitare con un cucchiaio finchè le compresse si siano sciolte completamente.</w:t>
      </w:r>
    </w:p>
    <w:p w14:paraId="10B84EF4" w14:textId="77777777" w:rsidR="003E577B" w:rsidRPr="00496684" w:rsidRDefault="003E577B" w:rsidP="003E577B">
      <w:pPr>
        <w:widowControl w:val="0"/>
        <w:autoSpaceDE w:val="0"/>
        <w:autoSpaceDN w:val="0"/>
        <w:adjustRightInd w:val="0"/>
        <w:spacing w:after="0" w:line="240" w:lineRule="auto"/>
        <w:ind w:right="-20"/>
        <w:rPr>
          <w:rFonts w:ascii="Times New Roman" w:eastAsia="Times New Roman" w:hAnsi="Times New Roman"/>
          <w:lang w:val="it-IT" w:eastAsia="it-IT"/>
        </w:rPr>
      </w:pPr>
      <w:r w:rsidRPr="00496684">
        <w:rPr>
          <w:rFonts w:ascii="Times New Roman" w:eastAsia="Times New Roman" w:hAnsi="Times New Roman"/>
          <w:lang w:val="it-IT" w:eastAsia="it-IT"/>
        </w:rPr>
        <w:t>-</w:t>
      </w:r>
      <w:r w:rsidRPr="00496684">
        <w:rPr>
          <w:rFonts w:ascii="Times New Roman" w:eastAsia="Times New Roman" w:hAnsi="Times New Roman"/>
          <w:lang w:val="it-IT" w:eastAsia="it-IT"/>
        </w:rPr>
        <w:tab/>
        <w:t xml:space="preserve">Una volta che la compressa si è dissolta, bere ogni cosa nel bicchiere immediatamente. I residui </w:t>
      </w:r>
      <w:r w:rsidRPr="00496684">
        <w:rPr>
          <w:rFonts w:ascii="Times New Roman" w:eastAsia="Times New Roman" w:hAnsi="Times New Roman"/>
          <w:lang w:val="it-IT" w:eastAsia="it-IT"/>
        </w:rPr>
        <w:tab/>
        <w:t>delle compresse dissolte possono essere lasciati nel bicchiere</w:t>
      </w:r>
    </w:p>
    <w:p w14:paraId="09B9AB94" w14:textId="77777777" w:rsidR="003E577B" w:rsidRPr="00496684" w:rsidRDefault="003E577B" w:rsidP="003E577B">
      <w:pPr>
        <w:autoSpaceDE w:val="0"/>
        <w:autoSpaceDN w:val="0"/>
        <w:adjustRightInd w:val="0"/>
        <w:spacing w:after="0" w:line="240" w:lineRule="auto"/>
        <w:rPr>
          <w:rFonts w:ascii="Times New Roman" w:hAnsi="Times New Roman"/>
          <w:lang w:val="it-IT"/>
        </w:rPr>
      </w:pPr>
    </w:p>
    <w:p w14:paraId="32F80470" w14:textId="77777777" w:rsidR="003E577B" w:rsidRPr="00496684" w:rsidRDefault="003E577B" w:rsidP="003E577B">
      <w:pPr>
        <w:pStyle w:val="Text"/>
        <w:widowControl w:val="0"/>
        <w:spacing w:before="0"/>
        <w:jc w:val="left"/>
        <w:rPr>
          <w:b/>
          <w:sz w:val="22"/>
          <w:szCs w:val="22"/>
          <w:lang w:val="it-IT"/>
        </w:rPr>
      </w:pPr>
      <w:r w:rsidRPr="00496684">
        <w:rPr>
          <w:b/>
          <w:sz w:val="22"/>
          <w:szCs w:val="22"/>
          <w:lang w:val="it-IT"/>
        </w:rPr>
        <w:t xml:space="preserve">Per quanto tempo prendere </w:t>
      </w:r>
      <w:r w:rsidR="00521ABE" w:rsidRPr="00496684">
        <w:rPr>
          <w:b/>
          <w:sz w:val="22"/>
          <w:szCs w:val="22"/>
          <w:lang w:val="it-IT"/>
        </w:rPr>
        <w:t>Imatinib Actavis</w:t>
      </w:r>
    </w:p>
    <w:p w14:paraId="6FCF14F3" w14:textId="77777777" w:rsidR="003E577B" w:rsidRPr="00496684" w:rsidRDefault="003E577B" w:rsidP="003E577B">
      <w:pPr>
        <w:pStyle w:val="Text"/>
        <w:widowControl w:val="0"/>
        <w:spacing w:before="0"/>
        <w:jc w:val="left"/>
        <w:rPr>
          <w:sz w:val="22"/>
          <w:szCs w:val="22"/>
          <w:lang w:val="it-IT"/>
        </w:rPr>
      </w:pPr>
      <w:r w:rsidRPr="00496684">
        <w:rPr>
          <w:sz w:val="22"/>
          <w:szCs w:val="22"/>
          <w:lang w:val="it-IT"/>
        </w:rPr>
        <w:t xml:space="preserve">Continui a prendere </w:t>
      </w:r>
      <w:r w:rsidR="00521ABE" w:rsidRPr="00496684">
        <w:rPr>
          <w:sz w:val="22"/>
          <w:szCs w:val="22"/>
          <w:lang w:val="it-IT"/>
        </w:rPr>
        <w:t>Imatinib Actavis</w:t>
      </w:r>
      <w:r w:rsidRPr="00496684">
        <w:rPr>
          <w:sz w:val="22"/>
          <w:szCs w:val="22"/>
          <w:lang w:val="it-IT"/>
        </w:rPr>
        <w:t xml:space="preserve"> ogni giorno per tutto il tempo che le dice il medico.</w:t>
      </w:r>
    </w:p>
    <w:p w14:paraId="7663AD6D" w14:textId="77777777" w:rsidR="003E577B" w:rsidRPr="00496684" w:rsidRDefault="003E577B" w:rsidP="003E577B">
      <w:pPr>
        <w:pStyle w:val="Text"/>
        <w:widowControl w:val="0"/>
        <w:spacing w:before="0"/>
        <w:jc w:val="left"/>
        <w:rPr>
          <w:sz w:val="22"/>
          <w:szCs w:val="22"/>
          <w:lang w:val="it-IT"/>
        </w:rPr>
      </w:pPr>
    </w:p>
    <w:p w14:paraId="6901383D" w14:textId="77777777" w:rsidR="003E577B" w:rsidRPr="00496684" w:rsidRDefault="003E577B" w:rsidP="003E577B">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 xml:space="preserve">Se prende più </w:t>
      </w:r>
      <w:r w:rsidR="00521ABE" w:rsidRPr="00496684">
        <w:rPr>
          <w:rFonts w:ascii="Times New Roman" w:hAnsi="Times New Roman"/>
          <w:b/>
          <w:lang w:val="it-IT"/>
        </w:rPr>
        <w:t>Imatinib Actavis</w:t>
      </w:r>
      <w:r w:rsidRPr="00496684">
        <w:rPr>
          <w:rFonts w:ascii="Times New Roman" w:hAnsi="Times New Roman"/>
          <w:b/>
          <w:lang w:val="it-IT"/>
        </w:rPr>
        <w:t xml:space="preserve"> di quanto deve</w:t>
      </w:r>
    </w:p>
    <w:p w14:paraId="6ED76FEC" w14:textId="77777777" w:rsidR="003E577B" w:rsidRPr="00496684" w:rsidRDefault="003E577B" w:rsidP="003E577B">
      <w:pPr>
        <w:pStyle w:val="Text"/>
        <w:widowControl w:val="0"/>
        <w:spacing w:before="0"/>
        <w:jc w:val="left"/>
        <w:rPr>
          <w:sz w:val="22"/>
          <w:szCs w:val="22"/>
          <w:lang w:val="it-IT"/>
        </w:rPr>
      </w:pPr>
      <w:r w:rsidRPr="00496684">
        <w:rPr>
          <w:sz w:val="22"/>
          <w:szCs w:val="22"/>
          <w:lang w:val="it-IT"/>
        </w:rPr>
        <w:t xml:space="preserve">Se ha preso accidentalmente troppe compresse contatti </w:t>
      </w:r>
      <w:r w:rsidRPr="00496684">
        <w:rPr>
          <w:b/>
          <w:sz w:val="22"/>
          <w:szCs w:val="22"/>
          <w:lang w:val="it-IT"/>
        </w:rPr>
        <w:t>immediatamente</w:t>
      </w:r>
      <w:r w:rsidRPr="00496684">
        <w:rPr>
          <w:sz w:val="22"/>
          <w:szCs w:val="22"/>
          <w:lang w:val="it-IT"/>
        </w:rPr>
        <w:t xml:space="preserve"> il medico. Può aver bisogno di assistenza medica. Porti con sé la scatola del medicinale.</w:t>
      </w:r>
    </w:p>
    <w:p w14:paraId="59EDA2ED" w14:textId="77777777" w:rsidR="003E577B" w:rsidRPr="00496684" w:rsidRDefault="003E577B" w:rsidP="003E577B">
      <w:pPr>
        <w:widowControl w:val="0"/>
        <w:numPr>
          <w:ilvl w:val="12"/>
          <w:numId w:val="0"/>
        </w:numPr>
        <w:spacing w:after="0" w:line="240" w:lineRule="auto"/>
        <w:ind w:right="-2"/>
        <w:rPr>
          <w:rFonts w:ascii="Times New Roman" w:hAnsi="Times New Roman"/>
          <w:b/>
          <w:lang w:val="it-IT"/>
        </w:rPr>
      </w:pPr>
    </w:p>
    <w:p w14:paraId="0C90310C" w14:textId="77777777" w:rsidR="003E577B" w:rsidRPr="00496684" w:rsidRDefault="003E577B" w:rsidP="003E577B">
      <w:pPr>
        <w:widowControl w:val="0"/>
        <w:numPr>
          <w:ilvl w:val="12"/>
          <w:numId w:val="0"/>
        </w:numPr>
        <w:spacing w:after="0" w:line="240" w:lineRule="auto"/>
        <w:ind w:right="-2"/>
        <w:rPr>
          <w:rFonts w:ascii="Times New Roman" w:hAnsi="Times New Roman"/>
          <w:b/>
          <w:lang w:val="it-IT"/>
        </w:rPr>
      </w:pPr>
      <w:r w:rsidRPr="00496684">
        <w:rPr>
          <w:rFonts w:ascii="Times New Roman" w:hAnsi="Times New Roman"/>
          <w:b/>
          <w:lang w:val="it-IT"/>
        </w:rPr>
        <w:t xml:space="preserve">Se dimentica di prendere </w:t>
      </w:r>
      <w:r w:rsidR="00521ABE" w:rsidRPr="00496684">
        <w:rPr>
          <w:rFonts w:ascii="Times New Roman" w:hAnsi="Times New Roman"/>
          <w:b/>
          <w:lang w:val="it-IT"/>
        </w:rPr>
        <w:t>Imatinib Actavis</w:t>
      </w:r>
    </w:p>
    <w:p w14:paraId="12B64FC3" w14:textId="77777777" w:rsidR="003E577B" w:rsidRPr="00496684" w:rsidRDefault="003E577B" w:rsidP="003E577B">
      <w:pPr>
        <w:widowControl w:val="0"/>
        <w:numPr>
          <w:ilvl w:val="0"/>
          <w:numId w:val="15"/>
        </w:numPr>
        <w:spacing w:after="0" w:line="240" w:lineRule="auto"/>
        <w:ind w:right="-2"/>
        <w:rPr>
          <w:rFonts w:ascii="Times New Roman" w:hAnsi="Times New Roman"/>
          <w:lang w:val="it-IT"/>
        </w:rPr>
      </w:pPr>
      <w:r w:rsidRPr="00496684">
        <w:rPr>
          <w:rFonts w:ascii="Times New Roman" w:hAnsi="Times New Roman"/>
          <w:lang w:val="it-IT"/>
        </w:rPr>
        <w:t>Se dimentica una dose, la prenda appena si ricorda. Tuttavia se è quasi il tempo per la prossima dose, salti la dose dimenticata.</w:t>
      </w:r>
    </w:p>
    <w:p w14:paraId="771E9A5E" w14:textId="77777777" w:rsidR="003E577B" w:rsidRPr="00496684" w:rsidRDefault="003E577B" w:rsidP="003E577B">
      <w:pPr>
        <w:widowControl w:val="0"/>
        <w:numPr>
          <w:ilvl w:val="0"/>
          <w:numId w:val="15"/>
        </w:numPr>
        <w:spacing w:after="0" w:line="240" w:lineRule="auto"/>
        <w:ind w:right="-2"/>
        <w:rPr>
          <w:rFonts w:ascii="Times New Roman" w:hAnsi="Times New Roman"/>
          <w:lang w:val="it-IT"/>
        </w:rPr>
      </w:pPr>
      <w:r w:rsidRPr="00496684">
        <w:rPr>
          <w:rFonts w:ascii="Times New Roman" w:hAnsi="Times New Roman"/>
          <w:lang w:val="it-IT"/>
        </w:rPr>
        <w:t>Quindi continui con il dosaggio normale.</w:t>
      </w:r>
    </w:p>
    <w:p w14:paraId="6C1500A1" w14:textId="77777777" w:rsidR="003E577B" w:rsidRPr="00496684" w:rsidRDefault="003E577B" w:rsidP="003E577B">
      <w:pPr>
        <w:widowControl w:val="0"/>
        <w:numPr>
          <w:ilvl w:val="0"/>
          <w:numId w:val="15"/>
        </w:numPr>
        <w:spacing w:after="0" w:line="240" w:lineRule="auto"/>
        <w:ind w:right="-2"/>
        <w:rPr>
          <w:rFonts w:ascii="Times New Roman" w:hAnsi="Times New Roman"/>
          <w:lang w:val="it-IT"/>
        </w:rPr>
      </w:pPr>
      <w:r w:rsidRPr="00496684">
        <w:rPr>
          <w:rFonts w:ascii="Times New Roman" w:hAnsi="Times New Roman"/>
          <w:lang w:val="it-IT"/>
        </w:rPr>
        <w:t>Non prenda una dose doppia per compensare la dimenticanza della dose.</w:t>
      </w:r>
    </w:p>
    <w:p w14:paraId="7CC623AF" w14:textId="77777777" w:rsidR="003E577B" w:rsidRPr="00496684" w:rsidRDefault="003E577B" w:rsidP="003E577B">
      <w:pPr>
        <w:widowControl w:val="0"/>
        <w:numPr>
          <w:ilvl w:val="12"/>
          <w:numId w:val="0"/>
        </w:numPr>
        <w:spacing w:after="0" w:line="240" w:lineRule="auto"/>
        <w:rPr>
          <w:rFonts w:ascii="Times New Roman" w:hAnsi="Times New Roman"/>
          <w:lang w:val="it-IT"/>
        </w:rPr>
      </w:pPr>
    </w:p>
    <w:p w14:paraId="5853F2E0" w14:textId="77777777" w:rsidR="003E577B" w:rsidRPr="00496684" w:rsidRDefault="003E577B" w:rsidP="003E577B">
      <w:pPr>
        <w:widowControl w:val="0"/>
        <w:numPr>
          <w:ilvl w:val="12"/>
          <w:numId w:val="0"/>
        </w:numPr>
        <w:spacing w:after="0" w:line="240" w:lineRule="auto"/>
        <w:rPr>
          <w:rFonts w:ascii="Times New Roman" w:hAnsi="Times New Roman"/>
          <w:lang w:val="it-IT"/>
        </w:rPr>
      </w:pPr>
      <w:r w:rsidRPr="00496684">
        <w:rPr>
          <w:rFonts w:ascii="Times New Roman" w:hAnsi="Times New Roman"/>
          <w:lang w:val="it-IT"/>
        </w:rPr>
        <w:t>Se ha qualsiasi dubbio sull’uso di questo medicinale, si rivolga al medico, al farmacista o all’infermiere.</w:t>
      </w:r>
    </w:p>
    <w:p w14:paraId="2799506C" w14:textId="77777777" w:rsidR="003E577B" w:rsidRPr="00496684" w:rsidRDefault="003E577B" w:rsidP="003E577B">
      <w:pPr>
        <w:autoSpaceDE w:val="0"/>
        <w:autoSpaceDN w:val="0"/>
        <w:adjustRightInd w:val="0"/>
        <w:spacing w:after="0" w:line="240" w:lineRule="auto"/>
        <w:rPr>
          <w:rFonts w:ascii="Times New Roman" w:hAnsi="Times New Roman"/>
          <w:lang w:val="it-IT"/>
        </w:rPr>
      </w:pPr>
    </w:p>
    <w:p w14:paraId="3FAEF8EE"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3690970E" w14:textId="77777777" w:rsidR="003E577B" w:rsidRPr="00496684" w:rsidRDefault="003E577B" w:rsidP="003E577B">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Pr="00496684">
        <w:rPr>
          <w:rFonts w:ascii="Times New Roman" w:hAnsi="Times New Roman"/>
          <w:b/>
          <w:lang w:val="it-IT"/>
        </w:rPr>
        <w:t>Possibili effetti indesiderati</w:t>
      </w:r>
    </w:p>
    <w:p w14:paraId="63FFD0B2" w14:textId="77777777" w:rsidR="003E577B" w:rsidRPr="00496684" w:rsidRDefault="003E577B" w:rsidP="003E577B">
      <w:pPr>
        <w:autoSpaceDE w:val="0"/>
        <w:autoSpaceDN w:val="0"/>
        <w:adjustRightInd w:val="0"/>
        <w:spacing w:after="0" w:line="240" w:lineRule="auto"/>
        <w:rPr>
          <w:rFonts w:ascii="Times New Roman" w:hAnsi="Times New Roman"/>
          <w:bCs/>
          <w:lang w:val="it-IT"/>
        </w:rPr>
      </w:pPr>
    </w:p>
    <w:p w14:paraId="67F629FB" w14:textId="77777777" w:rsidR="003E577B" w:rsidRPr="00496684" w:rsidRDefault="003E577B" w:rsidP="003E577B">
      <w:pPr>
        <w:pStyle w:val="Text"/>
        <w:widowControl w:val="0"/>
        <w:spacing w:before="0"/>
        <w:jc w:val="left"/>
        <w:rPr>
          <w:sz w:val="22"/>
          <w:szCs w:val="22"/>
          <w:lang w:val="it-IT"/>
        </w:rPr>
      </w:pPr>
      <w:r w:rsidRPr="00496684">
        <w:rPr>
          <w:sz w:val="22"/>
          <w:szCs w:val="22"/>
          <w:lang w:val="it-IT"/>
        </w:rPr>
        <w:t>Come tutti i medicinali, questo medicinale può causare effetti indesiderati sebbene non tutte le persone li manifestino. Questi sono generalmente da lievi a moderati.</w:t>
      </w:r>
    </w:p>
    <w:p w14:paraId="69B582E8" w14:textId="77777777" w:rsidR="003E577B" w:rsidRPr="00496684" w:rsidRDefault="003E577B" w:rsidP="003E577B">
      <w:pPr>
        <w:autoSpaceDE w:val="0"/>
        <w:autoSpaceDN w:val="0"/>
        <w:adjustRightInd w:val="0"/>
        <w:spacing w:after="0" w:line="240" w:lineRule="auto"/>
        <w:rPr>
          <w:rFonts w:ascii="Times New Roman" w:hAnsi="Times New Roman"/>
          <w:bCs/>
          <w:lang w:val="it-IT"/>
        </w:rPr>
      </w:pPr>
    </w:p>
    <w:p w14:paraId="736C00BB" w14:textId="77777777" w:rsidR="003E577B" w:rsidRPr="00496684" w:rsidRDefault="003E577B" w:rsidP="003E577B">
      <w:pPr>
        <w:pStyle w:val="Text"/>
        <w:widowControl w:val="0"/>
        <w:spacing w:before="0"/>
        <w:jc w:val="left"/>
        <w:rPr>
          <w:b/>
          <w:sz w:val="22"/>
          <w:szCs w:val="22"/>
          <w:lang w:val="it-IT"/>
        </w:rPr>
      </w:pPr>
      <w:r w:rsidRPr="00496684">
        <w:rPr>
          <w:b/>
          <w:sz w:val="22"/>
          <w:szCs w:val="22"/>
          <w:lang w:val="it-IT"/>
        </w:rPr>
        <w:t>Alcuni effetti indesiderati possono essere gravi. Informi il medico immediatamente se manifesta uno dei seguenti effetti:</w:t>
      </w:r>
    </w:p>
    <w:p w14:paraId="1164E8D8" w14:textId="77777777" w:rsidR="003E577B" w:rsidRPr="00496684" w:rsidRDefault="003E577B" w:rsidP="003E577B">
      <w:pPr>
        <w:autoSpaceDE w:val="0"/>
        <w:autoSpaceDN w:val="0"/>
        <w:adjustRightInd w:val="0"/>
        <w:spacing w:after="0" w:line="240" w:lineRule="auto"/>
        <w:rPr>
          <w:rFonts w:ascii="Times New Roman" w:hAnsi="Times New Roman"/>
          <w:lang w:val="it-IT"/>
        </w:rPr>
      </w:pPr>
    </w:p>
    <w:p w14:paraId="674550F3" w14:textId="19909339" w:rsidR="003E577B" w:rsidRPr="00496684" w:rsidRDefault="00DB03B2" w:rsidP="003E577B">
      <w:pPr>
        <w:pStyle w:val="Text"/>
        <w:widowControl w:val="0"/>
        <w:spacing w:before="0"/>
        <w:jc w:val="left"/>
        <w:rPr>
          <w:b/>
          <w:sz w:val="22"/>
          <w:szCs w:val="22"/>
          <w:lang w:val="it-IT"/>
        </w:rPr>
      </w:pPr>
      <w:r w:rsidRPr="00496684">
        <w:rPr>
          <w:b/>
          <w:sz w:val="22"/>
          <w:szCs w:val="22"/>
          <w:lang w:val="it-IT"/>
        </w:rPr>
        <w:t>M</w:t>
      </w:r>
      <w:r w:rsidR="003E577B" w:rsidRPr="00496684">
        <w:rPr>
          <w:b/>
          <w:sz w:val="22"/>
          <w:szCs w:val="22"/>
          <w:lang w:val="it-IT"/>
        </w:rPr>
        <w:t>olto comuni (</w:t>
      </w:r>
      <w:r w:rsidR="003E577B" w:rsidRPr="00496684">
        <w:rPr>
          <w:sz w:val="22"/>
          <w:szCs w:val="22"/>
          <w:lang w:val="it-IT"/>
        </w:rPr>
        <w:t xml:space="preserve">può interessare più di 1 persona su 10) </w:t>
      </w:r>
      <w:r w:rsidR="003E577B" w:rsidRPr="00496684">
        <w:rPr>
          <w:b/>
          <w:sz w:val="22"/>
          <w:szCs w:val="22"/>
          <w:lang w:val="it-IT"/>
        </w:rPr>
        <w:t>o comuni (</w:t>
      </w:r>
      <w:r w:rsidR="003E577B" w:rsidRPr="00496684">
        <w:rPr>
          <w:sz w:val="22"/>
          <w:szCs w:val="22"/>
          <w:lang w:val="it-IT"/>
        </w:rPr>
        <w:t>può interessare fino a 1 persona su 10)</w:t>
      </w:r>
      <w:r w:rsidR="003E577B" w:rsidRPr="00496684">
        <w:rPr>
          <w:b/>
          <w:sz w:val="22"/>
          <w:szCs w:val="22"/>
          <w:lang w:val="it-IT"/>
        </w:rPr>
        <w:t>:</w:t>
      </w:r>
    </w:p>
    <w:p w14:paraId="693F7A1A" w14:textId="77777777" w:rsidR="003E577B" w:rsidRPr="00496684" w:rsidRDefault="003E577B" w:rsidP="003E577B">
      <w:pPr>
        <w:pStyle w:val="Text"/>
        <w:widowControl w:val="0"/>
        <w:numPr>
          <w:ilvl w:val="0"/>
          <w:numId w:val="16"/>
        </w:numPr>
        <w:spacing w:before="0"/>
        <w:jc w:val="left"/>
        <w:rPr>
          <w:sz w:val="22"/>
          <w:szCs w:val="22"/>
          <w:lang w:val="it-IT"/>
        </w:rPr>
      </w:pPr>
      <w:r w:rsidRPr="00496684">
        <w:rPr>
          <w:sz w:val="22"/>
          <w:szCs w:val="22"/>
          <w:lang w:val="it-IT"/>
        </w:rPr>
        <w:t xml:space="preserve">Rapido aumento di peso. </w:t>
      </w:r>
      <w:r w:rsidR="00521ABE" w:rsidRPr="00496684">
        <w:rPr>
          <w:sz w:val="22"/>
          <w:szCs w:val="22"/>
          <w:lang w:val="it-IT"/>
        </w:rPr>
        <w:t>Imatinib Actavis</w:t>
      </w:r>
      <w:r w:rsidRPr="00496684">
        <w:rPr>
          <w:sz w:val="22"/>
          <w:szCs w:val="22"/>
          <w:lang w:val="it-IT"/>
        </w:rPr>
        <w:t xml:space="preserve"> può far trattenere al suo corpo acqua (grave ritenzione di liquidi).</w:t>
      </w:r>
    </w:p>
    <w:p w14:paraId="433C3301" w14:textId="5EEE1487" w:rsidR="003E577B" w:rsidRPr="00496684" w:rsidRDefault="003E577B" w:rsidP="003E577B">
      <w:pPr>
        <w:pStyle w:val="Text"/>
        <w:widowControl w:val="0"/>
        <w:numPr>
          <w:ilvl w:val="0"/>
          <w:numId w:val="16"/>
        </w:numPr>
        <w:spacing w:before="0"/>
        <w:jc w:val="left"/>
        <w:rPr>
          <w:sz w:val="22"/>
          <w:szCs w:val="22"/>
          <w:lang w:val="it-IT"/>
        </w:rPr>
      </w:pPr>
      <w:r w:rsidRPr="00496684">
        <w:rPr>
          <w:sz w:val="22"/>
          <w:szCs w:val="22"/>
          <w:lang w:val="it-IT"/>
        </w:rPr>
        <w:t xml:space="preserve">Segni di infezione quali febbre, brividi intensi, faringite o ulcerazioni della bocca. </w:t>
      </w:r>
      <w:r w:rsidR="00521ABE" w:rsidRPr="00496684">
        <w:rPr>
          <w:sz w:val="22"/>
          <w:szCs w:val="22"/>
          <w:lang w:val="it-IT"/>
        </w:rPr>
        <w:t>Imatinib Actavis</w:t>
      </w:r>
      <w:r w:rsidRPr="00496684">
        <w:rPr>
          <w:sz w:val="22"/>
          <w:szCs w:val="22"/>
          <w:lang w:val="it-IT"/>
        </w:rPr>
        <w:t xml:space="preserve"> può ridurre il numero dei globuli bianchi così </w:t>
      </w:r>
      <w:r w:rsidR="004C1B54" w:rsidRPr="00496684">
        <w:rPr>
          <w:sz w:val="22"/>
          <w:szCs w:val="22"/>
          <w:lang w:val="it-IT"/>
        </w:rPr>
        <w:t>può</w:t>
      </w:r>
      <w:r w:rsidRPr="00496684">
        <w:rPr>
          <w:sz w:val="22"/>
          <w:szCs w:val="22"/>
          <w:lang w:val="it-IT"/>
        </w:rPr>
        <w:t xml:space="preserve"> prendere più facilmente delle infezioni.</w:t>
      </w:r>
    </w:p>
    <w:p w14:paraId="777D74FE" w14:textId="77777777" w:rsidR="003E577B" w:rsidRPr="00496684" w:rsidRDefault="003E577B" w:rsidP="003E577B">
      <w:pPr>
        <w:pStyle w:val="Text"/>
        <w:widowControl w:val="0"/>
        <w:numPr>
          <w:ilvl w:val="0"/>
          <w:numId w:val="16"/>
        </w:numPr>
        <w:spacing w:before="0"/>
        <w:jc w:val="left"/>
        <w:rPr>
          <w:sz w:val="22"/>
          <w:szCs w:val="22"/>
          <w:lang w:val="it-IT"/>
        </w:rPr>
      </w:pPr>
      <w:r w:rsidRPr="00496684">
        <w:rPr>
          <w:sz w:val="22"/>
          <w:szCs w:val="22"/>
          <w:lang w:val="it-IT"/>
        </w:rPr>
        <w:t>Sanguinamenti inattesi o ecchimosi (quando non si è fatto male da solo).</w:t>
      </w:r>
    </w:p>
    <w:p w14:paraId="22FE26FE" w14:textId="77777777" w:rsidR="003E577B" w:rsidRPr="00496684" w:rsidRDefault="003E577B" w:rsidP="003E577B">
      <w:pPr>
        <w:pStyle w:val="Text"/>
        <w:widowControl w:val="0"/>
        <w:spacing w:before="0"/>
        <w:jc w:val="left"/>
        <w:rPr>
          <w:sz w:val="22"/>
          <w:szCs w:val="22"/>
          <w:lang w:val="it-IT"/>
        </w:rPr>
      </w:pPr>
    </w:p>
    <w:p w14:paraId="0B2A9559" w14:textId="5A6CADE0" w:rsidR="003E577B" w:rsidRPr="00496684" w:rsidRDefault="00DB03B2" w:rsidP="003E577B">
      <w:pPr>
        <w:pStyle w:val="Text"/>
        <w:widowControl w:val="0"/>
        <w:spacing w:before="0"/>
        <w:jc w:val="left"/>
        <w:rPr>
          <w:sz w:val="22"/>
          <w:szCs w:val="22"/>
          <w:lang w:val="it-IT"/>
        </w:rPr>
      </w:pPr>
      <w:r w:rsidRPr="00496684">
        <w:rPr>
          <w:b/>
          <w:sz w:val="22"/>
          <w:szCs w:val="22"/>
          <w:lang w:val="it-IT"/>
        </w:rPr>
        <w:t>N</w:t>
      </w:r>
      <w:r w:rsidR="003E577B" w:rsidRPr="00496684">
        <w:rPr>
          <w:b/>
          <w:sz w:val="22"/>
          <w:szCs w:val="22"/>
          <w:lang w:val="it-IT"/>
        </w:rPr>
        <w:t xml:space="preserve">on comuni </w:t>
      </w:r>
      <w:r w:rsidR="005842DF" w:rsidRPr="00496684">
        <w:rPr>
          <w:b/>
          <w:sz w:val="22"/>
          <w:szCs w:val="22"/>
          <w:lang w:val="it-IT"/>
        </w:rPr>
        <w:t>(</w:t>
      </w:r>
      <w:r w:rsidR="005842DF" w:rsidRPr="00496684">
        <w:rPr>
          <w:sz w:val="22"/>
          <w:szCs w:val="22"/>
          <w:lang w:val="it-IT"/>
        </w:rPr>
        <w:t xml:space="preserve">può interessare fino a 1 persona su 100) </w:t>
      </w:r>
      <w:r w:rsidR="003E577B" w:rsidRPr="00496684">
        <w:rPr>
          <w:b/>
          <w:sz w:val="22"/>
          <w:szCs w:val="22"/>
          <w:lang w:val="it-IT"/>
        </w:rPr>
        <w:t>o rari</w:t>
      </w:r>
      <w:r w:rsidR="005842DF" w:rsidRPr="00496684">
        <w:rPr>
          <w:b/>
          <w:sz w:val="22"/>
          <w:szCs w:val="22"/>
          <w:lang w:val="it-IT"/>
        </w:rPr>
        <w:t xml:space="preserve"> (</w:t>
      </w:r>
      <w:r w:rsidR="005842DF" w:rsidRPr="00496684">
        <w:rPr>
          <w:sz w:val="22"/>
          <w:szCs w:val="22"/>
          <w:lang w:val="it-IT"/>
        </w:rPr>
        <w:t>può interessare fino a 1 persona su 1.000)</w:t>
      </w:r>
      <w:r w:rsidR="003E577B" w:rsidRPr="00496684">
        <w:rPr>
          <w:b/>
          <w:sz w:val="22"/>
          <w:szCs w:val="22"/>
          <w:lang w:val="it-IT"/>
        </w:rPr>
        <w:t>:</w:t>
      </w:r>
    </w:p>
    <w:p w14:paraId="7BB03E36"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Dolore al torace, ritmo cardiaco irregolare (segni di problemi al cuore).</w:t>
      </w:r>
    </w:p>
    <w:p w14:paraId="334F9760"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Tosse, difficoltà respiratoria o respirazione dolorosa (segni di problemi ai polmoni).</w:t>
      </w:r>
    </w:p>
    <w:p w14:paraId="0F6F1E29"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Sensazione di testa vuota, stordimento o svenimento (segni di pressione bassa).</w:t>
      </w:r>
    </w:p>
    <w:p w14:paraId="34E4CE08"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 xml:space="preserve">Sensazione di malessere (nausea), con perdita di appetito, urine </w:t>
      </w:r>
      <w:r w:rsidR="00BC698F" w:rsidRPr="00496684">
        <w:rPr>
          <w:sz w:val="22"/>
          <w:szCs w:val="22"/>
          <w:lang w:val="it-IT"/>
        </w:rPr>
        <w:t>di colore scuro</w:t>
      </w:r>
      <w:r w:rsidRPr="00496684">
        <w:rPr>
          <w:sz w:val="22"/>
          <w:szCs w:val="22"/>
          <w:lang w:val="it-IT"/>
        </w:rPr>
        <w:t>, pelle o occhi gialli (segni di problemi al fegato).</w:t>
      </w:r>
    </w:p>
    <w:p w14:paraId="48C0D927"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Eruzione cutanea, arrossamento cutaneo con vesciche sulle labbra, occhi, pelle o bocca, desquamazione cutanea, febbre, macchie in rilievo di colore rosso o viola sulla pelle, prurito, sensazione di bruciore, eruzione pustolosa (segni di problemi della pelle).</w:t>
      </w:r>
    </w:p>
    <w:p w14:paraId="29579B9D"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Forte dolore addominale, presenza di sangue nel vomito, nelle feci o nelle urine, feci nere (segni di disturbi gastrointestinali).</w:t>
      </w:r>
    </w:p>
    <w:p w14:paraId="20F9A5D6"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Importante diminuzione della quantità di urina, sensazione di sete (segni di problemi renali).</w:t>
      </w:r>
    </w:p>
    <w:p w14:paraId="245BC761"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Sensazione di malessere (nausea) con diarrea e vomito, dolore addominale o febbre (segni di problemi intestinali).</w:t>
      </w:r>
    </w:p>
    <w:p w14:paraId="6FFC9666"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Forte mal di testa, debolezza o paralisi degli arti o del viso, difficoltà di parola, improvvisa perdita di coscienza (segni di problemi del sistema nervoso</w:t>
      </w:r>
      <w:r w:rsidR="00BC698F" w:rsidRPr="00496684">
        <w:rPr>
          <w:sz w:val="22"/>
          <w:szCs w:val="22"/>
          <w:lang w:val="it-IT"/>
        </w:rPr>
        <w:t xml:space="preserve"> come sanguinamento o gonfiore nel cranio/cervello</w:t>
      </w:r>
      <w:r w:rsidRPr="00496684">
        <w:rPr>
          <w:sz w:val="22"/>
          <w:szCs w:val="22"/>
          <w:lang w:val="it-IT"/>
        </w:rPr>
        <w:t>).</w:t>
      </w:r>
    </w:p>
    <w:p w14:paraId="4822AFCE"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Pallore, sensazione di stanchezza e affanno e urine di colore scuro (segni di bassi valori di globuli rossi).</w:t>
      </w:r>
    </w:p>
    <w:p w14:paraId="75BF4946"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Dolore agli occhi o deterioramento della visione</w:t>
      </w:r>
      <w:r w:rsidR="00BC698F" w:rsidRPr="00496684">
        <w:rPr>
          <w:sz w:val="22"/>
          <w:szCs w:val="22"/>
          <w:lang w:val="it-IT"/>
        </w:rPr>
        <w:t>, sanguinamento negli occhi</w:t>
      </w:r>
      <w:r w:rsidRPr="00496684">
        <w:rPr>
          <w:sz w:val="22"/>
          <w:szCs w:val="22"/>
          <w:lang w:val="it-IT"/>
        </w:rPr>
        <w:t>.</w:t>
      </w:r>
    </w:p>
    <w:p w14:paraId="466B01A8"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Dolore all’anca o difficoltà a camminare.</w:t>
      </w:r>
    </w:p>
    <w:p w14:paraId="122B745C"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Dita dei piedi o delle mani intorpidite o fredde (segni della sindrome di Raynaud).</w:t>
      </w:r>
    </w:p>
    <w:p w14:paraId="281B973C"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Improvviso gonfiore e arrossamento della pelle (segni di una infezione della pelle chiamata cellulite).</w:t>
      </w:r>
    </w:p>
    <w:p w14:paraId="458599E9"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Problemi d’udito.</w:t>
      </w:r>
    </w:p>
    <w:p w14:paraId="316E5391"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Debolezza muscolare e spasmi muscolari con un ritmo cardiaco anormale (segni di modifiche del quantitativo di potassio nel sangue).</w:t>
      </w:r>
    </w:p>
    <w:p w14:paraId="7088A5EF"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Ecchimosi (lividi).</w:t>
      </w:r>
    </w:p>
    <w:p w14:paraId="4552ADDF"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Dolore allo stomaco con sensazione di malessere (nausea).</w:t>
      </w:r>
    </w:p>
    <w:p w14:paraId="0FE51B28"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Spasmi muscolari con febbre, urine rosso brune, dolore o debolezza muscolare (segni di problemi ai muscoli).</w:t>
      </w:r>
    </w:p>
    <w:p w14:paraId="634F8A85"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Dolore pelvico talvolta con nausea e vomito, con sanguinamento vaginale inatteso, sensazione di vertigini o svenimento dovuto a pressione bassa (segni di problemi con le ovaie e l’utero).</w:t>
      </w:r>
    </w:p>
    <w:p w14:paraId="7D820AF8" w14:textId="77777777" w:rsidR="003E577B" w:rsidRPr="00496684" w:rsidRDefault="003E577B" w:rsidP="003E577B">
      <w:pPr>
        <w:pStyle w:val="Text"/>
        <w:widowControl w:val="0"/>
        <w:numPr>
          <w:ilvl w:val="0"/>
          <w:numId w:val="17"/>
        </w:numPr>
        <w:spacing w:before="0"/>
        <w:jc w:val="left"/>
        <w:rPr>
          <w:sz w:val="22"/>
          <w:szCs w:val="22"/>
          <w:lang w:val="it-IT"/>
        </w:rPr>
      </w:pPr>
      <w:r w:rsidRPr="00496684">
        <w:rPr>
          <w:sz w:val="22"/>
          <w:szCs w:val="22"/>
          <w:lang w:val="it-IT"/>
        </w:rPr>
        <w:t>Nausea, respiro corto, battito cardiaco irregolare, intorbidimento delle urine, stanchezza e/o disturbi alle articolazioni associati a risultati anomali dei test di laboratorio (ad esempio alti livelli di potassio, acido urico e fosforo e bassi livelli di calcio nel sangue).</w:t>
      </w:r>
    </w:p>
    <w:p w14:paraId="43BA823A" w14:textId="6522B699" w:rsidR="004C1B54" w:rsidRPr="00496684" w:rsidRDefault="004C1B54" w:rsidP="003E577B">
      <w:pPr>
        <w:pStyle w:val="Text"/>
        <w:widowControl w:val="0"/>
        <w:numPr>
          <w:ilvl w:val="0"/>
          <w:numId w:val="17"/>
        </w:numPr>
        <w:spacing w:before="0"/>
        <w:jc w:val="left"/>
        <w:rPr>
          <w:sz w:val="22"/>
          <w:szCs w:val="22"/>
          <w:lang w:val="it-IT"/>
        </w:rPr>
      </w:pPr>
      <w:r w:rsidRPr="00496684">
        <w:rPr>
          <w:sz w:val="22"/>
          <w:szCs w:val="22"/>
          <w:lang w:val="it-IT"/>
        </w:rPr>
        <w:t>Coaguli di sangue in piccoli vasi sanguigni (microangiopatia trombotica).</w:t>
      </w:r>
    </w:p>
    <w:p w14:paraId="00EBD990" w14:textId="77777777" w:rsidR="005842DF" w:rsidRPr="00496684" w:rsidRDefault="005842DF" w:rsidP="003E577B">
      <w:pPr>
        <w:pStyle w:val="Text"/>
        <w:widowControl w:val="0"/>
        <w:spacing w:before="0"/>
        <w:jc w:val="left"/>
        <w:rPr>
          <w:sz w:val="22"/>
          <w:szCs w:val="22"/>
          <w:lang w:val="it-IT"/>
        </w:rPr>
      </w:pPr>
    </w:p>
    <w:p w14:paraId="73061A63" w14:textId="77777777" w:rsidR="005842DF" w:rsidRPr="00496684" w:rsidRDefault="005842DF" w:rsidP="005842DF">
      <w:pPr>
        <w:pStyle w:val="Text"/>
        <w:widowControl w:val="0"/>
        <w:spacing w:before="0"/>
        <w:jc w:val="left"/>
        <w:rPr>
          <w:sz w:val="22"/>
          <w:szCs w:val="22"/>
          <w:lang w:val="it-IT"/>
        </w:rPr>
      </w:pPr>
      <w:r w:rsidRPr="00496684">
        <w:rPr>
          <w:b/>
          <w:sz w:val="22"/>
          <w:szCs w:val="22"/>
          <w:lang w:val="it-IT"/>
        </w:rPr>
        <w:t>Non nota</w:t>
      </w:r>
      <w:r w:rsidRPr="00496684">
        <w:rPr>
          <w:sz w:val="22"/>
          <w:szCs w:val="22"/>
          <w:lang w:val="it-IT"/>
        </w:rPr>
        <w:t xml:space="preserve"> (la frequenza non può essere </w:t>
      </w:r>
      <w:r w:rsidR="00C66631" w:rsidRPr="00496684">
        <w:rPr>
          <w:sz w:val="22"/>
          <w:szCs w:val="22"/>
          <w:lang w:val="it-IT"/>
        </w:rPr>
        <w:t>definita</w:t>
      </w:r>
      <w:r w:rsidRPr="00496684">
        <w:rPr>
          <w:sz w:val="22"/>
          <w:szCs w:val="22"/>
          <w:lang w:val="it-IT"/>
        </w:rPr>
        <w:t xml:space="preserve"> sulla base dei dati disponibili):</w:t>
      </w:r>
    </w:p>
    <w:p w14:paraId="4C2F4732" w14:textId="77777777" w:rsidR="005842DF" w:rsidRPr="00496684" w:rsidRDefault="005842DF" w:rsidP="005842DF">
      <w:pPr>
        <w:pStyle w:val="Text"/>
        <w:widowControl w:val="0"/>
        <w:numPr>
          <w:ilvl w:val="0"/>
          <w:numId w:val="22"/>
        </w:numPr>
        <w:spacing w:before="0"/>
        <w:jc w:val="left"/>
        <w:rPr>
          <w:sz w:val="22"/>
          <w:szCs w:val="22"/>
          <w:lang w:val="it-IT"/>
        </w:rPr>
      </w:pPr>
      <w:r w:rsidRPr="00496684">
        <w:rPr>
          <w:sz w:val="22"/>
          <w:szCs w:val="22"/>
          <w:lang w:val="it-IT"/>
        </w:rPr>
        <w:t>Combinazione di una grave eruzione cutanea diffusa, sensazione di malessere, febbre, alti livelli di certi globuli bianchi del sangue o pelle e occhi gialli (ittero) con difficoltà a respirare, dolore/fastido al torace, diminuzione grave delle urine emesse e sentirsi assetato ecc (segni di una reazione allergica dovuta al farmaco).</w:t>
      </w:r>
    </w:p>
    <w:p w14:paraId="4CCB1883" w14:textId="77777777" w:rsidR="00893DE7" w:rsidRPr="00496684" w:rsidRDefault="00893DE7" w:rsidP="00893DE7">
      <w:pPr>
        <w:pStyle w:val="Text"/>
        <w:widowControl w:val="0"/>
        <w:numPr>
          <w:ilvl w:val="0"/>
          <w:numId w:val="22"/>
        </w:numPr>
        <w:spacing w:before="0"/>
        <w:jc w:val="left"/>
        <w:rPr>
          <w:sz w:val="22"/>
          <w:szCs w:val="22"/>
          <w:lang w:val="it-IT"/>
        </w:rPr>
      </w:pPr>
      <w:r w:rsidRPr="00496684">
        <w:rPr>
          <w:sz w:val="22"/>
          <w:szCs w:val="22"/>
          <w:lang w:val="it-IT"/>
        </w:rPr>
        <w:t>Insufficienza renale cronica</w:t>
      </w:r>
    </w:p>
    <w:p w14:paraId="26784125" w14:textId="77777777" w:rsidR="00DB03B2" w:rsidRPr="00496684" w:rsidRDefault="00DB03B2" w:rsidP="00DB03B2">
      <w:pPr>
        <w:pStyle w:val="Text"/>
        <w:widowControl w:val="0"/>
        <w:numPr>
          <w:ilvl w:val="0"/>
          <w:numId w:val="2"/>
        </w:numPr>
        <w:tabs>
          <w:tab w:val="clear" w:pos="468"/>
        </w:tabs>
        <w:spacing w:before="0"/>
        <w:ind w:left="567" w:hanging="567"/>
        <w:jc w:val="left"/>
        <w:rPr>
          <w:sz w:val="22"/>
          <w:szCs w:val="22"/>
          <w:lang w:val="it-IT"/>
        </w:rPr>
      </w:pPr>
      <w:r w:rsidRPr="00496684">
        <w:rPr>
          <w:rFonts w:eastAsia="Verdana"/>
          <w:spacing w:val="1"/>
          <w:sz w:val="22"/>
          <w:szCs w:val="22"/>
          <w:lang w:val="it-IT"/>
        </w:rPr>
        <w:t>L</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c</w:t>
      </w:r>
      <w:r w:rsidRPr="00496684">
        <w:rPr>
          <w:rFonts w:eastAsia="Verdana"/>
          <w:spacing w:val="1"/>
          <w:sz w:val="22"/>
          <w:szCs w:val="22"/>
          <w:lang w:val="it-IT"/>
        </w:rPr>
        <w:t>o</w:t>
      </w:r>
      <w:r w:rsidRPr="00496684">
        <w:rPr>
          <w:rFonts w:eastAsia="Verdana"/>
          <w:sz w:val="22"/>
          <w:szCs w:val="22"/>
          <w:lang w:val="it-IT"/>
        </w:rPr>
        <w:t>rr</w:t>
      </w:r>
      <w:r w:rsidRPr="00496684">
        <w:rPr>
          <w:rFonts w:eastAsia="Verdana"/>
          <w:spacing w:val="1"/>
          <w:sz w:val="22"/>
          <w:szCs w:val="22"/>
          <w:lang w:val="it-IT"/>
        </w:rPr>
        <w:t>e</w:t>
      </w:r>
      <w:r w:rsidRPr="00496684">
        <w:rPr>
          <w:rFonts w:eastAsia="Verdana"/>
          <w:spacing w:val="-1"/>
          <w:sz w:val="22"/>
          <w:szCs w:val="22"/>
          <w:lang w:val="it-IT"/>
        </w:rPr>
        <w:t>nz</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a</w:t>
      </w:r>
      <w:r w:rsidRPr="00496684">
        <w:rPr>
          <w:rFonts w:eastAsia="Verdana"/>
          <w:spacing w:val="1"/>
          <w:sz w:val="22"/>
          <w:szCs w:val="22"/>
          <w:lang w:val="it-IT"/>
        </w:rPr>
        <w:t>tti</w:t>
      </w:r>
      <w:r w:rsidRPr="00496684">
        <w:rPr>
          <w:rFonts w:eastAsia="Verdana"/>
          <w:spacing w:val="-1"/>
          <w:sz w:val="22"/>
          <w:szCs w:val="22"/>
          <w:lang w:val="it-IT"/>
        </w:rPr>
        <w:t>v</w:t>
      </w:r>
      <w:r w:rsidRPr="00496684">
        <w:rPr>
          <w:rFonts w:eastAsia="Verdana"/>
          <w:sz w:val="22"/>
          <w:szCs w:val="22"/>
          <w:lang w:val="it-IT"/>
        </w:rPr>
        <w:t>a</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pacing w:val="-2"/>
          <w:sz w:val="22"/>
          <w:szCs w:val="22"/>
          <w:lang w:val="it-IT"/>
        </w:rPr>
        <w:t>e</w:t>
      </w:r>
      <w:r w:rsidRPr="00496684">
        <w:rPr>
          <w:rFonts w:eastAsia="Verdana"/>
          <w:sz w:val="22"/>
          <w:szCs w:val="22"/>
          <w:lang w:val="it-IT"/>
        </w:rPr>
        <w:t>)</w:t>
      </w:r>
      <w:r w:rsidRPr="00496684">
        <w:rPr>
          <w:rFonts w:eastAsia="Verdana"/>
          <w:spacing w:val="-1"/>
          <w:sz w:val="22"/>
          <w:szCs w:val="22"/>
          <w:lang w:val="it-IT"/>
        </w:rPr>
        <w:t xml:space="preserve"> </w:t>
      </w:r>
      <w:r w:rsidRPr="00496684">
        <w:rPr>
          <w:rFonts w:eastAsia="Verdana"/>
          <w:spacing w:val="1"/>
          <w:sz w:val="22"/>
          <w:szCs w:val="22"/>
          <w:lang w:val="it-IT"/>
        </w:rPr>
        <w:t>della</w:t>
      </w:r>
      <w:r w:rsidRPr="00496684">
        <w:rPr>
          <w:rFonts w:eastAsia="Verdana"/>
          <w:spacing w:val="-2"/>
          <w:sz w:val="22"/>
          <w:szCs w:val="22"/>
          <w:lang w:val="it-IT"/>
        </w:rPr>
        <w:t xml:space="preserve">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ite</w:t>
      </w:r>
      <w:r w:rsidRPr="00496684">
        <w:rPr>
          <w:rFonts w:eastAsia="Verdana"/>
          <w:spacing w:val="-4"/>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z w:val="22"/>
          <w:szCs w:val="22"/>
          <w:lang w:val="it-IT"/>
        </w:rPr>
        <w:t xml:space="preserve">se si è </w:t>
      </w:r>
      <w:r w:rsidRPr="00496684">
        <w:rPr>
          <w:rFonts w:eastAsia="Verdana"/>
          <w:spacing w:val="2"/>
          <w:sz w:val="22"/>
          <w:szCs w:val="22"/>
          <w:lang w:val="it-IT"/>
        </w:rPr>
        <w:t>a</w:t>
      </w:r>
      <w:r w:rsidRPr="00496684">
        <w:rPr>
          <w:rFonts w:eastAsia="Verdana"/>
          <w:spacing w:val="-1"/>
          <w:sz w:val="22"/>
          <w:szCs w:val="22"/>
          <w:lang w:val="it-IT"/>
        </w:rPr>
        <w:t>vu</w:t>
      </w:r>
      <w:r w:rsidRPr="00496684">
        <w:rPr>
          <w:rFonts w:eastAsia="Verdana"/>
          <w:spacing w:val="1"/>
          <w:sz w:val="22"/>
          <w:szCs w:val="22"/>
          <w:lang w:val="it-IT"/>
        </w:rPr>
        <w:t>ta</w:t>
      </w:r>
      <w:r w:rsidRPr="00496684">
        <w:rPr>
          <w:rFonts w:eastAsia="Verdana"/>
          <w:spacing w:val="-2"/>
          <w:sz w:val="22"/>
          <w:szCs w:val="22"/>
          <w:lang w:val="it-IT"/>
        </w:rPr>
        <w:t xml:space="preserve"> </w:t>
      </w:r>
      <w:r w:rsidRPr="00496684">
        <w:rPr>
          <w:rFonts w:eastAsia="Verdana"/>
          <w:spacing w:val="1"/>
          <w:sz w:val="22"/>
          <w:szCs w:val="22"/>
          <w:lang w:val="it-IT"/>
        </w:rPr>
        <w:t>l</w:t>
      </w:r>
      <w:r w:rsidRPr="00496684">
        <w:rPr>
          <w:rFonts w:eastAsia="Verdana"/>
          <w:sz w:val="22"/>
          <w:szCs w:val="22"/>
          <w:lang w:val="it-IT"/>
        </w:rPr>
        <w:t>’</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tite</w:t>
      </w:r>
      <w:r w:rsidRPr="00496684">
        <w:rPr>
          <w:rFonts w:eastAsia="Verdana"/>
          <w:spacing w:val="-1"/>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pacing w:val="1"/>
          <w:sz w:val="22"/>
          <w:szCs w:val="22"/>
          <w:lang w:val="it-IT"/>
        </w:rPr>
        <w:t>in</w:t>
      </w:r>
      <w:r w:rsidRPr="00496684">
        <w:rPr>
          <w:rFonts w:eastAsia="Verdana"/>
          <w:spacing w:val="-3"/>
          <w:sz w:val="22"/>
          <w:szCs w:val="22"/>
          <w:lang w:val="it-IT"/>
        </w:rPr>
        <w:t xml:space="preserve"> </w:t>
      </w:r>
      <w:r w:rsidRPr="00496684">
        <w:rPr>
          <w:rFonts w:eastAsia="Verdana"/>
          <w:spacing w:val="1"/>
          <w:sz w:val="22"/>
          <w:szCs w:val="22"/>
          <w:lang w:val="it-IT"/>
        </w:rPr>
        <w:t>p</w:t>
      </w:r>
      <w:r w:rsidRPr="00496684">
        <w:rPr>
          <w:rFonts w:eastAsia="Verdana"/>
          <w:sz w:val="22"/>
          <w:szCs w:val="22"/>
          <w:lang w:val="it-IT"/>
        </w:rPr>
        <w:t>assa</w:t>
      </w:r>
      <w:r w:rsidRPr="00496684">
        <w:rPr>
          <w:rFonts w:eastAsia="Verdana"/>
          <w:spacing w:val="1"/>
          <w:sz w:val="22"/>
          <w:szCs w:val="22"/>
          <w:lang w:val="it-IT"/>
        </w:rPr>
        <w:t>to</w:t>
      </w:r>
      <w:r w:rsidRPr="00496684">
        <w:rPr>
          <w:rFonts w:eastAsia="Verdana"/>
          <w:spacing w:val="-1"/>
          <w:sz w:val="22"/>
          <w:szCs w:val="22"/>
          <w:lang w:val="it-IT"/>
        </w:rPr>
        <w:t xml:space="preserve"> </w:t>
      </w:r>
      <w:r w:rsidRPr="00496684">
        <w:rPr>
          <w:rFonts w:eastAsia="Verdana"/>
          <w:sz w:val="22"/>
          <w:szCs w:val="22"/>
          <w:lang w:val="it-IT"/>
        </w:rPr>
        <w:t>(</w:t>
      </w:r>
      <w:r w:rsidRPr="00496684">
        <w:rPr>
          <w:rFonts w:eastAsia="Verdana"/>
          <w:spacing w:val="-1"/>
          <w:sz w:val="22"/>
          <w:szCs w:val="22"/>
          <w:lang w:val="it-IT"/>
        </w:rPr>
        <w:t>un</w:t>
      </w:r>
      <w:r w:rsidRPr="00496684">
        <w:rPr>
          <w:rFonts w:eastAsia="Verdana"/>
          <w:sz w:val="22"/>
          <w:szCs w:val="22"/>
          <w:lang w:val="it-IT"/>
        </w:rPr>
        <w:t xml:space="preserve">a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del</w:t>
      </w:r>
      <w:r w:rsidRPr="00496684">
        <w:rPr>
          <w:rFonts w:eastAsia="Verdana"/>
          <w:spacing w:val="-1"/>
          <w:sz w:val="22"/>
          <w:szCs w:val="22"/>
          <w:lang w:val="it-IT"/>
        </w:rPr>
        <w:t xml:space="preserve"> f</w:t>
      </w:r>
      <w:r w:rsidRPr="00496684">
        <w:rPr>
          <w:rFonts w:eastAsia="Verdana"/>
          <w:spacing w:val="1"/>
          <w:sz w:val="22"/>
          <w:szCs w:val="22"/>
          <w:lang w:val="it-IT"/>
        </w:rPr>
        <w:t>eg</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o</w:t>
      </w:r>
      <w:r w:rsidRPr="00496684">
        <w:rPr>
          <w:rFonts w:eastAsia="Verdana"/>
          <w:sz w:val="22"/>
          <w:szCs w:val="22"/>
          <w:lang w:val="it-IT"/>
        </w:rPr>
        <w:t>).</w:t>
      </w:r>
    </w:p>
    <w:p w14:paraId="6E67DCF7" w14:textId="77777777" w:rsidR="00893DE7" w:rsidRPr="00496684" w:rsidRDefault="00893DE7" w:rsidP="00AE2366">
      <w:pPr>
        <w:pStyle w:val="Text"/>
        <w:widowControl w:val="0"/>
        <w:spacing w:before="0"/>
        <w:ind w:left="576"/>
        <w:jc w:val="left"/>
        <w:rPr>
          <w:sz w:val="22"/>
          <w:szCs w:val="22"/>
          <w:lang w:val="it-IT"/>
        </w:rPr>
      </w:pPr>
    </w:p>
    <w:p w14:paraId="2194D63C" w14:textId="77777777" w:rsidR="005842DF" w:rsidRPr="00496684" w:rsidRDefault="005842DF" w:rsidP="003E577B">
      <w:pPr>
        <w:pStyle w:val="Text"/>
        <w:widowControl w:val="0"/>
        <w:spacing w:before="0"/>
        <w:jc w:val="left"/>
        <w:rPr>
          <w:sz w:val="22"/>
          <w:szCs w:val="22"/>
          <w:lang w:val="it-IT"/>
        </w:rPr>
      </w:pPr>
    </w:p>
    <w:p w14:paraId="65EB81DA" w14:textId="77777777" w:rsidR="003E577B" w:rsidRPr="00496684" w:rsidRDefault="003E577B" w:rsidP="003E577B">
      <w:pPr>
        <w:pStyle w:val="Text"/>
        <w:widowControl w:val="0"/>
        <w:spacing w:before="0"/>
        <w:jc w:val="left"/>
        <w:rPr>
          <w:b/>
          <w:sz w:val="22"/>
          <w:szCs w:val="22"/>
          <w:lang w:val="it-IT"/>
        </w:rPr>
      </w:pPr>
      <w:r w:rsidRPr="00496684">
        <w:rPr>
          <w:sz w:val="22"/>
          <w:szCs w:val="22"/>
          <w:lang w:val="it-IT"/>
        </w:rPr>
        <w:t xml:space="preserve">Se manifesta uno degli effetti sopra descritti, </w:t>
      </w:r>
      <w:r w:rsidRPr="00496684">
        <w:rPr>
          <w:b/>
          <w:sz w:val="22"/>
          <w:szCs w:val="22"/>
          <w:lang w:val="it-IT"/>
        </w:rPr>
        <w:t>informi il medico immediatamente.</w:t>
      </w:r>
    </w:p>
    <w:p w14:paraId="16E18208" w14:textId="77777777" w:rsidR="003E577B" w:rsidRPr="00496684" w:rsidRDefault="003E577B" w:rsidP="003E577B">
      <w:pPr>
        <w:pStyle w:val="Text"/>
        <w:widowControl w:val="0"/>
        <w:spacing w:before="0"/>
        <w:jc w:val="left"/>
        <w:rPr>
          <w:sz w:val="22"/>
          <w:szCs w:val="22"/>
          <w:lang w:val="it-IT"/>
        </w:rPr>
      </w:pPr>
    </w:p>
    <w:p w14:paraId="64462DB8" w14:textId="77777777" w:rsidR="003E577B" w:rsidRPr="00496684" w:rsidRDefault="003E577B" w:rsidP="003E577B">
      <w:pPr>
        <w:pStyle w:val="Text"/>
        <w:widowControl w:val="0"/>
        <w:spacing w:before="0"/>
        <w:jc w:val="left"/>
        <w:rPr>
          <w:b/>
          <w:sz w:val="22"/>
          <w:szCs w:val="22"/>
          <w:lang w:val="it-IT"/>
        </w:rPr>
      </w:pPr>
      <w:r w:rsidRPr="00496684">
        <w:rPr>
          <w:b/>
          <w:sz w:val="22"/>
          <w:szCs w:val="22"/>
          <w:lang w:val="it-IT"/>
        </w:rPr>
        <w:t>Altri effetti indesiderati possono includere:</w:t>
      </w:r>
    </w:p>
    <w:p w14:paraId="7354CA40" w14:textId="77777777" w:rsidR="003E577B" w:rsidRPr="00496684" w:rsidRDefault="003E577B" w:rsidP="003E577B">
      <w:pPr>
        <w:pStyle w:val="Text"/>
        <w:widowControl w:val="0"/>
        <w:spacing w:before="0"/>
        <w:jc w:val="left"/>
        <w:rPr>
          <w:sz w:val="22"/>
          <w:szCs w:val="22"/>
          <w:lang w:val="it-IT"/>
        </w:rPr>
      </w:pPr>
    </w:p>
    <w:p w14:paraId="16DFF45C" w14:textId="16573EBF" w:rsidR="003E577B" w:rsidRPr="00496684" w:rsidRDefault="00DB03B2" w:rsidP="003E577B">
      <w:pPr>
        <w:pStyle w:val="Text"/>
        <w:widowControl w:val="0"/>
        <w:spacing w:before="0"/>
        <w:jc w:val="left"/>
        <w:rPr>
          <w:b/>
          <w:sz w:val="22"/>
          <w:szCs w:val="22"/>
          <w:lang w:val="it-IT"/>
        </w:rPr>
      </w:pPr>
      <w:r w:rsidRPr="00496684">
        <w:rPr>
          <w:b/>
          <w:sz w:val="22"/>
          <w:szCs w:val="22"/>
          <w:lang w:val="it-IT"/>
        </w:rPr>
        <w:t>M</w:t>
      </w:r>
      <w:r w:rsidR="003E577B" w:rsidRPr="00496684">
        <w:rPr>
          <w:b/>
          <w:sz w:val="22"/>
          <w:szCs w:val="22"/>
          <w:lang w:val="it-IT"/>
        </w:rPr>
        <w:t>olto comuni</w:t>
      </w:r>
      <w:r w:rsidR="00414CD0" w:rsidRPr="00496684">
        <w:rPr>
          <w:b/>
          <w:sz w:val="22"/>
          <w:szCs w:val="22"/>
          <w:lang w:val="it-IT"/>
        </w:rPr>
        <w:t xml:space="preserve"> (</w:t>
      </w:r>
      <w:r w:rsidR="00414CD0" w:rsidRPr="00496684">
        <w:rPr>
          <w:sz w:val="22"/>
          <w:szCs w:val="22"/>
          <w:lang w:val="it-IT"/>
        </w:rPr>
        <w:t>può interessare più di 1 persona su 10)</w:t>
      </w:r>
      <w:r w:rsidR="003E577B" w:rsidRPr="00496684">
        <w:rPr>
          <w:b/>
          <w:sz w:val="22"/>
          <w:szCs w:val="22"/>
          <w:lang w:val="it-IT"/>
        </w:rPr>
        <w:t>:</w:t>
      </w:r>
    </w:p>
    <w:p w14:paraId="28AE31AF" w14:textId="77777777" w:rsidR="003E577B" w:rsidRPr="00496684" w:rsidRDefault="003E577B" w:rsidP="003E577B">
      <w:pPr>
        <w:pStyle w:val="Text"/>
        <w:widowControl w:val="0"/>
        <w:numPr>
          <w:ilvl w:val="0"/>
          <w:numId w:val="18"/>
        </w:numPr>
        <w:spacing w:before="0"/>
        <w:jc w:val="left"/>
        <w:rPr>
          <w:sz w:val="22"/>
          <w:szCs w:val="22"/>
          <w:lang w:val="it-IT"/>
        </w:rPr>
      </w:pPr>
      <w:r w:rsidRPr="00496684">
        <w:rPr>
          <w:sz w:val="22"/>
          <w:szCs w:val="22"/>
          <w:lang w:val="it-IT"/>
        </w:rPr>
        <w:t>Mal di testa o sensazione di stanchezza.</w:t>
      </w:r>
    </w:p>
    <w:p w14:paraId="3DB4CC42" w14:textId="77777777" w:rsidR="003E577B" w:rsidRPr="00496684" w:rsidRDefault="003E577B" w:rsidP="003E577B">
      <w:pPr>
        <w:pStyle w:val="Text"/>
        <w:widowControl w:val="0"/>
        <w:numPr>
          <w:ilvl w:val="0"/>
          <w:numId w:val="18"/>
        </w:numPr>
        <w:spacing w:before="0"/>
        <w:jc w:val="left"/>
        <w:rPr>
          <w:sz w:val="22"/>
          <w:szCs w:val="22"/>
          <w:lang w:val="it-IT"/>
        </w:rPr>
      </w:pPr>
      <w:r w:rsidRPr="00496684">
        <w:rPr>
          <w:sz w:val="22"/>
          <w:szCs w:val="22"/>
          <w:lang w:val="it-IT"/>
        </w:rPr>
        <w:t>Sensazione di malessere (nausea), vomito, diarrea o indigestione.</w:t>
      </w:r>
    </w:p>
    <w:p w14:paraId="5C0CD6F8" w14:textId="77777777" w:rsidR="003E577B" w:rsidRPr="00496684" w:rsidRDefault="003E577B" w:rsidP="003E577B">
      <w:pPr>
        <w:pStyle w:val="Text"/>
        <w:widowControl w:val="0"/>
        <w:numPr>
          <w:ilvl w:val="0"/>
          <w:numId w:val="18"/>
        </w:numPr>
        <w:spacing w:before="0"/>
        <w:jc w:val="left"/>
        <w:rPr>
          <w:sz w:val="22"/>
          <w:szCs w:val="22"/>
          <w:lang w:val="it-IT"/>
        </w:rPr>
      </w:pPr>
      <w:r w:rsidRPr="00496684">
        <w:rPr>
          <w:sz w:val="22"/>
          <w:szCs w:val="22"/>
          <w:lang w:val="it-IT"/>
        </w:rPr>
        <w:t>Eruzione cutanea.</w:t>
      </w:r>
    </w:p>
    <w:p w14:paraId="739FBD82" w14:textId="77777777" w:rsidR="003E577B" w:rsidRPr="00496684" w:rsidRDefault="003E577B" w:rsidP="00EF14B2">
      <w:pPr>
        <w:pStyle w:val="Text"/>
        <w:widowControl w:val="0"/>
        <w:numPr>
          <w:ilvl w:val="0"/>
          <w:numId w:val="18"/>
        </w:numPr>
        <w:spacing w:before="0"/>
        <w:jc w:val="left"/>
        <w:rPr>
          <w:sz w:val="22"/>
          <w:szCs w:val="22"/>
          <w:lang w:val="it-IT"/>
        </w:rPr>
      </w:pPr>
      <w:r w:rsidRPr="00496684">
        <w:rPr>
          <w:sz w:val="22"/>
          <w:szCs w:val="22"/>
          <w:lang w:val="it-IT"/>
        </w:rPr>
        <w:t>Crampi muscolari o dolori articolari, ai muscoli o alle ossa</w:t>
      </w:r>
      <w:r w:rsidR="00B94CDD" w:rsidRPr="00496684">
        <w:rPr>
          <w:sz w:val="22"/>
          <w:szCs w:val="22"/>
          <w:lang w:val="it-IT"/>
        </w:rPr>
        <w:t>, durante il trattamento con imatibi o dopo aver smesso di prendere imatinib</w:t>
      </w:r>
      <w:r w:rsidRPr="00496684">
        <w:rPr>
          <w:sz w:val="22"/>
          <w:szCs w:val="22"/>
          <w:lang w:val="it-IT"/>
        </w:rPr>
        <w:t>Gonfiore per esempio intorno alle caviglie o occhi gonfi.</w:t>
      </w:r>
    </w:p>
    <w:p w14:paraId="52362720" w14:textId="77777777" w:rsidR="003E577B" w:rsidRPr="00496684" w:rsidRDefault="003E577B" w:rsidP="003E577B">
      <w:pPr>
        <w:pStyle w:val="Text"/>
        <w:widowControl w:val="0"/>
        <w:numPr>
          <w:ilvl w:val="0"/>
          <w:numId w:val="18"/>
        </w:numPr>
        <w:spacing w:before="0"/>
        <w:jc w:val="left"/>
        <w:rPr>
          <w:sz w:val="22"/>
          <w:szCs w:val="22"/>
          <w:lang w:val="it-IT"/>
        </w:rPr>
      </w:pPr>
      <w:r w:rsidRPr="00496684">
        <w:rPr>
          <w:sz w:val="22"/>
          <w:szCs w:val="22"/>
          <w:lang w:val="it-IT"/>
        </w:rPr>
        <w:t>Aumento di peso.</w:t>
      </w:r>
    </w:p>
    <w:p w14:paraId="0287DD0E" w14:textId="77777777" w:rsidR="003E577B" w:rsidRPr="00496684" w:rsidRDefault="003E577B" w:rsidP="003E577B">
      <w:pPr>
        <w:pStyle w:val="Text"/>
        <w:widowControl w:val="0"/>
        <w:spacing w:before="0"/>
        <w:jc w:val="left"/>
        <w:rPr>
          <w:sz w:val="22"/>
          <w:szCs w:val="22"/>
          <w:lang w:val="it-IT"/>
        </w:rPr>
      </w:pPr>
      <w:r w:rsidRPr="00496684">
        <w:rPr>
          <w:sz w:val="22"/>
          <w:szCs w:val="22"/>
          <w:lang w:val="it-IT"/>
        </w:rPr>
        <w:t xml:space="preserve">Se uno di questi effetti si manifesta in maniera grave, </w:t>
      </w:r>
      <w:r w:rsidRPr="00496684">
        <w:rPr>
          <w:b/>
          <w:sz w:val="22"/>
          <w:szCs w:val="22"/>
          <w:lang w:val="it-IT"/>
        </w:rPr>
        <w:t>informi il medico.</w:t>
      </w:r>
    </w:p>
    <w:p w14:paraId="3138212D" w14:textId="77777777" w:rsidR="003E577B" w:rsidRPr="00496684" w:rsidRDefault="003E577B" w:rsidP="003E577B">
      <w:pPr>
        <w:pStyle w:val="Text"/>
        <w:widowControl w:val="0"/>
        <w:spacing w:before="0"/>
        <w:jc w:val="left"/>
        <w:rPr>
          <w:sz w:val="22"/>
          <w:szCs w:val="22"/>
          <w:lang w:val="it-IT"/>
        </w:rPr>
      </w:pPr>
    </w:p>
    <w:p w14:paraId="515D92F1" w14:textId="53AA850A" w:rsidR="003E577B" w:rsidRPr="00496684" w:rsidRDefault="00DB03B2" w:rsidP="003E577B">
      <w:pPr>
        <w:pStyle w:val="Text"/>
        <w:widowControl w:val="0"/>
        <w:spacing w:before="0"/>
        <w:jc w:val="left"/>
        <w:rPr>
          <w:b/>
          <w:bCs/>
          <w:sz w:val="22"/>
          <w:szCs w:val="22"/>
          <w:lang w:val="it-IT"/>
        </w:rPr>
      </w:pPr>
      <w:r w:rsidRPr="00496684">
        <w:rPr>
          <w:b/>
          <w:bCs/>
          <w:sz w:val="22"/>
          <w:szCs w:val="22"/>
          <w:lang w:val="it-IT"/>
        </w:rPr>
        <w:t>C</w:t>
      </w:r>
      <w:r w:rsidR="003E577B" w:rsidRPr="00496684">
        <w:rPr>
          <w:b/>
          <w:bCs/>
          <w:sz w:val="22"/>
          <w:szCs w:val="22"/>
          <w:lang w:val="it-IT"/>
        </w:rPr>
        <w:t>omuni</w:t>
      </w:r>
      <w:r w:rsidR="00414CD0" w:rsidRPr="00496684">
        <w:rPr>
          <w:b/>
          <w:bCs/>
          <w:sz w:val="22"/>
          <w:szCs w:val="22"/>
          <w:lang w:val="it-IT"/>
        </w:rPr>
        <w:t xml:space="preserve"> (</w:t>
      </w:r>
      <w:r w:rsidR="00414CD0" w:rsidRPr="00496684">
        <w:rPr>
          <w:sz w:val="22"/>
          <w:szCs w:val="22"/>
          <w:lang w:val="it-IT"/>
        </w:rPr>
        <w:t>può interessare fino a 1 persona su 10)</w:t>
      </w:r>
      <w:r w:rsidR="003E577B" w:rsidRPr="00496684">
        <w:rPr>
          <w:b/>
          <w:bCs/>
          <w:sz w:val="22"/>
          <w:szCs w:val="22"/>
          <w:lang w:val="it-IT"/>
        </w:rPr>
        <w:t>:</w:t>
      </w:r>
    </w:p>
    <w:p w14:paraId="0DDAFEFF"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Anoressia, perdita di peso o disturbi del senso del gusto.</w:t>
      </w:r>
    </w:p>
    <w:p w14:paraId="25752F24"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Sensazione di stordimento o di debolezza.</w:t>
      </w:r>
    </w:p>
    <w:p w14:paraId="1B9E3BE4"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Disturbi del sonno (insonnia).</w:t>
      </w:r>
    </w:p>
    <w:p w14:paraId="206C5C11"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Secrezione dagli occhi con prurito, arrossamento e gonfiore (congiuntivite), aumento della lacrimazione o visione offuscata.</w:t>
      </w:r>
    </w:p>
    <w:p w14:paraId="7814C187"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Sanguinamento del naso.</w:t>
      </w:r>
    </w:p>
    <w:p w14:paraId="4F515193"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Dolore o rigonfiamento addominale, flatulenza, bruciori di stomaco o stipsi.</w:t>
      </w:r>
    </w:p>
    <w:p w14:paraId="7DB36637"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Prurito.</w:t>
      </w:r>
    </w:p>
    <w:p w14:paraId="666548CF"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Insolita perdita o assottigliamento dei capelli.</w:t>
      </w:r>
    </w:p>
    <w:p w14:paraId="56A71EB7"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Torpore delle mani o dei piedi.</w:t>
      </w:r>
    </w:p>
    <w:p w14:paraId="64523370"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Ulcerazioni della bocca.</w:t>
      </w:r>
    </w:p>
    <w:p w14:paraId="408C2B2D"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Dolore articolare con gonfiore.</w:t>
      </w:r>
    </w:p>
    <w:p w14:paraId="5C612EDE"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Secchezza della bocca, secchezza della pelle o secchezza degli occhi.</w:t>
      </w:r>
    </w:p>
    <w:p w14:paraId="174FEC78"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Riduzione o aumento della sensibilità della pelle.</w:t>
      </w:r>
    </w:p>
    <w:p w14:paraId="702F67B2" w14:textId="77777777" w:rsidR="003E577B" w:rsidRPr="00496684" w:rsidRDefault="003E577B" w:rsidP="003E577B">
      <w:pPr>
        <w:pStyle w:val="Text"/>
        <w:widowControl w:val="0"/>
        <w:numPr>
          <w:ilvl w:val="0"/>
          <w:numId w:val="19"/>
        </w:numPr>
        <w:spacing w:before="0"/>
        <w:jc w:val="left"/>
        <w:rPr>
          <w:sz w:val="22"/>
          <w:szCs w:val="22"/>
          <w:lang w:val="it-IT"/>
        </w:rPr>
      </w:pPr>
      <w:r w:rsidRPr="00496684">
        <w:rPr>
          <w:sz w:val="22"/>
          <w:szCs w:val="22"/>
          <w:lang w:val="it-IT"/>
        </w:rPr>
        <w:t>Vampate di calore, brividi o sudorazione notturna.</w:t>
      </w:r>
    </w:p>
    <w:p w14:paraId="65AA0907" w14:textId="77777777" w:rsidR="003E577B" w:rsidRPr="00496684" w:rsidRDefault="003E577B" w:rsidP="003E577B">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47294B00" w14:textId="77777777" w:rsidR="003E577B" w:rsidRPr="00496684" w:rsidRDefault="003E577B" w:rsidP="003E577B">
      <w:pPr>
        <w:pStyle w:val="Text"/>
        <w:widowControl w:val="0"/>
        <w:spacing w:before="0"/>
        <w:jc w:val="left"/>
        <w:rPr>
          <w:sz w:val="22"/>
          <w:szCs w:val="22"/>
          <w:lang w:val="it-IT"/>
        </w:rPr>
      </w:pPr>
    </w:p>
    <w:p w14:paraId="162F29B3" w14:textId="77777777" w:rsidR="003E577B" w:rsidRPr="00496684" w:rsidRDefault="003E577B" w:rsidP="003E577B">
      <w:pPr>
        <w:pStyle w:val="Text"/>
        <w:widowControl w:val="0"/>
        <w:spacing w:before="0"/>
        <w:jc w:val="left"/>
        <w:rPr>
          <w:b/>
          <w:sz w:val="22"/>
          <w:szCs w:val="22"/>
          <w:lang w:val="it-IT"/>
        </w:rPr>
      </w:pPr>
      <w:r w:rsidRPr="00496684">
        <w:rPr>
          <w:b/>
          <w:sz w:val="22"/>
          <w:szCs w:val="22"/>
          <w:lang w:val="it-IT"/>
        </w:rPr>
        <w:t>Non nota</w:t>
      </w:r>
      <w:r w:rsidR="00414CD0" w:rsidRPr="00496684">
        <w:rPr>
          <w:b/>
          <w:sz w:val="22"/>
          <w:szCs w:val="22"/>
          <w:lang w:val="it-IT"/>
        </w:rPr>
        <w:t xml:space="preserve"> </w:t>
      </w:r>
      <w:r w:rsidR="00414CD0" w:rsidRPr="00496684">
        <w:rPr>
          <w:sz w:val="22"/>
          <w:szCs w:val="22"/>
          <w:lang w:val="it-IT"/>
        </w:rPr>
        <w:t xml:space="preserve">(la frequenza non può essere </w:t>
      </w:r>
      <w:r w:rsidR="00C66631" w:rsidRPr="00496684">
        <w:rPr>
          <w:sz w:val="22"/>
          <w:szCs w:val="22"/>
          <w:lang w:val="it-IT"/>
        </w:rPr>
        <w:t>definita</w:t>
      </w:r>
      <w:r w:rsidR="00414CD0" w:rsidRPr="00496684">
        <w:rPr>
          <w:sz w:val="22"/>
          <w:szCs w:val="22"/>
          <w:lang w:val="it-IT"/>
        </w:rPr>
        <w:t xml:space="preserve"> sulla base dei dati disponibili)</w:t>
      </w:r>
      <w:r w:rsidRPr="00496684">
        <w:rPr>
          <w:b/>
          <w:sz w:val="22"/>
          <w:szCs w:val="22"/>
          <w:lang w:val="it-IT"/>
        </w:rPr>
        <w:t>:</w:t>
      </w:r>
    </w:p>
    <w:p w14:paraId="2A5F84AE" w14:textId="77777777" w:rsidR="003E577B" w:rsidRPr="00496684" w:rsidRDefault="003E577B" w:rsidP="003E577B">
      <w:pPr>
        <w:pStyle w:val="Text"/>
        <w:widowControl w:val="0"/>
        <w:numPr>
          <w:ilvl w:val="0"/>
          <w:numId w:val="20"/>
        </w:numPr>
        <w:spacing w:before="0"/>
        <w:jc w:val="left"/>
        <w:rPr>
          <w:sz w:val="22"/>
          <w:szCs w:val="22"/>
          <w:lang w:val="it-IT"/>
        </w:rPr>
      </w:pPr>
      <w:r w:rsidRPr="00496684">
        <w:rPr>
          <w:sz w:val="22"/>
          <w:szCs w:val="22"/>
          <w:lang w:val="it-IT"/>
        </w:rPr>
        <w:t>Arrossamento e/o gonfiore dei palmi delle mani e delle piante dei piedi che può essere accompagnato da sensazione di formicolio e bruciore doloroso.</w:t>
      </w:r>
    </w:p>
    <w:p w14:paraId="2D71DA15" w14:textId="77777777" w:rsidR="00B56712" w:rsidRPr="00496684" w:rsidRDefault="00B56712" w:rsidP="003E577B">
      <w:pPr>
        <w:pStyle w:val="Text"/>
        <w:widowControl w:val="0"/>
        <w:numPr>
          <w:ilvl w:val="0"/>
          <w:numId w:val="20"/>
        </w:numPr>
        <w:spacing w:before="0"/>
        <w:jc w:val="left"/>
        <w:rPr>
          <w:sz w:val="22"/>
          <w:szCs w:val="22"/>
          <w:lang w:val="it-IT"/>
        </w:rPr>
      </w:pPr>
      <w:r w:rsidRPr="00496684">
        <w:rPr>
          <w:sz w:val="22"/>
          <w:szCs w:val="22"/>
          <w:lang w:val="it-IT"/>
        </w:rPr>
        <w:t>Lesioni della cute dolorose e/o con formazione di vesciche.</w:t>
      </w:r>
    </w:p>
    <w:p w14:paraId="03C82D6D" w14:textId="77777777" w:rsidR="003E577B" w:rsidRPr="00496684" w:rsidRDefault="003E577B" w:rsidP="003E577B">
      <w:pPr>
        <w:pStyle w:val="Text"/>
        <w:widowControl w:val="0"/>
        <w:numPr>
          <w:ilvl w:val="0"/>
          <w:numId w:val="20"/>
        </w:numPr>
        <w:spacing w:before="0"/>
        <w:jc w:val="left"/>
        <w:rPr>
          <w:sz w:val="22"/>
          <w:szCs w:val="22"/>
          <w:lang w:val="it-IT"/>
        </w:rPr>
      </w:pPr>
      <w:r w:rsidRPr="00496684">
        <w:rPr>
          <w:sz w:val="22"/>
          <w:szCs w:val="22"/>
          <w:lang w:val="it-IT"/>
        </w:rPr>
        <w:t>Rallentamento della crescita in bambini e adolescenti.</w:t>
      </w:r>
    </w:p>
    <w:p w14:paraId="038B0800" w14:textId="77777777" w:rsidR="003E577B" w:rsidRPr="00496684" w:rsidRDefault="003E577B" w:rsidP="003E577B">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07BE8BBF" w14:textId="77777777" w:rsidR="003E577B" w:rsidRPr="00496684" w:rsidRDefault="003E577B" w:rsidP="003E577B">
      <w:pPr>
        <w:pStyle w:val="Text"/>
        <w:widowControl w:val="0"/>
        <w:spacing w:before="0"/>
        <w:jc w:val="left"/>
        <w:rPr>
          <w:sz w:val="22"/>
          <w:szCs w:val="22"/>
          <w:lang w:val="it-IT"/>
        </w:rPr>
      </w:pPr>
    </w:p>
    <w:p w14:paraId="3403C427" w14:textId="77777777" w:rsidR="00667289" w:rsidRPr="00496684" w:rsidRDefault="00667289" w:rsidP="00667289">
      <w:pPr>
        <w:tabs>
          <w:tab w:val="left" w:pos="6300"/>
        </w:tabs>
        <w:spacing w:after="0" w:line="240" w:lineRule="auto"/>
        <w:ind w:right="-2"/>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Segnalazione degli effetti indesiderati</w:t>
      </w:r>
    </w:p>
    <w:p w14:paraId="0F88D4A0" w14:textId="77777777" w:rsidR="00667289" w:rsidRPr="00496684" w:rsidRDefault="00667289" w:rsidP="00667289">
      <w:pPr>
        <w:tabs>
          <w:tab w:val="left" w:pos="6300"/>
        </w:tabs>
        <w:spacing w:after="0" w:line="240" w:lineRule="auto"/>
        <w:ind w:right="-2"/>
        <w:rPr>
          <w:rFonts w:ascii="Times New Roman" w:eastAsia="Times New Roman" w:hAnsi="Times New Roman"/>
          <w:lang w:val="it-IT" w:eastAsia="it-IT"/>
        </w:rPr>
      </w:pPr>
      <w:r w:rsidRPr="00496684">
        <w:rPr>
          <w:rFonts w:ascii="Times New Roman" w:eastAsia="Times New Roman" w:hAnsi="Times New Roman"/>
          <w:lang w:val="it-IT" w:eastAsia="it-IT"/>
        </w:rPr>
        <w:t xml:space="preserve">Se manifesta un qualsiasi effetto indesiderato, compresi quelli non elencati in questo foglio, si rivolga al medico, al farmacista o all’infermiere. Lei può inoltre segnalare gli effetti indesiderati direttamente tramite </w:t>
      </w:r>
      <w:r w:rsidRPr="00496684">
        <w:rPr>
          <w:rFonts w:ascii="Times New Roman" w:eastAsia="Times New Roman" w:hAnsi="Times New Roman"/>
          <w:highlight w:val="lightGray"/>
          <w:lang w:val="it-IT" w:eastAsia="it-IT"/>
        </w:rPr>
        <w:t>il sistema nazionale di segnalazione riportato nell’</w:t>
      </w:r>
      <w:hyperlink r:id="rId23" w:history="1">
        <w:r w:rsidR="00A23E54" w:rsidRPr="00496684">
          <w:rPr>
            <w:rStyle w:val="Hyperlink"/>
            <w:rFonts w:ascii="Times New Roman" w:hAnsi="Times New Roman"/>
            <w:noProof/>
            <w:highlight w:val="lightGray"/>
            <w:lang w:val="it-IT"/>
          </w:rPr>
          <w:t>Allegato V</w:t>
        </w:r>
      </w:hyperlink>
      <w:r w:rsidR="00A23E54" w:rsidRPr="00496684">
        <w:rPr>
          <w:rFonts w:ascii="Times New Roman" w:hAnsi="Times New Roman"/>
          <w:noProof/>
          <w:lang w:val="it-IT"/>
        </w:rPr>
        <w:t xml:space="preserve">. </w:t>
      </w:r>
      <w:r w:rsidR="00A23E54" w:rsidRPr="00496684">
        <w:rPr>
          <w:rFonts w:ascii="Times New Roman" w:hAnsi="Times New Roman"/>
          <w:lang w:val="it-IT"/>
        </w:rPr>
        <w:t xml:space="preserve"> </w:t>
      </w:r>
      <w:r w:rsidR="00A23E54" w:rsidRPr="00496684">
        <w:rPr>
          <w:rFonts w:ascii="Times New Roman" w:hAnsi="Times New Roman"/>
          <w:noProof/>
          <w:lang w:val="it-IT"/>
        </w:rPr>
        <w:t>Segnalando gli effetti indesiderati lei può contribuire a fornire maggiori informazioni sulla sicurezza di questo medicinale.</w:t>
      </w:r>
      <w:r w:rsidRPr="00496684">
        <w:rPr>
          <w:rFonts w:ascii="Times New Roman" w:eastAsia="Times New Roman" w:hAnsi="Times New Roman"/>
          <w:lang w:val="it-IT" w:eastAsia="it-IT"/>
        </w:rPr>
        <w:t xml:space="preserve"> </w:t>
      </w:r>
    </w:p>
    <w:p w14:paraId="0F51CA68" w14:textId="77777777" w:rsidR="00667289" w:rsidRPr="00496684" w:rsidRDefault="00667289" w:rsidP="003E577B">
      <w:pPr>
        <w:autoSpaceDE w:val="0"/>
        <w:autoSpaceDN w:val="0"/>
        <w:adjustRightInd w:val="0"/>
        <w:spacing w:after="0" w:line="240" w:lineRule="auto"/>
        <w:rPr>
          <w:rFonts w:ascii="Times New Roman" w:eastAsia="Times New Roman" w:hAnsi="Times New Roman"/>
          <w:b/>
          <w:lang w:val="it-IT" w:eastAsia="it-IT"/>
        </w:rPr>
      </w:pPr>
    </w:p>
    <w:p w14:paraId="4FCEA7CF" w14:textId="77777777" w:rsidR="0020671B" w:rsidRPr="00496684" w:rsidRDefault="0020671B" w:rsidP="00B94092">
      <w:pPr>
        <w:autoSpaceDE w:val="0"/>
        <w:autoSpaceDN w:val="0"/>
        <w:adjustRightInd w:val="0"/>
        <w:spacing w:after="0" w:line="240" w:lineRule="auto"/>
        <w:rPr>
          <w:rFonts w:ascii="Times New Roman" w:hAnsi="Times New Roman"/>
          <w:bCs/>
          <w:lang w:val="it-IT"/>
        </w:rPr>
      </w:pPr>
    </w:p>
    <w:p w14:paraId="46089A99" w14:textId="77777777" w:rsidR="00B94092" w:rsidRPr="00496684" w:rsidRDefault="00B94092" w:rsidP="00B94092">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0014627F" w:rsidRPr="00496684">
        <w:rPr>
          <w:rFonts w:ascii="Times New Roman" w:hAnsi="Times New Roman"/>
          <w:b/>
          <w:lang w:val="it-IT"/>
        </w:rPr>
        <w:t>Come conservare Imatinib Actavis</w:t>
      </w:r>
    </w:p>
    <w:p w14:paraId="531FB6B9" w14:textId="77777777" w:rsidR="00B94092" w:rsidRPr="00496684" w:rsidRDefault="00B94092" w:rsidP="00B94092">
      <w:pPr>
        <w:autoSpaceDE w:val="0"/>
        <w:autoSpaceDN w:val="0"/>
        <w:adjustRightInd w:val="0"/>
        <w:spacing w:after="0" w:line="240" w:lineRule="auto"/>
        <w:rPr>
          <w:rFonts w:ascii="Times New Roman" w:hAnsi="Times New Roman"/>
          <w:bCs/>
          <w:lang w:val="it-IT"/>
        </w:rPr>
      </w:pPr>
    </w:p>
    <w:p w14:paraId="02B1BA91" w14:textId="77777777" w:rsidR="003E577B" w:rsidRPr="00496684" w:rsidRDefault="003E577B" w:rsidP="003E577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Tenere questo medicinale fuori dalla vista e dalla portata dei bambini.</w:t>
      </w:r>
    </w:p>
    <w:p w14:paraId="774EFA9B" w14:textId="77777777" w:rsidR="003E577B" w:rsidRPr="00496684" w:rsidRDefault="003E577B" w:rsidP="003E577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usi questo medicinale dopo la data di scadenza che è riportata sulla scatola</w:t>
      </w:r>
      <w:r w:rsidR="00B56712" w:rsidRPr="00496684">
        <w:rPr>
          <w:rFonts w:ascii="Times New Roman" w:eastAsia="Times New Roman" w:hAnsi="Times New Roman"/>
          <w:lang w:val="it-IT" w:eastAsia="it-IT"/>
        </w:rPr>
        <w:t xml:space="preserve"> </w:t>
      </w:r>
      <w:r w:rsidR="00DB03B2" w:rsidRPr="00496684">
        <w:rPr>
          <w:rFonts w:ascii="Times New Roman" w:eastAsia="Times New Roman" w:hAnsi="Times New Roman"/>
          <w:lang w:val="it-IT" w:eastAsia="it-IT"/>
        </w:rPr>
        <w:t xml:space="preserve">e sul blister </w:t>
      </w:r>
      <w:r w:rsidR="00B56712" w:rsidRPr="00496684">
        <w:rPr>
          <w:rFonts w:ascii="Times New Roman" w:eastAsia="Times New Roman" w:hAnsi="Times New Roman"/>
          <w:lang w:val="it-IT" w:eastAsia="it-IT"/>
        </w:rPr>
        <w:t>dopo Scad</w:t>
      </w:r>
      <w:r w:rsidRPr="00496684">
        <w:rPr>
          <w:rFonts w:ascii="Times New Roman" w:eastAsia="Times New Roman" w:hAnsi="Times New Roman"/>
          <w:lang w:val="it-IT" w:eastAsia="it-IT"/>
        </w:rPr>
        <w:t>.</w:t>
      </w:r>
      <w:r w:rsidR="00663936" w:rsidRPr="00496684">
        <w:rPr>
          <w:rFonts w:ascii="Times New Roman" w:eastAsia="Times New Roman" w:hAnsi="Times New Roman"/>
          <w:lang w:val="it-IT" w:eastAsia="it-IT"/>
        </w:rPr>
        <w:t xml:space="preserve"> La data di scadenza si riferisce all'ultimo giorno di quel mese.</w:t>
      </w:r>
    </w:p>
    <w:p w14:paraId="2BF0F36A" w14:textId="77777777" w:rsidR="003E577B" w:rsidRPr="00496684" w:rsidRDefault="003E577B" w:rsidP="003E577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Non conservare a temperatura superiore ai </w:t>
      </w:r>
      <w:smartTag w:uri="urn:schemas-microsoft-com:office:smarttags" w:element="metricconverter">
        <w:smartTagPr>
          <w:attr w:name="ProductID" w:val="30ﾰC"/>
        </w:smartTagPr>
        <w:r w:rsidRPr="00496684">
          <w:rPr>
            <w:rFonts w:ascii="Times New Roman" w:eastAsia="Times New Roman" w:hAnsi="Times New Roman"/>
            <w:lang w:val="it-IT" w:eastAsia="it-IT"/>
          </w:rPr>
          <w:t>30°C</w:t>
        </w:r>
      </w:smartTag>
      <w:r w:rsidRPr="00496684">
        <w:rPr>
          <w:rFonts w:ascii="Times New Roman" w:eastAsia="Times New Roman" w:hAnsi="Times New Roman"/>
          <w:lang w:val="it-IT" w:eastAsia="it-IT"/>
        </w:rPr>
        <w:t>.Conservare nella confezione originale per proteggere il medicinale dall’umidità.</w:t>
      </w:r>
    </w:p>
    <w:p w14:paraId="55B6F1AA" w14:textId="77777777" w:rsidR="003E577B" w:rsidRPr="00496684" w:rsidRDefault="003E577B" w:rsidP="003E577B">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utilizzare se la confezione dovesse essere danneggiata o presentare segni di manomissione.</w:t>
      </w:r>
    </w:p>
    <w:p w14:paraId="6661DD86" w14:textId="77777777" w:rsidR="003E577B" w:rsidRPr="00496684" w:rsidRDefault="003E577B" w:rsidP="00B94092">
      <w:pPr>
        <w:autoSpaceDE w:val="0"/>
        <w:autoSpaceDN w:val="0"/>
        <w:adjustRightInd w:val="0"/>
        <w:spacing w:after="0" w:line="240" w:lineRule="auto"/>
        <w:rPr>
          <w:rFonts w:ascii="Times New Roman" w:hAnsi="Times New Roman"/>
          <w:bCs/>
          <w:lang w:val="it-IT"/>
        </w:rPr>
      </w:pPr>
    </w:p>
    <w:p w14:paraId="537C448E" w14:textId="77777777" w:rsidR="00663936" w:rsidRPr="00496684" w:rsidRDefault="00663936" w:rsidP="00663936">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getti alcun medicinale nell’acqua di scarico e nei rifiuti domestici. Chieda al farmacista come eliminare i medicinali che non utilizza più. Questo aiuterà a proteggere l’ambiente.</w:t>
      </w:r>
    </w:p>
    <w:p w14:paraId="615EE47C"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10704E47" w14:textId="77777777" w:rsidR="0020671B" w:rsidRPr="00496684" w:rsidRDefault="0020671B" w:rsidP="00B94092">
      <w:pPr>
        <w:autoSpaceDE w:val="0"/>
        <w:autoSpaceDN w:val="0"/>
        <w:adjustRightInd w:val="0"/>
        <w:spacing w:after="0" w:line="240" w:lineRule="auto"/>
        <w:rPr>
          <w:rFonts w:ascii="Times New Roman" w:hAnsi="Times New Roman"/>
          <w:lang w:val="it-IT"/>
        </w:rPr>
      </w:pPr>
    </w:p>
    <w:p w14:paraId="3F77BC7B" w14:textId="77777777" w:rsidR="00B94092" w:rsidRPr="00496684" w:rsidRDefault="00B94092" w:rsidP="00B94092">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00663936" w:rsidRPr="00496684">
        <w:rPr>
          <w:rFonts w:ascii="Times New Roman" w:hAnsi="Times New Roman"/>
          <w:b/>
          <w:lang w:val="it-IT"/>
        </w:rPr>
        <w:t>Contenuto della confezione e altre informazioni</w:t>
      </w:r>
    </w:p>
    <w:p w14:paraId="6F86877C" w14:textId="77777777" w:rsidR="00B94092" w:rsidRPr="00496684" w:rsidRDefault="00B94092" w:rsidP="00B94092">
      <w:pPr>
        <w:autoSpaceDE w:val="0"/>
        <w:autoSpaceDN w:val="0"/>
        <w:adjustRightInd w:val="0"/>
        <w:spacing w:after="0" w:line="240" w:lineRule="auto"/>
        <w:rPr>
          <w:rFonts w:ascii="Times New Roman" w:hAnsi="Times New Roman"/>
          <w:bCs/>
          <w:lang w:val="it-IT"/>
        </w:rPr>
      </w:pPr>
    </w:p>
    <w:p w14:paraId="170880DB" w14:textId="77777777" w:rsidR="00B94092" w:rsidRPr="00496684" w:rsidRDefault="00663936" w:rsidP="00B94092">
      <w:pPr>
        <w:autoSpaceDE w:val="0"/>
        <w:autoSpaceDN w:val="0"/>
        <w:adjustRightInd w:val="0"/>
        <w:spacing w:after="0" w:line="240" w:lineRule="auto"/>
        <w:rPr>
          <w:rFonts w:ascii="Times New Roman" w:hAnsi="Times New Roman"/>
          <w:b/>
          <w:bCs/>
          <w:lang w:val="it-IT"/>
        </w:rPr>
      </w:pPr>
      <w:r w:rsidRPr="00496684">
        <w:rPr>
          <w:rFonts w:ascii="Times New Roman" w:hAnsi="Times New Roman"/>
          <w:b/>
          <w:lang w:val="it-IT"/>
        </w:rPr>
        <w:t>Cosa contiene</w:t>
      </w:r>
      <w:r w:rsidRPr="00496684">
        <w:rPr>
          <w:rFonts w:ascii="Times New Roman" w:hAnsi="Times New Roman"/>
          <w:b/>
          <w:bCs/>
          <w:lang w:val="it-IT"/>
        </w:rPr>
        <w:t xml:space="preserve"> Imatinib Actavis</w:t>
      </w:r>
    </w:p>
    <w:p w14:paraId="3C441F1C" w14:textId="77777777" w:rsidR="00414CD0" w:rsidRPr="00496684" w:rsidRDefault="00414CD0" w:rsidP="00B94092">
      <w:pPr>
        <w:autoSpaceDE w:val="0"/>
        <w:autoSpaceDN w:val="0"/>
        <w:adjustRightInd w:val="0"/>
        <w:spacing w:after="0" w:line="240" w:lineRule="auto"/>
        <w:rPr>
          <w:rFonts w:ascii="Times New Roman" w:hAnsi="Times New Roman"/>
          <w:b/>
          <w:bCs/>
          <w:lang w:val="it-IT"/>
        </w:rPr>
      </w:pPr>
    </w:p>
    <w:p w14:paraId="1C6A4EF0" w14:textId="77777777" w:rsidR="00663936" w:rsidRPr="00496684" w:rsidRDefault="00663936" w:rsidP="00663936">
      <w:pPr>
        <w:widowControl w:val="0"/>
        <w:numPr>
          <w:ilvl w:val="0"/>
          <w:numId w:val="13"/>
        </w:numPr>
        <w:spacing w:after="0" w:line="240" w:lineRule="auto"/>
        <w:ind w:left="567" w:right="-2" w:hanging="567"/>
        <w:jc w:val="both"/>
        <w:rPr>
          <w:rFonts w:ascii="Times New Roman" w:hAnsi="Times New Roman"/>
          <w:lang w:val="it-IT"/>
        </w:rPr>
      </w:pPr>
      <w:r w:rsidRPr="00496684">
        <w:rPr>
          <w:rFonts w:ascii="Times New Roman" w:hAnsi="Times New Roman"/>
          <w:lang w:val="it-IT"/>
        </w:rPr>
        <w:t xml:space="preserve">Il principio attivo è imatinib </w:t>
      </w:r>
      <w:r w:rsidR="0014627F" w:rsidRPr="00496684">
        <w:rPr>
          <w:rFonts w:ascii="Times New Roman" w:hAnsi="Times New Roman"/>
          <w:lang w:val="it-IT"/>
        </w:rPr>
        <w:t xml:space="preserve">(come </w:t>
      </w:r>
      <w:r w:rsidRPr="00496684">
        <w:rPr>
          <w:rFonts w:ascii="Times New Roman" w:hAnsi="Times New Roman"/>
          <w:lang w:val="it-IT"/>
        </w:rPr>
        <w:t>mesilato</w:t>
      </w:r>
      <w:r w:rsidR="0014627F" w:rsidRPr="00496684">
        <w:rPr>
          <w:rFonts w:ascii="Times New Roman" w:hAnsi="Times New Roman"/>
          <w:lang w:val="it-IT"/>
        </w:rPr>
        <w:t>)</w:t>
      </w:r>
      <w:r w:rsidRPr="00496684">
        <w:rPr>
          <w:rFonts w:ascii="Times New Roman" w:hAnsi="Times New Roman"/>
          <w:lang w:val="it-IT"/>
        </w:rPr>
        <w:t>. Ogni compressa contiene 100 mg di imatinib (come mesilato).</w:t>
      </w:r>
    </w:p>
    <w:p w14:paraId="356317E4" w14:textId="18020306" w:rsidR="00663936" w:rsidRPr="00496684" w:rsidRDefault="00663936" w:rsidP="00663936">
      <w:pPr>
        <w:autoSpaceDE w:val="0"/>
        <w:autoSpaceDN w:val="0"/>
        <w:adjustRightInd w:val="0"/>
        <w:spacing w:after="0" w:line="240" w:lineRule="auto"/>
        <w:jc w:val="both"/>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Gli altri componenti sono cellulosa microcristallina, copovidone, crospovidone, sodio ste</w:t>
      </w:r>
      <w:r w:rsidR="0014627F" w:rsidRPr="00496684">
        <w:rPr>
          <w:rFonts w:ascii="Times New Roman" w:hAnsi="Times New Roman"/>
          <w:lang w:val="it-IT"/>
        </w:rPr>
        <w:t>a</w:t>
      </w:r>
      <w:r w:rsidRPr="00496684">
        <w:rPr>
          <w:rFonts w:ascii="Times New Roman" w:hAnsi="Times New Roman"/>
          <w:lang w:val="it-IT"/>
        </w:rPr>
        <w:t xml:space="preserve">ril </w:t>
      </w:r>
      <w:r w:rsidRPr="00496684">
        <w:rPr>
          <w:rFonts w:ascii="Times New Roman" w:hAnsi="Times New Roman"/>
          <w:lang w:val="it-IT"/>
        </w:rPr>
        <w:tab/>
        <w:t xml:space="preserve">fumarato, silice (colloidale idrofobica e colloidale anidra), polivinilalcol parzialmente idrolizzato, </w:t>
      </w:r>
      <w:r w:rsidRPr="00496684">
        <w:rPr>
          <w:rFonts w:ascii="Times New Roman" w:hAnsi="Times New Roman"/>
          <w:lang w:val="it-IT"/>
        </w:rPr>
        <w:tab/>
        <w:t xml:space="preserve">talco, ferro ossido giallo (E172), titanio diossido (E171), ferro ossido rosso (E172), lecitina (soia) </w:t>
      </w:r>
      <w:r w:rsidRPr="00496684">
        <w:rPr>
          <w:rFonts w:ascii="Times New Roman" w:hAnsi="Times New Roman"/>
          <w:lang w:val="it-IT"/>
        </w:rPr>
        <w:tab/>
        <w:t>(E322), gomma xantano (E415)</w:t>
      </w:r>
    </w:p>
    <w:p w14:paraId="35986357" w14:textId="77777777" w:rsidR="00B94092" w:rsidRPr="00496684" w:rsidRDefault="00B94092" w:rsidP="00B94092">
      <w:pPr>
        <w:autoSpaceDE w:val="0"/>
        <w:autoSpaceDN w:val="0"/>
        <w:adjustRightInd w:val="0"/>
        <w:spacing w:after="0" w:line="240" w:lineRule="auto"/>
        <w:ind w:left="567" w:hanging="567"/>
        <w:rPr>
          <w:rFonts w:ascii="Times New Roman" w:hAnsi="Times New Roman"/>
          <w:highlight w:val="lightGray"/>
          <w:lang w:val="it-IT"/>
        </w:rPr>
      </w:pPr>
    </w:p>
    <w:p w14:paraId="3227CE75"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3C282DC7" w14:textId="77777777" w:rsidR="00663936" w:rsidRPr="00496684" w:rsidRDefault="00663936" w:rsidP="00663936">
      <w:pPr>
        <w:ind w:right="-2"/>
        <w:rPr>
          <w:rFonts w:ascii="Times New Roman" w:hAnsi="Times New Roman"/>
          <w:b/>
          <w:lang w:val="it-IT"/>
        </w:rPr>
      </w:pPr>
      <w:r w:rsidRPr="00496684">
        <w:rPr>
          <w:rFonts w:ascii="Times New Roman" w:hAnsi="Times New Roman"/>
          <w:b/>
          <w:lang w:val="it-IT"/>
        </w:rPr>
        <w:t xml:space="preserve">Descrizione dell’aspetto di </w:t>
      </w:r>
      <w:r w:rsidR="00521ABE" w:rsidRPr="00496684">
        <w:rPr>
          <w:rFonts w:ascii="Times New Roman" w:hAnsi="Times New Roman"/>
          <w:b/>
          <w:lang w:val="it-IT"/>
        </w:rPr>
        <w:t>Imatinib Actavis</w:t>
      </w:r>
      <w:r w:rsidRPr="00496684">
        <w:rPr>
          <w:rFonts w:ascii="Times New Roman" w:hAnsi="Times New Roman"/>
          <w:b/>
          <w:lang w:val="it-IT"/>
        </w:rPr>
        <w:t xml:space="preserve"> e contenuto della confezione</w:t>
      </w:r>
    </w:p>
    <w:p w14:paraId="6C710BE0" w14:textId="77777777" w:rsidR="00663936" w:rsidRPr="00496684" w:rsidRDefault="0014627F" w:rsidP="00663936">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Compressa rivestita con film, r</w:t>
      </w:r>
      <w:r w:rsidR="00663936" w:rsidRPr="00496684">
        <w:rPr>
          <w:rFonts w:ascii="Times New Roman" w:hAnsi="Times New Roman"/>
          <w:lang w:val="it-IT"/>
        </w:rPr>
        <w:t xml:space="preserve">otonda,  biconvessa  di colore da giallo molto scuro </w:t>
      </w:r>
      <w:r w:rsidRPr="00496684">
        <w:rPr>
          <w:rFonts w:ascii="Times New Roman" w:hAnsi="Times New Roman"/>
          <w:lang w:val="it-IT"/>
        </w:rPr>
        <w:t>al</w:t>
      </w:r>
      <w:r w:rsidR="00663936" w:rsidRPr="00496684">
        <w:rPr>
          <w:rFonts w:ascii="Times New Roman" w:hAnsi="Times New Roman"/>
          <w:lang w:val="it-IT"/>
        </w:rPr>
        <w:t xml:space="preserve"> brunastro con l'impressione del logo dell'azienda su un lato e "36" con linea di frattura sull'altro</w:t>
      </w:r>
      <w:r w:rsidRPr="00496684">
        <w:rPr>
          <w:rFonts w:ascii="Times New Roman" w:hAnsi="Times New Roman"/>
          <w:lang w:val="it-IT"/>
        </w:rPr>
        <w:t>.</w:t>
      </w:r>
    </w:p>
    <w:p w14:paraId="47E16F62" w14:textId="77777777" w:rsidR="00B94092" w:rsidRPr="00496684" w:rsidRDefault="00B94092" w:rsidP="00B94092">
      <w:pPr>
        <w:pStyle w:val="KeinLeerraum"/>
        <w:rPr>
          <w:rFonts w:ascii="Times New Roman" w:hAnsi="Times New Roman"/>
          <w:lang w:val="it-IT"/>
        </w:rPr>
      </w:pPr>
    </w:p>
    <w:p w14:paraId="2E7AE8BB" w14:textId="77777777" w:rsidR="00663936" w:rsidRPr="00496684" w:rsidRDefault="00414CD0" w:rsidP="00B94092">
      <w:pPr>
        <w:pStyle w:val="KeinLeerraum"/>
        <w:rPr>
          <w:rFonts w:ascii="Times New Roman" w:hAnsi="Times New Roman"/>
          <w:i/>
          <w:highlight w:val="lightGray"/>
          <w:lang w:val="it-IT"/>
        </w:rPr>
      </w:pPr>
      <w:r w:rsidRPr="00496684">
        <w:rPr>
          <w:rFonts w:ascii="Times New Roman" w:hAnsi="Times New Roman"/>
          <w:i/>
          <w:highlight w:val="lightGray"/>
          <w:lang w:val="it-IT"/>
        </w:rPr>
        <w:t>Confezioni</w:t>
      </w:r>
    </w:p>
    <w:p w14:paraId="3C3F1784" w14:textId="77777777" w:rsidR="00B94092" w:rsidRPr="00496684" w:rsidRDefault="00414CD0" w:rsidP="00B94092">
      <w:pPr>
        <w:pStyle w:val="KeinLeerraum"/>
        <w:rPr>
          <w:rFonts w:ascii="Times New Roman" w:hAnsi="Times New Roman"/>
          <w:lang w:val="it-IT"/>
        </w:rPr>
      </w:pPr>
      <w:r w:rsidRPr="00496684">
        <w:rPr>
          <w:rFonts w:ascii="Times New Roman" w:hAnsi="Times New Roman"/>
          <w:lang w:val="it-IT"/>
        </w:rPr>
        <w:t>Le compresse s</w:t>
      </w:r>
      <w:r w:rsidR="00663936" w:rsidRPr="00496684">
        <w:rPr>
          <w:rFonts w:ascii="Times New Roman" w:hAnsi="Times New Roman"/>
          <w:lang w:val="it-IT"/>
        </w:rPr>
        <w:t xml:space="preserve">ono fornite in confezioni </w:t>
      </w:r>
      <w:r w:rsidR="002D5BFF" w:rsidRPr="00496684">
        <w:rPr>
          <w:rFonts w:ascii="Times New Roman" w:hAnsi="Times New Roman"/>
          <w:lang w:val="it-IT"/>
        </w:rPr>
        <w:t xml:space="preserve">con </w:t>
      </w:r>
      <w:r w:rsidRPr="00496684">
        <w:rPr>
          <w:rFonts w:ascii="Times New Roman" w:hAnsi="Times New Roman"/>
          <w:lang w:val="it-IT"/>
        </w:rPr>
        <w:t xml:space="preserve">blister </w:t>
      </w:r>
      <w:r w:rsidR="002D5BFF" w:rsidRPr="00496684">
        <w:rPr>
          <w:rFonts w:ascii="Times New Roman" w:hAnsi="Times New Roman"/>
          <w:lang w:val="it-IT"/>
        </w:rPr>
        <w:t>in</w:t>
      </w:r>
      <w:r w:rsidRPr="00496684">
        <w:rPr>
          <w:rFonts w:ascii="Times New Roman" w:hAnsi="Times New Roman"/>
          <w:lang w:val="it-IT"/>
        </w:rPr>
        <w:t xml:space="preserve"> alluminio </w:t>
      </w:r>
      <w:r w:rsidR="00663936" w:rsidRPr="00496684">
        <w:rPr>
          <w:rFonts w:ascii="Times New Roman" w:hAnsi="Times New Roman"/>
          <w:lang w:val="it-IT"/>
        </w:rPr>
        <w:t xml:space="preserve">da </w:t>
      </w:r>
      <w:r w:rsidR="00B94092" w:rsidRPr="00496684">
        <w:rPr>
          <w:rFonts w:ascii="Times New Roman" w:hAnsi="Times New Roman"/>
          <w:lang w:val="it-IT"/>
        </w:rPr>
        <w:t>10, 20, 30, 60, 90, 120 o 180 </w:t>
      </w:r>
      <w:r w:rsidR="00663936" w:rsidRPr="00496684">
        <w:rPr>
          <w:rFonts w:ascii="Times New Roman" w:hAnsi="Times New Roman"/>
          <w:lang w:val="it-IT"/>
        </w:rPr>
        <w:t>compresse rivestite con film</w:t>
      </w:r>
    </w:p>
    <w:p w14:paraId="5B75E4AA" w14:textId="77777777" w:rsidR="00B94092" w:rsidRPr="00496684" w:rsidRDefault="00B94092" w:rsidP="00B94092">
      <w:pPr>
        <w:autoSpaceDE w:val="0"/>
        <w:autoSpaceDN w:val="0"/>
        <w:adjustRightInd w:val="0"/>
        <w:spacing w:after="0" w:line="240" w:lineRule="auto"/>
        <w:rPr>
          <w:rFonts w:ascii="Times New Roman" w:hAnsi="Times New Roman"/>
          <w:highlight w:val="yellow"/>
          <w:lang w:val="it-IT"/>
        </w:rPr>
      </w:pPr>
    </w:p>
    <w:p w14:paraId="54D2330F" w14:textId="77777777" w:rsidR="00066E7F" w:rsidRPr="00496684" w:rsidRDefault="00066E7F" w:rsidP="00066E7F">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possibile che non tutte le confezion</w:t>
      </w:r>
      <w:r w:rsidR="0014627F" w:rsidRPr="00496684">
        <w:rPr>
          <w:rFonts w:ascii="Times New Roman" w:hAnsi="Times New Roman"/>
          <w:lang w:val="it-IT"/>
        </w:rPr>
        <w:t>i</w:t>
      </w:r>
      <w:r w:rsidRPr="00496684">
        <w:rPr>
          <w:rFonts w:ascii="Times New Roman" w:hAnsi="Times New Roman"/>
          <w:lang w:val="it-IT"/>
        </w:rPr>
        <w:t xml:space="preserve"> siano commercializzate</w:t>
      </w:r>
    </w:p>
    <w:p w14:paraId="1EFDB678"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064DE247" w14:textId="77777777" w:rsidR="00066E7F" w:rsidRPr="00496684" w:rsidRDefault="00066E7F" w:rsidP="00066E7F">
      <w:pPr>
        <w:spacing w:after="0" w:line="240" w:lineRule="auto"/>
        <w:ind w:right="-2"/>
        <w:rPr>
          <w:rFonts w:ascii="Times New Roman" w:hAnsi="Times New Roman"/>
          <w:b/>
          <w:lang w:val="it-IT"/>
        </w:rPr>
      </w:pPr>
      <w:r w:rsidRPr="00496684">
        <w:rPr>
          <w:rFonts w:ascii="Times New Roman" w:hAnsi="Times New Roman"/>
          <w:b/>
          <w:lang w:val="it-IT"/>
        </w:rPr>
        <w:t>Titolare dell’autorizzazione all’immissione in commercio</w:t>
      </w:r>
    </w:p>
    <w:p w14:paraId="74EE789C" w14:textId="77777777" w:rsidR="00B94092" w:rsidRPr="00496684" w:rsidRDefault="00B94092" w:rsidP="00B9409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7B95E910" w14:textId="77777777" w:rsidR="00B94092" w:rsidRPr="00496684" w:rsidRDefault="00B94092" w:rsidP="00B9409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Reykjavíkurvegur 76-78,</w:t>
      </w:r>
    </w:p>
    <w:p w14:paraId="411AF656" w14:textId="77777777" w:rsidR="00B94092" w:rsidRPr="00496684" w:rsidRDefault="00B94092" w:rsidP="00B9409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Hafnarfjörður</w:t>
      </w:r>
    </w:p>
    <w:p w14:paraId="42690DE5" w14:textId="77777777" w:rsidR="00B94092" w:rsidRPr="00496684" w:rsidRDefault="00B94092" w:rsidP="00B94092">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w:t>
      </w:r>
      <w:r w:rsidR="00066E7F" w:rsidRPr="00496684">
        <w:rPr>
          <w:rFonts w:ascii="Times New Roman" w:hAnsi="Times New Roman"/>
          <w:lang w:val="it-IT"/>
        </w:rPr>
        <w:t>slanda</w:t>
      </w:r>
    </w:p>
    <w:p w14:paraId="5346DD10"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609B849B" w14:textId="77777777" w:rsidR="00066E7F" w:rsidRPr="00496684" w:rsidRDefault="00066E7F" w:rsidP="00066E7F">
      <w:pPr>
        <w:spacing w:after="0" w:line="240" w:lineRule="auto"/>
        <w:ind w:right="-2"/>
        <w:rPr>
          <w:rFonts w:ascii="Times New Roman" w:hAnsi="Times New Roman"/>
          <w:b/>
          <w:lang w:val="it-IT"/>
        </w:rPr>
      </w:pPr>
      <w:r w:rsidRPr="00496684">
        <w:rPr>
          <w:rFonts w:ascii="Times New Roman" w:hAnsi="Times New Roman"/>
          <w:b/>
          <w:lang w:val="it-IT"/>
        </w:rPr>
        <w:t>Produttore</w:t>
      </w:r>
    </w:p>
    <w:p w14:paraId="493B0753" w14:textId="77777777" w:rsidR="00B94092" w:rsidRPr="00496684" w:rsidRDefault="00B94092" w:rsidP="00B94092">
      <w:pPr>
        <w:pStyle w:val="KeinLeerraum"/>
        <w:rPr>
          <w:rFonts w:ascii="Times New Roman" w:hAnsi="Times New Roman"/>
          <w:lang w:val="it-IT"/>
        </w:rPr>
      </w:pPr>
      <w:r w:rsidRPr="00496684">
        <w:rPr>
          <w:rFonts w:ascii="Times New Roman" w:hAnsi="Times New Roman"/>
          <w:lang w:val="it-IT"/>
        </w:rPr>
        <w:t>S.C. Sindan</w:t>
      </w:r>
      <w:r w:rsidRPr="00496684">
        <w:rPr>
          <w:rFonts w:ascii="Times New Roman" w:hAnsi="Times New Roman"/>
          <w:lang w:val="it-IT"/>
        </w:rPr>
        <w:noBreakHyphen/>
        <w:t>Pharma S.R.L.</w:t>
      </w:r>
    </w:p>
    <w:p w14:paraId="7894CCE5" w14:textId="77777777" w:rsidR="00B94092" w:rsidRPr="00496684" w:rsidRDefault="00B94092" w:rsidP="00B94092">
      <w:pPr>
        <w:pStyle w:val="KeinLeerraum"/>
        <w:rPr>
          <w:rFonts w:ascii="Times New Roman" w:hAnsi="Times New Roman"/>
          <w:lang w:val="it-IT"/>
        </w:rPr>
      </w:pPr>
      <w:r w:rsidRPr="00496684">
        <w:rPr>
          <w:rFonts w:ascii="Times New Roman" w:hAnsi="Times New Roman"/>
          <w:lang w:val="it-IT"/>
        </w:rPr>
        <w:t>11 Ion Mihalache Blvd</w:t>
      </w:r>
    </w:p>
    <w:p w14:paraId="7F8573E9" w14:textId="77777777" w:rsidR="00B94092" w:rsidRPr="00496684" w:rsidRDefault="00B94092" w:rsidP="00B94092">
      <w:pPr>
        <w:pStyle w:val="KeinLeerraum"/>
        <w:rPr>
          <w:rFonts w:ascii="Times New Roman" w:hAnsi="Times New Roman"/>
          <w:lang w:val="it-IT"/>
        </w:rPr>
      </w:pPr>
      <w:r w:rsidRPr="00496684">
        <w:rPr>
          <w:rFonts w:ascii="Times New Roman" w:hAnsi="Times New Roman"/>
          <w:lang w:val="it-IT"/>
        </w:rPr>
        <w:t>Bucarest</w:t>
      </w:r>
    </w:p>
    <w:p w14:paraId="3DBCA243" w14:textId="77777777" w:rsidR="00B94092" w:rsidRPr="00496684" w:rsidRDefault="00B94092" w:rsidP="00B94092">
      <w:pPr>
        <w:pStyle w:val="KeinLeerraum"/>
        <w:rPr>
          <w:rFonts w:ascii="Times New Roman" w:hAnsi="Times New Roman"/>
          <w:lang w:val="it-IT"/>
        </w:rPr>
      </w:pPr>
      <w:r w:rsidRPr="00496684">
        <w:rPr>
          <w:rFonts w:ascii="Times New Roman" w:hAnsi="Times New Roman"/>
          <w:lang w:val="it-IT"/>
        </w:rPr>
        <w:t>Romania</w:t>
      </w:r>
    </w:p>
    <w:p w14:paraId="08A9BE7B" w14:textId="77777777" w:rsidR="00B94092" w:rsidRPr="00496684" w:rsidRDefault="00B94092" w:rsidP="00B94092">
      <w:pPr>
        <w:autoSpaceDE w:val="0"/>
        <w:autoSpaceDN w:val="0"/>
        <w:adjustRightInd w:val="0"/>
        <w:spacing w:after="0" w:line="240" w:lineRule="auto"/>
        <w:rPr>
          <w:rFonts w:ascii="Times New Roman" w:hAnsi="Times New Roman"/>
          <w:lang w:val="it-IT"/>
        </w:rPr>
      </w:pPr>
    </w:p>
    <w:p w14:paraId="72FD3BDD" w14:textId="77777777" w:rsidR="00066E7F" w:rsidRPr="00496684" w:rsidRDefault="00066E7F" w:rsidP="00066E7F">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Per ulteriori informazioni su questo medicinale, contatti il rappresentate locale del titolare dell’autorizzazione all’immissione in commercio.</w:t>
      </w:r>
    </w:p>
    <w:p w14:paraId="77EE7C8D" w14:textId="77777777" w:rsidR="00EC423F" w:rsidRPr="00496684" w:rsidRDefault="00EC423F" w:rsidP="00EC423F">
      <w:pPr>
        <w:autoSpaceDE w:val="0"/>
        <w:autoSpaceDN w:val="0"/>
        <w:adjustRightInd w:val="0"/>
        <w:spacing w:after="0" w:line="240" w:lineRule="auto"/>
        <w:rPr>
          <w:rFonts w:ascii="Times New Roman" w:hAnsi="Times New Roman"/>
          <w:lang w:val="it-IT"/>
        </w:rPr>
      </w:pPr>
    </w:p>
    <w:tbl>
      <w:tblPr>
        <w:tblW w:w="9356" w:type="dxa"/>
        <w:tblInd w:w="-34" w:type="dxa"/>
        <w:tblLayout w:type="fixed"/>
        <w:tblLook w:val="0000" w:firstRow="0" w:lastRow="0" w:firstColumn="0" w:lastColumn="0" w:noHBand="0" w:noVBand="0"/>
      </w:tblPr>
      <w:tblGrid>
        <w:gridCol w:w="34"/>
        <w:gridCol w:w="4644"/>
        <w:gridCol w:w="4678"/>
      </w:tblGrid>
      <w:tr w:rsidR="0080347A" w:rsidRPr="00DC08DD" w14:paraId="70A28A2A" w14:textId="77777777" w:rsidTr="009C70C0">
        <w:trPr>
          <w:gridBefore w:val="1"/>
          <w:wBefore w:w="34" w:type="dxa"/>
          <w:cantSplit/>
        </w:trPr>
        <w:tc>
          <w:tcPr>
            <w:tcW w:w="4644" w:type="dxa"/>
          </w:tcPr>
          <w:p w14:paraId="24F47910" w14:textId="77777777" w:rsidR="0080347A" w:rsidRPr="00666899" w:rsidRDefault="0080347A" w:rsidP="009C70C0">
            <w:pPr>
              <w:pStyle w:val="KeinLeerraum"/>
              <w:rPr>
                <w:rFonts w:ascii="Times New Roman" w:hAnsi="Times New Roman"/>
                <w:lang w:val="fr-FR"/>
              </w:rPr>
            </w:pPr>
            <w:r w:rsidRPr="00666899">
              <w:rPr>
                <w:rFonts w:ascii="Times New Roman" w:hAnsi="Times New Roman"/>
                <w:b/>
                <w:lang w:val="fr-FR"/>
              </w:rPr>
              <w:t>België/Belgique/Belgien</w:t>
            </w:r>
          </w:p>
          <w:p w14:paraId="51D511E2" w14:textId="77777777" w:rsidR="0080347A" w:rsidRPr="00666899" w:rsidRDefault="0080347A" w:rsidP="009C70C0">
            <w:pPr>
              <w:pStyle w:val="KeinLeerraum"/>
              <w:rPr>
                <w:rFonts w:ascii="Times New Roman" w:hAnsi="Times New Roman"/>
                <w:lang w:val="fr-FR"/>
              </w:rPr>
            </w:pPr>
            <w:r w:rsidRPr="00666899">
              <w:rPr>
                <w:rFonts w:ascii="Times New Roman" w:hAnsi="Times New Roman"/>
                <w:lang w:val="fr-FR"/>
              </w:rPr>
              <w:t>Actavis Group PTC ehf.</w:t>
            </w:r>
          </w:p>
          <w:p w14:paraId="761BF858"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IJsland/Islande/Island</w:t>
            </w:r>
          </w:p>
          <w:p w14:paraId="2A1341BB"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Tél/Tel: +354 5503300</w:t>
            </w:r>
          </w:p>
          <w:p w14:paraId="3FCD5CDA" w14:textId="77777777" w:rsidR="0080347A" w:rsidRPr="00DC08DD" w:rsidRDefault="0080347A" w:rsidP="009C70C0">
            <w:pPr>
              <w:pStyle w:val="KeinLeerraum"/>
              <w:rPr>
                <w:rFonts w:ascii="Times New Roman" w:hAnsi="Times New Roman"/>
                <w:lang w:val="en-GB"/>
              </w:rPr>
            </w:pPr>
          </w:p>
        </w:tc>
        <w:tc>
          <w:tcPr>
            <w:tcW w:w="4678" w:type="dxa"/>
          </w:tcPr>
          <w:p w14:paraId="447000B2"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Lietuva</w:t>
            </w:r>
          </w:p>
          <w:p w14:paraId="17D77CEA" w14:textId="0BD90FDF" w:rsidR="0080347A" w:rsidRPr="00DC08DD" w:rsidRDefault="0080347A" w:rsidP="009C70C0">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40DFE517"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68647327" w14:textId="77777777" w:rsidR="0080347A" w:rsidRPr="00DC08DD" w:rsidRDefault="0080347A" w:rsidP="009C70C0">
            <w:pPr>
              <w:pStyle w:val="KeinLeerraum"/>
              <w:rPr>
                <w:rFonts w:ascii="Times New Roman" w:hAnsi="Times New Roman"/>
                <w:lang w:val="en-GB"/>
              </w:rPr>
            </w:pPr>
          </w:p>
        </w:tc>
      </w:tr>
      <w:tr w:rsidR="0080347A" w:rsidRPr="00DC08DD" w14:paraId="3BEBA724" w14:textId="77777777" w:rsidTr="009C70C0">
        <w:trPr>
          <w:gridBefore w:val="1"/>
          <w:wBefore w:w="34" w:type="dxa"/>
          <w:cantSplit/>
        </w:trPr>
        <w:tc>
          <w:tcPr>
            <w:tcW w:w="4644" w:type="dxa"/>
          </w:tcPr>
          <w:p w14:paraId="269B55C9" w14:textId="77777777" w:rsidR="0080347A" w:rsidRPr="00DC08DD" w:rsidRDefault="0080347A" w:rsidP="009C70C0">
            <w:pPr>
              <w:pStyle w:val="KeinLeerraum"/>
              <w:rPr>
                <w:rFonts w:ascii="Times New Roman" w:hAnsi="Times New Roman"/>
                <w:b/>
                <w:bCs/>
                <w:lang w:val="en-GB"/>
              </w:rPr>
            </w:pPr>
            <w:r w:rsidRPr="00DC08DD">
              <w:rPr>
                <w:rFonts w:ascii="Times New Roman" w:hAnsi="Times New Roman"/>
                <w:b/>
                <w:bCs/>
                <w:lang w:val="en-GB"/>
              </w:rPr>
              <w:t>България</w:t>
            </w:r>
          </w:p>
          <w:p w14:paraId="3036C27B"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Актавис ЕАД</w:t>
            </w:r>
          </w:p>
          <w:p w14:paraId="3FCFC6F2"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10FF8B9" w14:textId="77777777" w:rsidR="0080347A" w:rsidRPr="00DC08DD" w:rsidRDefault="0080347A" w:rsidP="009C70C0">
            <w:pPr>
              <w:pStyle w:val="KeinLeerraum"/>
              <w:rPr>
                <w:rFonts w:ascii="Times New Roman" w:hAnsi="Times New Roman"/>
                <w:lang w:val="en-GB"/>
              </w:rPr>
            </w:pPr>
          </w:p>
        </w:tc>
        <w:tc>
          <w:tcPr>
            <w:tcW w:w="4678" w:type="dxa"/>
          </w:tcPr>
          <w:p w14:paraId="7CC59DA1" w14:textId="77777777" w:rsidR="0080347A" w:rsidRPr="00666899" w:rsidRDefault="0080347A" w:rsidP="009C70C0">
            <w:pPr>
              <w:pStyle w:val="KeinLeerraum"/>
              <w:rPr>
                <w:rFonts w:ascii="Times New Roman" w:hAnsi="Times New Roman"/>
                <w:lang w:val="en-GB"/>
              </w:rPr>
            </w:pPr>
            <w:r w:rsidRPr="00666899">
              <w:rPr>
                <w:rFonts w:ascii="Times New Roman" w:hAnsi="Times New Roman"/>
                <w:b/>
                <w:lang w:val="en-GB"/>
              </w:rPr>
              <w:t>Luxembourg/Luxemburg</w:t>
            </w:r>
          </w:p>
          <w:p w14:paraId="443D342E" w14:textId="77777777" w:rsidR="0080347A" w:rsidRPr="00666899" w:rsidRDefault="0080347A" w:rsidP="009C70C0">
            <w:pPr>
              <w:pStyle w:val="KeinLeerraum"/>
              <w:rPr>
                <w:rFonts w:ascii="Times New Roman" w:hAnsi="Times New Roman"/>
                <w:lang w:val="en-GB"/>
              </w:rPr>
            </w:pPr>
            <w:r w:rsidRPr="00666899">
              <w:rPr>
                <w:rFonts w:ascii="Times New Roman" w:hAnsi="Times New Roman"/>
                <w:lang w:val="en-GB"/>
              </w:rPr>
              <w:t>Actavis Group PTC ehf.</w:t>
            </w:r>
          </w:p>
          <w:p w14:paraId="7B07AAF0"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Islande/Island</w:t>
            </w:r>
          </w:p>
          <w:p w14:paraId="7035BE68" w14:textId="77777777" w:rsidR="0080347A" w:rsidRPr="001B0C82" w:rsidRDefault="0080347A" w:rsidP="009C70C0">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8D69A55" w14:textId="77777777" w:rsidR="0080347A" w:rsidRPr="00DC08DD" w:rsidRDefault="0080347A" w:rsidP="009C70C0">
            <w:pPr>
              <w:pStyle w:val="KeinLeerraum"/>
              <w:rPr>
                <w:rFonts w:ascii="Times New Roman" w:hAnsi="Times New Roman"/>
                <w:lang w:val="en-GB"/>
              </w:rPr>
            </w:pPr>
          </w:p>
        </w:tc>
      </w:tr>
      <w:tr w:rsidR="0080347A" w:rsidRPr="00DC08DD" w14:paraId="09CB9F8A" w14:textId="77777777" w:rsidTr="009C70C0">
        <w:trPr>
          <w:gridBefore w:val="1"/>
          <w:wBefore w:w="34" w:type="dxa"/>
          <w:cantSplit/>
          <w:trHeight w:val="751"/>
        </w:trPr>
        <w:tc>
          <w:tcPr>
            <w:tcW w:w="4644" w:type="dxa"/>
          </w:tcPr>
          <w:p w14:paraId="5A77D802" w14:textId="77777777" w:rsidR="0080347A" w:rsidRPr="00666899" w:rsidRDefault="0080347A" w:rsidP="009C70C0">
            <w:pPr>
              <w:pStyle w:val="KeinLeerraum"/>
              <w:rPr>
                <w:rFonts w:ascii="Times New Roman" w:hAnsi="Times New Roman"/>
              </w:rPr>
            </w:pPr>
            <w:r w:rsidRPr="00666899">
              <w:rPr>
                <w:rFonts w:ascii="Times New Roman" w:hAnsi="Times New Roman"/>
                <w:b/>
              </w:rPr>
              <w:t>Česká republika</w:t>
            </w:r>
          </w:p>
          <w:p w14:paraId="42A6ACF4" w14:textId="77777777" w:rsidR="0080347A" w:rsidRPr="00DC08DD" w:rsidRDefault="0080347A" w:rsidP="009C70C0">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0F45D985"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05B684BC" w14:textId="77777777" w:rsidR="0080347A" w:rsidRPr="00DC08DD" w:rsidRDefault="0080347A" w:rsidP="009C70C0">
            <w:pPr>
              <w:pStyle w:val="KeinLeerraum"/>
              <w:rPr>
                <w:rFonts w:ascii="Times New Roman" w:hAnsi="Times New Roman"/>
                <w:lang w:val="en-GB"/>
              </w:rPr>
            </w:pPr>
          </w:p>
        </w:tc>
        <w:tc>
          <w:tcPr>
            <w:tcW w:w="4678" w:type="dxa"/>
          </w:tcPr>
          <w:p w14:paraId="460EC35D"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Magyarország</w:t>
            </w:r>
          </w:p>
          <w:p w14:paraId="3F69A0ED" w14:textId="77777777" w:rsidR="0080347A" w:rsidRPr="00DC08DD" w:rsidRDefault="0080347A" w:rsidP="009C70C0">
            <w:pPr>
              <w:pStyle w:val="KeinLeerraum"/>
              <w:rPr>
                <w:rFonts w:ascii="Times New Roman" w:hAnsi="Times New Roman"/>
                <w:lang w:val="en-GB"/>
              </w:rPr>
            </w:pPr>
            <w:r w:rsidRPr="00DC08DD">
              <w:rPr>
                <w:rFonts w:ascii="Times New Roman" w:hAnsi="Times New Roman"/>
                <w:noProof/>
              </w:rPr>
              <w:t>Teva Gyógyszergyár Zrt.</w:t>
            </w:r>
          </w:p>
          <w:p w14:paraId="524F6B47"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4BD37210" w14:textId="77777777" w:rsidR="0080347A" w:rsidRPr="00DC08DD" w:rsidRDefault="0080347A" w:rsidP="009C70C0">
            <w:pPr>
              <w:pStyle w:val="KeinLeerraum"/>
              <w:rPr>
                <w:rFonts w:ascii="Times New Roman" w:hAnsi="Times New Roman"/>
                <w:lang w:val="en-GB"/>
              </w:rPr>
            </w:pPr>
          </w:p>
        </w:tc>
      </w:tr>
      <w:tr w:rsidR="0080347A" w:rsidRPr="00DC08DD" w14:paraId="30CF7F0A" w14:textId="77777777" w:rsidTr="009C70C0">
        <w:trPr>
          <w:gridBefore w:val="1"/>
          <w:wBefore w:w="34" w:type="dxa"/>
          <w:cantSplit/>
        </w:trPr>
        <w:tc>
          <w:tcPr>
            <w:tcW w:w="4644" w:type="dxa"/>
          </w:tcPr>
          <w:p w14:paraId="63B42ECC"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Danmark</w:t>
            </w:r>
          </w:p>
          <w:p w14:paraId="127434C2"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Teva Denmark A/S</w:t>
            </w:r>
          </w:p>
          <w:p w14:paraId="0F18B87E"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Tlf: +45 44985511</w:t>
            </w:r>
          </w:p>
          <w:p w14:paraId="426A6E39" w14:textId="77777777" w:rsidR="0080347A" w:rsidRPr="00DC08DD" w:rsidRDefault="0080347A" w:rsidP="009C70C0">
            <w:pPr>
              <w:pStyle w:val="KeinLeerraum"/>
              <w:rPr>
                <w:rFonts w:ascii="Times New Roman" w:hAnsi="Times New Roman"/>
                <w:lang w:val="en-GB"/>
              </w:rPr>
            </w:pPr>
          </w:p>
        </w:tc>
        <w:tc>
          <w:tcPr>
            <w:tcW w:w="4678" w:type="dxa"/>
          </w:tcPr>
          <w:p w14:paraId="0813603F"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Malta</w:t>
            </w:r>
          </w:p>
          <w:p w14:paraId="6A5FF4B3"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Ltd.</w:t>
            </w:r>
          </w:p>
          <w:p w14:paraId="7E3B707C"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9572FBF" w14:textId="77777777" w:rsidR="0080347A" w:rsidRPr="00DC08DD" w:rsidRDefault="0080347A" w:rsidP="009C70C0">
            <w:pPr>
              <w:pStyle w:val="KeinLeerraum"/>
              <w:rPr>
                <w:rFonts w:ascii="Times New Roman" w:hAnsi="Times New Roman"/>
                <w:lang w:val="en-GB"/>
              </w:rPr>
            </w:pPr>
          </w:p>
        </w:tc>
      </w:tr>
      <w:tr w:rsidR="0080347A" w:rsidRPr="00DC08DD" w14:paraId="31545582" w14:textId="77777777" w:rsidTr="009C70C0">
        <w:trPr>
          <w:gridBefore w:val="1"/>
          <w:wBefore w:w="34" w:type="dxa"/>
          <w:cantSplit/>
        </w:trPr>
        <w:tc>
          <w:tcPr>
            <w:tcW w:w="4644" w:type="dxa"/>
          </w:tcPr>
          <w:p w14:paraId="23497581" w14:textId="77777777" w:rsidR="0080347A" w:rsidRPr="00666899" w:rsidRDefault="0080347A" w:rsidP="009C70C0">
            <w:pPr>
              <w:pStyle w:val="KeinLeerraum"/>
              <w:rPr>
                <w:rFonts w:ascii="Times New Roman" w:hAnsi="Times New Roman"/>
                <w:lang w:val="de-DE"/>
              </w:rPr>
            </w:pPr>
            <w:r w:rsidRPr="00666899">
              <w:rPr>
                <w:rFonts w:ascii="Times New Roman" w:hAnsi="Times New Roman"/>
                <w:b/>
                <w:lang w:val="de-DE"/>
              </w:rPr>
              <w:t>Deutschland</w:t>
            </w:r>
          </w:p>
          <w:p w14:paraId="542DABA8" w14:textId="77777777" w:rsidR="0080347A" w:rsidRPr="00666899" w:rsidRDefault="0080347A" w:rsidP="009C70C0">
            <w:pPr>
              <w:spacing w:after="0" w:line="240" w:lineRule="auto"/>
              <w:rPr>
                <w:rFonts w:ascii="Times New Roman" w:hAnsi="Times New Roman"/>
                <w:lang w:val="de-DE"/>
              </w:rPr>
            </w:pPr>
            <w:r w:rsidRPr="00666899">
              <w:rPr>
                <w:rFonts w:ascii="Times New Roman" w:hAnsi="Times New Roman"/>
                <w:lang w:val="de-DE"/>
              </w:rPr>
              <w:t>Actavis Group PTC ehf.</w:t>
            </w:r>
          </w:p>
          <w:p w14:paraId="771F250B" w14:textId="77777777" w:rsidR="0080347A" w:rsidRDefault="0080347A" w:rsidP="009C70C0">
            <w:pPr>
              <w:pStyle w:val="KeinLeerraum"/>
              <w:rPr>
                <w:rFonts w:ascii="Times New Roman" w:hAnsi="Times New Roman"/>
                <w:lang w:val="en-US"/>
              </w:rPr>
            </w:pPr>
            <w:r w:rsidRPr="00DC08DD">
              <w:rPr>
                <w:rFonts w:ascii="Times New Roman" w:hAnsi="Times New Roman"/>
                <w:lang w:val="en-US"/>
              </w:rPr>
              <w:t>Island</w:t>
            </w:r>
          </w:p>
          <w:p w14:paraId="00DD0F1C"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3B995F3E" w14:textId="77777777" w:rsidR="0080347A" w:rsidRPr="00DC08DD" w:rsidRDefault="0080347A" w:rsidP="009C70C0">
            <w:pPr>
              <w:pStyle w:val="KeinLeerraum"/>
              <w:rPr>
                <w:rFonts w:ascii="Times New Roman" w:hAnsi="Times New Roman"/>
                <w:lang w:val="en-GB"/>
              </w:rPr>
            </w:pPr>
          </w:p>
        </w:tc>
        <w:tc>
          <w:tcPr>
            <w:tcW w:w="4678" w:type="dxa"/>
          </w:tcPr>
          <w:p w14:paraId="05E79E9A"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Nederland</w:t>
            </w:r>
          </w:p>
          <w:p w14:paraId="21BC270E" w14:textId="77777777" w:rsidR="0080347A" w:rsidRPr="00DC08DD" w:rsidRDefault="0080347A" w:rsidP="009C70C0">
            <w:pPr>
              <w:pStyle w:val="KeinLeerraum"/>
              <w:rPr>
                <w:rFonts w:ascii="Times New Roman" w:hAnsi="Times New Roman"/>
                <w:iCs/>
                <w:lang w:val="en-GB"/>
              </w:rPr>
            </w:pPr>
            <w:r w:rsidRPr="00DC08DD">
              <w:rPr>
                <w:rFonts w:ascii="Times New Roman" w:hAnsi="Times New Roman"/>
                <w:iCs/>
                <w:lang w:val="en-GB"/>
              </w:rPr>
              <w:t>Actavis Group PTC ehf.</w:t>
            </w:r>
          </w:p>
          <w:p w14:paraId="4A3304E6" w14:textId="77777777" w:rsidR="0080347A" w:rsidRDefault="0080347A" w:rsidP="009C70C0">
            <w:pPr>
              <w:pStyle w:val="KeinLeerraum"/>
              <w:rPr>
                <w:rFonts w:ascii="Times New Roman" w:hAnsi="Times New Roman"/>
                <w:iCs/>
                <w:lang w:val="en-GB"/>
              </w:rPr>
            </w:pPr>
            <w:r w:rsidRPr="00DC08DD">
              <w:rPr>
                <w:rFonts w:ascii="Times New Roman" w:hAnsi="Times New Roman"/>
                <w:iCs/>
                <w:lang w:val="en-GB"/>
              </w:rPr>
              <w:t>IJsland</w:t>
            </w:r>
          </w:p>
          <w:p w14:paraId="224FC9F7" w14:textId="77777777" w:rsidR="0080347A" w:rsidRPr="00C5795F"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6A03DD79" w14:textId="77777777" w:rsidR="0080347A" w:rsidRPr="00DC08DD" w:rsidRDefault="0080347A" w:rsidP="009C70C0">
            <w:pPr>
              <w:pStyle w:val="KeinLeerraum"/>
              <w:rPr>
                <w:rFonts w:ascii="Times New Roman" w:hAnsi="Times New Roman"/>
                <w:lang w:val="en-GB"/>
              </w:rPr>
            </w:pPr>
          </w:p>
        </w:tc>
      </w:tr>
      <w:tr w:rsidR="0080347A" w:rsidRPr="00DC08DD" w14:paraId="035B0A2D" w14:textId="77777777" w:rsidTr="009C70C0">
        <w:trPr>
          <w:gridBefore w:val="1"/>
          <w:wBefore w:w="34" w:type="dxa"/>
          <w:cantSplit/>
        </w:trPr>
        <w:tc>
          <w:tcPr>
            <w:tcW w:w="4644" w:type="dxa"/>
          </w:tcPr>
          <w:p w14:paraId="0B611AF2" w14:textId="77777777" w:rsidR="0080347A" w:rsidRPr="00666899" w:rsidRDefault="0080347A" w:rsidP="009C70C0">
            <w:pPr>
              <w:pStyle w:val="KeinLeerraum"/>
              <w:rPr>
                <w:rFonts w:ascii="Times New Roman" w:hAnsi="Times New Roman"/>
                <w:b/>
                <w:bCs/>
                <w:lang w:val="it-IT"/>
              </w:rPr>
            </w:pPr>
            <w:r w:rsidRPr="00666899">
              <w:rPr>
                <w:rFonts w:ascii="Times New Roman" w:hAnsi="Times New Roman"/>
                <w:b/>
                <w:bCs/>
                <w:lang w:val="it-IT"/>
              </w:rPr>
              <w:t>Eesti</w:t>
            </w:r>
          </w:p>
          <w:p w14:paraId="27536AAA" w14:textId="12E54DCD" w:rsidR="0080347A" w:rsidRPr="00666899" w:rsidRDefault="0080347A" w:rsidP="009C70C0">
            <w:pPr>
              <w:pStyle w:val="KeinLeerraum"/>
              <w:rPr>
                <w:rFonts w:ascii="Times New Roman" w:hAnsi="Times New Roman"/>
                <w:lang w:val="it-IT"/>
              </w:rPr>
            </w:pPr>
            <w:r w:rsidRPr="00666899">
              <w:rPr>
                <w:rFonts w:ascii="Times New Roman" w:hAnsi="Times New Roman"/>
                <w:lang w:val="it-IT"/>
              </w:rPr>
              <w:t>UAB Teva Baltics</w:t>
            </w:r>
            <w:r w:rsidRPr="00DC08DD">
              <w:rPr>
                <w:rFonts w:ascii="Times New Roman" w:hAnsi="Times New Roman"/>
                <w:noProof/>
              </w:rPr>
              <w:t xml:space="preserve"> Eesti filiaal</w:t>
            </w:r>
          </w:p>
          <w:p w14:paraId="462FD0CD"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336A2888" w14:textId="77777777" w:rsidR="0080347A" w:rsidRPr="00DC08DD" w:rsidRDefault="0080347A" w:rsidP="009C70C0">
            <w:pPr>
              <w:pStyle w:val="KeinLeerraum"/>
              <w:rPr>
                <w:rFonts w:ascii="Times New Roman" w:hAnsi="Times New Roman"/>
                <w:lang w:val="en-GB"/>
              </w:rPr>
            </w:pPr>
          </w:p>
        </w:tc>
        <w:tc>
          <w:tcPr>
            <w:tcW w:w="4678" w:type="dxa"/>
          </w:tcPr>
          <w:p w14:paraId="0AA1BE01"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Norge</w:t>
            </w:r>
          </w:p>
          <w:p w14:paraId="7A02E29C" w14:textId="77777777" w:rsidR="0080347A" w:rsidRPr="0056362A" w:rsidRDefault="0080347A" w:rsidP="009C70C0">
            <w:pPr>
              <w:pStyle w:val="KeinLeerraum"/>
              <w:rPr>
                <w:rFonts w:ascii="Times New Roman" w:hAnsi="Times New Roman"/>
                <w:iCs/>
                <w:lang w:val="en-US"/>
              </w:rPr>
            </w:pPr>
            <w:r w:rsidRPr="0056362A">
              <w:rPr>
                <w:rFonts w:ascii="Times New Roman" w:hAnsi="Times New Roman"/>
                <w:iCs/>
                <w:lang w:val="en-US"/>
              </w:rPr>
              <w:t>Teva Norway AS</w:t>
            </w:r>
          </w:p>
          <w:p w14:paraId="5BBC67FE" w14:textId="77777777" w:rsidR="0080347A" w:rsidRPr="0056362A" w:rsidRDefault="0080347A" w:rsidP="009C70C0">
            <w:pPr>
              <w:pStyle w:val="KeinLeerraum"/>
              <w:rPr>
                <w:rFonts w:ascii="Times New Roman" w:hAnsi="Times New Roman"/>
                <w:iCs/>
                <w:lang w:val="en-US"/>
              </w:rPr>
            </w:pPr>
            <w:r w:rsidRPr="0056362A">
              <w:rPr>
                <w:rFonts w:ascii="Times New Roman" w:hAnsi="Times New Roman"/>
                <w:iCs/>
                <w:lang w:val="en-US"/>
              </w:rPr>
              <w:t>Tlf: +47 66775590</w:t>
            </w:r>
          </w:p>
          <w:p w14:paraId="65EE55B6" w14:textId="77777777" w:rsidR="0080347A" w:rsidRPr="00DC08DD" w:rsidRDefault="0080347A" w:rsidP="009C70C0">
            <w:pPr>
              <w:pStyle w:val="KeinLeerraum"/>
              <w:rPr>
                <w:rFonts w:ascii="Times New Roman" w:hAnsi="Times New Roman"/>
                <w:lang w:val="en-GB"/>
              </w:rPr>
            </w:pPr>
          </w:p>
        </w:tc>
      </w:tr>
      <w:tr w:rsidR="0080347A" w:rsidRPr="00DC08DD" w14:paraId="640182C7" w14:textId="77777777" w:rsidTr="009C70C0">
        <w:trPr>
          <w:gridBefore w:val="1"/>
          <w:wBefore w:w="34" w:type="dxa"/>
          <w:cantSplit/>
        </w:trPr>
        <w:tc>
          <w:tcPr>
            <w:tcW w:w="4644" w:type="dxa"/>
          </w:tcPr>
          <w:p w14:paraId="56A218C5" w14:textId="77777777" w:rsidR="0080347A" w:rsidRPr="00666899" w:rsidRDefault="0080347A" w:rsidP="009C70C0">
            <w:pPr>
              <w:pStyle w:val="KeinLeerraum"/>
              <w:rPr>
                <w:rFonts w:ascii="Times New Roman" w:hAnsi="Times New Roman"/>
              </w:rPr>
            </w:pPr>
            <w:r w:rsidRPr="00DC08DD">
              <w:rPr>
                <w:rFonts w:ascii="Times New Roman" w:hAnsi="Times New Roman"/>
                <w:b/>
                <w:lang w:val="en-GB"/>
              </w:rPr>
              <w:t>Ελλάδα</w:t>
            </w:r>
          </w:p>
          <w:p w14:paraId="239D0ECA" w14:textId="77777777" w:rsidR="0080347A" w:rsidRPr="00666899" w:rsidRDefault="0080347A" w:rsidP="009C70C0">
            <w:pPr>
              <w:pStyle w:val="NormalParagraphStyle"/>
              <w:spacing w:line="240" w:lineRule="auto"/>
              <w:rPr>
                <w:rFonts w:ascii="Times New Roman" w:hAnsi="Times New Roman"/>
                <w:color w:val="auto"/>
                <w:sz w:val="22"/>
                <w:szCs w:val="22"/>
                <w:lang w:val="is-IS"/>
              </w:rPr>
            </w:pPr>
            <w:r w:rsidRPr="00666899">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B4D3153" w14:textId="01E65CA3" w:rsidR="0080347A" w:rsidRPr="00DC08DD" w:rsidRDefault="0080347A" w:rsidP="009C70C0">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3B6A241B" w14:textId="77777777" w:rsidR="0080347A" w:rsidRPr="00666899" w:rsidRDefault="0080347A" w:rsidP="009C70C0">
            <w:pPr>
              <w:pStyle w:val="KeinLeerraum"/>
              <w:rPr>
                <w:rFonts w:ascii="Times New Roman" w:hAnsi="Times New Roman"/>
              </w:rPr>
            </w:pPr>
          </w:p>
        </w:tc>
        <w:tc>
          <w:tcPr>
            <w:tcW w:w="4678" w:type="dxa"/>
          </w:tcPr>
          <w:p w14:paraId="71F7E94F" w14:textId="77777777" w:rsidR="0080347A" w:rsidRPr="0056362A" w:rsidRDefault="0080347A" w:rsidP="009C70C0">
            <w:pPr>
              <w:pStyle w:val="KeinLeerraum"/>
              <w:rPr>
                <w:rFonts w:ascii="Times New Roman" w:hAnsi="Times New Roman"/>
                <w:lang w:val="de-DE"/>
              </w:rPr>
            </w:pPr>
            <w:r w:rsidRPr="0056362A">
              <w:rPr>
                <w:rFonts w:ascii="Times New Roman" w:hAnsi="Times New Roman"/>
                <w:b/>
                <w:lang w:val="de-DE"/>
              </w:rPr>
              <w:t>Österreich</w:t>
            </w:r>
          </w:p>
          <w:p w14:paraId="4EBE832B" w14:textId="77777777" w:rsidR="0080347A" w:rsidRPr="0056362A" w:rsidRDefault="0080347A" w:rsidP="009C70C0">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7DBAF20B" w14:textId="77777777" w:rsidR="0080347A" w:rsidRPr="00DC08DD" w:rsidRDefault="0080347A" w:rsidP="009C70C0">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07E47FA5" w14:textId="77777777" w:rsidR="0080347A" w:rsidRPr="0056362A" w:rsidRDefault="0080347A" w:rsidP="009C70C0">
            <w:pPr>
              <w:pStyle w:val="KeinLeerraum"/>
              <w:rPr>
                <w:rFonts w:ascii="Times New Roman" w:hAnsi="Times New Roman"/>
                <w:lang w:val="de-DE"/>
              </w:rPr>
            </w:pPr>
          </w:p>
        </w:tc>
      </w:tr>
      <w:tr w:rsidR="0080347A" w:rsidRPr="00DC08DD" w14:paraId="40D77E09" w14:textId="77777777" w:rsidTr="009C70C0">
        <w:trPr>
          <w:cantSplit/>
        </w:trPr>
        <w:tc>
          <w:tcPr>
            <w:tcW w:w="4678" w:type="dxa"/>
            <w:gridSpan w:val="2"/>
          </w:tcPr>
          <w:p w14:paraId="29030215" w14:textId="77777777" w:rsidR="0080347A" w:rsidRPr="00666899" w:rsidRDefault="0080347A" w:rsidP="009C70C0">
            <w:pPr>
              <w:pStyle w:val="KeinLeerraum"/>
              <w:rPr>
                <w:rFonts w:ascii="Times New Roman" w:hAnsi="Times New Roman"/>
                <w:b/>
                <w:lang w:val="es-ES"/>
              </w:rPr>
            </w:pPr>
            <w:r w:rsidRPr="00666899">
              <w:rPr>
                <w:rFonts w:ascii="Times New Roman" w:hAnsi="Times New Roman"/>
                <w:b/>
                <w:lang w:val="es-ES"/>
              </w:rPr>
              <w:t>España</w:t>
            </w:r>
          </w:p>
          <w:p w14:paraId="7373A7C8" w14:textId="77777777" w:rsidR="0080347A" w:rsidRPr="00666899" w:rsidRDefault="0080347A" w:rsidP="009C70C0">
            <w:pPr>
              <w:pStyle w:val="KeinLeerraum"/>
              <w:rPr>
                <w:rFonts w:ascii="Times New Roman" w:hAnsi="Times New Roman"/>
                <w:iCs/>
                <w:lang w:val="es-ES"/>
              </w:rPr>
            </w:pPr>
            <w:r w:rsidRPr="00666899">
              <w:rPr>
                <w:rFonts w:ascii="Times New Roman" w:hAnsi="Times New Roman"/>
                <w:iCs/>
                <w:lang w:val="es-ES"/>
              </w:rPr>
              <w:t>Actavis Group PTC ehf.</w:t>
            </w:r>
          </w:p>
          <w:p w14:paraId="36F8A0CA"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Islandia</w:t>
            </w:r>
          </w:p>
          <w:p w14:paraId="7B3D25E5"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73E3AB17" w14:textId="77777777" w:rsidR="0080347A" w:rsidRPr="00DC08DD" w:rsidRDefault="0080347A" w:rsidP="009C70C0">
            <w:pPr>
              <w:pStyle w:val="KeinLeerraum"/>
              <w:rPr>
                <w:rFonts w:ascii="Times New Roman" w:hAnsi="Times New Roman"/>
                <w:lang w:val="en-GB"/>
              </w:rPr>
            </w:pPr>
          </w:p>
        </w:tc>
        <w:tc>
          <w:tcPr>
            <w:tcW w:w="4678" w:type="dxa"/>
          </w:tcPr>
          <w:p w14:paraId="00277696" w14:textId="77777777" w:rsidR="0080347A" w:rsidRPr="00DC08DD" w:rsidRDefault="0080347A" w:rsidP="009C70C0">
            <w:pPr>
              <w:pStyle w:val="KeinLeerraum"/>
              <w:rPr>
                <w:rFonts w:ascii="Times New Roman" w:hAnsi="Times New Roman"/>
                <w:b/>
                <w:bCs/>
                <w:i/>
                <w:iCs/>
                <w:lang w:val="en-GB"/>
              </w:rPr>
            </w:pPr>
            <w:r w:rsidRPr="00DC08DD">
              <w:rPr>
                <w:rFonts w:ascii="Times New Roman" w:hAnsi="Times New Roman"/>
                <w:b/>
                <w:lang w:val="en-GB"/>
              </w:rPr>
              <w:t>Polska</w:t>
            </w:r>
          </w:p>
          <w:p w14:paraId="04FD1B42" w14:textId="77777777" w:rsidR="0080347A" w:rsidRPr="00DC08DD" w:rsidRDefault="0080347A" w:rsidP="009C70C0">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7D0B6062" w14:textId="77777777" w:rsidR="0080347A" w:rsidRPr="00DC08DD" w:rsidRDefault="0080347A" w:rsidP="009C70C0">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387D7AA9" w14:textId="77777777" w:rsidR="0080347A" w:rsidRPr="00DC08DD" w:rsidRDefault="0080347A" w:rsidP="009C70C0">
            <w:pPr>
              <w:pStyle w:val="KeinLeerraum"/>
              <w:rPr>
                <w:rFonts w:ascii="Times New Roman" w:hAnsi="Times New Roman"/>
                <w:lang w:val="en-GB"/>
              </w:rPr>
            </w:pPr>
          </w:p>
        </w:tc>
      </w:tr>
      <w:tr w:rsidR="0080347A" w:rsidRPr="00DC08DD" w14:paraId="3A77D902" w14:textId="77777777" w:rsidTr="009C70C0">
        <w:trPr>
          <w:cantSplit/>
        </w:trPr>
        <w:tc>
          <w:tcPr>
            <w:tcW w:w="4678" w:type="dxa"/>
            <w:gridSpan w:val="2"/>
          </w:tcPr>
          <w:p w14:paraId="260AF48A" w14:textId="77777777" w:rsidR="0080347A" w:rsidRPr="00666899" w:rsidRDefault="0080347A" w:rsidP="009C70C0">
            <w:pPr>
              <w:pStyle w:val="KeinLeerraum"/>
              <w:rPr>
                <w:rFonts w:ascii="Times New Roman" w:hAnsi="Times New Roman"/>
                <w:b/>
                <w:lang w:val="fr-FR"/>
              </w:rPr>
            </w:pPr>
            <w:r w:rsidRPr="00666899">
              <w:rPr>
                <w:rFonts w:ascii="Times New Roman" w:hAnsi="Times New Roman"/>
                <w:b/>
                <w:lang w:val="fr-FR"/>
              </w:rPr>
              <w:t>France</w:t>
            </w:r>
          </w:p>
          <w:p w14:paraId="0D5420BC" w14:textId="77777777" w:rsidR="0080347A" w:rsidRPr="00666899" w:rsidRDefault="0080347A" w:rsidP="009C70C0">
            <w:pPr>
              <w:pStyle w:val="KeinLeerraum"/>
              <w:rPr>
                <w:rFonts w:ascii="Times New Roman" w:hAnsi="Times New Roman"/>
                <w:lang w:val="fr-FR"/>
              </w:rPr>
            </w:pPr>
            <w:r w:rsidRPr="00666899">
              <w:rPr>
                <w:rFonts w:ascii="Times New Roman" w:hAnsi="Times New Roman"/>
                <w:lang w:val="fr-FR"/>
              </w:rPr>
              <w:t>Actavis Group PTC ehf.</w:t>
            </w:r>
          </w:p>
          <w:p w14:paraId="6F789486" w14:textId="77777777" w:rsidR="0080347A" w:rsidRDefault="0080347A" w:rsidP="009C70C0">
            <w:pPr>
              <w:pStyle w:val="KeinLeerraum"/>
              <w:rPr>
                <w:rFonts w:ascii="Times New Roman" w:hAnsi="Times New Roman"/>
                <w:lang w:val="fr-FR"/>
              </w:rPr>
            </w:pPr>
            <w:r w:rsidRPr="00DC08DD">
              <w:rPr>
                <w:rFonts w:ascii="Times New Roman" w:hAnsi="Times New Roman"/>
                <w:lang w:val="fr-FR"/>
              </w:rPr>
              <w:t>Islande</w:t>
            </w:r>
          </w:p>
          <w:p w14:paraId="7FE6DCC6" w14:textId="77777777" w:rsidR="0080347A" w:rsidRPr="00666899" w:rsidRDefault="0080347A" w:rsidP="009C70C0">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66899">
              <w:rPr>
                <w:rFonts w:ascii="Times New Roman" w:hAnsi="Times New Roman"/>
                <w:lang w:val="fr-FR"/>
              </w:rPr>
              <w:t xml:space="preserve"> +354 5503300</w:t>
            </w:r>
          </w:p>
          <w:p w14:paraId="56B0A11F" w14:textId="77777777" w:rsidR="0080347A" w:rsidRPr="00666899" w:rsidRDefault="0080347A" w:rsidP="009C70C0">
            <w:pPr>
              <w:pStyle w:val="KeinLeerraum"/>
              <w:rPr>
                <w:rFonts w:ascii="Times New Roman" w:hAnsi="Times New Roman"/>
                <w:b/>
                <w:lang w:val="fr-FR"/>
              </w:rPr>
            </w:pPr>
          </w:p>
        </w:tc>
        <w:tc>
          <w:tcPr>
            <w:tcW w:w="4678" w:type="dxa"/>
          </w:tcPr>
          <w:p w14:paraId="51221294" w14:textId="77777777" w:rsidR="0080347A" w:rsidRPr="00666899" w:rsidRDefault="0080347A" w:rsidP="009C70C0">
            <w:pPr>
              <w:pStyle w:val="KeinLeerraum"/>
              <w:rPr>
                <w:rFonts w:ascii="Times New Roman" w:hAnsi="Times New Roman"/>
                <w:b/>
                <w:lang w:val="pt-BR"/>
              </w:rPr>
            </w:pPr>
            <w:r w:rsidRPr="00666899">
              <w:rPr>
                <w:rFonts w:ascii="Times New Roman" w:hAnsi="Times New Roman"/>
                <w:b/>
                <w:lang w:val="pt-BR"/>
              </w:rPr>
              <w:t>Portugal</w:t>
            </w:r>
          </w:p>
          <w:p w14:paraId="232F9C52" w14:textId="77777777" w:rsidR="0080347A" w:rsidRPr="00666899" w:rsidRDefault="0080347A" w:rsidP="009C70C0">
            <w:pPr>
              <w:pStyle w:val="KeinLeerraum"/>
              <w:rPr>
                <w:rFonts w:ascii="Times New Roman" w:hAnsi="Times New Roman"/>
                <w:iCs/>
                <w:lang w:val="pt-BR"/>
              </w:rPr>
            </w:pPr>
            <w:r w:rsidRPr="00666899">
              <w:rPr>
                <w:rFonts w:ascii="Times New Roman" w:hAnsi="Times New Roman"/>
                <w:iCs/>
                <w:lang w:val="pt-BR"/>
              </w:rPr>
              <w:t>Actavis Group PTC ehf.</w:t>
            </w:r>
          </w:p>
          <w:p w14:paraId="748CC67C" w14:textId="77777777" w:rsidR="0080347A" w:rsidRDefault="0080347A" w:rsidP="009C70C0">
            <w:pPr>
              <w:pStyle w:val="KeinLeerraum"/>
              <w:rPr>
                <w:rFonts w:ascii="Times New Roman" w:hAnsi="Times New Roman"/>
                <w:lang w:val="es-ES"/>
              </w:rPr>
            </w:pPr>
            <w:r w:rsidRPr="00DC08DD">
              <w:rPr>
                <w:rFonts w:ascii="Times New Roman" w:hAnsi="Times New Roman"/>
                <w:lang w:val="es-ES"/>
              </w:rPr>
              <w:t>Islândia</w:t>
            </w:r>
          </w:p>
          <w:p w14:paraId="57A774F0" w14:textId="77777777" w:rsidR="0080347A" w:rsidRPr="001B0C82" w:rsidRDefault="0080347A" w:rsidP="009C70C0">
            <w:pPr>
              <w:pStyle w:val="KeinLeerraum"/>
              <w:rPr>
                <w:rFonts w:ascii="Times New Roman" w:hAnsi="Times New Roman"/>
                <w:lang w:val="en-GB"/>
              </w:rPr>
            </w:pPr>
            <w:r w:rsidRPr="00B85F24">
              <w:rPr>
                <w:rFonts w:ascii="Times New Roman" w:hAnsi="Times New Roman"/>
                <w:noProof/>
              </w:rPr>
              <w:t>Tel: +354 5503300</w:t>
            </w:r>
          </w:p>
          <w:p w14:paraId="4E3DF89F" w14:textId="77777777" w:rsidR="0080347A" w:rsidRPr="00DC08DD" w:rsidRDefault="0080347A" w:rsidP="009C70C0">
            <w:pPr>
              <w:pStyle w:val="KeinLeerraum"/>
              <w:rPr>
                <w:rFonts w:ascii="Times New Roman" w:hAnsi="Times New Roman"/>
                <w:lang w:val="en-GB"/>
              </w:rPr>
            </w:pPr>
          </w:p>
        </w:tc>
      </w:tr>
      <w:tr w:rsidR="0080347A" w:rsidRPr="00DC08DD" w14:paraId="1A6B2001" w14:textId="77777777" w:rsidTr="009C70C0">
        <w:trPr>
          <w:cantSplit/>
        </w:trPr>
        <w:tc>
          <w:tcPr>
            <w:tcW w:w="4678" w:type="dxa"/>
            <w:gridSpan w:val="2"/>
          </w:tcPr>
          <w:p w14:paraId="22CCF520" w14:textId="77777777" w:rsidR="0080347A" w:rsidRPr="00666899" w:rsidRDefault="0080347A" w:rsidP="009C70C0">
            <w:pPr>
              <w:tabs>
                <w:tab w:val="left" w:pos="-720"/>
                <w:tab w:val="left" w:pos="4536"/>
              </w:tabs>
              <w:suppressAutoHyphens/>
              <w:spacing w:after="0" w:line="240" w:lineRule="auto"/>
              <w:ind w:right="567"/>
              <w:rPr>
                <w:rFonts w:ascii="Times New Roman" w:hAnsi="Times New Roman"/>
                <w:b/>
                <w:noProof/>
                <w:lang w:val="sv-SE"/>
              </w:rPr>
            </w:pPr>
            <w:r w:rsidRPr="0056362A">
              <w:rPr>
                <w:rFonts w:ascii="Times New Roman" w:hAnsi="Times New Roman"/>
              </w:rPr>
              <w:br w:type="page"/>
            </w:r>
            <w:r w:rsidRPr="00666899">
              <w:rPr>
                <w:rFonts w:ascii="Times New Roman" w:hAnsi="Times New Roman"/>
                <w:b/>
                <w:noProof/>
                <w:lang w:val="sv-SE"/>
              </w:rPr>
              <w:t>Hrvatska</w:t>
            </w:r>
          </w:p>
          <w:p w14:paraId="2BE48679" w14:textId="77777777" w:rsidR="0080347A" w:rsidRPr="00DC08DD" w:rsidRDefault="0080347A" w:rsidP="009C70C0">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79078C1F" w14:textId="77777777" w:rsidR="0080347A" w:rsidRPr="00DC08DD" w:rsidRDefault="0080347A" w:rsidP="009C70C0">
            <w:pPr>
              <w:pStyle w:val="KeinLeerraum"/>
              <w:rPr>
                <w:rFonts w:ascii="Times New Roman" w:hAnsi="Times New Roman"/>
              </w:rPr>
            </w:pPr>
            <w:r w:rsidRPr="00DC08DD">
              <w:rPr>
                <w:rFonts w:ascii="Times New Roman" w:hAnsi="Times New Roman"/>
              </w:rPr>
              <w:t>Tel: +385 13720000</w:t>
            </w:r>
          </w:p>
          <w:p w14:paraId="31977BFF" w14:textId="77777777" w:rsidR="0080347A" w:rsidRPr="00DC08DD" w:rsidRDefault="0080347A" w:rsidP="009C70C0">
            <w:pPr>
              <w:pStyle w:val="KeinLeerraum"/>
              <w:rPr>
                <w:rFonts w:ascii="Times New Roman" w:hAnsi="Times New Roman"/>
                <w:lang w:val="en-GB"/>
              </w:rPr>
            </w:pPr>
          </w:p>
        </w:tc>
        <w:tc>
          <w:tcPr>
            <w:tcW w:w="4678" w:type="dxa"/>
          </w:tcPr>
          <w:p w14:paraId="1B7CAD58"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România</w:t>
            </w:r>
          </w:p>
          <w:p w14:paraId="1912DC4B" w14:textId="77777777" w:rsidR="0080347A" w:rsidRPr="00DC08DD" w:rsidRDefault="0080347A" w:rsidP="009C70C0">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399DC20"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09E77EA" w14:textId="77777777" w:rsidR="0080347A" w:rsidRPr="00DC08DD" w:rsidRDefault="0080347A" w:rsidP="009C70C0">
            <w:pPr>
              <w:pStyle w:val="KeinLeerraum"/>
              <w:rPr>
                <w:rFonts w:ascii="Times New Roman" w:hAnsi="Times New Roman"/>
                <w:lang w:val="en-GB"/>
              </w:rPr>
            </w:pPr>
          </w:p>
        </w:tc>
      </w:tr>
      <w:tr w:rsidR="0080347A" w:rsidRPr="00DC08DD" w14:paraId="20A431EC" w14:textId="77777777" w:rsidTr="009C70C0">
        <w:trPr>
          <w:cantSplit/>
        </w:trPr>
        <w:tc>
          <w:tcPr>
            <w:tcW w:w="4678" w:type="dxa"/>
            <w:gridSpan w:val="2"/>
          </w:tcPr>
          <w:p w14:paraId="1AB79198"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Ireland</w:t>
            </w:r>
          </w:p>
          <w:p w14:paraId="0F5935C9" w14:textId="77777777" w:rsidR="0080347A" w:rsidRPr="009A42FE" w:rsidRDefault="0080347A" w:rsidP="009C70C0">
            <w:pPr>
              <w:pStyle w:val="KeinLeerraum"/>
              <w:rPr>
                <w:rFonts w:ascii="Times New Roman" w:hAnsi="Times New Roman"/>
                <w:lang w:val="en-GB"/>
              </w:rPr>
            </w:pPr>
            <w:r w:rsidRPr="009A42FE">
              <w:rPr>
                <w:rFonts w:ascii="Times New Roman" w:hAnsi="Times New Roman"/>
                <w:lang w:val="en-GB"/>
              </w:rPr>
              <w:t>Teva Pharmaceuticals Ireland</w:t>
            </w:r>
          </w:p>
          <w:p w14:paraId="6C711105" w14:textId="2C064CCF" w:rsidR="0080347A" w:rsidRDefault="0080347A" w:rsidP="009C70C0">
            <w:pPr>
              <w:pStyle w:val="KeinLeerraum"/>
              <w:rPr>
                <w:rFonts w:ascii="Times New Roman" w:hAnsi="Times New Roman"/>
                <w:lang w:val="en-GB"/>
              </w:rPr>
            </w:pPr>
            <w:r>
              <w:rPr>
                <w:rFonts w:ascii="Times New Roman" w:hAnsi="Times New Roman"/>
                <w:lang w:val="en-GB"/>
              </w:rPr>
              <w:t>Tel: +353 19127700</w:t>
            </w:r>
          </w:p>
          <w:p w14:paraId="48A6E513" w14:textId="77777777" w:rsidR="0080347A" w:rsidRPr="00DC08DD" w:rsidRDefault="0080347A" w:rsidP="009C70C0">
            <w:pPr>
              <w:pStyle w:val="KeinLeerraum"/>
              <w:rPr>
                <w:rFonts w:ascii="Times New Roman" w:hAnsi="Times New Roman"/>
                <w:lang w:val="en-GB"/>
              </w:rPr>
            </w:pPr>
          </w:p>
        </w:tc>
        <w:tc>
          <w:tcPr>
            <w:tcW w:w="4678" w:type="dxa"/>
          </w:tcPr>
          <w:p w14:paraId="45AEF846"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Slovenija</w:t>
            </w:r>
          </w:p>
          <w:p w14:paraId="64775E42"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Pliva Ljubljana d.o.o.</w:t>
            </w:r>
          </w:p>
          <w:p w14:paraId="5267F918"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+386 15890390</w:t>
            </w:r>
          </w:p>
          <w:p w14:paraId="79CBF5DE" w14:textId="77777777" w:rsidR="0080347A" w:rsidRPr="00DC08DD" w:rsidRDefault="0080347A" w:rsidP="009C70C0">
            <w:pPr>
              <w:pStyle w:val="KeinLeerraum"/>
              <w:rPr>
                <w:rFonts w:ascii="Times New Roman" w:hAnsi="Times New Roman"/>
                <w:b/>
                <w:lang w:val="en-GB"/>
              </w:rPr>
            </w:pPr>
          </w:p>
        </w:tc>
      </w:tr>
      <w:tr w:rsidR="0080347A" w:rsidRPr="00DC08DD" w14:paraId="6BA64F75" w14:textId="77777777" w:rsidTr="009C70C0">
        <w:trPr>
          <w:cantSplit/>
        </w:trPr>
        <w:tc>
          <w:tcPr>
            <w:tcW w:w="4678" w:type="dxa"/>
            <w:gridSpan w:val="2"/>
          </w:tcPr>
          <w:p w14:paraId="561BF057"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Ísland</w:t>
            </w:r>
          </w:p>
          <w:p w14:paraId="08E02FFF"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Group PTC ehf.</w:t>
            </w:r>
          </w:p>
          <w:p w14:paraId="1B9DFCD1"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Sími: +354 5503300</w:t>
            </w:r>
          </w:p>
          <w:p w14:paraId="16F893BA" w14:textId="77777777" w:rsidR="0080347A" w:rsidRPr="00DC08DD" w:rsidRDefault="0080347A" w:rsidP="009C70C0">
            <w:pPr>
              <w:pStyle w:val="KeinLeerraum"/>
              <w:rPr>
                <w:rFonts w:ascii="Times New Roman" w:hAnsi="Times New Roman"/>
                <w:b/>
                <w:lang w:val="en-GB"/>
              </w:rPr>
            </w:pPr>
          </w:p>
        </w:tc>
        <w:tc>
          <w:tcPr>
            <w:tcW w:w="4678" w:type="dxa"/>
          </w:tcPr>
          <w:p w14:paraId="59480A14"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Slovenská republika</w:t>
            </w:r>
          </w:p>
          <w:p w14:paraId="3BB7945B" w14:textId="77777777" w:rsidR="0080347A" w:rsidRPr="00DC08DD" w:rsidRDefault="0080347A" w:rsidP="009C70C0">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0CC340E7"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399D893A" w14:textId="77777777" w:rsidR="0080347A" w:rsidRPr="00DC08DD" w:rsidRDefault="0080347A" w:rsidP="009C70C0">
            <w:pPr>
              <w:pStyle w:val="KeinLeerraum"/>
              <w:rPr>
                <w:rFonts w:ascii="Times New Roman" w:hAnsi="Times New Roman"/>
                <w:lang w:val="en-GB"/>
              </w:rPr>
            </w:pPr>
          </w:p>
        </w:tc>
      </w:tr>
      <w:tr w:rsidR="0080347A" w:rsidRPr="00DC08DD" w14:paraId="7B247691" w14:textId="77777777" w:rsidTr="009C70C0">
        <w:trPr>
          <w:cantSplit/>
        </w:trPr>
        <w:tc>
          <w:tcPr>
            <w:tcW w:w="4678" w:type="dxa"/>
            <w:gridSpan w:val="2"/>
          </w:tcPr>
          <w:p w14:paraId="66433017" w14:textId="77777777" w:rsidR="0080347A" w:rsidRPr="00666899" w:rsidRDefault="0080347A" w:rsidP="009C70C0">
            <w:pPr>
              <w:pStyle w:val="KeinLeerraum"/>
              <w:rPr>
                <w:rFonts w:ascii="Times New Roman" w:hAnsi="Times New Roman"/>
                <w:lang w:val="pt-BR"/>
              </w:rPr>
            </w:pPr>
            <w:r w:rsidRPr="00666899">
              <w:rPr>
                <w:rFonts w:ascii="Times New Roman" w:hAnsi="Times New Roman"/>
                <w:b/>
                <w:lang w:val="pt-BR"/>
              </w:rPr>
              <w:t>Italia</w:t>
            </w:r>
          </w:p>
          <w:p w14:paraId="3A98D479" w14:textId="77777777" w:rsidR="0080347A" w:rsidRPr="00666899" w:rsidRDefault="0080347A" w:rsidP="009C70C0">
            <w:pPr>
              <w:pStyle w:val="KeinLeerraum"/>
              <w:rPr>
                <w:rFonts w:ascii="Times New Roman" w:hAnsi="Times New Roman"/>
                <w:lang w:val="pt-BR"/>
              </w:rPr>
            </w:pPr>
            <w:r w:rsidRPr="00666899">
              <w:rPr>
                <w:rFonts w:ascii="Times New Roman" w:hAnsi="Times New Roman"/>
                <w:lang w:val="pt-BR"/>
              </w:rPr>
              <w:t>Actavis Group PTC ehf.</w:t>
            </w:r>
          </w:p>
          <w:p w14:paraId="141BF1F0" w14:textId="77777777" w:rsidR="0080347A" w:rsidRPr="00666899" w:rsidRDefault="0080347A" w:rsidP="009C70C0">
            <w:pPr>
              <w:pStyle w:val="KeinLeerraum"/>
              <w:rPr>
                <w:rFonts w:ascii="Times New Roman" w:hAnsi="Times New Roman"/>
                <w:lang w:val="pt-BR"/>
              </w:rPr>
            </w:pPr>
            <w:r w:rsidRPr="00666899">
              <w:rPr>
                <w:rFonts w:ascii="Times New Roman" w:hAnsi="Times New Roman"/>
                <w:lang w:val="pt-BR"/>
              </w:rPr>
              <w:t>Islanda</w:t>
            </w:r>
          </w:p>
          <w:p w14:paraId="0F1D3EB6" w14:textId="77777777" w:rsidR="0080347A" w:rsidRPr="00666899" w:rsidRDefault="0080347A" w:rsidP="009C70C0">
            <w:pPr>
              <w:pStyle w:val="KeinLeerraum"/>
              <w:rPr>
                <w:rFonts w:ascii="Times New Roman" w:hAnsi="Times New Roman"/>
                <w:lang w:val="pt-BR"/>
              </w:rPr>
            </w:pPr>
            <w:r w:rsidRPr="00B85F24">
              <w:rPr>
                <w:rFonts w:ascii="Times New Roman" w:hAnsi="Times New Roman"/>
                <w:noProof/>
              </w:rPr>
              <w:t>Tel: +354 5503300</w:t>
            </w:r>
          </w:p>
          <w:p w14:paraId="6FFB7A45" w14:textId="77777777" w:rsidR="0080347A" w:rsidRPr="00666899" w:rsidRDefault="0080347A" w:rsidP="009C70C0">
            <w:pPr>
              <w:pStyle w:val="KeinLeerraum"/>
              <w:rPr>
                <w:rFonts w:ascii="Times New Roman" w:hAnsi="Times New Roman"/>
                <w:b/>
                <w:lang w:val="pt-BR"/>
              </w:rPr>
            </w:pPr>
          </w:p>
        </w:tc>
        <w:tc>
          <w:tcPr>
            <w:tcW w:w="4678" w:type="dxa"/>
          </w:tcPr>
          <w:p w14:paraId="1D8EA513" w14:textId="77777777" w:rsidR="0080347A" w:rsidRPr="00666899" w:rsidRDefault="0080347A" w:rsidP="009C70C0">
            <w:pPr>
              <w:pStyle w:val="KeinLeerraum"/>
              <w:rPr>
                <w:rFonts w:ascii="Times New Roman" w:hAnsi="Times New Roman"/>
                <w:lang w:val="sv-SE"/>
              </w:rPr>
            </w:pPr>
            <w:r w:rsidRPr="00666899">
              <w:rPr>
                <w:rFonts w:ascii="Times New Roman" w:hAnsi="Times New Roman"/>
                <w:b/>
                <w:lang w:val="sv-SE"/>
              </w:rPr>
              <w:t>Suomi/Finland</w:t>
            </w:r>
          </w:p>
          <w:p w14:paraId="045F950F" w14:textId="08BD5CC5" w:rsidR="0080347A" w:rsidRPr="00666899" w:rsidRDefault="0080347A" w:rsidP="009C70C0">
            <w:pPr>
              <w:pStyle w:val="KeinLeerraum"/>
              <w:rPr>
                <w:rFonts w:ascii="Times New Roman" w:hAnsi="Times New Roman"/>
                <w:lang w:val="sv-SE"/>
              </w:rPr>
            </w:pPr>
            <w:r w:rsidRPr="00666899">
              <w:rPr>
                <w:rFonts w:ascii="Times New Roman" w:hAnsi="Times New Roman"/>
                <w:lang w:val="sv-SE"/>
              </w:rPr>
              <w:t>Teva Finland Oy</w:t>
            </w:r>
          </w:p>
          <w:p w14:paraId="61E61B0B" w14:textId="77777777" w:rsidR="0080347A" w:rsidRPr="00666899" w:rsidRDefault="0080347A" w:rsidP="009C70C0">
            <w:pPr>
              <w:pStyle w:val="KeinLeerraum"/>
              <w:rPr>
                <w:rFonts w:ascii="Times New Roman" w:hAnsi="Times New Roman"/>
                <w:lang w:val="sv-SE"/>
              </w:rPr>
            </w:pPr>
            <w:r w:rsidRPr="00666899">
              <w:rPr>
                <w:rFonts w:ascii="Times New Roman" w:hAnsi="Times New Roman"/>
                <w:lang w:val="sv-SE"/>
              </w:rPr>
              <w:t>Puh/Tel: +358 201805900</w:t>
            </w:r>
          </w:p>
          <w:p w14:paraId="53A8507C" w14:textId="77777777" w:rsidR="0080347A" w:rsidRPr="00666899" w:rsidRDefault="0080347A" w:rsidP="009C70C0">
            <w:pPr>
              <w:pStyle w:val="KeinLeerraum"/>
              <w:rPr>
                <w:rFonts w:ascii="Times New Roman" w:hAnsi="Times New Roman"/>
                <w:b/>
                <w:lang w:val="sv-SE"/>
              </w:rPr>
            </w:pPr>
          </w:p>
        </w:tc>
      </w:tr>
      <w:tr w:rsidR="0080347A" w:rsidRPr="00DC08DD" w14:paraId="37EE1D0F" w14:textId="77777777" w:rsidTr="009C70C0">
        <w:trPr>
          <w:cantSplit/>
        </w:trPr>
        <w:tc>
          <w:tcPr>
            <w:tcW w:w="4678" w:type="dxa"/>
            <w:gridSpan w:val="2"/>
          </w:tcPr>
          <w:p w14:paraId="40E58A7E" w14:textId="77777777" w:rsidR="0080347A" w:rsidRPr="00F81B0C" w:rsidRDefault="0080347A" w:rsidP="009C70C0">
            <w:pPr>
              <w:pStyle w:val="KeinLeerraum"/>
              <w:rPr>
                <w:rFonts w:ascii="Times New Roman" w:hAnsi="Times New Roman"/>
                <w:b/>
              </w:rPr>
            </w:pPr>
            <w:r w:rsidRPr="00DC08DD">
              <w:rPr>
                <w:rFonts w:ascii="Times New Roman" w:hAnsi="Times New Roman"/>
                <w:b/>
                <w:lang w:val="en-GB"/>
              </w:rPr>
              <w:t>Κύπρος</w:t>
            </w:r>
          </w:p>
          <w:p w14:paraId="40FEDA51" w14:textId="77777777" w:rsidR="0080347A" w:rsidRPr="00F81B0C" w:rsidRDefault="0080347A" w:rsidP="009C70C0">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C0A2767" w14:textId="77777777" w:rsidR="0080347A" w:rsidRPr="00F81B0C" w:rsidRDefault="0080347A" w:rsidP="009C70C0">
            <w:pPr>
              <w:pStyle w:val="KeinLeerraum"/>
              <w:rPr>
                <w:rFonts w:ascii="Times New Roman" w:hAnsi="Times New Roman"/>
              </w:rPr>
            </w:pPr>
            <w:r w:rsidRPr="00DC08DD">
              <w:rPr>
                <w:rFonts w:ascii="Times New Roman" w:hAnsi="Times New Roman"/>
                <w:lang w:val="el-GR"/>
              </w:rPr>
              <w:t>Ελλάδα</w:t>
            </w:r>
          </w:p>
          <w:p w14:paraId="7C9642F3" w14:textId="639CB48D" w:rsidR="0080347A" w:rsidRPr="00F81B0C" w:rsidRDefault="0080347A" w:rsidP="009C70C0">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2B936EBF" w14:textId="77777777" w:rsidR="0080347A" w:rsidRPr="00F81B0C" w:rsidRDefault="0080347A" w:rsidP="009C70C0">
            <w:pPr>
              <w:pStyle w:val="KeinLeerraum"/>
              <w:rPr>
                <w:rFonts w:ascii="Times New Roman" w:hAnsi="Times New Roman"/>
              </w:rPr>
            </w:pPr>
          </w:p>
        </w:tc>
        <w:tc>
          <w:tcPr>
            <w:tcW w:w="4678" w:type="dxa"/>
          </w:tcPr>
          <w:p w14:paraId="520C62A3" w14:textId="77777777" w:rsidR="0080347A" w:rsidRPr="0056362A" w:rsidRDefault="0080347A" w:rsidP="009C70C0">
            <w:pPr>
              <w:pStyle w:val="KeinLeerraum"/>
              <w:rPr>
                <w:rFonts w:ascii="Times New Roman" w:hAnsi="Times New Roman"/>
                <w:b/>
                <w:lang w:val="de-DE"/>
              </w:rPr>
            </w:pPr>
            <w:r w:rsidRPr="0056362A">
              <w:rPr>
                <w:rFonts w:ascii="Times New Roman" w:hAnsi="Times New Roman"/>
                <w:b/>
                <w:lang w:val="de-DE"/>
              </w:rPr>
              <w:t>Sverige</w:t>
            </w:r>
          </w:p>
          <w:p w14:paraId="4030EB78" w14:textId="77777777" w:rsidR="0080347A" w:rsidRPr="0056362A" w:rsidRDefault="0080347A" w:rsidP="009C70C0">
            <w:pPr>
              <w:pStyle w:val="KeinLeerraum"/>
              <w:rPr>
                <w:rFonts w:ascii="Times New Roman" w:hAnsi="Times New Roman"/>
                <w:lang w:val="de-DE"/>
              </w:rPr>
            </w:pPr>
            <w:r w:rsidRPr="0056362A">
              <w:rPr>
                <w:rFonts w:ascii="Times New Roman" w:hAnsi="Times New Roman"/>
                <w:lang w:val="de-DE"/>
              </w:rPr>
              <w:t>Teva Sweden AB</w:t>
            </w:r>
          </w:p>
          <w:p w14:paraId="2FC635C8" w14:textId="77777777" w:rsidR="0080347A" w:rsidRPr="0056362A" w:rsidRDefault="0080347A" w:rsidP="009C70C0">
            <w:pPr>
              <w:pStyle w:val="KeinLeerraum"/>
              <w:rPr>
                <w:rFonts w:ascii="Times New Roman" w:hAnsi="Times New Roman"/>
                <w:lang w:val="de-DE"/>
              </w:rPr>
            </w:pPr>
            <w:r w:rsidRPr="0056362A">
              <w:rPr>
                <w:rFonts w:ascii="Times New Roman" w:hAnsi="Times New Roman"/>
                <w:lang w:val="de-DE"/>
              </w:rPr>
              <w:t>Tel: +46 42121100</w:t>
            </w:r>
          </w:p>
          <w:p w14:paraId="620A15AB" w14:textId="77777777" w:rsidR="0080347A" w:rsidRPr="0056362A" w:rsidRDefault="0080347A" w:rsidP="009C70C0">
            <w:pPr>
              <w:pStyle w:val="KeinLeerraum"/>
              <w:rPr>
                <w:rFonts w:ascii="Times New Roman" w:hAnsi="Times New Roman"/>
                <w:lang w:val="de-DE"/>
              </w:rPr>
            </w:pPr>
          </w:p>
        </w:tc>
      </w:tr>
      <w:tr w:rsidR="0080347A" w:rsidRPr="00DC08DD" w14:paraId="707FEC1A" w14:textId="77777777" w:rsidTr="009C70C0">
        <w:trPr>
          <w:cantSplit/>
        </w:trPr>
        <w:tc>
          <w:tcPr>
            <w:tcW w:w="4678" w:type="dxa"/>
            <w:gridSpan w:val="2"/>
          </w:tcPr>
          <w:p w14:paraId="44DD9D6B" w14:textId="77777777" w:rsidR="0080347A" w:rsidRPr="00666899" w:rsidRDefault="0080347A" w:rsidP="009C70C0">
            <w:pPr>
              <w:pStyle w:val="KeinLeerraum"/>
              <w:rPr>
                <w:rFonts w:ascii="Times New Roman" w:hAnsi="Times New Roman"/>
                <w:b/>
                <w:bCs/>
                <w:lang w:eastAsia="en-GB"/>
              </w:rPr>
            </w:pPr>
            <w:r w:rsidRPr="00666899">
              <w:rPr>
                <w:rFonts w:ascii="Times New Roman" w:hAnsi="Times New Roman"/>
                <w:b/>
                <w:bCs/>
                <w:lang w:eastAsia="en-GB"/>
              </w:rPr>
              <w:t>Latvija</w:t>
            </w:r>
          </w:p>
          <w:p w14:paraId="04ECEAF7" w14:textId="0DC76DE7" w:rsidR="0080347A" w:rsidRPr="00666899" w:rsidRDefault="0080347A" w:rsidP="009C70C0">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0FFEB816" w14:textId="77777777" w:rsidR="0080347A" w:rsidRPr="00DC08DD" w:rsidRDefault="0080347A" w:rsidP="009C70C0">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9E8D9DE" w14:textId="77777777" w:rsidR="0080347A" w:rsidRPr="00DC08DD" w:rsidRDefault="0080347A" w:rsidP="009C70C0">
            <w:pPr>
              <w:pStyle w:val="KeinLeerraum"/>
              <w:rPr>
                <w:rFonts w:ascii="Times New Roman" w:hAnsi="Times New Roman"/>
                <w:lang w:val="en-GB"/>
              </w:rPr>
            </w:pPr>
          </w:p>
        </w:tc>
        <w:tc>
          <w:tcPr>
            <w:tcW w:w="4678" w:type="dxa"/>
          </w:tcPr>
          <w:p w14:paraId="34FAE421"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United Kingdom</w:t>
            </w:r>
          </w:p>
          <w:p w14:paraId="180E8E99"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UK Limited</w:t>
            </w:r>
          </w:p>
          <w:p w14:paraId="01813770" w14:textId="77777777" w:rsidR="0080347A" w:rsidRPr="00DC08DD" w:rsidRDefault="0080347A" w:rsidP="009C70C0">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5386B79" w14:textId="77777777" w:rsidR="0080347A" w:rsidRPr="00DC08DD" w:rsidRDefault="0080347A" w:rsidP="009C70C0">
            <w:pPr>
              <w:pStyle w:val="KeinLeerraum"/>
              <w:rPr>
                <w:rFonts w:ascii="Times New Roman" w:hAnsi="Times New Roman"/>
                <w:lang w:val="en-GB"/>
              </w:rPr>
            </w:pPr>
          </w:p>
        </w:tc>
      </w:tr>
    </w:tbl>
    <w:p w14:paraId="6938D619" w14:textId="77777777" w:rsidR="00EC423F" w:rsidRDefault="00EC423F" w:rsidP="00066E7F">
      <w:pPr>
        <w:pStyle w:val="Endnotentext"/>
        <w:widowControl w:val="0"/>
        <w:tabs>
          <w:tab w:val="clear" w:pos="567"/>
        </w:tabs>
        <w:rPr>
          <w:b/>
          <w:szCs w:val="22"/>
          <w:lang w:val="en-US"/>
        </w:rPr>
      </w:pPr>
    </w:p>
    <w:p w14:paraId="74E58A38" w14:textId="77777777" w:rsidR="0080347A" w:rsidRPr="00666899" w:rsidRDefault="0080347A" w:rsidP="00066E7F">
      <w:pPr>
        <w:pStyle w:val="Endnotentext"/>
        <w:widowControl w:val="0"/>
        <w:tabs>
          <w:tab w:val="clear" w:pos="567"/>
        </w:tabs>
        <w:rPr>
          <w:b/>
          <w:szCs w:val="22"/>
          <w:lang w:val="en-US"/>
        </w:rPr>
      </w:pPr>
    </w:p>
    <w:p w14:paraId="447A665B" w14:textId="77777777" w:rsidR="00066E7F" w:rsidRPr="00496684" w:rsidRDefault="00066E7F" w:rsidP="00066E7F">
      <w:pPr>
        <w:pStyle w:val="Endnotentext"/>
        <w:widowControl w:val="0"/>
        <w:tabs>
          <w:tab w:val="clear" w:pos="567"/>
        </w:tabs>
        <w:rPr>
          <w:b/>
          <w:szCs w:val="22"/>
          <w:lang w:val="it-IT"/>
        </w:rPr>
      </w:pPr>
      <w:r w:rsidRPr="00496684">
        <w:rPr>
          <w:b/>
          <w:szCs w:val="22"/>
          <w:lang w:val="it-IT"/>
        </w:rPr>
        <w:t>Questo foglio illustrativo è stato aggiornato il</w:t>
      </w:r>
    </w:p>
    <w:p w14:paraId="26B592C4" w14:textId="77777777" w:rsidR="00066E7F" w:rsidRPr="00496684" w:rsidRDefault="00066E7F" w:rsidP="00066E7F">
      <w:pPr>
        <w:widowControl w:val="0"/>
        <w:spacing w:after="0" w:line="240" w:lineRule="auto"/>
        <w:ind w:right="-449"/>
        <w:rPr>
          <w:rFonts w:ascii="Times New Roman" w:hAnsi="Times New Roman"/>
          <w:b/>
          <w:lang w:val="it-IT"/>
        </w:rPr>
      </w:pPr>
    </w:p>
    <w:p w14:paraId="1ECC3DA6" w14:textId="77777777" w:rsidR="00066E7F" w:rsidRPr="00496684" w:rsidRDefault="00066E7F" w:rsidP="00066E7F">
      <w:pPr>
        <w:widowControl w:val="0"/>
        <w:spacing w:after="0" w:line="240" w:lineRule="auto"/>
        <w:ind w:right="-449"/>
        <w:rPr>
          <w:rFonts w:ascii="Times New Roman" w:hAnsi="Times New Roman"/>
          <w:b/>
          <w:lang w:val="it-IT"/>
        </w:rPr>
      </w:pPr>
      <w:r w:rsidRPr="00496684">
        <w:rPr>
          <w:rFonts w:ascii="Times New Roman" w:hAnsi="Times New Roman"/>
          <w:b/>
          <w:lang w:val="it-IT"/>
        </w:rPr>
        <w:t>Altre fonti di informazioni</w:t>
      </w:r>
    </w:p>
    <w:p w14:paraId="0A1B8763" w14:textId="68FD680C" w:rsidR="00D0283E" w:rsidRPr="00496684" w:rsidRDefault="00066E7F" w:rsidP="00CE7998">
      <w:pPr>
        <w:pStyle w:val="Endnotentext"/>
        <w:widowControl w:val="0"/>
        <w:tabs>
          <w:tab w:val="clear" w:pos="567"/>
        </w:tabs>
        <w:rPr>
          <w:lang w:val="it-IT"/>
        </w:rPr>
      </w:pPr>
      <w:r w:rsidRPr="00496684">
        <w:rPr>
          <w:szCs w:val="22"/>
          <w:lang w:val="it-IT"/>
        </w:rPr>
        <w:t xml:space="preserve">Informazioni più dettagliate su questo medicinale sono disponibili sul sito web della Agenzia europea dei medicinali: </w:t>
      </w:r>
      <w:hyperlink r:id="rId24" w:history="1">
        <w:r w:rsidR="006E4320" w:rsidRPr="00496684">
          <w:rPr>
            <w:rStyle w:val="Hyperlink"/>
            <w:szCs w:val="22"/>
            <w:lang w:val="it-IT"/>
          </w:rPr>
          <w:t>http://www.ema.europa.eu</w:t>
        </w:r>
      </w:hyperlink>
      <w:r w:rsidR="006E4320" w:rsidRPr="00496684">
        <w:rPr>
          <w:szCs w:val="22"/>
          <w:lang w:val="it-IT"/>
        </w:rPr>
        <w:t xml:space="preserve"> </w:t>
      </w:r>
    </w:p>
    <w:p w14:paraId="5D259437" w14:textId="77777777" w:rsidR="00586369" w:rsidRPr="00496684" w:rsidRDefault="00586369" w:rsidP="00586369">
      <w:pPr>
        <w:spacing w:before="80" w:after="0" w:line="240" w:lineRule="auto"/>
        <w:ind w:right="48"/>
        <w:jc w:val="center"/>
        <w:rPr>
          <w:rFonts w:ascii="Times New Roman" w:eastAsia="Times New Roman" w:hAnsi="Times New Roman"/>
          <w:lang w:val="it-IT"/>
        </w:rPr>
      </w:pPr>
      <w:r w:rsidRPr="00496684">
        <w:rPr>
          <w:rFonts w:ascii="Times New Roman" w:hAnsi="Times New Roman"/>
          <w:lang w:val="it-IT"/>
        </w:rPr>
        <w:br w:type="page"/>
      </w:r>
      <w:r w:rsidRPr="00496684">
        <w:rPr>
          <w:rFonts w:ascii="Times New Roman" w:hAnsi="Times New Roman"/>
          <w:b/>
          <w:lang w:val="it-IT"/>
        </w:rPr>
        <w:t>Foglio illustrativo: informazioni per l’utilizzatore</w:t>
      </w:r>
    </w:p>
    <w:p w14:paraId="05B3E51D" w14:textId="77777777" w:rsidR="00586369" w:rsidRPr="00496684" w:rsidRDefault="00586369" w:rsidP="00586369">
      <w:pPr>
        <w:autoSpaceDE w:val="0"/>
        <w:autoSpaceDN w:val="0"/>
        <w:adjustRightInd w:val="0"/>
        <w:spacing w:after="0" w:line="240" w:lineRule="auto"/>
        <w:jc w:val="center"/>
        <w:rPr>
          <w:rFonts w:ascii="Times New Roman" w:hAnsi="Times New Roman"/>
          <w:bCs/>
          <w:lang w:val="it-IT"/>
        </w:rPr>
      </w:pPr>
    </w:p>
    <w:p w14:paraId="616948EC" w14:textId="77777777" w:rsidR="00586369" w:rsidRPr="00496684" w:rsidRDefault="00586369" w:rsidP="00586369">
      <w:pPr>
        <w:autoSpaceDE w:val="0"/>
        <w:autoSpaceDN w:val="0"/>
        <w:adjustRightInd w:val="0"/>
        <w:spacing w:after="0" w:line="240" w:lineRule="auto"/>
        <w:jc w:val="center"/>
        <w:rPr>
          <w:rFonts w:ascii="Times New Roman" w:hAnsi="Times New Roman"/>
          <w:b/>
          <w:bCs/>
          <w:lang w:val="it-IT"/>
        </w:rPr>
      </w:pPr>
      <w:r w:rsidRPr="00496684">
        <w:rPr>
          <w:rFonts w:ascii="Times New Roman" w:hAnsi="Times New Roman"/>
          <w:b/>
          <w:bCs/>
          <w:spacing w:val="-1"/>
          <w:lang w:val="it-IT"/>
        </w:rPr>
        <w:t>Imatinib Actavis</w:t>
      </w:r>
      <w:r w:rsidRPr="00496684">
        <w:rPr>
          <w:rFonts w:ascii="Times New Roman" w:hAnsi="Times New Roman"/>
          <w:b/>
          <w:bCs/>
          <w:spacing w:val="1"/>
          <w:lang w:val="it-IT"/>
        </w:rPr>
        <w:t xml:space="preserve"> </w:t>
      </w:r>
      <w:r w:rsidRPr="00496684">
        <w:rPr>
          <w:rFonts w:ascii="Times New Roman" w:hAnsi="Times New Roman"/>
          <w:b/>
          <w:bCs/>
          <w:lang w:val="it-IT"/>
        </w:rPr>
        <w:t>400 </w:t>
      </w:r>
      <w:r w:rsidRPr="00496684">
        <w:rPr>
          <w:rFonts w:ascii="Times New Roman" w:hAnsi="Times New Roman"/>
          <w:b/>
          <w:bCs/>
          <w:spacing w:val="1"/>
          <w:lang w:val="it-IT"/>
        </w:rPr>
        <w:t>m</w:t>
      </w:r>
      <w:r w:rsidRPr="00496684">
        <w:rPr>
          <w:rFonts w:ascii="Times New Roman" w:hAnsi="Times New Roman"/>
          <w:b/>
          <w:bCs/>
          <w:lang w:val="it-IT"/>
        </w:rPr>
        <w:t xml:space="preserve">g </w:t>
      </w:r>
      <w:r w:rsidRPr="00496684">
        <w:rPr>
          <w:rFonts w:ascii="Times New Roman" w:hAnsi="Times New Roman"/>
          <w:b/>
          <w:bCs/>
          <w:spacing w:val="3"/>
          <w:lang w:val="it-IT"/>
        </w:rPr>
        <w:t>compresse rivestite con film</w:t>
      </w:r>
    </w:p>
    <w:p w14:paraId="1F1F7934" w14:textId="77777777" w:rsidR="00586369" w:rsidRPr="00496684" w:rsidRDefault="000629AD" w:rsidP="00586369">
      <w:pPr>
        <w:autoSpaceDE w:val="0"/>
        <w:autoSpaceDN w:val="0"/>
        <w:adjustRightInd w:val="0"/>
        <w:spacing w:after="0" w:line="240" w:lineRule="auto"/>
        <w:jc w:val="center"/>
        <w:rPr>
          <w:rFonts w:ascii="Times New Roman" w:hAnsi="Times New Roman"/>
          <w:lang w:val="it-IT"/>
        </w:rPr>
      </w:pPr>
      <w:r w:rsidRPr="00496684">
        <w:rPr>
          <w:rFonts w:ascii="Times New Roman" w:hAnsi="Times New Roman"/>
          <w:lang w:val="it-IT"/>
        </w:rPr>
        <w:t>i</w:t>
      </w:r>
      <w:r w:rsidR="00586369" w:rsidRPr="00496684">
        <w:rPr>
          <w:rFonts w:ascii="Times New Roman" w:hAnsi="Times New Roman"/>
          <w:lang w:val="it-IT"/>
        </w:rPr>
        <w:t>matinib</w:t>
      </w:r>
    </w:p>
    <w:p w14:paraId="15796FD9"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6EC494E5" w14:textId="77777777" w:rsidR="00586369" w:rsidRPr="00496684" w:rsidRDefault="00586369" w:rsidP="00586369">
      <w:pPr>
        <w:widowControl w:val="0"/>
        <w:ind w:right="-2"/>
        <w:rPr>
          <w:rFonts w:ascii="Times New Roman" w:hAnsi="Times New Roman"/>
          <w:lang w:val="it-IT"/>
        </w:rPr>
      </w:pPr>
      <w:r w:rsidRPr="00496684">
        <w:rPr>
          <w:rFonts w:ascii="Times New Roman" w:hAnsi="Times New Roman"/>
          <w:b/>
          <w:lang w:val="it-IT"/>
        </w:rPr>
        <w:t>Legga attentamente questo foglio prima di prendere questo medicinale perchè contiene importanti informazioni per lei.</w:t>
      </w:r>
    </w:p>
    <w:p w14:paraId="069116D2" w14:textId="77777777" w:rsidR="00586369" w:rsidRPr="00496684" w:rsidRDefault="00586369" w:rsidP="00586369">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Conservi questo foglio. Potrebbe aver bisogno di leggerlo di nuovo.</w:t>
      </w:r>
    </w:p>
    <w:p w14:paraId="0725330F" w14:textId="77777777" w:rsidR="00586369" w:rsidRPr="00496684" w:rsidRDefault="00586369" w:rsidP="00586369">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Se ha qualsiasi dubbio, si rivolga al medico, al farmacista o all’infermiere.</w:t>
      </w:r>
    </w:p>
    <w:p w14:paraId="392485D7" w14:textId="77777777" w:rsidR="00586369" w:rsidRPr="00496684" w:rsidRDefault="00586369" w:rsidP="00586369">
      <w:pPr>
        <w:widowControl w:val="0"/>
        <w:numPr>
          <w:ilvl w:val="0"/>
          <w:numId w:val="5"/>
        </w:numPr>
        <w:tabs>
          <w:tab w:val="clear" w:pos="644"/>
        </w:tabs>
        <w:spacing w:after="0" w:line="240" w:lineRule="auto"/>
        <w:ind w:right="-2" w:hanging="567"/>
        <w:rPr>
          <w:rFonts w:ascii="Times New Roman" w:hAnsi="Times New Roman"/>
          <w:lang w:val="it-IT"/>
        </w:rPr>
      </w:pPr>
      <w:r w:rsidRPr="00496684">
        <w:rPr>
          <w:rFonts w:ascii="Times New Roman" w:hAnsi="Times New Roman"/>
          <w:lang w:val="it-IT"/>
        </w:rPr>
        <w:t>Questo medicinale è stato prescritto soltanto per lei. Non lo dia ad altre persone, anche se i sintomi della malattia sono uguali ai suoi, perché potrebbe essere pericoloso.</w:t>
      </w:r>
    </w:p>
    <w:p w14:paraId="492F5635" w14:textId="77777777" w:rsidR="00586369" w:rsidRPr="00496684" w:rsidRDefault="00586369" w:rsidP="00586369">
      <w:pPr>
        <w:widowControl w:val="0"/>
        <w:numPr>
          <w:ilvl w:val="0"/>
          <w:numId w:val="5"/>
        </w:numPr>
        <w:tabs>
          <w:tab w:val="clear" w:pos="644"/>
        </w:tabs>
        <w:spacing w:after="0" w:line="240" w:lineRule="auto"/>
        <w:ind w:hanging="567"/>
        <w:rPr>
          <w:rFonts w:ascii="Times New Roman" w:hAnsi="Times New Roman"/>
          <w:lang w:val="it-IT"/>
        </w:rPr>
      </w:pPr>
      <w:r w:rsidRPr="00496684">
        <w:rPr>
          <w:rFonts w:ascii="Times New Roman" w:hAnsi="Times New Roman"/>
          <w:lang w:val="it-IT"/>
        </w:rPr>
        <w:t>Se si manifesta un qualsiasi effetto indesiderato, compresi quelli non elencati in questo foglio, si rivolga al medico, al farmacista o all’infermiere.</w:t>
      </w:r>
      <w:r w:rsidR="00320D73" w:rsidRPr="00496684">
        <w:rPr>
          <w:rFonts w:ascii="TimesNewRoman" w:eastAsia="SimSun" w:hAnsi="TimesNewRoman" w:cs="TimesNewRoman"/>
          <w:lang w:val="it-IT" w:eastAsia="it-IT"/>
        </w:rPr>
        <w:t xml:space="preserve"> Vedere paragrafo 4.</w:t>
      </w:r>
    </w:p>
    <w:p w14:paraId="380B0592"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19E19579" w14:textId="77777777" w:rsidR="00586369" w:rsidRPr="00496684" w:rsidRDefault="00586369" w:rsidP="00586369">
      <w:pPr>
        <w:widowControl w:val="0"/>
        <w:numPr>
          <w:ilvl w:val="12"/>
          <w:numId w:val="0"/>
        </w:numPr>
        <w:ind w:right="-2"/>
        <w:rPr>
          <w:rFonts w:ascii="Times New Roman" w:hAnsi="Times New Roman"/>
          <w:lang w:val="it-IT"/>
        </w:rPr>
      </w:pPr>
      <w:r w:rsidRPr="00496684">
        <w:rPr>
          <w:rFonts w:ascii="Times New Roman" w:hAnsi="Times New Roman"/>
          <w:b/>
          <w:lang w:val="it-IT"/>
        </w:rPr>
        <w:t>Contenuto di questo foglio</w:t>
      </w:r>
    </w:p>
    <w:p w14:paraId="7E2FF7DA" w14:textId="3AD494AA"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1.</w:t>
      </w:r>
      <w:r w:rsidRPr="00496684">
        <w:rPr>
          <w:rFonts w:ascii="Times New Roman" w:hAnsi="Times New Roman"/>
          <w:lang w:val="it-IT"/>
        </w:rPr>
        <w:tab/>
        <w:t>Cos’è Imatinib Actavis e a cosa serve</w:t>
      </w:r>
    </w:p>
    <w:p w14:paraId="11446F8B"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2.</w:t>
      </w:r>
      <w:r w:rsidRPr="00496684">
        <w:rPr>
          <w:rFonts w:ascii="Times New Roman" w:hAnsi="Times New Roman"/>
          <w:lang w:val="it-IT"/>
        </w:rPr>
        <w:tab/>
        <w:t>Cosa deve sapere prima di prendere Imatinib Actavis</w:t>
      </w:r>
    </w:p>
    <w:p w14:paraId="0977D907"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3.</w:t>
      </w:r>
      <w:r w:rsidRPr="00496684">
        <w:rPr>
          <w:rFonts w:ascii="Times New Roman" w:hAnsi="Times New Roman"/>
          <w:lang w:val="it-IT"/>
        </w:rPr>
        <w:tab/>
        <w:t>Come prendere Imatinib Actavis</w:t>
      </w:r>
    </w:p>
    <w:p w14:paraId="55CD977E"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4.</w:t>
      </w:r>
      <w:r w:rsidRPr="00496684">
        <w:rPr>
          <w:rFonts w:ascii="Times New Roman" w:hAnsi="Times New Roman"/>
          <w:lang w:val="it-IT"/>
        </w:rPr>
        <w:tab/>
        <w:t>Possibili effetti indesiderati</w:t>
      </w:r>
    </w:p>
    <w:p w14:paraId="4B398E38"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5.</w:t>
      </w:r>
      <w:r w:rsidRPr="00496684">
        <w:rPr>
          <w:rFonts w:ascii="Times New Roman" w:hAnsi="Times New Roman"/>
          <w:lang w:val="it-IT"/>
        </w:rPr>
        <w:tab/>
        <w:t>Come conservare Imatinib Actavis</w:t>
      </w:r>
    </w:p>
    <w:p w14:paraId="7A11E530"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6.</w:t>
      </w:r>
      <w:r w:rsidRPr="00496684">
        <w:rPr>
          <w:rFonts w:ascii="Times New Roman" w:hAnsi="Times New Roman"/>
          <w:lang w:val="it-IT"/>
        </w:rPr>
        <w:tab/>
        <w:t>Contenuto della confezione e altre informazioni</w:t>
      </w:r>
    </w:p>
    <w:p w14:paraId="1B926364"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59FBBE08"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29B6166B" w14:textId="08580205" w:rsidR="00586369" w:rsidRPr="00496684" w:rsidRDefault="00586369" w:rsidP="00586369">
      <w:pPr>
        <w:autoSpaceDE w:val="0"/>
        <w:autoSpaceDN w:val="0"/>
        <w:adjustRightInd w:val="0"/>
        <w:spacing w:after="0" w:line="240" w:lineRule="auto"/>
        <w:rPr>
          <w:rFonts w:ascii="Times New Roman" w:hAnsi="Times New Roman"/>
          <w:bCs/>
          <w:lang w:val="it-IT"/>
        </w:rPr>
      </w:pPr>
      <w:r w:rsidRPr="00496684">
        <w:rPr>
          <w:rFonts w:ascii="Times New Roman" w:hAnsi="Times New Roman"/>
          <w:b/>
          <w:bCs/>
          <w:lang w:val="it-IT"/>
        </w:rPr>
        <w:t>1.</w:t>
      </w:r>
      <w:r w:rsidRPr="00496684">
        <w:rPr>
          <w:rFonts w:ascii="Times New Roman" w:hAnsi="Times New Roman"/>
          <w:b/>
          <w:bCs/>
          <w:lang w:val="it-IT"/>
        </w:rPr>
        <w:tab/>
      </w:r>
      <w:r w:rsidRPr="00496684">
        <w:rPr>
          <w:rFonts w:ascii="Times New Roman" w:hAnsi="Times New Roman"/>
          <w:b/>
          <w:lang w:val="it-IT"/>
        </w:rPr>
        <w:t>Cos’è Imatinib Actavis e a cosa serve</w:t>
      </w:r>
    </w:p>
    <w:p w14:paraId="4986D4B9"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549B8C7B" w14:textId="77777777" w:rsidR="00BC698F" w:rsidRPr="00496684" w:rsidRDefault="00586369" w:rsidP="00BC698F">
      <w:pPr>
        <w:pStyle w:val="Text"/>
        <w:widowControl w:val="0"/>
        <w:spacing w:before="0"/>
        <w:jc w:val="left"/>
        <w:rPr>
          <w:sz w:val="22"/>
          <w:szCs w:val="22"/>
          <w:lang w:val="it-IT"/>
        </w:rPr>
      </w:pPr>
      <w:r w:rsidRPr="00496684">
        <w:rPr>
          <w:sz w:val="22"/>
          <w:szCs w:val="22"/>
          <w:lang w:val="it-IT"/>
        </w:rPr>
        <w:t xml:space="preserve">Imatinib Actavis è un medicinale contenente un principio attivo chiamato imatinib. Questo medicinale agisce inibendo la crescita di cellule anormali </w:t>
      </w:r>
      <w:r w:rsidR="00BC698F" w:rsidRPr="00496684">
        <w:rPr>
          <w:sz w:val="22"/>
          <w:szCs w:val="22"/>
          <w:lang w:val="it-IT"/>
        </w:rPr>
        <w:t>nelle patologie di seguito elencate. Queste comprendono alcuni tipi di cancro.</w:t>
      </w:r>
    </w:p>
    <w:p w14:paraId="6E692B43" w14:textId="77777777" w:rsidR="00586369" w:rsidRPr="00496684" w:rsidRDefault="00586369" w:rsidP="00D008F2">
      <w:pPr>
        <w:pStyle w:val="Text"/>
        <w:widowControl w:val="0"/>
        <w:spacing w:before="0"/>
        <w:jc w:val="left"/>
        <w:rPr>
          <w:lang w:val="it-IT"/>
        </w:rPr>
      </w:pPr>
    </w:p>
    <w:p w14:paraId="53ADAEB6" w14:textId="2004AAE1" w:rsidR="00BC698F" w:rsidRPr="00496684" w:rsidRDefault="00BC698F" w:rsidP="00BC698F">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Imatinib Actavis è un trattamento per:</w:t>
      </w:r>
    </w:p>
    <w:p w14:paraId="4914623F" w14:textId="77777777" w:rsidR="00BC698F" w:rsidRPr="00496684" w:rsidRDefault="00BC698F" w:rsidP="00BC698F">
      <w:pPr>
        <w:autoSpaceDE w:val="0"/>
        <w:autoSpaceDN w:val="0"/>
        <w:adjustRightInd w:val="0"/>
        <w:spacing w:after="0" w:line="240" w:lineRule="auto"/>
        <w:rPr>
          <w:rFonts w:ascii="Times New Roman" w:hAnsi="Times New Roman"/>
          <w:b/>
          <w:bCs/>
          <w:lang w:val="it-IT"/>
        </w:rPr>
      </w:pPr>
    </w:p>
    <w:p w14:paraId="2E09D478"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rFonts w:ascii="Times New Roman" w:eastAsia="Times New Roman" w:hAnsi="Times New Roman"/>
          <w:lang w:val="it-IT" w:eastAsia="it-IT"/>
        </w:rPr>
      </w:pPr>
      <w:r w:rsidRPr="00496684">
        <w:rPr>
          <w:rFonts w:ascii="Times New Roman" w:hAnsi="Times New Roman"/>
          <w:b/>
          <w:bCs/>
          <w:lang w:val="it-IT"/>
        </w:rPr>
        <w:t>Leucemia mieloide cronica (LMC).</w:t>
      </w:r>
    </w:p>
    <w:p w14:paraId="4A28C14E" w14:textId="77777777" w:rsidR="00BC698F" w:rsidRPr="00496684" w:rsidRDefault="00BC698F" w:rsidP="00BC698F">
      <w:pPr>
        <w:autoSpaceDE w:val="0"/>
        <w:autoSpaceDN w:val="0"/>
        <w:adjustRightInd w:val="0"/>
        <w:spacing w:after="0" w:line="240" w:lineRule="auto"/>
        <w:ind w:left="567"/>
        <w:rPr>
          <w:rFonts w:ascii="Times New Roman" w:hAnsi="Times New Roman"/>
          <w:lang w:val="it-IT"/>
        </w:rPr>
      </w:pPr>
      <w:r w:rsidRPr="00496684">
        <w:rPr>
          <w:rFonts w:ascii="Times New Roman" w:hAnsi="Times New Roman"/>
          <w:lang w:val="it-IT"/>
        </w:rPr>
        <w:t>La leucemia è un tumore dei globuli bianchi. I globuli bianchi normalmente aiutano l’organismo a combattere le infezioni. La leucemia mieloide cronica è una forma di leucemia nella quale certi globuli bianchi anormali (chiamati cellule mieloidi) iniziano a crescere senza controllo.</w:t>
      </w:r>
    </w:p>
    <w:p w14:paraId="188CB2A4" w14:textId="77777777" w:rsidR="00BC698F" w:rsidRPr="00496684" w:rsidRDefault="00BC698F" w:rsidP="00BC698F">
      <w:pPr>
        <w:autoSpaceDE w:val="0"/>
        <w:autoSpaceDN w:val="0"/>
        <w:adjustRightInd w:val="0"/>
        <w:spacing w:after="0" w:line="240" w:lineRule="auto"/>
        <w:ind w:left="567"/>
        <w:rPr>
          <w:rFonts w:ascii="Times New Roman" w:hAnsi="Times New Roman"/>
          <w:bCs/>
          <w:lang w:val="it-IT"/>
        </w:rPr>
      </w:pPr>
    </w:p>
    <w:p w14:paraId="68AE073B" w14:textId="77777777" w:rsidR="00BC698F" w:rsidRPr="00496684" w:rsidRDefault="00BC698F" w:rsidP="00384D77">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Nei pazienti adulti, Imatinib Actavis è indicato per l'uso nella fase più avanzata della malattia (crisi blastica). Nei bambini e adolescenti, Imatinib Actavis può essere usato in fasi differenti della malattia (fase cronica, accelerata e crisi blastica).</w:t>
      </w:r>
    </w:p>
    <w:p w14:paraId="77585179" w14:textId="77777777" w:rsidR="00BC698F" w:rsidRPr="00496684" w:rsidRDefault="00BC698F" w:rsidP="00BC698F">
      <w:pPr>
        <w:autoSpaceDE w:val="0"/>
        <w:autoSpaceDN w:val="0"/>
        <w:adjustRightInd w:val="0"/>
        <w:spacing w:after="0" w:line="240" w:lineRule="auto"/>
        <w:rPr>
          <w:rFonts w:ascii="Times New Roman" w:hAnsi="Times New Roman"/>
          <w:lang w:val="it-IT"/>
        </w:rPr>
      </w:pPr>
    </w:p>
    <w:p w14:paraId="350EA239"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rFonts w:ascii="Times New Roman" w:hAnsi="Times New Roman"/>
          <w:lang w:val="it-IT"/>
        </w:rPr>
      </w:pPr>
      <w:r w:rsidRPr="00496684">
        <w:rPr>
          <w:rFonts w:ascii="Times New Roman" w:hAnsi="Times New Roman"/>
          <w:b/>
          <w:bCs/>
          <w:lang w:val="it-IT"/>
        </w:rPr>
        <w:t>Leucemia linfoblastica acuta positiva al cromosoma philadelphia (LLA Ph+).</w:t>
      </w:r>
    </w:p>
    <w:p w14:paraId="0D722D2B" w14:textId="77777777" w:rsidR="00DB03B2" w:rsidRPr="00496684" w:rsidRDefault="00BC698F" w:rsidP="00DB03B2">
      <w:pPr>
        <w:pStyle w:val="Default"/>
        <w:ind w:left="567"/>
        <w:rPr>
          <w:sz w:val="22"/>
          <w:szCs w:val="22"/>
          <w:lang w:val="it-IT"/>
        </w:rPr>
      </w:pPr>
      <w:r w:rsidRPr="00496684">
        <w:rPr>
          <w:sz w:val="22"/>
          <w:szCs w:val="22"/>
          <w:lang w:val="it-IT"/>
        </w:rPr>
        <w:t xml:space="preserve">La leucemia è un tumore dei globuli bianchi. I globuli bianchi normalmente aiutano l’organismo a combattere le infezioni. La leucemia linfoblastica acuta è una forma di leucemia nella quale certi globuli bianchi anormali (chiamati linfoblasti) iniziano a crescere senza controllo. Imatinib Actavis inibisce la crescita di queste cellule. </w:t>
      </w:r>
    </w:p>
    <w:p w14:paraId="703B7088" w14:textId="77777777" w:rsidR="00DB03B2" w:rsidRPr="00496684" w:rsidRDefault="00DB03B2" w:rsidP="00DB03B2">
      <w:pPr>
        <w:pStyle w:val="Text"/>
        <w:widowControl w:val="0"/>
        <w:spacing w:before="0"/>
        <w:jc w:val="left"/>
        <w:rPr>
          <w:b/>
          <w:sz w:val="22"/>
          <w:szCs w:val="22"/>
          <w:lang w:val="it-IT"/>
        </w:rPr>
      </w:pPr>
    </w:p>
    <w:p w14:paraId="33590E2A" w14:textId="77777777" w:rsidR="00DB03B2" w:rsidRPr="00496684" w:rsidRDefault="00DB03B2" w:rsidP="00DB03B2">
      <w:pPr>
        <w:pStyle w:val="Text"/>
        <w:widowControl w:val="0"/>
        <w:spacing w:before="0"/>
        <w:jc w:val="left"/>
        <w:rPr>
          <w:b/>
          <w:sz w:val="22"/>
          <w:szCs w:val="22"/>
          <w:lang w:val="it-IT"/>
        </w:rPr>
      </w:pPr>
      <w:r w:rsidRPr="00496684">
        <w:rPr>
          <w:b/>
          <w:bCs/>
          <w:sz w:val="22"/>
          <w:szCs w:val="22"/>
          <w:lang w:val="it-IT"/>
        </w:rPr>
        <w:t xml:space="preserve">Imatinib Actavis </w:t>
      </w:r>
      <w:r w:rsidRPr="00496684">
        <w:rPr>
          <w:b/>
          <w:sz w:val="22"/>
          <w:szCs w:val="22"/>
          <w:lang w:val="it-IT"/>
        </w:rPr>
        <w:t>è anche indicato nei pazienti adulti per il trattamento di:</w:t>
      </w:r>
    </w:p>
    <w:p w14:paraId="7A81255D" w14:textId="77777777" w:rsidR="00BC698F" w:rsidRPr="00496684" w:rsidRDefault="00BC698F" w:rsidP="00D008F2">
      <w:pPr>
        <w:pStyle w:val="Default"/>
        <w:ind w:left="567"/>
        <w:rPr>
          <w:sz w:val="22"/>
          <w:szCs w:val="22"/>
          <w:lang w:val="it-IT"/>
        </w:rPr>
      </w:pPr>
    </w:p>
    <w:p w14:paraId="47836542"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Malattie mielodisplastiche/mieloproliferative (MDS/MPD)</w:t>
      </w:r>
    </w:p>
    <w:p w14:paraId="16D07437" w14:textId="77777777" w:rsidR="00BC698F" w:rsidRPr="00496684" w:rsidRDefault="00BC698F" w:rsidP="00D008F2">
      <w:pPr>
        <w:pStyle w:val="Default"/>
        <w:ind w:left="567"/>
        <w:rPr>
          <w:sz w:val="22"/>
          <w:szCs w:val="22"/>
          <w:lang w:val="it-IT"/>
        </w:rPr>
      </w:pPr>
      <w:r w:rsidRPr="00496684">
        <w:rPr>
          <w:sz w:val="22"/>
          <w:szCs w:val="22"/>
          <w:lang w:val="it-IT"/>
        </w:rPr>
        <w:t xml:space="preserve">Queste sono un gruppo di malattie ematologiche nelle quali alcune cellule del sangue iniziano a crescere senza controllo. Imatinib Actavis inibisce la crescita di queste cellule in certi sottotipi di queste malattie. </w:t>
      </w:r>
    </w:p>
    <w:p w14:paraId="56071049"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rFonts w:ascii="Times New Roman" w:hAnsi="Times New Roman"/>
          <w:b/>
          <w:bCs/>
          <w:lang w:val="it-IT"/>
        </w:rPr>
      </w:pPr>
      <w:r w:rsidRPr="00496684">
        <w:rPr>
          <w:rFonts w:ascii="Times New Roman" w:hAnsi="Times New Roman"/>
          <w:b/>
          <w:bCs/>
          <w:lang w:val="it-IT"/>
        </w:rPr>
        <w:t>Sindrome ipereosinofila (HES) e/o leucemia eosinofila cronica (LEC)</w:t>
      </w:r>
    </w:p>
    <w:p w14:paraId="6808A419" w14:textId="77777777" w:rsidR="00BC698F" w:rsidRPr="00496684" w:rsidRDefault="00BC698F" w:rsidP="00D008F2">
      <w:pPr>
        <w:pStyle w:val="Default"/>
        <w:ind w:left="567"/>
        <w:rPr>
          <w:sz w:val="22"/>
          <w:szCs w:val="22"/>
          <w:lang w:val="it-IT"/>
        </w:rPr>
      </w:pPr>
      <w:r w:rsidRPr="00496684">
        <w:rPr>
          <w:sz w:val="22"/>
          <w:szCs w:val="22"/>
          <w:lang w:val="it-IT"/>
        </w:rPr>
        <w:t xml:space="preserve">Sono malattie del sangue dove delle cellule del sangue (chiamate eosinofili) iniziano a crescere senza controllo. Imatinib Actavis inibisce la crescita di queste cellule in un certo sottotipo di queste malattie. </w:t>
      </w:r>
    </w:p>
    <w:p w14:paraId="2E8C3C48" w14:textId="77777777" w:rsidR="00BC698F" w:rsidRPr="00496684" w:rsidRDefault="00BC698F" w:rsidP="00BC698F">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Dermatofibrosarcoma protuberans (DFSP)</w:t>
      </w:r>
    </w:p>
    <w:p w14:paraId="54F170E5" w14:textId="77777777" w:rsidR="00BC698F" w:rsidRPr="00496684" w:rsidRDefault="00BC698F" w:rsidP="00D008F2">
      <w:pPr>
        <w:pStyle w:val="Default"/>
        <w:ind w:left="567"/>
        <w:rPr>
          <w:sz w:val="22"/>
          <w:szCs w:val="22"/>
          <w:lang w:val="it-IT"/>
        </w:rPr>
      </w:pPr>
      <w:r w:rsidRPr="00496684">
        <w:rPr>
          <w:sz w:val="22"/>
          <w:szCs w:val="22"/>
          <w:lang w:val="it-IT"/>
        </w:rPr>
        <w:t xml:space="preserve">DFSP è un tumore del tessuto sottocutaneo nel quale alcune cellule iniziano a crescere senza controllo. Imatinib Actavis inibisce la crescita di queste cellule. </w:t>
      </w:r>
    </w:p>
    <w:p w14:paraId="4D84D9C2" w14:textId="77777777" w:rsidR="00DB03B2" w:rsidRPr="00496684" w:rsidRDefault="00DB03B2" w:rsidP="00D008F2">
      <w:pPr>
        <w:autoSpaceDE w:val="0"/>
        <w:autoSpaceDN w:val="0"/>
        <w:adjustRightInd w:val="0"/>
        <w:spacing w:after="0" w:line="240" w:lineRule="auto"/>
        <w:rPr>
          <w:rFonts w:ascii="Times New Roman" w:hAnsi="Times New Roman"/>
          <w:lang w:val="it-IT"/>
        </w:rPr>
      </w:pPr>
    </w:p>
    <w:p w14:paraId="7CA2B5C6" w14:textId="77777777" w:rsidR="00BC698F" w:rsidRPr="00496684" w:rsidRDefault="00BC698F" w:rsidP="00D008F2">
      <w:pPr>
        <w:autoSpaceDE w:val="0"/>
        <w:autoSpaceDN w:val="0"/>
        <w:adjustRightInd w:val="0"/>
        <w:spacing w:after="0" w:line="240" w:lineRule="auto"/>
        <w:rPr>
          <w:lang w:val="it-IT"/>
        </w:rPr>
      </w:pPr>
      <w:r w:rsidRPr="00496684">
        <w:rPr>
          <w:rFonts w:ascii="Times New Roman" w:hAnsi="Times New Roman"/>
          <w:lang w:val="it-IT"/>
        </w:rPr>
        <w:t>Nel resto di questo foglio illustrativo si useranno le abbreviazioni quando si parlerà di queste malattie</w:t>
      </w:r>
    </w:p>
    <w:p w14:paraId="09246604"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546A6F4F"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ha delle domande riguardo a come Imatinib Actavis agisce o sul motivo per cui le è stato prescritto Imatinib Actavis, consulti il medico</w:t>
      </w:r>
    </w:p>
    <w:p w14:paraId="123D0AF6"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4ADA2A00" w14:textId="77777777" w:rsidR="0020671B" w:rsidRPr="00496684" w:rsidRDefault="0020671B" w:rsidP="00586369">
      <w:pPr>
        <w:autoSpaceDE w:val="0"/>
        <w:autoSpaceDN w:val="0"/>
        <w:adjustRightInd w:val="0"/>
        <w:spacing w:after="0" w:line="240" w:lineRule="auto"/>
        <w:rPr>
          <w:rFonts w:ascii="Times New Roman" w:hAnsi="Times New Roman"/>
          <w:lang w:val="it-IT"/>
        </w:rPr>
      </w:pPr>
    </w:p>
    <w:p w14:paraId="2E8A2967" w14:textId="77777777" w:rsidR="00586369" w:rsidRPr="00496684" w:rsidRDefault="00586369" w:rsidP="00586369">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2.</w:t>
      </w:r>
      <w:r w:rsidRPr="00496684">
        <w:rPr>
          <w:rFonts w:ascii="Times New Roman" w:hAnsi="Times New Roman"/>
          <w:b/>
          <w:bCs/>
          <w:lang w:val="it-IT"/>
        </w:rPr>
        <w:tab/>
        <w:t>Cosa deve sapere prima di prendere Imatinib Actavis</w:t>
      </w:r>
    </w:p>
    <w:p w14:paraId="05632160"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470401E4" w14:textId="77777777" w:rsidR="00586369" w:rsidRPr="00496684" w:rsidRDefault="00586369" w:rsidP="00586369">
      <w:pPr>
        <w:pStyle w:val="Textkrper3"/>
        <w:spacing w:after="0" w:line="240" w:lineRule="auto"/>
        <w:rPr>
          <w:rFonts w:ascii="Times New Roman" w:hAnsi="Times New Roman"/>
          <w:sz w:val="22"/>
          <w:szCs w:val="22"/>
          <w:lang w:val="it-IT"/>
        </w:rPr>
      </w:pPr>
      <w:r w:rsidRPr="00496684">
        <w:rPr>
          <w:rFonts w:ascii="Times New Roman" w:hAnsi="Times New Roman"/>
          <w:sz w:val="22"/>
          <w:szCs w:val="22"/>
          <w:lang w:val="it-IT"/>
        </w:rPr>
        <w:t xml:space="preserve">Imatinib Actavis le verrà prescritto solo da medici con esperienza in medicinali per il trattamento dei tumori del sangue </w:t>
      </w:r>
      <w:r w:rsidR="00BC698F" w:rsidRPr="00496684">
        <w:rPr>
          <w:rFonts w:ascii="Times New Roman" w:hAnsi="Times New Roman"/>
          <w:sz w:val="22"/>
          <w:szCs w:val="22"/>
          <w:lang w:val="it-IT"/>
        </w:rPr>
        <w:t>o tumori solidi</w:t>
      </w:r>
      <w:r w:rsidRPr="00496684">
        <w:rPr>
          <w:rFonts w:ascii="Times New Roman" w:hAnsi="Times New Roman"/>
          <w:sz w:val="22"/>
          <w:szCs w:val="22"/>
          <w:lang w:val="it-IT"/>
        </w:rPr>
        <w:t>.</w:t>
      </w:r>
    </w:p>
    <w:p w14:paraId="7FC9737F" w14:textId="77777777" w:rsidR="00586369" w:rsidRPr="00496684" w:rsidRDefault="00586369" w:rsidP="00586369">
      <w:pPr>
        <w:pStyle w:val="Textkrper3"/>
        <w:spacing w:after="0" w:line="240" w:lineRule="auto"/>
        <w:rPr>
          <w:rFonts w:ascii="Times New Roman" w:hAnsi="Times New Roman"/>
          <w:sz w:val="22"/>
          <w:szCs w:val="22"/>
          <w:lang w:val="it-IT"/>
        </w:rPr>
      </w:pPr>
    </w:p>
    <w:p w14:paraId="6E60D003" w14:textId="77777777" w:rsidR="00586369" w:rsidRPr="00496684" w:rsidRDefault="00586369" w:rsidP="00586369">
      <w:pPr>
        <w:widowControl w:val="0"/>
        <w:numPr>
          <w:ilvl w:val="12"/>
          <w:numId w:val="0"/>
        </w:numPr>
        <w:spacing w:after="0" w:line="240" w:lineRule="auto"/>
        <w:ind w:right="-2"/>
        <w:rPr>
          <w:rFonts w:ascii="Times New Roman" w:hAnsi="Times New Roman"/>
          <w:lang w:val="it-IT"/>
        </w:rPr>
      </w:pPr>
      <w:r w:rsidRPr="00496684">
        <w:rPr>
          <w:rFonts w:ascii="Times New Roman" w:hAnsi="Times New Roman"/>
          <w:lang w:val="it-IT"/>
        </w:rPr>
        <w:t>Segua attentamente tutte le istruzioni del medico, anche se differiscono dalle informazioni generali contenute in questo foglio.</w:t>
      </w:r>
    </w:p>
    <w:p w14:paraId="1318ED1E" w14:textId="77777777" w:rsidR="00586369" w:rsidRPr="00496684" w:rsidRDefault="00586369" w:rsidP="00586369">
      <w:pPr>
        <w:widowControl w:val="0"/>
        <w:numPr>
          <w:ilvl w:val="12"/>
          <w:numId w:val="0"/>
        </w:numPr>
        <w:spacing w:after="0" w:line="240" w:lineRule="auto"/>
        <w:ind w:right="-2"/>
        <w:rPr>
          <w:rFonts w:ascii="Times New Roman" w:hAnsi="Times New Roman"/>
          <w:lang w:val="it-IT"/>
        </w:rPr>
      </w:pPr>
    </w:p>
    <w:p w14:paraId="3E4D4C46" w14:textId="36CFE0E1" w:rsidR="00586369" w:rsidRPr="00496684" w:rsidRDefault="00586369" w:rsidP="00586369">
      <w:pPr>
        <w:widowControl w:val="0"/>
        <w:numPr>
          <w:ilvl w:val="12"/>
          <w:numId w:val="0"/>
        </w:numPr>
        <w:spacing w:after="0" w:line="240" w:lineRule="auto"/>
        <w:rPr>
          <w:rFonts w:ascii="Times New Roman" w:hAnsi="Times New Roman"/>
          <w:lang w:val="it-IT"/>
        </w:rPr>
      </w:pPr>
      <w:r w:rsidRPr="00496684">
        <w:rPr>
          <w:rFonts w:ascii="Times New Roman" w:hAnsi="Times New Roman"/>
          <w:b/>
          <w:lang w:val="it-IT"/>
        </w:rPr>
        <w:t>Non prenda Imatinib Actavis</w:t>
      </w:r>
    </w:p>
    <w:p w14:paraId="3673F1FF" w14:textId="77777777" w:rsidR="00586369" w:rsidRPr="00496684" w:rsidRDefault="00586369" w:rsidP="00586369">
      <w:pPr>
        <w:widowControl w:val="0"/>
        <w:numPr>
          <w:ilvl w:val="12"/>
          <w:numId w:val="0"/>
        </w:numPr>
        <w:spacing w:after="0" w:line="240" w:lineRule="auto"/>
        <w:ind w:left="567" w:hanging="567"/>
        <w:rPr>
          <w:rFonts w:ascii="Times New Roman" w:hAnsi="Times New Roman"/>
          <w:lang w:val="it-IT"/>
        </w:rPr>
      </w:pPr>
      <w:r w:rsidRPr="00496684">
        <w:rPr>
          <w:rFonts w:ascii="Times New Roman" w:hAnsi="Times New Roman"/>
          <w:lang w:val="it-IT"/>
        </w:rPr>
        <w:t>-</w:t>
      </w:r>
      <w:r w:rsidRPr="00496684">
        <w:rPr>
          <w:rFonts w:ascii="Times New Roman" w:hAnsi="Times New Roman"/>
          <w:lang w:val="it-IT"/>
        </w:rPr>
        <w:tab/>
        <w:t>se è allergico a imatinib, alla soia, all'arachide o ad uno qualsiasi degli altri componenti di questo medicinale (elencati al paragrafo 6).</w:t>
      </w:r>
    </w:p>
    <w:p w14:paraId="191791F1" w14:textId="77777777" w:rsidR="00586369" w:rsidRPr="00496684" w:rsidRDefault="00586369" w:rsidP="00586369">
      <w:pPr>
        <w:widowControl w:val="0"/>
        <w:numPr>
          <w:ilvl w:val="12"/>
          <w:numId w:val="0"/>
        </w:numPr>
        <w:spacing w:after="0" w:line="240" w:lineRule="auto"/>
        <w:ind w:left="567" w:hanging="567"/>
        <w:rPr>
          <w:rFonts w:ascii="Times New Roman" w:hAnsi="Times New Roman"/>
          <w:lang w:val="it-IT"/>
        </w:rPr>
      </w:pPr>
    </w:p>
    <w:p w14:paraId="384676E9" w14:textId="77777777" w:rsidR="00586369" w:rsidRPr="00496684" w:rsidRDefault="00586369" w:rsidP="00586369">
      <w:pPr>
        <w:pStyle w:val="Endnotentext"/>
        <w:widowControl w:val="0"/>
        <w:numPr>
          <w:ilvl w:val="12"/>
          <w:numId w:val="0"/>
        </w:numPr>
        <w:tabs>
          <w:tab w:val="clear" w:pos="567"/>
        </w:tabs>
        <w:rPr>
          <w:b/>
          <w:szCs w:val="22"/>
          <w:lang w:val="it-IT"/>
        </w:rPr>
      </w:pPr>
      <w:r w:rsidRPr="00496684">
        <w:rPr>
          <w:szCs w:val="22"/>
          <w:lang w:val="it-IT"/>
        </w:rPr>
        <w:t xml:space="preserve">Se è in questa situazione, </w:t>
      </w:r>
      <w:r w:rsidRPr="00496684">
        <w:rPr>
          <w:b/>
          <w:szCs w:val="22"/>
          <w:lang w:val="it-IT"/>
        </w:rPr>
        <w:t>consulti il medico senza prendere Imatinib Actavis.</w:t>
      </w:r>
    </w:p>
    <w:p w14:paraId="024C9081" w14:textId="77777777" w:rsidR="00586369" w:rsidRPr="00496684" w:rsidRDefault="00586369" w:rsidP="00586369">
      <w:pPr>
        <w:pStyle w:val="Endnotentext"/>
        <w:widowControl w:val="0"/>
        <w:numPr>
          <w:ilvl w:val="12"/>
          <w:numId w:val="0"/>
        </w:numPr>
        <w:tabs>
          <w:tab w:val="clear" w:pos="567"/>
        </w:tabs>
        <w:rPr>
          <w:szCs w:val="22"/>
          <w:lang w:val="it-IT"/>
        </w:rPr>
      </w:pPr>
    </w:p>
    <w:p w14:paraId="4E505FC2" w14:textId="77777777" w:rsidR="00586369" w:rsidRPr="00496684" w:rsidRDefault="00586369" w:rsidP="00586369">
      <w:pPr>
        <w:widowControl w:val="0"/>
        <w:numPr>
          <w:ilvl w:val="12"/>
          <w:numId w:val="0"/>
        </w:numPr>
        <w:ind w:left="567" w:hanging="567"/>
        <w:rPr>
          <w:rFonts w:ascii="Times New Roman" w:hAnsi="Times New Roman"/>
          <w:lang w:val="it-IT"/>
        </w:rPr>
      </w:pPr>
      <w:r w:rsidRPr="00496684">
        <w:rPr>
          <w:rFonts w:ascii="Times New Roman" w:hAnsi="Times New Roman"/>
          <w:lang w:val="it-IT"/>
        </w:rPr>
        <w:t>Se pensa di poter essere allergico ma non è sicuro, chieda consiglio al medico.</w:t>
      </w:r>
    </w:p>
    <w:p w14:paraId="7C766679" w14:textId="77777777" w:rsidR="00586369" w:rsidRPr="00496684" w:rsidRDefault="00586369" w:rsidP="00586369">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Avvertenze e precauzioni</w:t>
      </w:r>
    </w:p>
    <w:p w14:paraId="65462E5C" w14:textId="77777777" w:rsidR="00586369" w:rsidRPr="00496684" w:rsidRDefault="00586369" w:rsidP="00586369">
      <w:pPr>
        <w:widowControl w:val="0"/>
        <w:spacing w:after="0" w:line="240" w:lineRule="auto"/>
        <w:rPr>
          <w:rFonts w:ascii="Times New Roman" w:hAnsi="Times New Roman"/>
          <w:lang w:val="it-IT"/>
        </w:rPr>
      </w:pPr>
      <w:r w:rsidRPr="00496684">
        <w:rPr>
          <w:rFonts w:ascii="Times New Roman" w:hAnsi="Times New Roman"/>
          <w:lang w:val="it-IT"/>
        </w:rPr>
        <w:t>Si rivolga al medico prima di prendere Imatinib Actavis:</w:t>
      </w:r>
    </w:p>
    <w:p w14:paraId="506D69BF" w14:textId="77777777" w:rsidR="00586369" w:rsidRPr="00496684" w:rsidRDefault="00586369" w:rsidP="00586369">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ha o ha avuto disturbi al fegato, ai reni o al cuore.</w:t>
      </w:r>
    </w:p>
    <w:p w14:paraId="107E9490" w14:textId="77777777" w:rsidR="00586369" w:rsidRPr="00496684" w:rsidRDefault="00586369" w:rsidP="00586369">
      <w:pPr>
        <w:widowControl w:val="0"/>
        <w:numPr>
          <w:ilvl w:val="0"/>
          <w:numId w:val="5"/>
        </w:numPr>
        <w:tabs>
          <w:tab w:val="clear" w:pos="644"/>
          <w:tab w:val="num" w:pos="567"/>
        </w:tabs>
        <w:spacing w:after="0" w:line="240" w:lineRule="auto"/>
        <w:ind w:left="283"/>
        <w:rPr>
          <w:rFonts w:ascii="Times New Roman" w:hAnsi="Times New Roman"/>
          <w:lang w:val="it-IT"/>
        </w:rPr>
      </w:pPr>
      <w:r w:rsidRPr="00496684">
        <w:rPr>
          <w:rFonts w:ascii="Times New Roman" w:hAnsi="Times New Roman"/>
          <w:lang w:val="it-IT"/>
        </w:rPr>
        <w:t>se sta assumendo il medicinale levotiroxina poichè le è stata asportata la tiroide.</w:t>
      </w:r>
    </w:p>
    <w:p w14:paraId="6316196C" w14:textId="744CC46B" w:rsidR="00EC423F" w:rsidRPr="00496684" w:rsidRDefault="00EC423F" w:rsidP="00EC423F">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 xml:space="preserve">se lei ha mai avuto o </w:t>
      </w:r>
      <w:r w:rsidR="00F468EF" w:rsidRPr="00496684">
        <w:rPr>
          <w:rFonts w:ascii="Times New Roman" w:hAnsi="Times New Roman"/>
          <w:lang w:val="it-IT"/>
        </w:rPr>
        <w:t>può</w:t>
      </w:r>
      <w:r w:rsidRPr="00496684">
        <w:rPr>
          <w:rFonts w:ascii="Times New Roman" w:hAnsi="Times New Roman"/>
          <w:lang w:val="it-IT"/>
        </w:rPr>
        <w:t xml:space="preserve"> avere in corso un’infezione da epatite B . Questo perché Imatinib Actavis </w:t>
      </w:r>
      <w:r w:rsidR="00F468EF" w:rsidRPr="00496684">
        <w:rPr>
          <w:rFonts w:ascii="Times New Roman" w:hAnsi="Times New Roman"/>
          <w:lang w:val="it-IT"/>
        </w:rPr>
        <w:t>può</w:t>
      </w:r>
      <w:r w:rsidRPr="00496684">
        <w:rPr>
          <w:rFonts w:ascii="Times New Roman" w:hAnsi="Times New Roman"/>
          <w:lang w:val="it-IT"/>
        </w:rPr>
        <w:t xml:space="preserve"> causare la riattivazione dell’epatite B, che in alcuni casi può essere fatale. I pazienti verranno esaminati attentamente dal medico per i segni di questa infezione prima di iniziare il trattamento.</w:t>
      </w:r>
    </w:p>
    <w:p w14:paraId="43882203" w14:textId="588DADD2" w:rsidR="00F468EF" w:rsidRPr="00496684" w:rsidRDefault="00F468EF" w:rsidP="00EC423F">
      <w:pPr>
        <w:widowControl w:val="0"/>
        <w:numPr>
          <w:ilvl w:val="0"/>
          <w:numId w:val="5"/>
        </w:numPr>
        <w:tabs>
          <w:tab w:val="clear" w:pos="644"/>
          <w:tab w:val="num" w:pos="567"/>
        </w:tabs>
        <w:spacing w:after="0" w:line="240" w:lineRule="auto"/>
        <w:ind w:hanging="567"/>
        <w:rPr>
          <w:rFonts w:ascii="Times New Roman" w:hAnsi="Times New Roman"/>
          <w:lang w:val="it-IT"/>
        </w:rPr>
      </w:pPr>
      <w:r w:rsidRPr="00496684">
        <w:rPr>
          <w:rFonts w:ascii="Times New Roman" w:hAnsi="Times New Roman"/>
          <w:lang w:val="it-IT"/>
        </w:rPr>
        <w:t>se presenta lividi, sanguinamento, febbre, stanchezza e confusione durante l’assunzione di Imatinib Actavis, contatti il medico. Questo può essere un segno di danno ai vasi sanguigni noto come microangiopatia trombotica (TMA).</w:t>
      </w:r>
    </w:p>
    <w:p w14:paraId="61DA3E84" w14:textId="77777777" w:rsidR="00EC423F" w:rsidRPr="00496684" w:rsidRDefault="00EC423F" w:rsidP="00EC423F">
      <w:pPr>
        <w:widowControl w:val="0"/>
        <w:spacing w:after="0" w:line="240" w:lineRule="auto"/>
        <w:rPr>
          <w:rFonts w:ascii="Times New Roman" w:hAnsi="Times New Roman"/>
          <w:lang w:val="it-IT"/>
        </w:rPr>
      </w:pPr>
    </w:p>
    <w:p w14:paraId="0C9D3894" w14:textId="77777777" w:rsidR="00586369" w:rsidRPr="00496684" w:rsidRDefault="00586369" w:rsidP="00586369">
      <w:pPr>
        <w:pStyle w:val="Endnotentext"/>
        <w:widowControl w:val="0"/>
        <w:numPr>
          <w:ilvl w:val="12"/>
          <w:numId w:val="0"/>
        </w:numPr>
        <w:tabs>
          <w:tab w:val="clear" w:pos="567"/>
        </w:tabs>
        <w:rPr>
          <w:szCs w:val="22"/>
          <w:lang w:val="it-IT"/>
        </w:rPr>
      </w:pPr>
      <w:r w:rsidRPr="00496684">
        <w:rPr>
          <w:szCs w:val="22"/>
          <w:lang w:val="it-IT"/>
        </w:rPr>
        <w:t xml:space="preserve">Se è in una di queste situazioni, </w:t>
      </w:r>
      <w:r w:rsidRPr="00496684">
        <w:rPr>
          <w:b/>
          <w:szCs w:val="22"/>
          <w:lang w:val="it-IT"/>
        </w:rPr>
        <w:t>consulti il medico prima di prendere Imatinib Actavis.</w:t>
      </w:r>
    </w:p>
    <w:p w14:paraId="06904B74" w14:textId="77777777" w:rsidR="00B56712" w:rsidRPr="00496684" w:rsidRDefault="00B56712" w:rsidP="00B56712">
      <w:pPr>
        <w:pStyle w:val="Endnotentext"/>
        <w:widowControl w:val="0"/>
        <w:numPr>
          <w:ilvl w:val="12"/>
          <w:numId w:val="0"/>
        </w:numPr>
        <w:rPr>
          <w:szCs w:val="22"/>
          <w:lang w:val="it-IT"/>
        </w:rPr>
      </w:pPr>
    </w:p>
    <w:p w14:paraId="68AB51C4" w14:textId="77777777" w:rsidR="00B56712" w:rsidRPr="00496684" w:rsidRDefault="00B56712" w:rsidP="00B56712">
      <w:pPr>
        <w:pStyle w:val="Endnotentext"/>
        <w:widowControl w:val="0"/>
        <w:numPr>
          <w:ilvl w:val="12"/>
          <w:numId w:val="0"/>
        </w:numPr>
        <w:tabs>
          <w:tab w:val="clear" w:pos="567"/>
        </w:tabs>
        <w:rPr>
          <w:szCs w:val="22"/>
          <w:lang w:val="it-IT"/>
        </w:rPr>
      </w:pPr>
      <w:r w:rsidRPr="00496684">
        <w:rPr>
          <w:szCs w:val="22"/>
          <w:lang w:val="it-IT"/>
        </w:rPr>
        <w:t>Durante il trattamento con Imatinib Actavis può diventare più sensibile al sole. E’ importante coprire le aree della pelle esposte al sole e utilizzare un filtro solare con un elevato fattore di protezione solare (SPF). Queste precauzioni si applicano anche ai bambini.</w:t>
      </w:r>
    </w:p>
    <w:p w14:paraId="0F6CC7FD" w14:textId="77777777" w:rsidR="00586369" w:rsidRPr="00496684" w:rsidRDefault="00586369" w:rsidP="00586369">
      <w:pPr>
        <w:pStyle w:val="Endnotentext"/>
        <w:widowControl w:val="0"/>
        <w:numPr>
          <w:ilvl w:val="12"/>
          <w:numId w:val="0"/>
        </w:numPr>
        <w:tabs>
          <w:tab w:val="clear" w:pos="567"/>
        </w:tabs>
        <w:rPr>
          <w:szCs w:val="22"/>
          <w:lang w:val="it-IT"/>
        </w:rPr>
      </w:pPr>
    </w:p>
    <w:p w14:paraId="5B40EB15" w14:textId="77777777" w:rsidR="00586369" w:rsidRPr="00496684" w:rsidRDefault="00586369" w:rsidP="00586369">
      <w:pPr>
        <w:pStyle w:val="Endnotentext"/>
        <w:widowControl w:val="0"/>
        <w:numPr>
          <w:ilvl w:val="12"/>
          <w:numId w:val="0"/>
        </w:numPr>
        <w:tabs>
          <w:tab w:val="clear" w:pos="567"/>
        </w:tabs>
        <w:rPr>
          <w:szCs w:val="22"/>
          <w:lang w:val="it-IT"/>
        </w:rPr>
      </w:pPr>
      <w:r w:rsidRPr="00496684">
        <w:rPr>
          <w:b/>
          <w:szCs w:val="22"/>
          <w:lang w:val="it-IT"/>
        </w:rPr>
        <w:t>Durante il trattamento con Imatinib Actavis, informi immediatamente il medico</w:t>
      </w:r>
      <w:r w:rsidRPr="00496684">
        <w:rPr>
          <w:szCs w:val="22"/>
          <w:lang w:val="it-IT"/>
        </w:rPr>
        <w:t xml:space="preserve"> se aumenta di peso molto velocemente. Imatinib Actavis può far trattenere al suo corpo acqua (grave ritenzione di liquidi).</w:t>
      </w:r>
    </w:p>
    <w:p w14:paraId="64876AFB"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3A1FFDAB" w14:textId="77777777" w:rsidR="00586369" w:rsidRPr="00496684" w:rsidRDefault="00586369" w:rsidP="00586369">
      <w:pPr>
        <w:pStyle w:val="Endnotentext"/>
        <w:widowControl w:val="0"/>
        <w:numPr>
          <w:ilvl w:val="12"/>
          <w:numId w:val="0"/>
        </w:numPr>
        <w:tabs>
          <w:tab w:val="clear" w:pos="567"/>
        </w:tabs>
        <w:rPr>
          <w:szCs w:val="22"/>
          <w:lang w:val="it-IT"/>
        </w:rPr>
      </w:pPr>
      <w:r w:rsidRPr="00496684">
        <w:rPr>
          <w:szCs w:val="22"/>
          <w:lang w:val="it-IT"/>
        </w:rPr>
        <w:t>Mentre sta assumendo Imatinib Actavis, il medico dovrà regolarmente controllare se il medicinale è efficace. Inoltre le verranno fatti esami del sangue e verrà pesato regolarmente.</w:t>
      </w:r>
    </w:p>
    <w:p w14:paraId="785364D5"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325025CF" w14:textId="77777777" w:rsidR="00586369" w:rsidRPr="00496684" w:rsidRDefault="00586369" w:rsidP="00586369">
      <w:pPr>
        <w:pStyle w:val="Endnotentext"/>
        <w:widowControl w:val="0"/>
        <w:numPr>
          <w:ilvl w:val="12"/>
          <w:numId w:val="0"/>
        </w:numPr>
        <w:tabs>
          <w:tab w:val="clear" w:pos="567"/>
        </w:tabs>
        <w:rPr>
          <w:b/>
          <w:szCs w:val="22"/>
          <w:lang w:val="it-IT"/>
        </w:rPr>
      </w:pPr>
      <w:r w:rsidRPr="00496684">
        <w:rPr>
          <w:b/>
          <w:szCs w:val="22"/>
          <w:lang w:val="it-IT"/>
        </w:rPr>
        <w:t>Bambini e adolescenti</w:t>
      </w:r>
    </w:p>
    <w:p w14:paraId="47C7355D" w14:textId="046BD757" w:rsidR="00586369" w:rsidRPr="00496684" w:rsidRDefault="00586369" w:rsidP="0058636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Imatinib Actavis è anche un trattamento per i bambini con LMC. Non c’è esperienza nei bambini con LMC di età inferiore a 2 anni.</w:t>
      </w:r>
      <w:r w:rsidR="00BC698F" w:rsidRPr="00496684">
        <w:rPr>
          <w:rFonts w:ascii="Times New Roman" w:eastAsia="Times New Roman" w:hAnsi="Times New Roman"/>
          <w:lang w:val="it-IT" w:eastAsia="it-IT"/>
        </w:rPr>
        <w:t xml:space="preserve"> C’è una limitata esperienza nei bambini con LLA Ph+ e molto limitata esperienza nei bambini con MDS/MPD, DFSP, GIST e HES/LEC.</w:t>
      </w:r>
    </w:p>
    <w:p w14:paraId="40570F58"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66F485A6" w14:textId="77777777" w:rsidR="00586369" w:rsidRPr="00496684" w:rsidRDefault="00586369" w:rsidP="0058636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Alcuni bambini e adolescenti che assumono Imatinib Actavis possono avere una crescita più lenta del normale. Il medico controllerà la crescita a intervalli regolari</w:t>
      </w:r>
    </w:p>
    <w:p w14:paraId="4DB8139C" w14:textId="77777777" w:rsidR="00586369" w:rsidRPr="00496684" w:rsidRDefault="00586369" w:rsidP="00586369">
      <w:pPr>
        <w:autoSpaceDE w:val="0"/>
        <w:autoSpaceDN w:val="0"/>
        <w:adjustRightInd w:val="0"/>
        <w:spacing w:after="0" w:line="240" w:lineRule="auto"/>
        <w:ind w:left="567" w:hanging="567"/>
        <w:rPr>
          <w:rFonts w:ascii="Times New Roman" w:hAnsi="Times New Roman"/>
          <w:lang w:val="it-IT"/>
        </w:rPr>
      </w:pPr>
    </w:p>
    <w:p w14:paraId="29D52D80" w14:textId="77777777" w:rsidR="00586369" w:rsidRPr="00496684" w:rsidRDefault="00586369" w:rsidP="00586369">
      <w:pPr>
        <w:pStyle w:val="Endnotentext"/>
        <w:widowControl w:val="0"/>
        <w:numPr>
          <w:ilvl w:val="12"/>
          <w:numId w:val="0"/>
        </w:numPr>
        <w:tabs>
          <w:tab w:val="clear" w:pos="567"/>
        </w:tabs>
        <w:rPr>
          <w:b/>
          <w:szCs w:val="22"/>
          <w:lang w:val="it-IT"/>
        </w:rPr>
      </w:pPr>
      <w:r w:rsidRPr="00496684">
        <w:rPr>
          <w:b/>
          <w:szCs w:val="22"/>
          <w:lang w:val="it-IT"/>
        </w:rPr>
        <w:t>Altri medicinali e Imatinib Actavis</w:t>
      </w:r>
    </w:p>
    <w:p w14:paraId="723F5B91" w14:textId="77777777" w:rsidR="00586369" w:rsidRPr="00496684" w:rsidRDefault="00586369" w:rsidP="00586369">
      <w:pPr>
        <w:pStyle w:val="Endnotentext"/>
        <w:widowControl w:val="0"/>
        <w:numPr>
          <w:ilvl w:val="12"/>
          <w:numId w:val="0"/>
        </w:numPr>
        <w:tabs>
          <w:tab w:val="clear" w:pos="567"/>
        </w:tabs>
        <w:rPr>
          <w:szCs w:val="22"/>
          <w:lang w:val="it-IT"/>
        </w:rPr>
      </w:pPr>
      <w:r w:rsidRPr="00496684">
        <w:rPr>
          <w:szCs w:val="22"/>
          <w:lang w:val="it-IT"/>
        </w:rPr>
        <w:t>Informi il medico o il farmacista se sta assumendo, ha recentemente assunto o potrebbe assumere qualsiasi altro medicinale, compresi quelli senza prescrizione medica (come il paracetamolo) e inclusi i medicinali a base di piante medicinali (come l’erba di San Giovanni). Alcuni medicinali possono interferire con l’effetto di Imatinib Actavis quando assunti insieme. Possono aumentare o diminuire l’effetto di Imatinib Actavis portando ad un aumento degli effetti indesiderati o rendendo Imatinib Actavis meno efficace. Imatinib Actavis può fare lo stesso nei confronti di altri medicinali.</w:t>
      </w:r>
    </w:p>
    <w:p w14:paraId="03A8C23D" w14:textId="77777777" w:rsidR="00586369" w:rsidRPr="00496684" w:rsidRDefault="00586369" w:rsidP="00586369">
      <w:pPr>
        <w:pStyle w:val="Endnotentext"/>
        <w:widowControl w:val="0"/>
        <w:numPr>
          <w:ilvl w:val="12"/>
          <w:numId w:val="0"/>
        </w:numPr>
        <w:tabs>
          <w:tab w:val="clear" w:pos="567"/>
        </w:tabs>
        <w:rPr>
          <w:szCs w:val="22"/>
          <w:lang w:val="it-IT"/>
        </w:rPr>
      </w:pPr>
    </w:p>
    <w:p w14:paraId="7C305BAC" w14:textId="77777777" w:rsidR="00586369" w:rsidRPr="00496684" w:rsidRDefault="00586369" w:rsidP="00586369">
      <w:pPr>
        <w:pStyle w:val="Endnotentext"/>
        <w:widowControl w:val="0"/>
        <w:numPr>
          <w:ilvl w:val="12"/>
          <w:numId w:val="0"/>
        </w:numPr>
        <w:tabs>
          <w:tab w:val="clear" w:pos="567"/>
        </w:tabs>
        <w:rPr>
          <w:szCs w:val="22"/>
          <w:lang w:val="it-IT"/>
        </w:rPr>
      </w:pPr>
      <w:r w:rsidRPr="00496684">
        <w:rPr>
          <w:szCs w:val="22"/>
          <w:lang w:val="it-IT"/>
        </w:rPr>
        <w:t>Informi il medico se sta usando medicinali che prevengono la formazione di coaguli di sangue.</w:t>
      </w:r>
    </w:p>
    <w:p w14:paraId="6639DA8E"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54826A34" w14:textId="77777777" w:rsidR="00586369" w:rsidRPr="00496684" w:rsidRDefault="00586369" w:rsidP="00586369">
      <w:pPr>
        <w:pStyle w:val="Endnotentext"/>
        <w:widowControl w:val="0"/>
        <w:numPr>
          <w:ilvl w:val="12"/>
          <w:numId w:val="0"/>
        </w:numPr>
        <w:tabs>
          <w:tab w:val="clear" w:pos="567"/>
        </w:tabs>
        <w:rPr>
          <w:b/>
          <w:szCs w:val="22"/>
          <w:lang w:val="it-IT"/>
        </w:rPr>
      </w:pPr>
      <w:r w:rsidRPr="00496684">
        <w:rPr>
          <w:b/>
          <w:szCs w:val="22"/>
          <w:lang w:val="it-IT"/>
        </w:rPr>
        <w:t>Gravidanza, allattamento e fertilità</w:t>
      </w:r>
    </w:p>
    <w:p w14:paraId="2A3126F5" w14:textId="77777777" w:rsidR="00586369" w:rsidRPr="00496684" w:rsidRDefault="00586369" w:rsidP="00586369">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Se è in corso una gravidanza, se sospetta o sta pianificando una gravidanza, o se sta allattando con latte materno chieda consiglio al medico prima di prendere questo medicinale.</w:t>
      </w:r>
    </w:p>
    <w:p w14:paraId="3AB04538" w14:textId="77777777" w:rsidR="00586369" w:rsidRPr="00496684" w:rsidRDefault="00586369" w:rsidP="00586369">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Imatinib Actavis non è raccomandato durante la gravidanza a meno che non sia strettamente necessario in quanto può essere dannoso per il bambino. Il medico discuterà con lei i possibili rischi dell’assunzione di Imatinib Actavis durante la gravidanza.</w:t>
      </w:r>
    </w:p>
    <w:p w14:paraId="36744372" w14:textId="77777777" w:rsidR="006B5718" w:rsidRPr="00496684" w:rsidRDefault="00586369"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 xml:space="preserve">Alle donne che </w:t>
      </w:r>
      <w:r w:rsidR="00F468EF" w:rsidRPr="00496684">
        <w:rPr>
          <w:rFonts w:ascii="Times New Roman" w:hAnsi="Times New Roman"/>
          <w:lang w:val="it-IT"/>
        </w:rPr>
        <w:t>possono</w:t>
      </w:r>
      <w:r w:rsidRPr="00496684">
        <w:rPr>
          <w:rFonts w:ascii="Times New Roman" w:hAnsi="Times New Roman"/>
          <w:lang w:val="it-IT"/>
        </w:rPr>
        <w:t xml:space="preserve"> rimanere in stato di gravidanza si consiglia l’utilizzo di un’efficace </w:t>
      </w:r>
      <w:r w:rsidR="006B5718" w:rsidRPr="00496684">
        <w:rPr>
          <w:rFonts w:ascii="Times New Roman" w:hAnsi="Times New Roman"/>
          <w:lang w:val="it-IT"/>
        </w:rPr>
        <w:t>contraccezione durante il trattamento</w:t>
      </w:r>
      <w:r w:rsidR="006B5718">
        <w:rPr>
          <w:rFonts w:ascii="Times New Roman" w:hAnsi="Times New Roman"/>
          <w:lang w:val="it-IT"/>
        </w:rPr>
        <w:t xml:space="preserve"> e per 15 giorni dopo </w:t>
      </w:r>
      <w:r w:rsidR="006B5718" w:rsidRPr="00EB262F">
        <w:rPr>
          <w:rFonts w:ascii="Times New Roman" w:hAnsi="Times New Roman"/>
          <w:lang w:val="it-IT"/>
        </w:rPr>
        <w:t>la fine</w:t>
      </w:r>
      <w:r w:rsidR="006B5718">
        <w:rPr>
          <w:rFonts w:ascii="Times New Roman" w:hAnsi="Times New Roman"/>
          <w:lang w:val="it-IT"/>
        </w:rPr>
        <w:t xml:space="preserve"> del trattamento</w:t>
      </w:r>
      <w:r w:rsidR="006B5718" w:rsidRPr="00496684">
        <w:rPr>
          <w:rFonts w:ascii="Times New Roman" w:hAnsi="Times New Roman"/>
          <w:lang w:val="it-IT"/>
        </w:rPr>
        <w:t>.</w:t>
      </w:r>
    </w:p>
    <w:p w14:paraId="496B05DC" w14:textId="04BF056B" w:rsidR="00586369" w:rsidRPr="006B5718" w:rsidRDefault="006B5718" w:rsidP="006B5718">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Non allatti durante il trattamento con Imatinib Actavis</w:t>
      </w:r>
      <w:r>
        <w:rPr>
          <w:rFonts w:ascii="Times New Roman" w:hAnsi="Times New Roman"/>
          <w:lang w:val="it-IT"/>
        </w:rPr>
        <w:t xml:space="preserve"> e per 15 giorni dopo </w:t>
      </w:r>
      <w:r w:rsidRPr="00EB262F">
        <w:rPr>
          <w:rFonts w:ascii="Times New Roman" w:hAnsi="Times New Roman"/>
          <w:lang w:val="it-IT"/>
        </w:rPr>
        <w:t>la fine</w:t>
      </w:r>
      <w:r>
        <w:rPr>
          <w:rFonts w:ascii="Times New Roman" w:hAnsi="Times New Roman"/>
          <w:lang w:val="it-IT"/>
        </w:rPr>
        <w:t xml:space="preserve"> del trattamento, </w:t>
      </w:r>
      <w:r w:rsidRPr="00EB262F">
        <w:rPr>
          <w:rFonts w:ascii="Times New Roman" w:hAnsi="Times New Roman"/>
          <w:lang w:val="it-IT"/>
        </w:rPr>
        <w:t xml:space="preserve">perchè </w:t>
      </w:r>
      <w:r>
        <w:rPr>
          <w:rFonts w:ascii="Times New Roman" w:hAnsi="Times New Roman"/>
          <w:lang w:val="it-IT"/>
        </w:rPr>
        <w:t>può nuocere al bambino</w:t>
      </w:r>
      <w:r w:rsidRPr="00496684">
        <w:rPr>
          <w:rFonts w:ascii="Times New Roman" w:hAnsi="Times New Roman"/>
          <w:lang w:val="it-IT"/>
        </w:rPr>
        <w:t>.</w:t>
      </w:r>
    </w:p>
    <w:p w14:paraId="29CCB079" w14:textId="77777777" w:rsidR="00586369" w:rsidRPr="00496684" w:rsidRDefault="00586369" w:rsidP="00586369">
      <w:pPr>
        <w:widowControl w:val="0"/>
        <w:numPr>
          <w:ilvl w:val="0"/>
          <w:numId w:val="6"/>
        </w:numPr>
        <w:spacing w:after="0" w:line="240" w:lineRule="auto"/>
        <w:rPr>
          <w:rFonts w:ascii="Times New Roman" w:hAnsi="Times New Roman"/>
          <w:lang w:val="it-IT"/>
        </w:rPr>
      </w:pPr>
      <w:r w:rsidRPr="00496684">
        <w:rPr>
          <w:rFonts w:ascii="Times New Roman" w:hAnsi="Times New Roman"/>
          <w:lang w:val="it-IT"/>
        </w:rPr>
        <w:t>Ai pazienti che sono preoccupati per la loro fertilità durante il trattamento con Imatinib Actavis si consiglia di consultare il medico.</w:t>
      </w:r>
    </w:p>
    <w:p w14:paraId="2C9AECD9"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4E7D00F8" w14:textId="77777777" w:rsidR="00586369" w:rsidRPr="00496684" w:rsidRDefault="00586369" w:rsidP="00586369">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Guida di veicoli e utilizzo di macchinari</w:t>
      </w:r>
    </w:p>
    <w:p w14:paraId="2C9B1684" w14:textId="77777777" w:rsidR="00586369" w:rsidRPr="00496684" w:rsidRDefault="00586369" w:rsidP="00586369">
      <w:pPr>
        <w:widowControl w:val="0"/>
        <w:numPr>
          <w:ilvl w:val="12"/>
          <w:numId w:val="0"/>
        </w:numPr>
        <w:spacing w:after="0" w:line="240" w:lineRule="auto"/>
        <w:ind w:right="-29"/>
        <w:rPr>
          <w:rFonts w:ascii="Times New Roman" w:hAnsi="Times New Roman"/>
          <w:lang w:val="it-IT"/>
        </w:rPr>
      </w:pPr>
      <w:r w:rsidRPr="00496684">
        <w:rPr>
          <w:rFonts w:ascii="Times New Roman" w:hAnsi="Times New Roman"/>
          <w:lang w:val="it-IT"/>
        </w:rPr>
        <w:t>Si possono avere capogiri o sonnolenza o offuscamento della vista mentre si assume questo medicinale. Se ciò accade, non guidi un veicolo o non usi strumenti o macchinari finchè si sente di nuovo bene.</w:t>
      </w:r>
    </w:p>
    <w:p w14:paraId="54BB996C"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3BF9AB69" w14:textId="77777777" w:rsidR="00586369" w:rsidRPr="00496684" w:rsidRDefault="00586369" w:rsidP="00586369">
      <w:pPr>
        <w:autoSpaceDE w:val="0"/>
        <w:autoSpaceDN w:val="0"/>
        <w:adjustRightInd w:val="0"/>
        <w:spacing w:after="0" w:line="240" w:lineRule="auto"/>
        <w:rPr>
          <w:rFonts w:ascii="TimesNewRoman" w:hAnsi="TimesNewRoman" w:cs="TimesNewRoman"/>
          <w:b/>
          <w:lang w:val="it-IT" w:eastAsia="is-IS"/>
        </w:rPr>
      </w:pPr>
      <w:r w:rsidRPr="00496684">
        <w:rPr>
          <w:rFonts w:ascii="TimesNewRoman" w:hAnsi="TimesNewRoman" w:cs="TimesNewRoman"/>
          <w:b/>
          <w:lang w:val="it-IT" w:eastAsia="is-IS"/>
        </w:rPr>
        <w:t>Imatinib Actavis contiene lecitina (soia)</w:t>
      </w:r>
    </w:p>
    <w:p w14:paraId="7431B98D" w14:textId="77777777" w:rsidR="00586369" w:rsidRPr="00496684" w:rsidRDefault="00586369" w:rsidP="00586369">
      <w:pPr>
        <w:autoSpaceDE w:val="0"/>
        <w:autoSpaceDN w:val="0"/>
        <w:adjustRightInd w:val="0"/>
        <w:spacing w:after="0" w:line="240" w:lineRule="auto"/>
        <w:rPr>
          <w:rFonts w:ascii="TimesNewRoman" w:hAnsi="TimesNewRoman" w:cs="TimesNewRoman"/>
          <w:lang w:val="it-IT" w:eastAsia="is-IS"/>
        </w:rPr>
      </w:pPr>
      <w:r w:rsidRPr="00496684">
        <w:rPr>
          <w:rFonts w:ascii="TimesNewRoman" w:hAnsi="TimesNewRoman" w:cs="TimesNewRoman"/>
          <w:lang w:val="it-IT" w:eastAsia="is-IS"/>
        </w:rPr>
        <w:t>Se lei è allergico all'arachide o alla soia, non prenda questo medicinale.</w:t>
      </w:r>
    </w:p>
    <w:p w14:paraId="479A52BC" w14:textId="77777777" w:rsidR="00F468EF" w:rsidRPr="00496684" w:rsidRDefault="00F468EF" w:rsidP="00586369">
      <w:pPr>
        <w:autoSpaceDE w:val="0"/>
        <w:autoSpaceDN w:val="0"/>
        <w:adjustRightInd w:val="0"/>
        <w:spacing w:after="0" w:line="240" w:lineRule="auto"/>
        <w:rPr>
          <w:rFonts w:ascii="TimesNewRoman" w:hAnsi="TimesNewRoman" w:cs="TimesNewRoman"/>
          <w:lang w:val="it-IT" w:eastAsia="is-IS"/>
        </w:rPr>
      </w:pPr>
    </w:p>
    <w:p w14:paraId="62BA3598" w14:textId="77777777" w:rsidR="00F468EF" w:rsidRPr="00496684" w:rsidRDefault="00F468EF" w:rsidP="00F468EF">
      <w:pPr>
        <w:widowControl w:val="0"/>
        <w:spacing w:after="0" w:line="240" w:lineRule="auto"/>
        <w:rPr>
          <w:rFonts w:ascii="Times New Roman" w:eastAsia="Times New Roman" w:hAnsi="Times New Roman"/>
          <w:lang w:val="it-IT"/>
        </w:rPr>
      </w:pPr>
      <w:r w:rsidRPr="00496684">
        <w:rPr>
          <w:rFonts w:ascii="Times New Roman" w:eastAsia="Times New Roman" w:hAnsi="Times New Roman"/>
          <w:b/>
          <w:lang w:val="it-IT"/>
        </w:rPr>
        <w:t>Imatinib Actavis contiene sodio</w:t>
      </w:r>
    </w:p>
    <w:p w14:paraId="0664C3DA" w14:textId="1CA6F94A" w:rsidR="00F468EF" w:rsidRPr="00496684" w:rsidRDefault="00F468EF" w:rsidP="00F468EF">
      <w:pPr>
        <w:autoSpaceDE w:val="0"/>
        <w:autoSpaceDN w:val="0"/>
        <w:adjustRightInd w:val="0"/>
        <w:spacing w:after="0" w:line="240" w:lineRule="auto"/>
        <w:rPr>
          <w:rFonts w:ascii="TimesNewRoman" w:hAnsi="TimesNewRoman" w:cs="TimesNewRoman"/>
          <w:lang w:val="it-IT" w:eastAsia="is-IS"/>
        </w:rPr>
      </w:pPr>
      <w:r w:rsidRPr="00496684">
        <w:rPr>
          <w:rFonts w:ascii="Times New Roman" w:eastAsia="Times New Roman" w:hAnsi="Times New Roman"/>
          <w:lang w:val="it-IT"/>
        </w:rPr>
        <w:t>Questo medicinale contiene meno di 1 mmol (23 mg) di sodio per compressa rivestita con film, cioè essenzialmente ‘senza sodio’.</w:t>
      </w:r>
    </w:p>
    <w:p w14:paraId="32A85155"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7E44EE23" w14:textId="77777777" w:rsidR="0020671B" w:rsidRPr="00496684" w:rsidRDefault="0020671B" w:rsidP="00586369">
      <w:pPr>
        <w:autoSpaceDE w:val="0"/>
        <w:autoSpaceDN w:val="0"/>
        <w:adjustRightInd w:val="0"/>
        <w:spacing w:after="0" w:line="240" w:lineRule="auto"/>
        <w:rPr>
          <w:rFonts w:ascii="Times New Roman" w:hAnsi="Times New Roman"/>
          <w:lang w:val="it-IT"/>
        </w:rPr>
      </w:pPr>
    </w:p>
    <w:p w14:paraId="3570A0C3" w14:textId="77777777" w:rsidR="00586369" w:rsidRPr="00496684" w:rsidRDefault="00586369" w:rsidP="00586369">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3.</w:t>
      </w:r>
      <w:r w:rsidRPr="00496684">
        <w:rPr>
          <w:rFonts w:ascii="Times New Roman" w:hAnsi="Times New Roman"/>
          <w:b/>
          <w:bCs/>
          <w:lang w:val="it-IT"/>
        </w:rPr>
        <w:tab/>
      </w:r>
      <w:r w:rsidRPr="00496684">
        <w:rPr>
          <w:rFonts w:ascii="Times New Roman" w:hAnsi="Times New Roman"/>
          <w:b/>
          <w:lang w:val="it-IT"/>
        </w:rPr>
        <w:t xml:space="preserve">Come prendere </w:t>
      </w:r>
      <w:r w:rsidRPr="00496684">
        <w:rPr>
          <w:rFonts w:ascii="Times New Roman" w:hAnsi="Times New Roman"/>
          <w:b/>
          <w:bCs/>
          <w:lang w:val="it-IT"/>
        </w:rPr>
        <w:t>Imatinib Actavis</w:t>
      </w:r>
    </w:p>
    <w:p w14:paraId="3CD42FFB"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3341938A"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Il medico le ha prescritto Imatinib Actavis perché lei soffre di una grave condizione. Imatinib Actavis può aiutarla a combattere questa condizione.</w:t>
      </w:r>
    </w:p>
    <w:p w14:paraId="75C5E96D" w14:textId="77777777" w:rsidR="00586369" w:rsidRPr="00496684" w:rsidRDefault="00586369" w:rsidP="00586369">
      <w:pPr>
        <w:pStyle w:val="Text"/>
        <w:widowControl w:val="0"/>
        <w:spacing w:before="0"/>
        <w:jc w:val="left"/>
        <w:rPr>
          <w:sz w:val="22"/>
          <w:szCs w:val="22"/>
          <w:lang w:val="it-IT"/>
        </w:rPr>
      </w:pPr>
    </w:p>
    <w:p w14:paraId="4498E1B3"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Comunque, prenda questo medicinale seguendo sempre esattamente le istruzioni del medico o del farmacista. E’ importante che faccia ciò finchè non lo dice il medico o il farmacista. Se ha dubbi consulti il medico o il farmacista.</w:t>
      </w:r>
    </w:p>
    <w:p w14:paraId="38176778" w14:textId="77777777" w:rsidR="00586369" w:rsidRPr="00496684" w:rsidRDefault="00586369" w:rsidP="00586369">
      <w:pPr>
        <w:pStyle w:val="Text"/>
        <w:widowControl w:val="0"/>
        <w:spacing w:before="0"/>
        <w:jc w:val="left"/>
        <w:rPr>
          <w:sz w:val="22"/>
          <w:szCs w:val="22"/>
          <w:lang w:val="it-IT"/>
        </w:rPr>
      </w:pPr>
    </w:p>
    <w:p w14:paraId="74E93F75"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Non smetta di pendere Imatinib Actavis a meno che lo dica il medico. Se non è in grado di prendere il medicinale come prescritto dal medico o sente di non averne più bisogno, contatti il medico immediatamente.</w:t>
      </w:r>
    </w:p>
    <w:p w14:paraId="333455AE"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79C7B685" w14:textId="77777777" w:rsidR="00586369" w:rsidRPr="00496684" w:rsidRDefault="00586369" w:rsidP="00586369">
      <w:pPr>
        <w:pStyle w:val="berschrift2"/>
        <w:keepNext w:val="0"/>
        <w:widowControl w:val="0"/>
        <w:spacing w:before="0" w:after="0" w:line="240" w:lineRule="auto"/>
        <w:rPr>
          <w:rFonts w:ascii="Times New Roman" w:hAnsi="Times New Roman"/>
          <w:i w:val="0"/>
          <w:sz w:val="22"/>
          <w:szCs w:val="22"/>
          <w:lang w:val="it-IT"/>
        </w:rPr>
      </w:pPr>
      <w:r w:rsidRPr="00496684">
        <w:rPr>
          <w:rFonts w:ascii="Times New Roman" w:hAnsi="Times New Roman"/>
          <w:i w:val="0"/>
          <w:sz w:val="22"/>
          <w:szCs w:val="22"/>
          <w:lang w:val="it-IT"/>
        </w:rPr>
        <w:t>Quanto Imatinib Actavis prendere</w:t>
      </w:r>
    </w:p>
    <w:p w14:paraId="7DB20300"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312A0C6A" w14:textId="77777777" w:rsidR="00586369" w:rsidRPr="00496684" w:rsidRDefault="00586369" w:rsidP="00586369">
      <w:pPr>
        <w:spacing w:after="0" w:line="240" w:lineRule="auto"/>
        <w:rPr>
          <w:rFonts w:ascii="Times New Roman" w:hAnsi="Times New Roman"/>
          <w:b/>
          <w:lang w:val="it-IT"/>
        </w:rPr>
      </w:pPr>
      <w:r w:rsidRPr="00496684">
        <w:rPr>
          <w:rFonts w:ascii="Times New Roman" w:hAnsi="Times New Roman"/>
          <w:b/>
          <w:lang w:val="it-IT"/>
        </w:rPr>
        <w:t>Uso negli adulti</w:t>
      </w:r>
    </w:p>
    <w:p w14:paraId="352B0A43"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 xml:space="preserve">Il medico le dirà esattamente quante </w:t>
      </w:r>
      <w:r w:rsidR="004A5A14" w:rsidRPr="00496684">
        <w:rPr>
          <w:sz w:val="22"/>
          <w:szCs w:val="22"/>
          <w:lang w:val="it-IT"/>
        </w:rPr>
        <w:t>compresse</w:t>
      </w:r>
      <w:r w:rsidRPr="00496684">
        <w:rPr>
          <w:sz w:val="22"/>
          <w:szCs w:val="22"/>
          <w:lang w:val="it-IT"/>
        </w:rPr>
        <w:t xml:space="preserve"> di Imatinib Actavis dovrà prendere.</w:t>
      </w:r>
    </w:p>
    <w:p w14:paraId="4F357851" w14:textId="77777777" w:rsidR="00586369" w:rsidRPr="00496684" w:rsidRDefault="00586369" w:rsidP="00586369">
      <w:pPr>
        <w:spacing w:after="0" w:line="240" w:lineRule="auto"/>
        <w:rPr>
          <w:rFonts w:ascii="Times New Roman" w:eastAsia="Times New Roman" w:hAnsi="Times New Roman"/>
          <w:highlight w:val="lightGray"/>
          <w:lang w:val="it-IT" w:eastAsia="it-IT"/>
        </w:rPr>
      </w:pPr>
    </w:p>
    <w:p w14:paraId="51559C4F" w14:textId="77777777" w:rsidR="00384D77" w:rsidRPr="00496684" w:rsidRDefault="00384D77" w:rsidP="00586369">
      <w:pPr>
        <w:autoSpaceDE w:val="0"/>
        <w:autoSpaceDN w:val="0"/>
        <w:adjustRightInd w:val="0"/>
        <w:spacing w:after="0" w:line="240" w:lineRule="auto"/>
        <w:rPr>
          <w:rFonts w:ascii="Times New Roman" w:hAnsi="Times New Roman"/>
          <w:lang w:val="it-IT"/>
        </w:rPr>
      </w:pPr>
    </w:p>
    <w:p w14:paraId="5C5A5738" w14:textId="77777777" w:rsidR="00384D77" w:rsidRPr="00496684" w:rsidRDefault="00384D77" w:rsidP="00384D77">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LMC: </w:t>
      </w:r>
    </w:p>
    <w:p w14:paraId="50F9A62A" w14:textId="77777777" w:rsidR="00384D77" w:rsidRPr="00496684" w:rsidRDefault="00384D77" w:rsidP="00384D77">
      <w:pPr>
        <w:spacing w:after="0" w:line="240" w:lineRule="auto"/>
        <w:ind w:left="567"/>
        <w:rPr>
          <w:rFonts w:ascii="Times New Roman" w:eastAsia="Times New Roman" w:hAnsi="Times New Roman"/>
          <w:lang w:val="it-IT" w:eastAsia="it-IT"/>
        </w:rPr>
      </w:pPr>
      <w:r w:rsidRPr="00496684">
        <w:rPr>
          <w:rFonts w:ascii="Times New Roman" w:eastAsia="Times New Roman" w:hAnsi="Times New Roman"/>
          <w:lang w:val="it-IT" w:eastAsia="it-IT"/>
        </w:rPr>
        <w:t>La dose iniziale usuale è di 600 mg</w:t>
      </w:r>
      <w:r w:rsidRPr="00496684">
        <w:rPr>
          <w:rFonts w:ascii="Times New Roman" w:eastAsia="Times New Roman" w:hAnsi="Times New Roman"/>
          <w:b/>
          <w:lang w:val="it-IT" w:eastAsia="it-IT"/>
        </w:rPr>
        <w:t xml:space="preserve"> </w:t>
      </w:r>
      <w:r w:rsidRPr="00496684">
        <w:rPr>
          <w:rFonts w:ascii="Times New Roman" w:eastAsia="Times New Roman" w:hAnsi="Times New Roman"/>
          <w:lang w:val="it-IT" w:eastAsia="it-IT"/>
        </w:rPr>
        <w:t xml:space="preserve">da assumere come una compressa da 400 mg più 2 compresse da 100 mg  </w:t>
      </w:r>
      <w:r w:rsidRPr="00496684">
        <w:rPr>
          <w:rFonts w:ascii="Times New Roman" w:eastAsia="Times New Roman" w:hAnsi="Times New Roman"/>
          <w:b/>
          <w:lang w:val="it-IT" w:eastAsia="it-IT"/>
        </w:rPr>
        <w:t>una volta</w:t>
      </w:r>
      <w:r w:rsidRPr="00496684">
        <w:rPr>
          <w:rFonts w:ascii="Times New Roman" w:eastAsia="Times New Roman" w:hAnsi="Times New Roman"/>
          <w:lang w:val="it-IT" w:eastAsia="it-IT"/>
        </w:rPr>
        <w:t xml:space="preserve"> al giorno</w:t>
      </w:r>
    </w:p>
    <w:p w14:paraId="14686A68" w14:textId="77777777" w:rsidR="00384D77" w:rsidRPr="00496684" w:rsidRDefault="00384D77" w:rsidP="00384D77">
      <w:pPr>
        <w:spacing w:after="0" w:line="240" w:lineRule="auto"/>
        <w:rPr>
          <w:rFonts w:ascii="Times New Roman" w:eastAsia="Times New Roman" w:hAnsi="Times New Roman"/>
          <w:lang w:val="it-IT" w:eastAsia="it-IT"/>
        </w:rPr>
      </w:pPr>
    </w:p>
    <w:p w14:paraId="04C6E6C2" w14:textId="77777777" w:rsidR="00384D77" w:rsidRPr="00496684" w:rsidRDefault="00384D77" w:rsidP="00384D77">
      <w:pPr>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Il medico potrà prescrivere un dosaggio maggiore o minore a seconda di come risponderà al trattamento.</w:t>
      </w:r>
    </w:p>
    <w:p w14:paraId="5D8F652F" w14:textId="77777777" w:rsidR="00384D77" w:rsidRPr="00496684" w:rsidRDefault="00384D77" w:rsidP="00384D77">
      <w:pPr>
        <w:autoSpaceDE w:val="0"/>
        <w:autoSpaceDN w:val="0"/>
        <w:adjustRightInd w:val="0"/>
        <w:spacing w:after="0" w:line="240" w:lineRule="auto"/>
        <w:rPr>
          <w:rFonts w:ascii="Times New Roman" w:hAnsi="Times New Roman"/>
          <w:lang w:val="it-IT"/>
        </w:rPr>
      </w:pPr>
    </w:p>
    <w:p w14:paraId="6129AB91" w14:textId="77777777" w:rsidR="00384D77" w:rsidRPr="00496684" w:rsidRDefault="00384D77" w:rsidP="00384D77">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Se la sua dose giornaliera è di 800 mg (2 compresse), lei deve prendere una compressa alla mattina e una seconda alla sera.</w:t>
      </w:r>
    </w:p>
    <w:p w14:paraId="16A7BE4F" w14:textId="77777777" w:rsidR="00384D77" w:rsidRPr="00496684" w:rsidRDefault="00384D77" w:rsidP="00384D77">
      <w:pPr>
        <w:pStyle w:val="Text"/>
        <w:widowControl w:val="0"/>
        <w:spacing w:before="0"/>
        <w:jc w:val="left"/>
        <w:rPr>
          <w:sz w:val="22"/>
          <w:szCs w:val="22"/>
          <w:lang w:val="it-IT"/>
        </w:rPr>
      </w:pPr>
    </w:p>
    <w:p w14:paraId="3C3C8E01" w14:textId="77777777" w:rsidR="00384D77" w:rsidRPr="00496684" w:rsidRDefault="00384D77" w:rsidP="00384D77">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 Se è in trattamento per la LLA Ph+: </w:t>
      </w:r>
    </w:p>
    <w:p w14:paraId="7A2083C4" w14:textId="77777777" w:rsidR="00384D77" w:rsidRPr="00496684" w:rsidRDefault="00384D77" w:rsidP="00384D77">
      <w:pPr>
        <w:pStyle w:val="Text"/>
        <w:widowControl w:val="0"/>
        <w:spacing w:before="0"/>
        <w:ind w:left="567"/>
        <w:jc w:val="left"/>
        <w:rPr>
          <w:sz w:val="22"/>
          <w:szCs w:val="22"/>
          <w:lang w:val="it-IT"/>
        </w:rPr>
      </w:pPr>
      <w:r w:rsidRPr="00496684">
        <w:rPr>
          <w:sz w:val="22"/>
          <w:szCs w:val="22"/>
          <w:lang w:val="it-IT"/>
        </w:rPr>
        <w:t xml:space="preserve">La dose iniziale è di 600 mg da assumere come una compresse </w:t>
      </w:r>
      <w:r w:rsidRPr="00496684">
        <w:rPr>
          <w:lang w:val="it-IT"/>
        </w:rPr>
        <w:t xml:space="preserve">da 400 mg più 2 compresse da 100 mg </w:t>
      </w:r>
      <w:r w:rsidRPr="00496684">
        <w:rPr>
          <w:b/>
          <w:sz w:val="22"/>
          <w:szCs w:val="22"/>
          <w:lang w:val="it-IT"/>
        </w:rPr>
        <w:t>una volta</w:t>
      </w:r>
      <w:r w:rsidRPr="00496684">
        <w:rPr>
          <w:sz w:val="22"/>
          <w:szCs w:val="22"/>
          <w:lang w:val="it-IT"/>
        </w:rPr>
        <w:t xml:space="preserve"> al giorno. </w:t>
      </w:r>
    </w:p>
    <w:p w14:paraId="4C6BFA60" w14:textId="77777777" w:rsidR="00384D77" w:rsidRPr="00496684" w:rsidRDefault="00384D77" w:rsidP="00384D77">
      <w:pPr>
        <w:pStyle w:val="Text"/>
        <w:widowControl w:val="0"/>
        <w:spacing w:before="0"/>
        <w:jc w:val="left"/>
        <w:rPr>
          <w:sz w:val="22"/>
          <w:szCs w:val="22"/>
          <w:lang w:val="it-IT"/>
        </w:rPr>
      </w:pPr>
    </w:p>
    <w:p w14:paraId="65711E99" w14:textId="77777777" w:rsidR="00384D77" w:rsidRPr="00496684" w:rsidRDefault="00384D77" w:rsidP="00384D77">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le MSD/MPD: </w:t>
      </w:r>
    </w:p>
    <w:p w14:paraId="3FAFB8BC" w14:textId="77777777" w:rsidR="00384D77" w:rsidRPr="00496684" w:rsidRDefault="00384D77" w:rsidP="00384D77">
      <w:pPr>
        <w:pStyle w:val="Text"/>
        <w:widowControl w:val="0"/>
        <w:spacing w:before="0"/>
        <w:ind w:left="567"/>
        <w:jc w:val="left"/>
        <w:rPr>
          <w:sz w:val="22"/>
          <w:szCs w:val="22"/>
          <w:lang w:val="it-IT"/>
        </w:rPr>
      </w:pPr>
      <w:r w:rsidRPr="00496684">
        <w:rPr>
          <w:sz w:val="22"/>
          <w:szCs w:val="22"/>
          <w:lang w:val="it-IT"/>
        </w:rPr>
        <w:t xml:space="preserve">La dose iniziale è di 400 mg, da assumere come una compressa </w:t>
      </w:r>
      <w:r w:rsidRPr="00496684">
        <w:rPr>
          <w:b/>
          <w:sz w:val="22"/>
          <w:szCs w:val="22"/>
          <w:lang w:val="it-IT"/>
        </w:rPr>
        <w:t>una volta</w:t>
      </w:r>
      <w:r w:rsidRPr="00496684">
        <w:rPr>
          <w:sz w:val="22"/>
          <w:szCs w:val="22"/>
          <w:lang w:val="it-IT"/>
        </w:rPr>
        <w:t xml:space="preserve"> al giorno. </w:t>
      </w:r>
    </w:p>
    <w:p w14:paraId="534EE661" w14:textId="77777777" w:rsidR="00384D77" w:rsidRPr="00496684" w:rsidRDefault="00384D77" w:rsidP="00384D77">
      <w:pPr>
        <w:pStyle w:val="Text"/>
        <w:widowControl w:val="0"/>
        <w:spacing w:before="0"/>
        <w:jc w:val="left"/>
        <w:rPr>
          <w:sz w:val="22"/>
          <w:szCs w:val="22"/>
          <w:lang w:val="it-IT"/>
        </w:rPr>
      </w:pPr>
      <w:r w:rsidRPr="00496684">
        <w:rPr>
          <w:sz w:val="22"/>
          <w:szCs w:val="22"/>
          <w:lang w:val="it-IT"/>
        </w:rPr>
        <w:t xml:space="preserve"> </w:t>
      </w:r>
    </w:p>
    <w:p w14:paraId="14E8E82A" w14:textId="77777777" w:rsidR="00384D77" w:rsidRPr="00496684" w:rsidRDefault="00384D77" w:rsidP="00384D77">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la HES/LEC: </w:t>
      </w:r>
    </w:p>
    <w:p w14:paraId="461F4D54" w14:textId="77777777" w:rsidR="00384D77" w:rsidRPr="00496684" w:rsidRDefault="00384D77" w:rsidP="00384D77">
      <w:pPr>
        <w:pStyle w:val="Text"/>
        <w:widowControl w:val="0"/>
        <w:spacing w:before="0"/>
        <w:ind w:left="567"/>
        <w:jc w:val="left"/>
        <w:rPr>
          <w:sz w:val="22"/>
          <w:szCs w:val="22"/>
          <w:lang w:val="it-IT"/>
        </w:rPr>
      </w:pPr>
      <w:r w:rsidRPr="00496684">
        <w:rPr>
          <w:sz w:val="22"/>
          <w:szCs w:val="22"/>
          <w:lang w:val="it-IT"/>
        </w:rPr>
        <w:t xml:space="preserve">La dose iniziale è di 100 mg, da assumere come 1 compressa da 100 mg </w:t>
      </w:r>
      <w:r w:rsidRPr="00496684">
        <w:rPr>
          <w:b/>
          <w:sz w:val="22"/>
          <w:szCs w:val="22"/>
          <w:lang w:val="it-IT"/>
        </w:rPr>
        <w:t>una volta</w:t>
      </w:r>
      <w:r w:rsidRPr="00496684">
        <w:rPr>
          <w:sz w:val="22"/>
          <w:szCs w:val="22"/>
          <w:lang w:val="it-IT"/>
        </w:rPr>
        <w:t xml:space="preserve"> al giorno. Il medico può decidere di aumentare il dosaggio a 400 mg, da assumere come 1 compresse da 400 mg </w:t>
      </w:r>
      <w:r w:rsidRPr="00496684">
        <w:rPr>
          <w:b/>
          <w:sz w:val="22"/>
          <w:szCs w:val="22"/>
          <w:lang w:val="it-IT"/>
        </w:rPr>
        <w:t>una volta</w:t>
      </w:r>
      <w:r w:rsidRPr="00496684">
        <w:rPr>
          <w:sz w:val="22"/>
          <w:szCs w:val="22"/>
          <w:lang w:val="it-IT"/>
        </w:rPr>
        <w:t xml:space="preserve"> al giorno sulla base della sua risposta al trattamento. </w:t>
      </w:r>
    </w:p>
    <w:p w14:paraId="39E66097" w14:textId="77777777" w:rsidR="00384D77" w:rsidRPr="00496684" w:rsidRDefault="00384D77" w:rsidP="00384D77">
      <w:pPr>
        <w:pStyle w:val="Text"/>
        <w:widowControl w:val="0"/>
        <w:spacing w:before="0"/>
        <w:jc w:val="left"/>
        <w:rPr>
          <w:sz w:val="22"/>
          <w:szCs w:val="22"/>
          <w:lang w:val="it-IT"/>
        </w:rPr>
      </w:pPr>
    </w:p>
    <w:p w14:paraId="561448DC" w14:textId="77777777" w:rsidR="00384D77" w:rsidRPr="00496684" w:rsidRDefault="00384D77" w:rsidP="00384D77">
      <w:pPr>
        <w:numPr>
          <w:ilvl w:val="0"/>
          <w:numId w:val="5"/>
        </w:numPr>
        <w:tabs>
          <w:tab w:val="clear" w:pos="644"/>
          <w:tab w:val="num" w:pos="567"/>
        </w:tabs>
        <w:autoSpaceDE w:val="0"/>
        <w:autoSpaceDN w:val="0"/>
        <w:adjustRightInd w:val="0"/>
        <w:spacing w:after="0" w:line="240" w:lineRule="auto"/>
        <w:ind w:hanging="567"/>
        <w:rPr>
          <w:b/>
          <w:bCs/>
          <w:lang w:val="it-IT"/>
        </w:rPr>
      </w:pPr>
      <w:r w:rsidRPr="00496684">
        <w:rPr>
          <w:rFonts w:ascii="Times New Roman" w:hAnsi="Times New Roman"/>
          <w:b/>
          <w:bCs/>
          <w:lang w:val="it-IT"/>
        </w:rPr>
        <w:t xml:space="preserve">Se è in trattamento per il DFSP: </w:t>
      </w:r>
    </w:p>
    <w:p w14:paraId="633C0F1D" w14:textId="77777777" w:rsidR="00384D77" w:rsidRPr="00496684" w:rsidRDefault="00384D77" w:rsidP="00384D77">
      <w:pPr>
        <w:pStyle w:val="Text"/>
        <w:widowControl w:val="0"/>
        <w:spacing w:before="0"/>
        <w:ind w:left="567"/>
        <w:jc w:val="left"/>
        <w:rPr>
          <w:lang w:val="it-IT"/>
        </w:rPr>
      </w:pPr>
      <w:r w:rsidRPr="00496684">
        <w:rPr>
          <w:sz w:val="22"/>
          <w:szCs w:val="22"/>
          <w:lang w:val="it-IT"/>
        </w:rPr>
        <w:t>La dose è di 800 mg al giorno (2 compresse), da assumere come una compressa al mattino e  una seconda alla sera.</w:t>
      </w:r>
    </w:p>
    <w:p w14:paraId="121CBAA8"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733180D1" w14:textId="77777777" w:rsidR="00586369" w:rsidRPr="00496684" w:rsidRDefault="00586369" w:rsidP="00586369">
      <w:pPr>
        <w:pStyle w:val="Text"/>
        <w:widowControl w:val="0"/>
        <w:spacing w:before="0"/>
        <w:jc w:val="left"/>
        <w:rPr>
          <w:b/>
          <w:sz w:val="22"/>
          <w:szCs w:val="22"/>
          <w:lang w:val="it-IT"/>
        </w:rPr>
      </w:pPr>
      <w:r w:rsidRPr="00496684">
        <w:rPr>
          <w:b/>
          <w:sz w:val="22"/>
          <w:szCs w:val="22"/>
          <w:lang w:val="it-IT"/>
        </w:rPr>
        <w:t>Uso nei bambini e negli adolescenti</w:t>
      </w:r>
    </w:p>
    <w:p w14:paraId="4D27BE32" w14:textId="77777777" w:rsidR="00384D77" w:rsidRPr="00496684" w:rsidRDefault="00586369" w:rsidP="00586369">
      <w:pPr>
        <w:pStyle w:val="Text"/>
        <w:widowControl w:val="0"/>
        <w:spacing w:before="0"/>
        <w:jc w:val="left"/>
        <w:rPr>
          <w:sz w:val="22"/>
          <w:szCs w:val="22"/>
          <w:lang w:val="it-IT"/>
        </w:rPr>
      </w:pPr>
      <w:r w:rsidRPr="00496684">
        <w:rPr>
          <w:sz w:val="22"/>
          <w:szCs w:val="22"/>
          <w:lang w:val="it-IT"/>
        </w:rPr>
        <w:t xml:space="preserve">Il medico le dirà quante </w:t>
      </w:r>
      <w:r w:rsidR="004A5A14" w:rsidRPr="00496684">
        <w:rPr>
          <w:sz w:val="22"/>
          <w:szCs w:val="22"/>
          <w:lang w:val="it-IT"/>
        </w:rPr>
        <w:t>compresse</w:t>
      </w:r>
      <w:r w:rsidRPr="00496684">
        <w:rPr>
          <w:sz w:val="22"/>
          <w:szCs w:val="22"/>
          <w:lang w:val="it-IT"/>
        </w:rPr>
        <w:t xml:space="preserve"> di Imatinib Actavis vanno somministrate al bambino. La quantità di Imatinib Actavis somministrata dipenderà dalle condizioni del bambino, dal suo peso ed altezza.</w:t>
      </w:r>
    </w:p>
    <w:p w14:paraId="26B2BEBD" w14:textId="3830E498" w:rsidR="00586369" w:rsidRPr="00496684" w:rsidRDefault="00586369" w:rsidP="00586369">
      <w:pPr>
        <w:pStyle w:val="Text"/>
        <w:widowControl w:val="0"/>
        <w:spacing w:before="0"/>
        <w:jc w:val="left"/>
        <w:rPr>
          <w:sz w:val="22"/>
          <w:szCs w:val="22"/>
          <w:lang w:val="it-IT"/>
        </w:rPr>
      </w:pPr>
      <w:r w:rsidRPr="00496684">
        <w:rPr>
          <w:sz w:val="22"/>
          <w:szCs w:val="22"/>
          <w:lang w:val="it-IT"/>
        </w:rPr>
        <w:t>Nei bambini la dose totale giornaliera non deve superare 800 mg</w:t>
      </w:r>
      <w:r w:rsidR="00384D77" w:rsidRPr="00496684">
        <w:rPr>
          <w:sz w:val="22"/>
          <w:szCs w:val="22"/>
          <w:lang w:val="it-IT"/>
        </w:rPr>
        <w:t xml:space="preserve"> in caso di LMC</w:t>
      </w:r>
      <w:r w:rsidR="0004554E" w:rsidRPr="00496684">
        <w:rPr>
          <w:rFonts w:ascii="Calibri" w:eastAsia="Calibri" w:hAnsi="Calibri"/>
          <w:sz w:val="22"/>
          <w:szCs w:val="22"/>
          <w:lang w:val="it-IT" w:eastAsia="en-US"/>
        </w:rPr>
        <w:t xml:space="preserve"> </w:t>
      </w:r>
      <w:r w:rsidR="0004554E" w:rsidRPr="00496684">
        <w:rPr>
          <w:sz w:val="22"/>
          <w:szCs w:val="22"/>
          <w:lang w:val="it-IT"/>
        </w:rPr>
        <w:t xml:space="preserve">e 600 mg </w:t>
      </w:r>
      <w:r w:rsidR="001E469E" w:rsidRPr="00496684">
        <w:rPr>
          <w:sz w:val="22"/>
          <w:szCs w:val="22"/>
          <w:lang w:val="it-IT"/>
        </w:rPr>
        <w:t>per la</w:t>
      </w:r>
      <w:r w:rsidR="0004554E" w:rsidRPr="00496684">
        <w:rPr>
          <w:sz w:val="22"/>
          <w:szCs w:val="22"/>
          <w:lang w:val="it-IT"/>
        </w:rPr>
        <w:t xml:space="preserve"> LLA Ph+</w:t>
      </w:r>
      <w:r w:rsidRPr="00496684">
        <w:rPr>
          <w:sz w:val="22"/>
          <w:szCs w:val="22"/>
          <w:lang w:val="it-IT"/>
        </w:rPr>
        <w:t>. Il trattamento può essere somministrato al bambino come dose singola giornaliera o, in alternativa, la dose giornaliera può essere suddivisa in due somministrazioni (metà al mattino e metà alla sera).</w:t>
      </w:r>
    </w:p>
    <w:p w14:paraId="324C3233"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302EAAB1" w14:textId="77777777" w:rsidR="00586369" w:rsidRPr="00496684" w:rsidRDefault="00586369" w:rsidP="00586369">
      <w:pPr>
        <w:pStyle w:val="Text"/>
        <w:widowControl w:val="0"/>
        <w:spacing w:before="0"/>
        <w:jc w:val="left"/>
        <w:rPr>
          <w:b/>
          <w:sz w:val="22"/>
          <w:szCs w:val="22"/>
          <w:lang w:val="it-IT"/>
        </w:rPr>
      </w:pPr>
      <w:r w:rsidRPr="00496684">
        <w:rPr>
          <w:b/>
          <w:sz w:val="22"/>
          <w:szCs w:val="22"/>
          <w:lang w:val="it-IT"/>
        </w:rPr>
        <w:t xml:space="preserve">Quando e come prendere  </w:t>
      </w:r>
      <w:r w:rsidRPr="00496684">
        <w:rPr>
          <w:b/>
          <w:bCs/>
          <w:lang w:val="it-IT"/>
        </w:rPr>
        <w:t>Imatinib Actavis</w:t>
      </w:r>
    </w:p>
    <w:p w14:paraId="09570BD1" w14:textId="77777777" w:rsidR="00586369" w:rsidRPr="00496684" w:rsidRDefault="00586369" w:rsidP="00586369">
      <w:pPr>
        <w:autoSpaceDE w:val="0"/>
        <w:autoSpaceDN w:val="0"/>
        <w:adjustRightInd w:val="0"/>
        <w:spacing w:after="0" w:line="240" w:lineRule="auto"/>
        <w:ind w:left="567" w:hanging="567"/>
        <w:rPr>
          <w:rFonts w:ascii="Times New Roman" w:hAnsi="Times New Roman"/>
          <w:lang w:val="it-IT"/>
        </w:rPr>
      </w:pPr>
    </w:p>
    <w:p w14:paraId="6B6CF749" w14:textId="77777777" w:rsidR="00586369" w:rsidRPr="00496684" w:rsidRDefault="00586369" w:rsidP="00586369">
      <w:pPr>
        <w:pStyle w:val="Text"/>
        <w:widowControl w:val="0"/>
        <w:numPr>
          <w:ilvl w:val="0"/>
          <w:numId w:val="7"/>
        </w:numPr>
        <w:spacing w:before="0"/>
        <w:jc w:val="left"/>
        <w:rPr>
          <w:sz w:val="22"/>
          <w:szCs w:val="22"/>
          <w:lang w:val="it-IT"/>
        </w:rPr>
      </w:pPr>
      <w:r w:rsidRPr="00496684">
        <w:rPr>
          <w:b/>
          <w:sz w:val="22"/>
          <w:szCs w:val="22"/>
          <w:lang w:val="it-IT"/>
        </w:rPr>
        <w:t>Prenda Imatinib Actavis con un pasto.</w:t>
      </w:r>
      <w:r w:rsidRPr="00496684">
        <w:rPr>
          <w:sz w:val="22"/>
          <w:szCs w:val="22"/>
          <w:lang w:val="it-IT"/>
        </w:rPr>
        <w:t xml:space="preserve"> Questo la aiuterà a proteggere lo stomaco quando prende Imatinib Actavis.</w:t>
      </w:r>
    </w:p>
    <w:p w14:paraId="4E57ABB9" w14:textId="77777777" w:rsidR="00586369" w:rsidRPr="00496684" w:rsidRDefault="00586369" w:rsidP="00586369">
      <w:pPr>
        <w:autoSpaceDE w:val="0"/>
        <w:autoSpaceDN w:val="0"/>
        <w:adjustRightInd w:val="0"/>
        <w:spacing w:after="0" w:line="240" w:lineRule="auto"/>
        <w:ind w:left="567" w:hanging="567"/>
        <w:rPr>
          <w:rFonts w:ascii="Times New Roman" w:hAnsi="Times New Roman"/>
          <w:lang w:val="it-IT"/>
        </w:rPr>
      </w:pPr>
    </w:p>
    <w:p w14:paraId="1463A9F5" w14:textId="77777777" w:rsidR="00586369" w:rsidRPr="00496684" w:rsidRDefault="00586369" w:rsidP="00586369">
      <w:pPr>
        <w:pStyle w:val="KeinLeerraum"/>
        <w:rPr>
          <w:rFonts w:ascii="Times New Roman" w:hAnsi="Times New Roman"/>
          <w:lang w:val="it-IT"/>
        </w:rPr>
      </w:pPr>
      <w:r w:rsidRPr="00496684">
        <w:rPr>
          <w:b/>
          <w:lang w:val="it-IT"/>
        </w:rPr>
        <w:t>-</w:t>
      </w:r>
      <w:r w:rsidRPr="00496684">
        <w:rPr>
          <w:b/>
          <w:lang w:val="it-IT"/>
        </w:rPr>
        <w:tab/>
      </w:r>
      <w:r w:rsidRPr="00496684">
        <w:rPr>
          <w:rFonts w:ascii="Times New Roman" w:hAnsi="Times New Roman"/>
          <w:b/>
          <w:bCs/>
          <w:lang w:val="it-IT"/>
        </w:rPr>
        <w:t>Deglutisca le compresse intere con un abbondante bicchiere d'acqua</w:t>
      </w:r>
    </w:p>
    <w:p w14:paraId="4E7BD5FF" w14:textId="77777777" w:rsidR="00586369" w:rsidRPr="00496684" w:rsidRDefault="00693A7C"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b/>
      </w:r>
      <w:r w:rsidR="00586369" w:rsidRPr="00496684">
        <w:rPr>
          <w:rFonts w:ascii="Times New Roman" w:hAnsi="Times New Roman"/>
          <w:lang w:val="it-IT"/>
        </w:rPr>
        <w:t>La linea di frattura non serve per la suddivisione della compressa</w:t>
      </w:r>
    </w:p>
    <w:p w14:paraId="7FCD881A"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0AEB3FF0"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Se non è in grado di deglutire le compresse, può scioglierle in un bicchiere di acqua</w:t>
      </w:r>
      <w:r w:rsidR="00320D73" w:rsidRPr="00496684">
        <w:rPr>
          <w:sz w:val="22"/>
          <w:szCs w:val="22"/>
          <w:lang w:val="it-IT"/>
        </w:rPr>
        <w:t xml:space="preserve"> liscia o mi</w:t>
      </w:r>
      <w:r w:rsidR="00BB51AD" w:rsidRPr="00496684">
        <w:rPr>
          <w:sz w:val="22"/>
          <w:szCs w:val="22"/>
          <w:lang w:val="it-IT"/>
        </w:rPr>
        <w:t>nerale</w:t>
      </w:r>
      <w:r w:rsidRPr="00496684">
        <w:rPr>
          <w:sz w:val="22"/>
          <w:szCs w:val="22"/>
          <w:lang w:val="it-IT"/>
        </w:rPr>
        <w:t xml:space="preserve"> o di succo di mela:</w:t>
      </w:r>
    </w:p>
    <w:p w14:paraId="7E00A2A4"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w:t>
      </w:r>
      <w:r w:rsidRPr="00496684">
        <w:rPr>
          <w:sz w:val="22"/>
          <w:szCs w:val="22"/>
          <w:lang w:val="it-IT"/>
        </w:rPr>
        <w:tab/>
        <w:t>Usare circa 200 ml per ogni compressa da 400 mg.</w:t>
      </w:r>
    </w:p>
    <w:p w14:paraId="796C6037"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w:t>
      </w:r>
      <w:r w:rsidRPr="00496684">
        <w:rPr>
          <w:sz w:val="22"/>
          <w:szCs w:val="22"/>
          <w:lang w:val="it-IT"/>
        </w:rPr>
        <w:tab/>
        <w:t>Agitare con un cucchiaio finchè le compresse si siano sciolte completamente.</w:t>
      </w:r>
    </w:p>
    <w:p w14:paraId="4DB41AE3"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w:t>
      </w:r>
      <w:r w:rsidRPr="00496684">
        <w:rPr>
          <w:sz w:val="22"/>
          <w:szCs w:val="22"/>
          <w:lang w:val="it-IT"/>
        </w:rPr>
        <w:tab/>
        <w:t xml:space="preserve">Una volta che la compressa si è dissolta, bere ogni cosa nel bicchiere immediatamente. I residui </w:t>
      </w:r>
      <w:r w:rsidRPr="00496684">
        <w:rPr>
          <w:sz w:val="22"/>
          <w:szCs w:val="22"/>
          <w:lang w:val="it-IT"/>
        </w:rPr>
        <w:tab/>
        <w:t>delle compresse dissolte possono essere lasciati nel bicchiere.</w:t>
      </w:r>
    </w:p>
    <w:p w14:paraId="11784884"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4E829F75" w14:textId="77777777" w:rsidR="00586369" w:rsidRPr="00496684" w:rsidRDefault="00586369" w:rsidP="00586369">
      <w:pPr>
        <w:pStyle w:val="Text"/>
        <w:widowControl w:val="0"/>
        <w:spacing w:before="0"/>
        <w:jc w:val="left"/>
        <w:rPr>
          <w:b/>
          <w:sz w:val="22"/>
          <w:szCs w:val="22"/>
          <w:lang w:val="it-IT"/>
        </w:rPr>
      </w:pPr>
      <w:r w:rsidRPr="00496684">
        <w:rPr>
          <w:b/>
          <w:sz w:val="22"/>
          <w:szCs w:val="22"/>
          <w:lang w:val="it-IT"/>
        </w:rPr>
        <w:t>Per quanto tempo prendere Imatinib Actavis</w:t>
      </w:r>
    </w:p>
    <w:p w14:paraId="042C2B7E"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Continui a prendere Imatinib Actavis ogni giorno per tutto il tempo che le dice il medico.</w:t>
      </w:r>
    </w:p>
    <w:p w14:paraId="2D8D280A" w14:textId="77777777" w:rsidR="00586369" w:rsidRPr="00496684" w:rsidRDefault="00586369" w:rsidP="00586369">
      <w:pPr>
        <w:pStyle w:val="Text"/>
        <w:widowControl w:val="0"/>
        <w:spacing w:before="0"/>
        <w:jc w:val="left"/>
        <w:rPr>
          <w:sz w:val="22"/>
          <w:szCs w:val="22"/>
          <w:lang w:val="it-IT"/>
        </w:rPr>
      </w:pPr>
    </w:p>
    <w:p w14:paraId="1B45C201" w14:textId="77777777" w:rsidR="00586369" w:rsidRPr="00496684" w:rsidRDefault="00586369" w:rsidP="00586369">
      <w:pPr>
        <w:widowControl w:val="0"/>
        <w:numPr>
          <w:ilvl w:val="12"/>
          <w:numId w:val="0"/>
        </w:numPr>
        <w:spacing w:after="0" w:line="240" w:lineRule="auto"/>
        <w:ind w:right="-2"/>
        <w:rPr>
          <w:rFonts w:ascii="Times New Roman" w:hAnsi="Times New Roman"/>
          <w:lang w:val="it-IT"/>
        </w:rPr>
      </w:pPr>
      <w:r w:rsidRPr="00496684">
        <w:rPr>
          <w:rFonts w:ascii="Times New Roman" w:hAnsi="Times New Roman"/>
          <w:b/>
          <w:lang w:val="it-IT"/>
        </w:rPr>
        <w:t>Se prende più Imatinib Actavis di quanto deve</w:t>
      </w:r>
    </w:p>
    <w:p w14:paraId="5E3066F2"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 xml:space="preserve">Se ha preso accidentalmente troppe compresse contatti </w:t>
      </w:r>
      <w:r w:rsidRPr="00496684">
        <w:rPr>
          <w:b/>
          <w:sz w:val="22"/>
          <w:szCs w:val="22"/>
          <w:lang w:val="it-IT"/>
        </w:rPr>
        <w:t>immediatamente</w:t>
      </w:r>
      <w:r w:rsidRPr="00496684">
        <w:rPr>
          <w:sz w:val="22"/>
          <w:szCs w:val="22"/>
          <w:lang w:val="it-IT"/>
        </w:rPr>
        <w:t xml:space="preserve"> il medico. Può aver bisogno di assistenza medica. Porti con sé la scatola del medicinale.</w:t>
      </w:r>
    </w:p>
    <w:p w14:paraId="01EA2FCE" w14:textId="77777777" w:rsidR="00586369" w:rsidRPr="00496684" w:rsidRDefault="00586369" w:rsidP="00586369">
      <w:pPr>
        <w:widowControl w:val="0"/>
        <w:numPr>
          <w:ilvl w:val="12"/>
          <w:numId w:val="0"/>
        </w:numPr>
        <w:spacing w:after="0" w:line="240" w:lineRule="auto"/>
        <w:ind w:right="-2"/>
        <w:rPr>
          <w:rFonts w:ascii="Times New Roman" w:hAnsi="Times New Roman"/>
          <w:b/>
          <w:lang w:val="it-IT"/>
        </w:rPr>
      </w:pPr>
    </w:p>
    <w:p w14:paraId="103895CE" w14:textId="77777777" w:rsidR="00586369" w:rsidRPr="00496684" w:rsidRDefault="00586369" w:rsidP="00586369">
      <w:pPr>
        <w:widowControl w:val="0"/>
        <w:numPr>
          <w:ilvl w:val="12"/>
          <w:numId w:val="0"/>
        </w:numPr>
        <w:spacing w:after="0" w:line="240" w:lineRule="auto"/>
        <w:ind w:right="-2"/>
        <w:rPr>
          <w:rFonts w:ascii="Times New Roman" w:hAnsi="Times New Roman"/>
          <w:b/>
          <w:lang w:val="it-IT"/>
        </w:rPr>
      </w:pPr>
      <w:r w:rsidRPr="00496684">
        <w:rPr>
          <w:rFonts w:ascii="Times New Roman" w:hAnsi="Times New Roman"/>
          <w:b/>
          <w:lang w:val="it-IT"/>
        </w:rPr>
        <w:t>Se dimentica di prendere Imatinib Actavis</w:t>
      </w:r>
    </w:p>
    <w:p w14:paraId="65D7BA81" w14:textId="77777777" w:rsidR="00586369" w:rsidRPr="00496684" w:rsidRDefault="00586369" w:rsidP="00586369">
      <w:pPr>
        <w:widowControl w:val="0"/>
        <w:numPr>
          <w:ilvl w:val="0"/>
          <w:numId w:val="15"/>
        </w:numPr>
        <w:spacing w:after="0" w:line="240" w:lineRule="auto"/>
        <w:ind w:right="-2"/>
        <w:rPr>
          <w:rFonts w:ascii="Times New Roman" w:hAnsi="Times New Roman"/>
          <w:lang w:val="it-IT"/>
        </w:rPr>
      </w:pPr>
      <w:r w:rsidRPr="00496684">
        <w:rPr>
          <w:rFonts w:ascii="Times New Roman" w:hAnsi="Times New Roman"/>
          <w:lang w:val="it-IT"/>
        </w:rPr>
        <w:t>Se dimentica una dose, la prenda appena si ricorda. Tuttavia se è quasi il tempo per la prossima dose, salti la dose dimenticata.</w:t>
      </w:r>
    </w:p>
    <w:p w14:paraId="201AE053" w14:textId="77777777" w:rsidR="00586369" w:rsidRPr="00496684" w:rsidRDefault="00586369" w:rsidP="00586369">
      <w:pPr>
        <w:widowControl w:val="0"/>
        <w:numPr>
          <w:ilvl w:val="0"/>
          <w:numId w:val="15"/>
        </w:numPr>
        <w:spacing w:after="0" w:line="240" w:lineRule="auto"/>
        <w:ind w:right="-2"/>
        <w:rPr>
          <w:rFonts w:ascii="Times New Roman" w:hAnsi="Times New Roman"/>
          <w:lang w:val="it-IT"/>
        </w:rPr>
      </w:pPr>
      <w:r w:rsidRPr="00496684">
        <w:rPr>
          <w:rFonts w:ascii="Times New Roman" w:hAnsi="Times New Roman"/>
          <w:lang w:val="it-IT"/>
        </w:rPr>
        <w:t>Quindi continui con il dosaggio normale.</w:t>
      </w:r>
    </w:p>
    <w:p w14:paraId="421C947D" w14:textId="77777777" w:rsidR="00586369" w:rsidRPr="00496684" w:rsidRDefault="00586369" w:rsidP="00586369">
      <w:pPr>
        <w:widowControl w:val="0"/>
        <w:numPr>
          <w:ilvl w:val="0"/>
          <w:numId w:val="15"/>
        </w:numPr>
        <w:spacing w:after="0" w:line="240" w:lineRule="auto"/>
        <w:ind w:right="-2"/>
        <w:rPr>
          <w:rFonts w:ascii="Times New Roman" w:hAnsi="Times New Roman"/>
          <w:lang w:val="it-IT"/>
        </w:rPr>
      </w:pPr>
      <w:r w:rsidRPr="00496684">
        <w:rPr>
          <w:rFonts w:ascii="Times New Roman" w:hAnsi="Times New Roman"/>
          <w:lang w:val="it-IT"/>
        </w:rPr>
        <w:t>Non prenda una dose doppia per compensare la dimenticanza della dose.</w:t>
      </w:r>
    </w:p>
    <w:p w14:paraId="5D794C0F" w14:textId="77777777" w:rsidR="00586369" w:rsidRPr="00496684" w:rsidRDefault="00586369" w:rsidP="00586369">
      <w:pPr>
        <w:widowControl w:val="0"/>
        <w:numPr>
          <w:ilvl w:val="12"/>
          <w:numId w:val="0"/>
        </w:numPr>
        <w:spacing w:after="0" w:line="240" w:lineRule="auto"/>
        <w:rPr>
          <w:rFonts w:ascii="Times New Roman" w:hAnsi="Times New Roman"/>
          <w:lang w:val="it-IT"/>
        </w:rPr>
      </w:pPr>
    </w:p>
    <w:p w14:paraId="1167D4B0" w14:textId="77777777" w:rsidR="00586369" w:rsidRPr="00496684" w:rsidRDefault="00586369" w:rsidP="00586369">
      <w:pPr>
        <w:widowControl w:val="0"/>
        <w:numPr>
          <w:ilvl w:val="12"/>
          <w:numId w:val="0"/>
        </w:numPr>
        <w:spacing w:after="0" w:line="240" w:lineRule="auto"/>
        <w:rPr>
          <w:rFonts w:ascii="Times New Roman" w:hAnsi="Times New Roman"/>
          <w:lang w:val="it-IT"/>
        </w:rPr>
      </w:pPr>
      <w:r w:rsidRPr="00496684">
        <w:rPr>
          <w:rFonts w:ascii="Times New Roman" w:hAnsi="Times New Roman"/>
          <w:lang w:val="it-IT"/>
        </w:rPr>
        <w:t>Se ha qualsiasi dubbio sull’uso di questo medicinale, si rivolga al medico, al farmacista o all’infermiere.</w:t>
      </w:r>
    </w:p>
    <w:p w14:paraId="5757135E"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428ED62A"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7CBADB00" w14:textId="77777777" w:rsidR="00586369" w:rsidRPr="00496684" w:rsidRDefault="00586369" w:rsidP="00586369">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4.</w:t>
      </w:r>
      <w:r w:rsidRPr="00496684">
        <w:rPr>
          <w:rFonts w:ascii="Times New Roman" w:hAnsi="Times New Roman"/>
          <w:b/>
          <w:bCs/>
          <w:lang w:val="it-IT"/>
        </w:rPr>
        <w:tab/>
      </w:r>
      <w:r w:rsidRPr="00496684">
        <w:rPr>
          <w:rFonts w:ascii="Times New Roman" w:hAnsi="Times New Roman"/>
          <w:b/>
          <w:lang w:val="it-IT"/>
        </w:rPr>
        <w:t>Possibili effetti indesiderati</w:t>
      </w:r>
    </w:p>
    <w:p w14:paraId="277095B9"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252CA477"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Come tutti i medicinali, questo medicinale può causare effetti indesiderati sebbene non tutte le persone li manifestino. Questi sono generalmente da lievi a moderati.</w:t>
      </w:r>
    </w:p>
    <w:p w14:paraId="3CAE1CEE"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7E98BD09" w14:textId="77777777" w:rsidR="00586369" w:rsidRPr="00496684" w:rsidRDefault="00586369" w:rsidP="00586369">
      <w:pPr>
        <w:pStyle w:val="Text"/>
        <w:widowControl w:val="0"/>
        <w:spacing w:before="0"/>
        <w:jc w:val="left"/>
        <w:rPr>
          <w:b/>
          <w:sz w:val="22"/>
          <w:szCs w:val="22"/>
          <w:lang w:val="it-IT"/>
        </w:rPr>
      </w:pPr>
      <w:r w:rsidRPr="00496684">
        <w:rPr>
          <w:b/>
          <w:sz w:val="22"/>
          <w:szCs w:val="22"/>
          <w:lang w:val="it-IT"/>
        </w:rPr>
        <w:t>Alcuni effetti indesiderati possono essere gravi. Informi il medico immediatamente se manifesta uno dei seguenti effetti:</w:t>
      </w:r>
    </w:p>
    <w:p w14:paraId="4498F5A9"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3B1523BF" w14:textId="46BE79B4" w:rsidR="00586369" w:rsidRPr="00496684" w:rsidRDefault="00DB03B2" w:rsidP="00586369">
      <w:pPr>
        <w:pStyle w:val="Text"/>
        <w:widowControl w:val="0"/>
        <w:spacing w:before="0"/>
        <w:jc w:val="left"/>
        <w:rPr>
          <w:b/>
          <w:sz w:val="22"/>
          <w:szCs w:val="22"/>
          <w:lang w:val="it-IT"/>
        </w:rPr>
      </w:pPr>
      <w:r w:rsidRPr="00496684">
        <w:rPr>
          <w:b/>
          <w:sz w:val="22"/>
          <w:szCs w:val="22"/>
          <w:lang w:val="it-IT"/>
        </w:rPr>
        <w:t>M</w:t>
      </w:r>
      <w:r w:rsidR="00586369" w:rsidRPr="00496684">
        <w:rPr>
          <w:b/>
          <w:sz w:val="22"/>
          <w:szCs w:val="22"/>
          <w:lang w:val="it-IT"/>
        </w:rPr>
        <w:t>olto comuni (</w:t>
      </w:r>
      <w:r w:rsidR="00586369" w:rsidRPr="00496684">
        <w:rPr>
          <w:sz w:val="22"/>
          <w:szCs w:val="22"/>
          <w:lang w:val="it-IT"/>
        </w:rPr>
        <w:t xml:space="preserve">può interessare più di 1 persona su 10) </w:t>
      </w:r>
      <w:r w:rsidR="00586369" w:rsidRPr="00496684">
        <w:rPr>
          <w:b/>
          <w:sz w:val="22"/>
          <w:szCs w:val="22"/>
          <w:lang w:val="it-IT"/>
        </w:rPr>
        <w:t>o comuni (</w:t>
      </w:r>
      <w:r w:rsidR="00586369" w:rsidRPr="00496684">
        <w:rPr>
          <w:sz w:val="22"/>
          <w:szCs w:val="22"/>
          <w:lang w:val="it-IT"/>
        </w:rPr>
        <w:t>può interessare fino a 1 persona su 10)</w:t>
      </w:r>
      <w:r w:rsidR="00586369" w:rsidRPr="00496684">
        <w:rPr>
          <w:b/>
          <w:sz w:val="22"/>
          <w:szCs w:val="22"/>
          <w:lang w:val="it-IT"/>
        </w:rPr>
        <w:t>:</w:t>
      </w:r>
    </w:p>
    <w:p w14:paraId="35091793" w14:textId="77777777" w:rsidR="00586369" w:rsidRPr="00496684" w:rsidRDefault="00586369" w:rsidP="00586369">
      <w:pPr>
        <w:pStyle w:val="Text"/>
        <w:widowControl w:val="0"/>
        <w:numPr>
          <w:ilvl w:val="0"/>
          <w:numId w:val="16"/>
        </w:numPr>
        <w:spacing w:before="0"/>
        <w:jc w:val="left"/>
        <w:rPr>
          <w:sz w:val="22"/>
          <w:szCs w:val="22"/>
          <w:lang w:val="it-IT"/>
        </w:rPr>
      </w:pPr>
      <w:r w:rsidRPr="00496684">
        <w:rPr>
          <w:sz w:val="22"/>
          <w:szCs w:val="22"/>
          <w:lang w:val="it-IT"/>
        </w:rPr>
        <w:t>Rapido aumento di peso. Imatinib Actavis può far trattenere al suo corpo acqua (grave ritenzione di liquidi).</w:t>
      </w:r>
    </w:p>
    <w:p w14:paraId="38DA3D4B" w14:textId="7C9B5744" w:rsidR="00586369" w:rsidRPr="00496684" w:rsidRDefault="00586369" w:rsidP="00586369">
      <w:pPr>
        <w:pStyle w:val="Text"/>
        <w:widowControl w:val="0"/>
        <w:numPr>
          <w:ilvl w:val="0"/>
          <w:numId w:val="16"/>
        </w:numPr>
        <w:spacing w:before="0"/>
        <w:jc w:val="left"/>
        <w:rPr>
          <w:sz w:val="22"/>
          <w:szCs w:val="22"/>
          <w:lang w:val="it-IT"/>
        </w:rPr>
      </w:pPr>
      <w:r w:rsidRPr="00496684">
        <w:rPr>
          <w:sz w:val="22"/>
          <w:szCs w:val="22"/>
          <w:lang w:val="it-IT"/>
        </w:rPr>
        <w:t xml:space="preserve">Segni di infezione quali febbre, brividi intensi, faringite o ulcerazioni della bocca. Imatinib Actavis può ridurre il numero dei globuli bianchi così </w:t>
      </w:r>
      <w:r w:rsidR="00F468EF" w:rsidRPr="00496684">
        <w:rPr>
          <w:sz w:val="22"/>
          <w:szCs w:val="22"/>
          <w:lang w:val="it-IT"/>
        </w:rPr>
        <w:t>può</w:t>
      </w:r>
      <w:r w:rsidRPr="00496684">
        <w:rPr>
          <w:sz w:val="22"/>
          <w:szCs w:val="22"/>
          <w:lang w:val="it-IT"/>
        </w:rPr>
        <w:t xml:space="preserve"> prendere più facilmente delle infezioni.</w:t>
      </w:r>
    </w:p>
    <w:p w14:paraId="276E2663" w14:textId="77777777" w:rsidR="00586369" w:rsidRPr="00496684" w:rsidRDefault="00586369" w:rsidP="00586369">
      <w:pPr>
        <w:pStyle w:val="Text"/>
        <w:widowControl w:val="0"/>
        <w:numPr>
          <w:ilvl w:val="0"/>
          <w:numId w:val="16"/>
        </w:numPr>
        <w:spacing w:before="0"/>
        <w:jc w:val="left"/>
        <w:rPr>
          <w:sz w:val="22"/>
          <w:szCs w:val="22"/>
          <w:lang w:val="it-IT"/>
        </w:rPr>
      </w:pPr>
      <w:r w:rsidRPr="00496684">
        <w:rPr>
          <w:sz w:val="22"/>
          <w:szCs w:val="22"/>
          <w:lang w:val="it-IT"/>
        </w:rPr>
        <w:t>Sanguinamenti inattesi o ecchimosi (quando non si è fatto male da solo).</w:t>
      </w:r>
    </w:p>
    <w:p w14:paraId="47C36A06" w14:textId="77777777" w:rsidR="00586369" w:rsidRPr="00496684" w:rsidRDefault="00586369" w:rsidP="00586369">
      <w:pPr>
        <w:pStyle w:val="Text"/>
        <w:widowControl w:val="0"/>
        <w:spacing w:before="0"/>
        <w:jc w:val="left"/>
        <w:rPr>
          <w:sz w:val="22"/>
          <w:szCs w:val="22"/>
          <w:lang w:val="it-IT"/>
        </w:rPr>
      </w:pPr>
    </w:p>
    <w:p w14:paraId="2EC73BA7" w14:textId="144FCA1B" w:rsidR="00586369" w:rsidRPr="00496684" w:rsidRDefault="00DB03B2" w:rsidP="00586369">
      <w:pPr>
        <w:pStyle w:val="Text"/>
        <w:widowControl w:val="0"/>
        <w:spacing w:before="0"/>
        <w:jc w:val="left"/>
        <w:rPr>
          <w:sz w:val="22"/>
          <w:szCs w:val="22"/>
          <w:lang w:val="it-IT"/>
        </w:rPr>
      </w:pPr>
      <w:r w:rsidRPr="00496684">
        <w:rPr>
          <w:b/>
          <w:sz w:val="22"/>
          <w:szCs w:val="22"/>
          <w:lang w:val="it-IT"/>
        </w:rPr>
        <w:t>N</w:t>
      </w:r>
      <w:r w:rsidR="00586369" w:rsidRPr="00496684">
        <w:rPr>
          <w:b/>
          <w:sz w:val="22"/>
          <w:szCs w:val="22"/>
          <w:lang w:val="it-IT"/>
        </w:rPr>
        <w:t xml:space="preserve">on comuni </w:t>
      </w:r>
      <w:r w:rsidR="0032056C" w:rsidRPr="00496684">
        <w:rPr>
          <w:b/>
          <w:sz w:val="22"/>
          <w:szCs w:val="22"/>
          <w:lang w:val="it-IT"/>
        </w:rPr>
        <w:t>(</w:t>
      </w:r>
      <w:r w:rsidR="0032056C" w:rsidRPr="00496684">
        <w:rPr>
          <w:sz w:val="22"/>
          <w:szCs w:val="22"/>
          <w:lang w:val="it-IT"/>
        </w:rPr>
        <w:t xml:space="preserve">può interessare fino a 1 persona su 100) </w:t>
      </w:r>
      <w:r w:rsidR="00586369" w:rsidRPr="00496684">
        <w:rPr>
          <w:b/>
          <w:sz w:val="22"/>
          <w:szCs w:val="22"/>
          <w:lang w:val="it-IT"/>
        </w:rPr>
        <w:t>o rari</w:t>
      </w:r>
      <w:r w:rsidR="0032056C" w:rsidRPr="00496684">
        <w:rPr>
          <w:b/>
          <w:sz w:val="22"/>
          <w:szCs w:val="22"/>
          <w:lang w:val="it-IT"/>
        </w:rPr>
        <w:t xml:space="preserve"> (</w:t>
      </w:r>
      <w:r w:rsidR="0032056C" w:rsidRPr="00496684">
        <w:rPr>
          <w:sz w:val="22"/>
          <w:szCs w:val="22"/>
          <w:lang w:val="it-IT"/>
        </w:rPr>
        <w:t>può interessare fino a 1 persona su 1.000)</w:t>
      </w:r>
      <w:r w:rsidR="00586369" w:rsidRPr="00496684">
        <w:rPr>
          <w:b/>
          <w:sz w:val="22"/>
          <w:szCs w:val="22"/>
          <w:lang w:val="it-IT"/>
        </w:rPr>
        <w:t>:</w:t>
      </w:r>
    </w:p>
    <w:p w14:paraId="2C48367C"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Dolore al torace, ritmo cardiaco irregolare (segni di problemi al cuore).</w:t>
      </w:r>
    </w:p>
    <w:p w14:paraId="695EEB17"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Tosse, difficoltà respiratoria o respirazione dolorosa (segni di problemi ai polmoni).</w:t>
      </w:r>
    </w:p>
    <w:p w14:paraId="796DCC76"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Sensazione di testa vuota, stordimento o svenimento (segni di pressione bassa).</w:t>
      </w:r>
    </w:p>
    <w:p w14:paraId="0449B56B"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 xml:space="preserve">Sensazione di malessere (nausea), con perdita di appetito, urine </w:t>
      </w:r>
      <w:r w:rsidR="00BC698F" w:rsidRPr="00496684">
        <w:rPr>
          <w:sz w:val="22"/>
          <w:szCs w:val="22"/>
          <w:lang w:val="it-IT"/>
        </w:rPr>
        <w:t>colorate di colore scuro</w:t>
      </w:r>
      <w:r w:rsidRPr="00496684">
        <w:rPr>
          <w:sz w:val="22"/>
          <w:szCs w:val="22"/>
          <w:lang w:val="it-IT"/>
        </w:rPr>
        <w:t>, pelle o occhi gialli (segni di problemi al fegato).</w:t>
      </w:r>
    </w:p>
    <w:p w14:paraId="1AC188BD"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Eruzione cutanea, arrossamento cutaneo con vesciche sulle labbra, occhi, pelle o bocca, desquamazione cutanea, febbre, macchie in rilievo di colore rosso o viola sulla pelle, prurito, sensazione di bruciore, eruzione pustolosa (segni di problemi della pelle).</w:t>
      </w:r>
    </w:p>
    <w:p w14:paraId="0DA77D5A"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Forte dolore addominale, presenza di sangue nel vomito, nelle feci o nelle urine, feci nere (segni di disturbi gastrointestinali).</w:t>
      </w:r>
    </w:p>
    <w:p w14:paraId="6D808C22"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Importante diminuzione della quantità di urina, sensazione di sete (segni di problemi renali).</w:t>
      </w:r>
    </w:p>
    <w:p w14:paraId="778CD528"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Sensazione di malessere (nausea) con diarrea e vomito, dolore addominale o febbre (segni di problemi intestinali).</w:t>
      </w:r>
    </w:p>
    <w:p w14:paraId="70DA5371"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Forte mal di testa, debolezza o paralisi degli arti o del viso, difficoltà di parola, improvvisa perdita di coscienza (segni di problemi del sistema nervoso</w:t>
      </w:r>
      <w:r w:rsidR="00BC698F" w:rsidRPr="00496684">
        <w:rPr>
          <w:sz w:val="22"/>
          <w:szCs w:val="22"/>
          <w:lang w:val="it-IT"/>
        </w:rPr>
        <w:t xml:space="preserve"> come sanguinamento o gonfiore nel cranio/cervello</w:t>
      </w:r>
      <w:r w:rsidRPr="00496684">
        <w:rPr>
          <w:sz w:val="22"/>
          <w:szCs w:val="22"/>
          <w:lang w:val="it-IT"/>
        </w:rPr>
        <w:t>).</w:t>
      </w:r>
    </w:p>
    <w:p w14:paraId="02C01642"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Pallore, sensazione di stanchezza e affanno e urine di colore scuro (segni di bassi valori di globuli rossi).</w:t>
      </w:r>
    </w:p>
    <w:p w14:paraId="1E228D5D"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Dolore agli occhi o deterioramento della visione</w:t>
      </w:r>
      <w:r w:rsidR="00BC698F" w:rsidRPr="00496684">
        <w:rPr>
          <w:sz w:val="22"/>
          <w:szCs w:val="22"/>
          <w:lang w:val="it-IT"/>
        </w:rPr>
        <w:t>, sanguinamento negli occhi</w:t>
      </w:r>
      <w:r w:rsidRPr="00496684">
        <w:rPr>
          <w:sz w:val="22"/>
          <w:szCs w:val="22"/>
          <w:lang w:val="it-IT"/>
        </w:rPr>
        <w:t>.</w:t>
      </w:r>
    </w:p>
    <w:p w14:paraId="2E95E2C9"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Dolore all’anca o difficoltà a camminare.</w:t>
      </w:r>
    </w:p>
    <w:p w14:paraId="4729F3C3"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Dita dei piedi o delle mani intorpidite o fredde (segni della sindrome di Raynaud).</w:t>
      </w:r>
    </w:p>
    <w:p w14:paraId="2F796944"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Improvviso gonfiore e arrossamento della pelle (segni di una infezione della pelle chiamata cellulite).</w:t>
      </w:r>
    </w:p>
    <w:p w14:paraId="5FC81EFB"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Problemi d’udito.</w:t>
      </w:r>
    </w:p>
    <w:p w14:paraId="1B5975C0"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Debolezza muscolare e spasmi muscolari con un ritmo cardiaco anormale (segni di modifiche del quantitativo di potassio nel sangue).</w:t>
      </w:r>
    </w:p>
    <w:p w14:paraId="5207162C"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Ecchimosi (lividi).</w:t>
      </w:r>
    </w:p>
    <w:p w14:paraId="74EA8480"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Dolore allo stomaco con sensazione di malessere (nausea).</w:t>
      </w:r>
    </w:p>
    <w:p w14:paraId="63EA1FA1"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Spasmi muscolari con febbre, urine rosso brune, dolore o debolezza muscolare (segni di problemi ai muscoli).</w:t>
      </w:r>
    </w:p>
    <w:p w14:paraId="27CC4A84" w14:textId="77777777" w:rsidR="00586369" w:rsidRPr="00496684" w:rsidRDefault="00586369" w:rsidP="00586369">
      <w:pPr>
        <w:pStyle w:val="Text"/>
        <w:widowControl w:val="0"/>
        <w:numPr>
          <w:ilvl w:val="0"/>
          <w:numId w:val="17"/>
        </w:numPr>
        <w:spacing w:before="0"/>
        <w:jc w:val="left"/>
        <w:rPr>
          <w:sz w:val="22"/>
          <w:szCs w:val="22"/>
          <w:lang w:val="it-IT"/>
        </w:rPr>
      </w:pPr>
      <w:r w:rsidRPr="00496684">
        <w:rPr>
          <w:sz w:val="22"/>
          <w:szCs w:val="22"/>
          <w:lang w:val="it-IT"/>
        </w:rPr>
        <w:t>Dolore pelvico talvolta con nausea e vomito, con sanguinamento vaginale inatteso, sensazione di vertigini o svenimento dovuto a pressione bassa (segni di problemi con le ovaie e l’utero).</w:t>
      </w:r>
    </w:p>
    <w:p w14:paraId="63537A6D" w14:textId="77777777" w:rsidR="0032056C" w:rsidRPr="00496684" w:rsidRDefault="00586369" w:rsidP="0032056C">
      <w:pPr>
        <w:pStyle w:val="Text"/>
        <w:widowControl w:val="0"/>
        <w:numPr>
          <w:ilvl w:val="0"/>
          <w:numId w:val="17"/>
        </w:numPr>
        <w:spacing w:before="0"/>
        <w:jc w:val="left"/>
        <w:rPr>
          <w:sz w:val="22"/>
          <w:szCs w:val="22"/>
          <w:lang w:val="it-IT"/>
        </w:rPr>
      </w:pPr>
      <w:r w:rsidRPr="00496684">
        <w:rPr>
          <w:sz w:val="22"/>
          <w:szCs w:val="22"/>
          <w:lang w:val="it-IT"/>
        </w:rPr>
        <w:t xml:space="preserve">Nausea, respiro corto, battito cardiaco irregolare, intorbidimento delle urine, stanchezza e/o disturbi alle articolazioni associati a risultati anomali dei test di laboratorio (ad esempio alti livelli di potassio, acido urico e </w:t>
      </w:r>
      <w:r w:rsidR="0032056C" w:rsidRPr="00496684">
        <w:rPr>
          <w:sz w:val="22"/>
          <w:szCs w:val="22"/>
          <w:lang w:val="it-IT"/>
        </w:rPr>
        <w:t xml:space="preserve">calcio </w:t>
      </w:r>
      <w:r w:rsidRPr="00496684">
        <w:rPr>
          <w:sz w:val="22"/>
          <w:szCs w:val="22"/>
          <w:lang w:val="it-IT"/>
        </w:rPr>
        <w:t xml:space="preserve">e bassi livelli di </w:t>
      </w:r>
      <w:r w:rsidR="0032056C" w:rsidRPr="00496684">
        <w:rPr>
          <w:sz w:val="22"/>
          <w:szCs w:val="22"/>
          <w:lang w:val="it-IT"/>
        </w:rPr>
        <w:t xml:space="preserve">fosforo </w:t>
      </w:r>
      <w:r w:rsidRPr="00496684">
        <w:rPr>
          <w:sz w:val="22"/>
          <w:szCs w:val="22"/>
          <w:lang w:val="it-IT"/>
        </w:rPr>
        <w:t>nel sangue).</w:t>
      </w:r>
    </w:p>
    <w:p w14:paraId="6AC9C5ED" w14:textId="59BB02CB" w:rsidR="00F468EF" w:rsidRPr="00496684" w:rsidRDefault="00F468EF" w:rsidP="0032056C">
      <w:pPr>
        <w:pStyle w:val="Text"/>
        <w:widowControl w:val="0"/>
        <w:numPr>
          <w:ilvl w:val="0"/>
          <w:numId w:val="17"/>
        </w:numPr>
        <w:spacing w:before="0"/>
        <w:jc w:val="left"/>
        <w:rPr>
          <w:sz w:val="22"/>
          <w:szCs w:val="22"/>
          <w:lang w:val="it-IT"/>
        </w:rPr>
      </w:pPr>
      <w:r w:rsidRPr="00496684">
        <w:rPr>
          <w:sz w:val="22"/>
          <w:szCs w:val="22"/>
          <w:lang w:val="it-IT"/>
        </w:rPr>
        <w:t>Coaguli di sangue in piccoli vasi sanguigni (microangiopatia trombotica).</w:t>
      </w:r>
    </w:p>
    <w:p w14:paraId="148C8496" w14:textId="77777777" w:rsidR="0032056C" w:rsidRPr="00496684" w:rsidRDefault="0032056C" w:rsidP="00586369">
      <w:pPr>
        <w:pStyle w:val="Text"/>
        <w:widowControl w:val="0"/>
        <w:spacing w:before="0"/>
        <w:jc w:val="left"/>
        <w:rPr>
          <w:sz w:val="22"/>
          <w:szCs w:val="22"/>
          <w:lang w:val="it-IT"/>
        </w:rPr>
      </w:pPr>
    </w:p>
    <w:p w14:paraId="6DC731ED" w14:textId="77777777" w:rsidR="0032056C" w:rsidRPr="00496684" w:rsidRDefault="0032056C" w:rsidP="0032056C">
      <w:pPr>
        <w:pStyle w:val="Text"/>
        <w:widowControl w:val="0"/>
        <w:spacing w:before="0"/>
        <w:jc w:val="left"/>
        <w:rPr>
          <w:sz w:val="22"/>
          <w:szCs w:val="22"/>
          <w:lang w:val="it-IT"/>
        </w:rPr>
      </w:pPr>
      <w:r w:rsidRPr="00496684">
        <w:rPr>
          <w:b/>
          <w:sz w:val="22"/>
          <w:szCs w:val="22"/>
          <w:lang w:val="it-IT"/>
        </w:rPr>
        <w:t>Non nota</w:t>
      </w:r>
      <w:r w:rsidRPr="00496684">
        <w:rPr>
          <w:sz w:val="22"/>
          <w:szCs w:val="22"/>
          <w:lang w:val="it-IT"/>
        </w:rPr>
        <w:t xml:space="preserve"> (la frequenza non può essere </w:t>
      </w:r>
      <w:r w:rsidR="00C66631" w:rsidRPr="00496684">
        <w:rPr>
          <w:sz w:val="22"/>
          <w:szCs w:val="22"/>
          <w:lang w:val="it-IT"/>
        </w:rPr>
        <w:t>definita</w:t>
      </w:r>
      <w:r w:rsidRPr="00496684">
        <w:rPr>
          <w:sz w:val="22"/>
          <w:szCs w:val="22"/>
          <w:lang w:val="it-IT"/>
        </w:rPr>
        <w:t xml:space="preserve"> sulla base dei dati disponibili):</w:t>
      </w:r>
    </w:p>
    <w:p w14:paraId="0DD33D39" w14:textId="77777777" w:rsidR="0032056C" w:rsidRPr="00496684" w:rsidRDefault="0032056C" w:rsidP="0032056C">
      <w:pPr>
        <w:pStyle w:val="Text"/>
        <w:widowControl w:val="0"/>
        <w:numPr>
          <w:ilvl w:val="0"/>
          <w:numId w:val="22"/>
        </w:numPr>
        <w:spacing w:before="0"/>
        <w:jc w:val="left"/>
        <w:rPr>
          <w:sz w:val="22"/>
          <w:szCs w:val="22"/>
          <w:lang w:val="it-IT"/>
        </w:rPr>
      </w:pPr>
      <w:r w:rsidRPr="00496684">
        <w:rPr>
          <w:sz w:val="22"/>
          <w:szCs w:val="22"/>
          <w:lang w:val="it-IT"/>
        </w:rPr>
        <w:t>Combinazione di una grave eruzione cutanea diffusa, sensazione di malessere, febbre, alti livelli di certi globuli bianchi del sangue o pelle e occhi gialli (ittero) con difficoltà a respirare, dolore/fastido al torace, diminuzione grave delle urine emesse e sentirsi assetato ecc (segni di una reazione allergica dovuta al farmaco).</w:t>
      </w:r>
    </w:p>
    <w:p w14:paraId="7BE06B60" w14:textId="77777777" w:rsidR="00417284" w:rsidRPr="00496684" w:rsidRDefault="00417284" w:rsidP="00417284">
      <w:pPr>
        <w:pStyle w:val="Text"/>
        <w:widowControl w:val="0"/>
        <w:numPr>
          <w:ilvl w:val="0"/>
          <w:numId w:val="22"/>
        </w:numPr>
        <w:spacing w:before="0"/>
        <w:jc w:val="left"/>
        <w:rPr>
          <w:sz w:val="22"/>
          <w:szCs w:val="22"/>
          <w:lang w:val="it-IT"/>
        </w:rPr>
      </w:pPr>
      <w:r w:rsidRPr="00496684">
        <w:rPr>
          <w:sz w:val="22"/>
          <w:szCs w:val="22"/>
          <w:lang w:val="it-IT"/>
        </w:rPr>
        <w:t>Insufficienza renale cronica</w:t>
      </w:r>
    </w:p>
    <w:p w14:paraId="6B844080" w14:textId="77777777" w:rsidR="00DB03B2" w:rsidRPr="00496684" w:rsidRDefault="00DB03B2" w:rsidP="00DB03B2">
      <w:pPr>
        <w:pStyle w:val="Text"/>
        <w:widowControl w:val="0"/>
        <w:numPr>
          <w:ilvl w:val="0"/>
          <w:numId w:val="2"/>
        </w:numPr>
        <w:tabs>
          <w:tab w:val="clear" w:pos="468"/>
        </w:tabs>
        <w:spacing w:before="0"/>
        <w:ind w:left="567" w:hanging="567"/>
        <w:jc w:val="left"/>
        <w:rPr>
          <w:sz w:val="22"/>
          <w:szCs w:val="22"/>
          <w:lang w:val="it-IT"/>
        </w:rPr>
      </w:pPr>
      <w:r w:rsidRPr="00496684">
        <w:rPr>
          <w:rFonts w:eastAsia="Verdana"/>
          <w:spacing w:val="1"/>
          <w:sz w:val="22"/>
          <w:szCs w:val="22"/>
          <w:lang w:val="it-IT"/>
        </w:rPr>
        <w:t>L</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c</w:t>
      </w:r>
      <w:r w:rsidRPr="00496684">
        <w:rPr>
          <w:rFonts w:eastAsia="Verdana"/>
          <w:spacing w:val="1"/>
          <w:sz w:val="22"/>
          <w:szCs w:val="22"/>
          <w:lang w:val="it-IT"/>
        </w:rPr>
        <w:t>o</w:t>
      </w:r>
      <w:r w:rsidRPr="00496684">
        <w:rPr>
          <w:rFonts w:eastAsia="Verdana"/>
          <w:sz w:val="22"/>
          <w:szCs w:val="22"/>
          <w:lang w:val="it-IT"/>
        </w:rPr>
        <w:t>rr</w:t>
      </w:r>
      <w:r w:rsidRPr="00496684">
        <w:rPr>
          <w:rFonts w:eastAsia="Verdana"/>
          <w:spacing w:val="1"/>
          <w:sz w:val="22"/>
          <w:szCs w:val="22"/>
          <w:lang w:val="it-IT"/>
        </w:rPr>
        <w:t>e</w:t>
      </w:r>
      <w:r w:rsidRPr="00496684">
        <w:rPr>
          <w:rFonts w:eastAsia="Verdana"/>
          <w:spacing w:val="-1"/>
          <w:sz w:val="22"/>
          <w:szCs w:val="22"/>
          <w:lang w:val="it-IT"/>
        </w:rPr>
        <w:t>nz</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z w:val="22"/>
          <w:szCs w:val="22"/>
          <w:lang w:val="it-IT"/>
        </w:rPr>
        <w:t>(r</w:t>
      </w:r>
      <w:r w:rsidRPr="00496684">
        <w:rPr>
          <w:rFonts w:eastAsia="Verdana"/>
          <w:spacing w:val="1"/>
          <w:sz w:val="22"/>
          <w:szCs w:val="22"/>
          <w:lang w:val="it-IT"/>
        </w:rPr>
        <w:t>i</w:t>
      </w:r>
      <w:r w:rsidRPr="00496684">
        <w:rPr>
          <w:rFonts w:eastAsia="Verdana"/>
          <w:sz w:val="22"/>
          <w:szCs w:val="22"/>
          <w:lang w:val="it-IT"/>
        </w:rPr>
        <w:t>a</w:t>
      </w:r>
      <w:r w:rsidRPr="00496684">
        <w:rPr>
          <w:rFonts w:eastAsia="Verdana"/>
          <w:spacing w:val="1"/>
          <w:sz w:val="22"/>
          <w:szCs w:val="22"/>
          <w:lang w:val="it-IT"/>
        </w:rPr>
        <w:t>tti</w:t>
      </w:r>
      <w:r w:rsidRPr="00496684">
        <w:rPr>
          <w:rFonts w:eastAsia="Verdana"/>
          <w:spacing w:val="-1"/>
          <w:sz w:val="22"/>
          <w:szCs w:val="22"/>
          <w:lang w:val="it-IT"/>
        </w:rPr>
        <w:t>v</w:t>
      </w:r>
      <w:r w:rsidRPr="00496684">
        <w:rPr>
          <w:rFonts w:eastAsia="Verdana"/>
          <w:sz w:val="22"/>
          <w:szCs w:val="22"/>
          <w:lang w:val="it-IT"/>
        </w:rPr>
        <w:t>a</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pacing w:val="-2"/>
          <w:sz w:val="22"/>
          <w:szCs w:val="22"/>
          <w:lang w:val="it-IT"/>
        </w:rPr>
        <w:t>e</w:t>
      </w:r>
      <w:r w:rsidRPr="00496684">
        <w:rPr>
          <w:rFonts w:eastAsia="Verdana"/>
          <w:sz w:val="22"/>
          <w:szCs w:val="22"/>
          <w:lang w:val="it-IT"/>
        </w:rPr>
        <w:t>)</w:t>
      </w:r>
      <w:r w:rsidRPr="00496684">
        <w:rPr>
          <w:rFonts w:eastAsia="Verdana"/>
          <w:spacing w:val="-1"/>
          <w:sz w:val="22"/>
          <w:szCs w:val="22"/>
          <w:lang w:val="it-IT"/>
        </w:rPr>
        <w:t xml:space="preserve"> </w:t>
      </w:r>
      <w:r w:rsidRPr="00496684">
        <w:rPr>
          <w:rFonts w:eastAsia="Verdana"/>
          <w:spacing w:val="1"/>
          <w:sz w:val="22"/>
          <w:szCs w:val="22"/>
          <w:lang w:val="it-IT"/>
        </w:rPr>
        <w:t>della</w:t>
      </w:r>
      <w:r w:rsidRPr="00496684">
        <w:rPr>
          <w:rFonts w:eastAsia="Verdana"/>
          <w:spacing w:val="-2"/>
          <w:sz w:val="22"/>
          <w:szCs w:val="22"/>
          <w:lang w:val="it-IT"/>
        </w:rPr>
        <w:t xml:space="preserve">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w:t>
      </w:r>
      <w:r w:rsidRPr="00496684">
        <w:rPr>
          <w:rFonts w:eastAsia="Verdana"/>
          <w:sz w:val="22"/>
          <w:szCs w:val="22"/>
          <w:lang w:val="it-IT"/>
        </w:rPr>
        <w:t>a</w:t>
      </w:r>
      <w:r w:rsidRPr="00496684">
        <w:rPr>
          <w:rFonts w:eastAsia="Verdana"/>
          <w:spacing w:val="-1"/>
          <w:sz w:val="22"/>
          <w:szCs w:val="22"/>
          <w:lang w:val="it-IT"/>
        </w:rPr>
        <w:t xml:space="preserve"> </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ite</w:t>
      </w:r>
      <w:r w:rsidRPr="00496684">
        <w:rPr>
          <w:rFonts w:eastAsia="Verdana"/>
          <w:spacing w:val="-4"/>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z w:val="22"/>
          <w:szCs w:val="22"/>
          <w:lang w:val="it-IT"/>
        </w:rPr>
        <w:t xml:space="preserve">se si è </w:t>
      </w:r>
      <w:r w:rsidRPr="00496684">
        <w:rPr>
          <w:rFonts w:eastAsia="Verdana"/>
          <w:spacing w:val="2"/>
          <w:sz w:val="22"/>
          <w:szCs w:val="22"/>
          <w:lang w:val="it-IT"/>
        </w:rPr>
        <w:t>a</w:t>
      </w:r>
      <w:r w:rsidRPr="00496684">
        <w:rPr>
          <w:rFonts w:eastAsia="Verdana"/>
          <w:spacing w:val="-1"/>
          <w:sz w:val="22"/>
          <w:szCs w:val="22"/>
          <w:lang w:val="it-IT"/>
        </w:rPr>
        <w:t>vu</w:t>
      </w:r>
      <w:r w:rsidRPr="00496684">
        <w:rPr>
          <w:rFonts w:eastAsia="Verdana"/>
          <w:spacing w:val="1"/>
          <w:sz w:val="22"/>
          <w:szCs w:val="22"/>
          <w:lang w:val="it-IT"/>
        </w:rPr>
        <w:t>ta</w:t>
      </w:r>
      <w:r w:rsidRPr="00496684">
        <w:rPr>
          <w:rFonts w:eastAsia="Verdana"/>
          <w:spacing w:val="-2"/>
          <w:sz w:val="22"/>
          <w:szCs w:val="22"/>
          <w:lang w:val="it-IT"/>
        </w:rPr>
        <w:t xml:space="preserve"> </w:t>
      </w:r>
      <w:r w:rsidRPr="00496684">
        <w:rPr>
          <w:rFonts w:eastAsia="Verdana"/>
          <w:spacing w:val="1"/>
          <w:sz w:val="22"/>
          <w:szCs w:val="22"/>
          <w:lang w:val="it-IT"/>
        </w:rPr>
        <w:t>l</w:t>
      </w:r>
      <w:r w:rsidRPr="00496684">
        <w:rPr>
          <w:rFonts w:eastAsia="Verdana"/>
          <w:sz w:val="22"/>
          <w:szCs w:val="22"/>
          <w:lang w:val="it-IT"/>
        </w:rPr>
        <w:t>’</w:t>
      </w:r>
      <w:r w:rsidRPr="00496684">
        <w:rPr>
          <w:rFonts w:eastAsia="Verdana"/>
          <w:spacing w:val="1"/>
          <w:sz w:val="22"/>
          <w:szCs w:val="22"/>
          <w:lang w:val="it-IT"/>
        </w:rPr>
        <w:t>ep</w:t>
      </w:r>
      <w:r w:rsidRPr="00496684">
        <w:rPr>
          <w:rFonts w:eastAsia="Verdana"/>
          <w:sz w:val="22"/>
          <w:szCs w:val="22"/>
          <w:lang w:val="it-IT"/>
        </w:rPr>
        <w:t>a</w:t>
      </w:r>
      <w:r w:rsidRPr="00496684">
        <w:rPr>
          <w:rFonts w:eastAsia="Verdana"/>
          <w:spacing w:val="1"/>
          <w:sz w:val="22"/>
          <w:szCs w:val="22"/>
          <w:lang w:val="it-IT"/>
        </w:rPr>
        <w:t>tite</w:t>
      </w:r>
      <w:r w:rsidRPr="00496684">
        <w:rPr>
          <w:rFonts w:eastAsia="Verdana"/>
          <w:spacing w:val="-1"/>
          <w:sz w:val="22"/>
          <w:szCs w:val="22"/>
          <w:lang w:val="it-IT"/>
        </w:rPr>
        <w:t xml:space="preserve"> </w:t>
      </w:r>
      <w:r w:rsidRPr="00496684">
        <w:rPr>
          <w:rFonts w:eastAsia="Verdana"/>
          <w:sz w:val="22"/>
          <w:szCs w:val="22"/>
          <w:lang w:val="it-IT"/>
        </w:rPr>
        <w:t>B</w:t>
      </w:r>
      <w:r w:rsidRPr="00496684">
        <w:rPr>
          <w:rFonts w:eastAsia="Verdana"/>
          <w:spacing w:val="-2"/>
          <w:sz w:val="22"/>
          <w:szCs w:val="22"/>
          <w:lang w:val="it-IT"/>
        </w:rPr>
        <w:t xml:space="preserve"> </w:t>
      </w:r>
      <w:r w:rsidRPr="00496684">
        <w:rPr>
          <w:rFonts w:eastAsia="Verdana"/>
          <w:spacing w:val="1"/>
          <w:sz w:val="22"/>
          <w:szCs w:val="22"/>
          <w:lang w:val="it-IT"/>
        </w:rPr>
        <w:t>in</w:t>
      </w:r>
      <w:r w:rsidRPr="00496684">
        <w:rPr>
          <w:rFonts w:eastAsia="Verdana"/>
          <w:spacing w:val="-3"/>
          <w:sz w:val="22"/>
          <w:szCs w:val="22"/>
          <w:lang w:val="it-IT"/>
        </w:rPr>
        <w:t xml:space="preserve"> </w:t>
      </w:r>
      <w:r w:rsidRPr="00496684">
        <w:rPr>
          <w:rFonts w:eastAsia="Verdana"/>
          <w:spacing w:val="1"/>
          <w:sz w:val="22"/>
          <w:szCs w:val="22"/>
          <w:lang w:val="it-IT"/>
        </w:rPr>
        <w:t>p</w:t>
      </w:r>
      <w:r w:rsidRPr="00496684">
        <w:rPr>
          <w:rFonts w:eastAsia="Verdana"/>
          <w:sz w:val="22"/>
          <w:szCs w:val="22"/>
          <w:lang w:val="it-IT"/>
        </w:rPr>
        <w:t>assa</w:t>
      </w:r>
      <w:r w:rsidRPr="00496684">
        <w:rPr>
          <w:rFonts w:eastAsia="Verdana"/>
          <w:spacing w:val="1"/>
          <w:sz w:val="22"/>
          <w:szCs w:val="22"/>
          <w:lang w:val="it-IT"/>
        </w:rPr>
        <w:t>to</w:t>
      </w:r>
      <w:r w:rsidRPr="00496684">
        <w:rPr>
          <w:rFonts w:eastAsia="Verdana"/>
          <w:spacing w:val="-1"/>
          <w:sz w:val="22"/>
          <w:szCs w:val="22"/>
          <w:lang w:val="it-IT"/>
        </w:rPr>
        <w:t xml:space="preserve"> </w:t>
      </w:r>
      <w:r w:rsidRPr="00496684">
        <w:rPr>
          <w:rFonts w:eastAsia="Verdana"/>
          <w:sz w:val="22"/>
          <w:szCs w:val="22"/>
          <w:lang w:val="it-IT"/>
        </w:rPr>
        <w:t>(</w:t>
      </w:r>
      <w:r w:rsidRPr="00496684">
        <w:rPr>
          <w:rFonts w:eastAsia="Verdana"/>
          <w:spacing w:val="-1"/>
          <w:sz w:val="22"/>
          <w:szCs w:val="22"/>
          <w:lang w:val="it-IT"/>
        </w:rPr>
        <w:t>un</w:t>
      </w:r>
      <w:r w:rsidRPr="00496684">
        <w:rPr>
          <w:rFonts w:eastAsia="Verdana"/>
          <w:sz w:val="22"/>
          <w:szCs w:val="22"/>
          <w:lang w:val="it-IT"/>
        </w:rPr>
        <w:t xml:space="preserve">a </w:t>
      </w:r>
      <w:r w:rsidRPr="00496684">
        <w:rPr>
          <w:rFonts w:eastAsia="Verdana"/>
          <w:spacing w:val="1"/>
          <w:sz w:val="22"/>
          <w:szCs w:val="22"/>
          <w:lang w:val="it-IT"/>
        </w:rPr>
        <w:t>i</w:t>
      </w:r>
      <w:r w:rsidRPr="00496684">
        <w:rPr>
          <w:rFonts w:eastAsia="Verdana"/>
          <w:spacing w:val="-1"/>
          <w:sz w:val="22"/>
          <w:szCs w:val="22"/>
          <w:lang w:val="it-IT"/>
        </w:rPr>
        <w:t>nf</w:t>
      </w:r>
      <w:r w:rsidRPr="00496684">
        <w:rPr>
          <w:rFonts w:eastAsia="Verdana"/>
          <w:spacing w:val="1"/>
          <w:sz w:val="22"/>
          <w:szCs w:val="22"/>
          <w:lang w:val="it-IT"/>
        </w:rPr>
        <w:t>e</w:t>
      </w:r>
      <w:r w:rsidRPr="00496684">
        <w:rPr>
          <w:rFonts w:eastAsia="Verdana"/>
          <w:spacing w:val="-1"/>
          <w:sz w:val="22"/>
          <w:szCs w:val="22"/>
          <w:lang w:val="it-IT"/>
        </w:rPr>
        <w:t>z</w:t>
      </w:r>
      <w:r w:rsidRPr="00496684">
        <w:rPr>
          <w:rFonts w:eastAsia="Verdana"/>
          <w:spacing w:val="1"/>
          <w:sz w:val="22"/>
          <w:szCs w:val="22"/>
          <w:lang w:val="it-IT"/>
        </w:rPr>
        <w:t>io</w:t>
      </w:r>
      <w:r w:rsidRPr="00496684">
        <w:rPr>
          <w:rFonts w:eastAsia="Verdana"/>
          <w:spacing w:val="-1"/>
          <w:sz w:val="22"/>
          <w:szCs w:val="22"/>
          <w:lang w:val="it-IT"/>
        </w:rPr>
        <w:t>n</w:t>
      </w:r>
      <w:r w:rsidRPr="00496684">
        <w:rPr>
          <w:rFonts w:eastAsia="Verdana"/>
          <w:sz w:val="22"/>
          <w:szCs w:val="22"/>
          <w:lang w:val="it-IT"/>
        </w:rPr>
        <w:t xml:space="preserve">e </w:t>
      </w:r>
      <w:r w:rsidRPr="00496684">
        <w:rPr>
          <w:rFonts w:eastAsia="Verdana"/>
          <w:spacing w:val="1"/>
          <w:sz w:val="22"/>
          <w:szCs w:val="22"/>
          <w:lang w:val="it-IT"/>
        </w:rPr>
        <w:t>del</w:t>
      </w:r>
      <w:r w:rsidRPr="00496684">
        <w:rPr>
          <w:rFonts w:eastAsia="Verdana"/>
          <w:spacing w:val="-1"/>
          <w:sz w:val="22"/>
          <w:szCs w:val="22"/>
          <w:lang w:val="it-IT"/>
        </w:rPr>
        <w:t xml:space="preserve"> f</w:t>
      </w:r>
      <w:r w:rsidRPr="00496684">
        <w:rPr>
          <w:rFonts w:eastAsia="Verdana"/>
          <w:spacing w:val="1"/>
          <w:sz w:val="22"/>
          <w:szCs w:val="22"/>
          <w:lang w:val="it-IT"/>
        </w:rPr>
        <w:t>eg</w:t>
      </w:r>
      <w:r w:rsidRPr="00496684">
        <w:rPr>
          <w:rFonts w:eastAsia="Verdana"/>
          <w:sz w:val="22"/>
          <w:szCs w:val="22"/>
          <w:lang w:val="it-IT"/>
        </w:rPr>
        <w:t>a</w:t>
      </w:r>
      <w:r w:rsidRPr="00496684">
        <w:rPr>
          <w:rFonts w:eastAsia="Verdana"/>
          <w:spacing w:val="-1"/>
          <w:sz w:val="22"/>
          <w:szCs w:val="22"/>
          <w:lang w:val="it-IT"/>
        </w:rPr>
        <w:t>t</w:t>
      </w:r>
      <w:r w:rsidRPr="00496684">
        <w:rPr>
          <w:rFonts w:eastAsia="Verdana"/>
          <w:spacing w:val="1"/>
          <w:sz w:val="22"/>
          <w:szCs w:val="22"/>
          <w:lang w:val="it-IT"/>
        </w:rPr>
        <w:t>o</w:t>
      </w:r>
      <w:r w:rsidRPr="00496684">
        <w:rPr>
          <w:rFonts w:eastAsia="Verdana"/>
          <w:sz w:val="22"/>
          <w:szCs w:val="22"/>
          <w:lang w:val="it-IT"/>
        </w:rPr>
        <w:t>).</w:t>
      </w:r>
    </w:p>
    <w:p w14:paraId="4BAB6DCE" w14:textId="77777777" w:rsidR="00417284" w:rsidRPr="00496684" w:rsidRDefault="00417284" w:rsidP="00AE2366">
      <w:pPr>
        <w:pStyle w:val="Text"/>
        <w:widowControl w:val="0"/>
        <w:spacing w:before="0"/>
        <w:ind w:left="576"/>
        <w:jc w:val="left"/>
        <w:rPr>
          <w:sz w:val="22"/>
          <w:szCs w:val="22"/>
          <w:lang w:val="it-IT"/>
        </w:rPr>
      </w:pPr>
    </w:p>
    <w:p w14:paraId="0AA042B1" w14:textId="77777777" w:rsidR="0032056C" w:rsidRPr="00496684" w:rsidRDefault="0032056C" w:rsidP="00586369">
      <w:pPr>
        <w:pStyle w:val="Text"/>
        <w:widowControl w:val="0"/>
        <w:spacing w:before="0"/>
        <w:jc w:val="left"/>
        <w:rPr>
          <w:sz w:val="22"/>
          <w:szCs w:val="22"/>
          <w:lang w:val="it-IT"/>
        </w:rPr>
      </w:pPr>
    </w:p>
    <w:p w14:paraId="412B4563" w14:textId="77777777" w:rsidR="00586369" w:rsidRPr="00496684" w:rsidRDefault="00586369" w:rsidP="00586369">
      <w:pPr>
        <w:pStyle w:val="Text"/>
        <w:widowControl w:val="0"/>
        <w:spacing w:before="0"/>
        <w:jc w:val="left"/>
        <w:rPr>
          <w:b/>
          <w:sz w:val="22"/>
          <w:szCs w:val="22"/>
          <w:lang w:val="it-IT"/>
        </w:rPr>
      </w:pPr>
      <w:r w:rsidRPr="00496684">
        <w:rPr>
          <w:sz w:val="22"/>
          <w:szCs w:val="22"/>
          <w:lang w:val="it-IT"/>
        </w:rPr>
        <w:t xml:space="preserve">Se manifesta uno degli effetti sopra descritti, </w:t>
      </w:r>
      <w:r w:rsidRPr="00496684">
        <w:rPr>
          <w:b/>
          <w:sz w:val="22"/>
          <w:szCs w:val="22"/>
          <w:lang w:val="it-IT"/>
        </w:rPr>
        <w:t>informi il medico immediatamente.</w:t>
      </w:r>
    </w:p>
    <w:p w14:paraId="3411AC93" w14:textId="77777777" w:rsidR="00586369" w:rsidRPr="00496684" w:rsidRDefault="00586369" w:rsidP="00586369">
      <w:pPr>
        <w:pStyle w:val="Text"/>
        <w:widowControl w:val="0"/>
        <w:spacing w:before="0"/>
        <w:jc w:val="left"/>
        <w:rPr>
          <w:sz w:val="22"/>
          <w:szCs w:val="22"/>
          <w:lang w:val="it-IT"/>
        </w:rPr>
      </w:pPr>
    </w:p>
    <w:p w14:paraId="2516536D" w14:textId="77777777" w:rsidR="00586369" w:rsidRPr="00496684" w:rsidRDefault="00586369" w:rsidP="00586369">
      <w:pPr>
        <w:pStyle w:val="Text"/>
        <w:widowControl w:val="0"/>
        <w:spacing w:before="0"/>
        <w:jc w:val="left"/>
        <w:rPr>
          <w:b/>
          <w:sz w:val="22"/>
          <w:szCs w:val="22"/>
          <w:lang w:val="it-IT"/>
        </w:rPr>
      </w:pPr>
      <w:r w:rsidRPr="00496684">
        <w:rPr>
          <w:b/>
          <w:sz w:val="22"/>
          <w:szCs w:val="22"/>
          <w:lang w:val="it-IT"/>
        </w:rPr>
        <w:t>Altri effetti indesiderati possono includere:</w:t>
      </w:r>
    </w:p>
    <w:p w14:paraId="648B5623" w14:textId="77777777" w:rsidR="00586369" w:rsidRPr="00496684" w:rsidRDefault="00586369" w:rsidP="00586369">
      <w:pPr>
        <w:pStyle w:val="Text"/>
        <w:widowControl w:val="0"/>
        <w:spacing w:before="0"/>
        <w:jc w:val="left"/>
        <w:rPr>
          <w:sz w:val="22"/>
          <w:szCs w:val="22"/>
          <w:lang w:val="it-IT"/>
        </w:rPr>
      </w:pPr>
    </w:p>
    <w:p w14:paraId="507458E0" w14:textId="54092DDF" w:rsidR="00586369" w:rsidRPr="00496684" w:rsidRDefault="00DB03B2" w:rsidP="00586369">
      <w:pPr>
        <w:pStyle w:val="Text"/>
        <w:widowControl w:val="0"/>
        <w:spacing w:before="0"/>
        <w:jc w:val="left"/>
        <w:rPr>
          <w:b/>
          <w:sz w:val="22"/>
          <w:szCs w:val="22"/>
          <w:lang w:val="it-IT"/>
        </w:rPr>
      </w:pPr>
      <w:r w:rsidRPr="00496684">
        <w:rPr>
          <w:b/>
          <w:sz w:val="22"/>
          <w:szCs w:val="22"/>
          <w:lang w:val="it-IT"/>
        </w:rPr>
        <w:t>M</w:t>
      </w:r>
      <w:r w:rsidR="00586369" w:rsidRPr="00496684">
        <w:rPr>
          <w:b/>
          <w:sz w:val="22"/>
          <w:szCs w:val="22"/>
          <w:lang w:val="it-IT"/>
        </w:rPr>
        <w:t>olto comuni</w:t>
      </w:r>
      <w:r w:rsidR="00E265EC" w:rsidRPr="00496684">
        <w:rPr>
          <w:b/>
          <w:sz w:val="22"/>
          <w:szCs w:val="22"/>
          <w:lang w:val="it-IT"/>
        </w:rPr>
        <w:t xml:space="preserve"> (</w:t>
      </w:r>
      <w:r w:rsidR="00E265EC" w:rsidRPr="00496684">
        <w:rPr>
          <w:sz w:val="22"/>
          <w:szCs w:val="22"/>
          <w:lang w:val="it-IT"/>
        </w:rPr>
        <w:t>può interessare più di 1 persona su 10)</w:t>
      </w:r>
      <w:r w:rsidR="00586369" w:rsidRPr="00496684">
        <w:rPr>
          <w:b/>
          <w:sz w:val="22"/>
          <w:szCs w:val="22"/>
          <w:lang w:val="it-IT"/>
        </w:rPr>
        <w:t>:</w:t>
      </w:r>
    </w:p>
    <w:p w14:paraId="1A827340" w14:textId="77777777" w:rsidR="00586369" w:rsidRPr="00496684" w:rsidRDefault="00586369" w:rsidP="00586369">
      <w:pPr>
        <w:pStyle w:val="Text"/>
        <w:widowControl w:val="0"/>
        <w:numPr>
          <w:ilvl w:val="0"/>
          <w:numId w:val="18"/>
        </w:numPr>
        <w:spacing w:before="0"/>
        <w:jc w:val="left"/>
        <w:rPr>
          <w:sz w:val="22"/>
          <w:szCs w:val="22"/>
          <w:lang w:val="it-IT"/>
        </w:rPr>
      </w:pPr>
      <w:r w:rsidRPr="00496684">
        <w:rPr>
          <w:sz w:val="22"/>
          <w:szCs w:val="22"/>
          <w:lang w:val="it-IT"/>
        </w:rPr>
        <w:t>Mal di testa o sensazione di stanchezza.</w:t>
      </w:r>
    </w:p>
    <w:p w14:paraId="198C2AFB" w14:textId="77777777" w:rsidR="00586369" w:rsidRPr="00496684" w:rsidRDefault="00586369" w:rsidP="00586369">
      <w:pPr>
        <w:pStyle w:val="Text"/>
        <w:widowControl w:val="0"/>
        <w:numPr>
          <w:ilvl w:val="0"/>
          <w:numId w:val="18"/>
        </w:numPr>
        <w:spacing w:before="0"/>
        <w:jc w:val="left"/>
        <w:rPr>
          <w:sz w:val="22"/>
          <w:szCs w:val="22"/>
          <w:lang w:val="it-IT"/>
        </w:rPr>
      </w:pPr>
      <w:r w:rsidRPr="00496684">
        <w:rPr>
          <w:sz w:val="22"/>
          <w:szCs w:val="22"/>
          <w:lang w:val="it-IT"/>
        </w:rPr>
        <w:t>Sensazione di malessere (nausea), vomito, diarrea o indigestione.</w:t>
      </w:r>
    </w:p>
    <w:p w14:paraId="315992A9" w14:textId="77777777" w:rsidR="00586369" w:rsidRPr="00496684" w:rsidRDefault="00586369" w:rsidP="00586369">
      <w:pPr>
        <w:pStyle w:val="Text"/>
        <w:widowControl w:val="0"/>
        <w:numPr>
          <w:ilvl w:val="0"/>
          <w:numId w:val="18"/>
        </w:numPr>
        <w:spacing w:before="0"/>
        <w:jc w:val="left"/>
        <w:rPr>
          <w:sz w:val="22"/>
          <w:szCs w:val="22"/>
          <w:lang w:val="it-IT"/>
        </w:rPr>
      </w:pPr>
      <w:r w:rsidRPr="00496684">
        <w:rPr>
          <w:sz w:val="22"/>
          <w:szCs w:val="22"/>
          <w:lang w:val="it-IT"/>
        </w:rPr>
        <w:t>Eruzione cutanea.</w:t>
      </w:r>
    </w:p>
    <w:p w14:paraId="545C2F11" w14:textId="77777777" w:rsidR="00586369" w:rsidRPr="00496684" w:rsidRDefault="00586369" w:rsidP="00586369">
      <w:pPr>
        <w:pStyle w:val="Text"/>
        <w:widowControl w:val="0"/>
        <w:numPr>
          <w:ilvl w:val="0"/>
          <w:numId w:val="18"/>
        </w:numPr>
        <w:spacing w:before="0"/>
        <w:jc w:val="left"/>
        <w:rPr>
          <w:sz w:val="22"/>
          <w:szCs w:val="22"/>
          <w:lang w:val="it-IT"/>
        </w:rPr>
      </w:pPr>
      <w:r w:rsidRPr="00496684">
        <w:rPr>
          <w:sz w:val="22"/>
          <w:szCs w:val="22"/>
          <w:lang w:val="it-IT"/>
        </w:rPr>
        <w:t>Crampi muscolari o dolori articolari, ai muscoli o alle ossa</w:t>
      </w:r>
      <w:r w:rsidR="000629AD" w:rsidRPr="00496684">
        <w:rPr>
          <w:sz w:val="22"/>
          <w:szCs w:val="22"/>
          <w:lang w:val="it-IT"/>
        </w:rPr>
        <w:t>, , durante il trattamento con imatibi o dopo aver smesso di prendere imatinib</w:t>
      </w:r>
    </w:p>
    <w:p w14:paraId="6F867890" w14:textId="77777777" w:rsidR="00586369" w:rsidRPr="00496684" w:rsidRDefault="00586369" w:rsidP="00586369">
      <w:pPr>
        <w:pStyle w:val="Text"/>
        <w:widowControl w:val="0"/>
        <w:numPr>
          <w:ilvl w:val="0"/>
          <w:numId w:val="18"/>
        </w:numPr>
        <w:spacing w:before="0"/>
        <w:jc w:val="left"/>
        <w:rPr>
          <w:sz w:val="22"/>
          <w:szCs w:val="22"/>
          <w:lang w:val="it-IT"/>
        </w:rPr>
      </w:pPr>
      <w:r w:rsidRPr="00496684">
        <w:rPr>
          <w:sz w:val="22"/>
          <w:szCs w:val="22"/>
          <w:lang w:val="it-IT"/>
        </w:rPr>
        <w:t>Gonfiore per esempio intorno alle caviglie o occhi gonfi.</w:t>
      </w:r>
    </w:p>
    <w:p w14:paraId="14CC20E7" w14:textId="77777777" w:rsidR="00586369" w:rsidRPr="00496684" w:rsidRDefault="00586369" w:rsidP="00586369">
      <w:pPr>
        <w:pStyle w:val="Text"/>
        <w:widowControl w:val="0"/>
        <w:numPr>
          <w:ilvl w:val="0"/>
          <w:numId w:val="18"/>
        </w:numPr>
        <w:spacing w:before="0"/>
        <w:jc w:val="left"/>
        <w:rPr>
          <w:sz w:val="22"/>
          <w:szCs w:val="22"/>
          <w:lang w:val="it-IT"/>
        </w:rPr>
      </w:pPr>
      <w:r w:rsidRPr="00496684">
        <w:rPr>
          <w:sz w:val="22"/>
          <w:szCs w:val="22"/>
          <w:lang w:val="it-IT"/>
        </w:rPr>
        <w:t>Aumento di peso.</w:t>
      </w:r>
    </w:p>
    <w:p w14:paraId="761709AB" w14:textId="77777777" w:rsidR="00586369" w:rsidRPr="00496684" w:rsidRDefault="00586369" w:rsidP="00586369">
      <w:pPr>
        <w:pStyle w:val="Text"/>
        <w:widowControl w:val="0"/>
        <w:spacing w:before="0"/>
        <w:jc w:val="left"/>
        <w:rPr>
          <w:sz w:val="22"/>
          <w:szCs w:val="22"/>
          <w:lang w:val="it-IT"/>
        </w:rPr>
      </w:pPr>
      <w:r w:rsidRPr="00496684">
        <w:rPr>
          <w:sz w:val="22"/>
          <w:szCs w:val="22"/>
          <w:lang w:val="it-IT"/>
        </w:rPr>
        <w:t xml:space="preserve">Se uno di questi effetti si manifesta in maniera grave, </w:t>
      </w:r>
      <w:r w:rsidRPr="00496684">
        <w:rPr>
          <w:b/>
          <w:sz w:val="22"/>
          <w:szCs w:val="22"/>
          <w:lang w:val="it-IT"/>
        </w:rPr>
        <w:t>informi il medico.</w:t>
      </w:r>
    </w:p>
    <w:p w14:paraId="6CDAD776" w14:textId="77777777" w:rsidR="00586369" w:rsidRPr="00496684" w:rsidRDefault="00586369" w:rsidP="00586369">
      <w:pPr>
        <w:pStyle w:val="Text"/>
        <w:widowControl w:val="0"/>
        <w:spacing w:before="0"/>
        <w:jc w:val="left"/>
        <w:rPr>
          <w:sz w:val="22"/>
          <w:szCs w:val="22"/>
          <w:lang w:val="it-IT"/>
        </w:rPr>
      </w:pPr>
    </w:p>
    <w:p w14:paraId="2288AAE7" w14:textId="7F31A976" w:rsidR="00586369" w:rsidRPr="00496684" w:rsidRDefault="00DB03B2" w:rsidP="00586369">
      <w:pPr>
        <w:pStyle w:val="Text"/>
        <w:widowControl w:val="0"/>
        <w:spacing w:before="0"/>
        <w:jc w:val="left"/>
        <w:rPr>
          <w:b/>
          <w:bCs/>
          <w:sz w:val="22"/>
          <w:szCs w:val="22"/>
          <w:lang w:val="it-IT"/>
        </w:rPr>
      </w:pPr>
      <w:r w:rsidRPr="00496684">
        <w:rPr>
          <w:b/>
          <w:bCs/>
          <w:sz w:val="22"/>
          <w:szCs w:val="22"/>
          <w:lang w:val="it-IT"/>
        </w:rPr>
        <w:t>C</w:t>
      </w:r>
      <w:r w:rsidR="00586369" w:rsidRPr="00496684">
        <w:rPr>
          <w:b/>
          <w:bCs/>
          <w:sz w:val="22"/>
          <w:szCs w:val="22"/>
          <w:lang w:val="it-IT"/>
        </w:rPr>
        <w:t>omuni</w:t>
      </w:r>
      <w:r w:rsidR="00E265EC" w:rsidRPr="00496684">
        <w:rPr>
          <w:b/>
          <w:bCs/>
          <w:sz w:val="22"/>
          <w:szCs w:val="22"/>
          <w:lang w:val="it-IT"/>
        </w:rPr>
        <w:t xml:space="preserve"> </w:t>
      </w:r>
      <w:r w:rsidR="00E265EC" w:rsidRPr="00496684">
        <w:rPr>
          <w:b/>
          <w:sz w:val="22"/>
          <w:szCs w:val="22"/>
          <w:lang w:val="it-IT"/>
        </w:rPr>
        <w:t>(</w:t>
      </w:r>
      <w:r w:rsidR="00E265EC" w:rsidRPr="00496684">
        <w:rPr>
          <w:sz w:val="22"/>
          <w:szCs w:val="22"/>
          <w:lang w:val="it-IT"/>
        </w:rPr>
        <w:t>può interessare fino a 1 persona su 10)</w:t>
      </w:r>
      <w:r w:rsidR="00586369" w:rsidRPr="00496684">
        <w:rPr>
          <w:b/>
          <w:bCs/>
          <w:sz w:val="22"/>
          <w:szCs w:val="22"/>
          <w:lang w:val="it-IT"/>
        </w:rPr>
        <w:t>:</w:t>
      </w:r>
    </w:p>
    <w:p w14:paraId="70111C15"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Anoressia, perdita di peso o disturbi del senso del gusto.</w:t>
      </w:r>
    </w:p>
    <w:p w14:paraId="5B6F4C5C"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Sensazione di stordimento o di debolezza.</w:t>
      </w:r>
    </w:p>
    <w:p w14:paraId="57D153A4"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Disturbi del sonno (insonnia).</w:t>
      </w:r>
    </w:p>
    <w:p w14:paraId="14829BD7"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Secrezione dagli occhi con prurito, arrossamento e gonfiore (congiuntivite), aumento della lacrimazione o visione offuscata.</w:t>
      </w:r>
    </w:p>
    <w:p w14:paraId="71A131BD"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Sanguinamento del naso.</w:t>
      </w:r>
    </w:p>
    <w:p w14:paraId="4FFE0710"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Dolore o rigonfiamento addominale, flatulenza, bruciori di stomaco o stipsi.</w:t>
      </w:r>
    </w:p>
    <w:p w14:paraId="5F61BDC3"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Prurito.</w:t>
      </w:r>
    </w:p>
    <w:p w14:paraId="43B9D095"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Insolita perdita o assottigliamento dei capelli.</w:t>
      </w:r>
    </w:p>
    <w:p w14:paraId="4A83CFCD"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Torpore delle mani o dei piedi.</w:t>
      </w:r>
    </w:p>
    <w:p w14:paraId="3DC7C5FD"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Ulcerazioni della bocca.</w:t>
      </w:r>
    </w:p>
    <w:p w14:paraId="34033E92"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Dolore articolare con gonfiore.</w:t>
      </w:r>
    </w:p>
    <w:p w14:paraId="7B8441B3"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Secchezza della bocca, secchezza della pelle o secchezza degli occhi.</w:t>
      </w:r>
    </w:p>
    <w:p w14:paraId="1BD967FD"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Riduzione o aumento della sensibilità della pelle.</w:t>
      </w:r>
    </w:p>
    <w:p w14:paraId="7E772767" w14:textId="77777777" w:rsidR="00586369" w:rsidRPr="00496684" w:rsidRDefault="00586369" w:rsidP="00586369">
      <w:pPr>
        <w:pStyle w:val="Text"/>
        <w:widowControl w:val="0"/>
        <w:numPr>
          <w:ilvl w:val="0"/>
          <w:numId w:val="19"/>
        </w:numPr>
        <w:spacing w:before="0"/>
        <w:jc w:val="left"/>
        <w:rPr>
          <w:sz w:val="22"/>
          <w:szCs w:val="22"/>
          <w:lang w:val="it-IT"/>
        </w:rPr>
      </w:pPr>
      <w:r w:rsidRPr="00496684">
        <w:rPr>
          <w:sz w:val="22"/>
          <w:szCs w:val="22"/>
          <w:lang w:val="it-IT"/>
        </w:rPr>
        <w:t>Vampate di calore, brividi o sudorazione notturna.</w:t>
      </w:r>
    </w:p>
    <w:p w14:paraId="3C2F9A19" w14:textId="77777777" w:rsidR="00586369" w:rsidRPr="00496684" w:rsidRDefault="00586369" w:rsidP="00586369">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09377858" w14:textId="77777777" w:rsidR="00586369" w:rsidRPr="00496684" w:rsidRDefault="00586369" w:rsidP="00586369">
      <w:pPr>
        <w:pStyle w:val="Text"/>
        <w:widowControl w:val="0"/>
        <w:spacing w:before="0"/>
        <w:jc w:val="left"/>
        <w:rPr>
          <w:sz w:val="22"/>
          <w:szCs w:val="22"/>
          <w:lang w:val="it-IT"/>
        </w:rPr>
      </w:pPr>
    </w:p>
    <w:p w14:paraId="3010717B" w14:textId="77777777" w:rsidR="00586369" w:rsidRPr="00496684" w:rsidRDefault="00586369" w:rsidP="00586369">
      <w:pPr>
        <w:pStyle w:val="Text"/>
        <w:widowControl w:val="0"/>
        <w:spacing w:before="0"/>
        <w:jc w:val="left"/>
        <w:rPr>
          <w:sz w:val="22"/>
          <w:szCs w:val="22"/>
          <w:lang w:val="it-IT"/>
        </w:rPr>
      </w:pPr>
      <w:r w:rsidRPr="00496684">
        <w:rPr>
          <w:b/>
          <w:sz w:val="22"/>
          <w:szCs w:val="22"/>
          <w:lang w:val="it-IT"/>
        </w:rPr>
        <w:t>Non nota</w:t>
      </w:r>
      <w:r w:rsidR="00E265EC" w:rsidRPr="00496684">
        <w:rPr>
          <w:b/>
          <w:sz w:val="22"/>
          <w:szCs w:val="22"/>
          <w:lang w:val="it-IT"/>
        </w:rPr>
        <w:t xml:space="preserve"> </w:t>
      </w:r>
      <w:r w:rsidR="00E265EC" w:rsidRPr="00496684">
        <w:rPr>
          <w:sz w:val="22"/>
          <w:szCs w:val="22"/>
          <w:lang w:val="it-IT"/>
        </w:rPr>
        <w:t xml:space="preserve"> (la frequenza non può essere </w:t>
      </w:r>
      <w:r w:rsidR="00C66631" w:rsidRPr="00496684">
        <w:rPr>
          <w:sz w:val="22"/>
          <w:szCs w:val="22"/>
          <w:lang w:val="it-IT"/>
        </w:rPr>
        <w:t>definita</w:t>
      </w:r>
      <w:r w:rsidR="00E265EC" w:rsidRPr="00496684">
        <w:rPr>
          <w:sz w:val="22"/>
          <w:szCs w:val="22"/>
          <w:lang w:val="it-IT"/>
        </w:rPr>
        <w:t xml:space="preserve"> sulla base dei dati disponibili)</w:t>
      </w:r>
      <w:r w:rsidRPr="00496684">
        <w:rPr>
          <w:b/>
          <w:sz w:val="22"/>
          <w:szCs w:val="22"/>
          <w:lang w:val="it-IT"/>
        </w:rPr>
        <w:t>:</w:t>
      </w:r>
    </w:p>
    <w:p w14:paraId="01DE474A" w14:textId="77777777" w:rsidR="00586369" w:rsidRPr="00496684" w:rsidRDefault="00586369" w:rsidP="00586369">
      <w:pPr>
        <w:pStyle w:val="Text"/>
        <w:widowControl w:val="0"/>
        <w:numPr>
          <w:ilvl w:val="0"/>
          <w:numId w:val="20"/>
        </w:numPr>
        <w:spacing w:before="0"/>
        <w:jc w:val="left"/>
        <w:rPr>
          <w:sz w:val="22"/>
          <w:szCs w:val="22"/>
          <w:lang w:val="it-IT"/>
        </w:rPr>
      </w:pPr>
      <w:r w:rsidRPr="00496684">
        <w:rPr>
          <w:sz w:val="22"/>
          <w:szCs w:val="22"/>
          <w:lang w:val="it-IT"/>
        </w:rPr>
        <w:t>Arrossamento e/o gonfiore dei palmi delle mani e delle piante dei piedi che può essere accompagnato da sensazione di formicolio e bruciore doloroso.</w:t>
      </w:r>
    </w:p>
    <w:p w14:paraId="47619FEC" w14:textId="77777777" w:rsidR="00B56712" w:rsidRPr="00496684" w:rsidRDefault="00B56712" w:rsidP="00586369">
      <w:pPr>
        <w:pStyle w:val="Text"/>
        <w:widowControl w:val="0"/>
        <w:numPr>
          <w:ilvl w:val="0"/>
          <w:numId w:val="20"/>
        </w:numPr>
        <w:spacing w:before="0"/>
        <w:jc w:val="left"/>
        <w:rPr>
          <w:sz w:val="22"/>
          <w:szCs w:val="22"/>
          <w:lang w:val="it-IT"/>
        </w:rPr>
      </w:pPr>
      <w:r w:rsidRPr="00496684">
        <w:rPr>
          <w:sz w:val="22"/>
          <w:szCs w:val="22"/>
          <w:lang w:val="it-IT"/>
        </w:rPr>
        <w:t>Lesioni della cute dolorose e/o con formazione di vesciche.</w:t>
      </w:r>
    </w:p>
    <w:p w14:paraId="074109DD" w14:textId="77777777" w:rsidR="00586369" w:rsidRPr="00496684" w:rsidRDefault="00586369" w:rsidP="00586369">
      <w:pPr>
        <w:pStyle w:val="Text"/>
        <w:widowControl w:val="0"/>
        <w:numPr>
          <w:ilvl w:val="0"/>
          <w:numId w:val="20"/>
        </w:numPr>
        <w:spacing w:before="0"/>
        <w:jc w:val="left"/>
        <w:rPr>
          <w:sz w:val="22"/>
          <w:szCs w:val="22"/>
          <w:lang w:val="it-IT"/>
        </w:rPr>
      </w:pPr>
      <w:r w:rsidRPr="00496684">
        <w:rPr>
          <w:sz w:val="22"/>
          <w:szCs w:val="22"/>
          <w:lang w:val="it-IT"/>
        </w:rPr>
        <w:t>Rallentamento della crescita in bambini e adolescenti.</w:t>
      </w:r>
    </w:p>
    <w:p w14:paraId="089EDE46" w14:textId="77777777" w:rsidR="00586369" w:rsidRPr="00496684" w:rsidRDefault="00586369" w:rsidP="00586369">
      <w:pPr>
        <w:pStyle w:val="Text"/>
        <w:widowControl w:val="0"/>
        <w:spacing w:before="0"/>
        <w:jc w:val="left"/>
        <w:rPr>
          <w:b/>
          <w:sz w:val="22"/>
          <w:szCs w:val="22"/>
          <w:lang w:val="it-IT"/>
        </w:rPr>
      </w:pPr>
      <w:r w:rsidRPr="00496684">
        <w:rPr>
          <w:sz w:val="22"/>
          <w:szCs w:val="22"/>
          <w:lang w:val="it-IT"/>
        </w:rPr>
        <w:t>Se uno di questi effetti si manifesta in maniera grave,</w:t>
      </w:r>
      <w:r w:rsidRPr="00496684">
        <w:rPr>
          <w:b/>
          <w:sz w:val="22"/>
          <w:szCs w:val="22"/>
          <w:lang w:val="it-IT"/>
        </w:rPr>
        <w:t xml:space="preserve"> informi il medico.</w:t>
      </w:r>
    </w:p>
    <w:p w14:paraId="51C1D33C" w14:textId="77777777" w:rsidR="00586369" w:rsidRPr="00496684" w:rsidRDefault="00586369" w:rsidP="00586369">
      <w:pPr>
        <w:pStyle w:val="Text"/>
        <w:widowControl w:val="0"/>
        <w:spacing w:before="0"/>
        <w:jc w:val="left"/>
        <w:rPr>
          <w:sz w:val="22"/>
          <w:szCs w:val="22"/>
          <w:lang w:val="it-IT"/>
        </w:rPr>
      </w:pPr>
    </w:p>
    <w:p w14:paraId="13D17A4B" w14:textId="77777777" w:rsidR="00BB51AD" w:rsidRPr="00496684" w:rsidRDefault="00BB51AD" w:rsidP="00BB51AD">
      <w:pPr>
        <w:tabs>
          <w:tab w:val="left" w:pos="6300"/>
        </w:tabs>
        <w:spacing w:after="0" w:line="240" w:lineRule="auto"/>
        <w:ind w:right="-2"/>
        <w:rPr>
          <w:rFonts w:ascii="Times New Roman" w:eastAsia="Times New Roman" w:hAnsi="Times New Roman"/>
          <w:u w:val="single"/>
          <w:lang w:val="it-IT" w:eastAsia="it-IT"/>
        </w:rPr>
      </w:pPr>
      <w:r w:rsidRPr="00496684">
        <w:rPr>
          <w:rFonts w:ascii="Times New Roman" w:eastAsia="Times New Roman" w:hAnsi="Times New Roman"/>
          <w:u w:val="single"/>
          <w:lang w:val="it-IT" w:eastAsia="it-IT"/>
        </w:rPr>
        <w:t>Segnalazione degli effetti indesiderati</w:t>
      </w:r>
    </w:p>
    <w:p w14:paraId="664D4C63" w14:textId="77777777" w:rsidR="00BB51AD" w:rsidRPr="00496684" w:rsidRDefault="00BB51AD" w:rsidP="00BB51AD">
      <w:pPr>
        <w:tabs>
          <w:tab w:val="left" w:pos="6300"/>
        </w:tabs>
        <w:spacing w:after="0" w:line="240" w:lineRule="auto"/>
        <w:ind w:right="-2"/>
        <w:rPr>
          <w:rFonts w:ascii="Times New Roman" w:eastAsia="Times New Roman" w:hAnsi="Times New Roman"/>
          <w:lang w:val="it-IT" w:eastAsia="it-IT"/>
        </w:rPr>
      </w:pPr>
      <w:r w:rsidRPr="00496684">
        <w:rPr>
          <w:rFonts w:ascii="Times New Roman" w:eastAsia="Times New Roman" w:hAnsi="Times New Roman"/>
          <w:lang w:val="it-IT" w:eastAsia="it-IT"/>
        </w:rPr>
        <w:t xml:space="preserve">Se manifesta un qualsiasi effetto indesiderato, compresi quelli non elencati in questo foglio, si rivolga al medico, al farmacista o all’infermiere. Lei può inoltre segnalare gli effetti indesiderati direttamente tramite </w:t>
      </w:r>
      <w:r w:rsidRPr="00496684">
        <w:rPr>
          <w:rFonts w:ascii="Times New Roman" w:eastAsia="Times New Roman" w:hAnsi="Times New Roman"/>
          <w:highlight w:val="lightGray"/>
          <w:lang w:val="it-IT" w:eastAsia="it-IT"/>
        </w:rPr>
        <w:t>il sistema nazionale di segnalazione riportato nell’</w:t>
      </w:r>
      <w:hyperlink r:id="rId25" w:history="1">
        <w:r w:rsidR="00A23E54" w:rsidRPr="00496684">
          <w:rPr>
            <w:rStyle w:val="Hyperlink"/>
            <w:rFonts w:ascii="Times New Roman" w:hAnsi="Times New Roman"/>
            <w:noProof/>
            <w:highlight w:val="lightGray"/>
            <w:lang w:val="it-IT"/>
          </w:rPr>
          <w:t>Allegato V</w:t>
        </w:r>
      </w:hyperlink>
      <w:r w:rsidR="00A23E54" w:rsidRPr="00496684">
        <w:rPr>
          <w:rFonts w:ascii="Times New Roman" w:hAnsi="Times New Roman"/>
          <w:noProof/>
          <w:lang w:val="it-IT"/>
        </w:rPr>
        <w:t xml:space="preserve">. </w:t>
      </w:r>
      <w:r w:rsidR="00A23E54" w:rsidRPr="00496684">
        <w:rPr>
          <w:rFonts w:ascii="Times New Roman" w:hAnsi="Times New Roman"/>
          <w:lang w:val="it-IT"/>
        </w:rPr>
        <w:t xml:space="preserve"> </w:t>
      </w:r>
      <w:r w:rsidR="00A23E54" w:rsidRPr="00496684">
        <w:rPr>
          <w:rFonts w:ascii="Times New Roman" w:hAnsi="Times New Roman"/>
          <w:noProof/>
          <w:lang w:val="it-IT"/>
        </w:rPr>
        <w:t>Segnalando gli effetti indesiderati lei può contribuire a fornire maggiori informazioni sulla sicurezza di questo medicinale.</w:t>
      </w:r>
      <w:r w:rsidRPr="00496684">
        <w:rPr>
          <w:rFonts w:ascii="Times New Roman" w:eastAsia="Times New Roman" w:hAnsi="Times New Roman"/>
          <w:lang w:val="it-IT" w:eastAsia="it-IT"/>
        </w:rPr>
        <w:t xml:space="preserve"> </w:t>
      </w:r>
    </w:p>
    <w:p w14:paraId="3E785432" w14:textId="77777777" w:rsidR="00BB51AD" w:rsidRPr="00496684" w:rsidRDefault="00BB51AD" w:rsidP="00586369">
      <w:pPr>
        <w:autoSpaceDE w:val="0"/>
        <w:autoSpaceDN w:val="0"/>
        <w:adjustRightInd w:val="0"/>
        <w:spacing w:after="0" w:line="240" w:lineRule="auto"/>
        <w:rPr>
          <w:rFonts w:ascii="Times New Roman" w:eastAsia="Times New Roman" w:hAnsi="Times New Roman"/>
          <w:b/>
          <w:lang w:val="it-IT" w:eastAsia="it-IT"/>
        </w:rPr>
      </w:pPr>
    </w:p>
    <w:p w14:paraId="2942E106" w14:textId="77777777" w:rsidR="0020671B" w:rsidRPr="00496684" w:rsidRDefault="0020671B" w:rsidP="00586369">
      <w:pPr>
        <w:autoSpaceDE w:val="0"/>
        <w:autoSpaceDN w:val="0"/>
        <w:adjustRightInd w:val="0"/>
        <w:spacing w:after="0" w:line="240" w:lineRule="auto"/>
        <w:rPr>
          <w:rFonts w:ascii="Times New Roman" w:hAnsi="Times New Roman"/>
          <w:bCs/>
          <w:lang w:val="it-IT"/>
        </w:rPr>
      </w:pPr>
    </w:p>
    <w:p w14:paraId="05BF7B60" w14:textId="77777777" w:rsidR="00586369" w:rsidRPr="00496684" w:rsidRDefault="00586369" w:rsidP="00586369">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5.</w:t>
      </w:r>
      <w:r w:rsidRPr="00496684">
        <w:rPr>
          <w:rFonts w:ascii="Times New Roman" w:hAnsi="Times New Roman"/>
          <w:b/>
          <w:bCs/>
          <w:lang w:val="it-IT"/>
        </w:rPr>
        <w:tab/>
      </w:r>
      <w:r w:rsidRPr="00496684">
        <w:rPr>
          <w:rFonts w:ascii="Times New Roman" w:hAnsi="Times New Roman"/>
          <w:b/>
          <w:lang w:val="it-IT"/>
        </w:rPr>
        <w:t>Come conservare Imatinib Actavis</w:t>
      </w:r>
    </w:p>
    <w:p w14:paraId="1DECBD56"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1E284D35" w14:textId="77777777" w:rsidR="00586369" w:rsidRPr="00496684" w:rsidRDefault="00586369" w:rsidP="0058636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Tenere questo medicinale fuori dalla vista e dalla portata dei bambini.</w:t>
      </w:r>
    </w:p>
    <w:p w14:paraId="0B26B03E" w14:textId="77777777" w:rsidR="00586369" w:rsidRPr="00496684" w:rsidRDefault="00586369" w:rsidP="0058636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usi questo medicinale dopo la data di scadenza che è riportata sulla scatola</w:t>
      </w:r>
      <w:r w:rsidR="00B56712" w:rsidRPr="00496684">
        <w:rPr>
          <w:rFonts w:ascii="Times New Roman" w:eastAsia="Times New Roman" w:hAnsi="Times New Roman"/>
          <w:lang w:val="it-IT" w:eastAsia="it-IT"/>
        </w:rPr>
        <w:t xml:space="preserve"> </w:t>
      </w:r>
      <w:r w:rsidR="00DB03B2" w:rsidRPr="00496684">
        <w:rPr>
          <w:rFonts w:ascii="Times New Roman" w:eastAsia="Times New Roman" w:hAnsi="Times New Roman"/>
          <w:lang w:val="it-IT" w:eastAsia="it-IT"/>
        </w:rPr>
        <w:t xml:space="preserve">e sul blister </w:t>
      </w:r>
      <w:r w:rsidR="00B56712" w:rsidRPr="00496684">
        <w:rPr>
          <w:rFonts w:ascii="Times New Roman" w:eastAsia="Times New Roman" w:hAnsi="Times New Roman"/>
          <w:lang w:val="it-IT" w:eastAsia="it-IT"/>
        </w:rPr>
        <w:t>dopo Scad</w:t>
      </w:r>
      <w:r w:rsidRPr="00496684">
        <w:rPr>
          <w:rFonts w:ascii="Times New Roman" w:eastAsia="Times New Roman" w:hAnsi="Times New Roman"/>
          <w:lang w:val="it-IT" w:eastAsia="it-IT"/>
        </w:rPr>
        <w:t>. La data di scadenza si riferisce all'ultimo giorno di quel mese.</w:t>
      </w:r>
    </w:p>
    <w:p w14:paraId="6643E0A9" w14:textId="77777777" w:rsidR="00586369" w:rsidRPr="00496684" w:rsidRDefault="00586369" w:rsidP="0058636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 xml:space="preserve">Non conservare a temperatura superiore ai </w:t>
      </w:r>
      <w:smartTag w:uri="urn:schemas-microsoft-com:office:smarttags" w:element="metricconverter">
        <w:smartTagPr>
          <w:attr w:name="ProductID" w:val="30ﾰC"/>
        </w:smartTagPr>
        <w:r w:rsidRPr="00496684">
          <w:rPr>
            <w:rFonts w:ascii="Times New Roman" w:eastAsia="Times New Roman" w:hAnsi="Times New Roman"/>
            <w:lang w:val="it-IT" w:eastAsia="it-IT"/>
          </w:rPr>
          <w:t>30°C</w:t>
        </w:r>
      </w:smartTag>
      <w:r w:rsidRPr="00496684">
        <w:rPr>
          <w:rFonts w:ascii="Times New Roman" w:eastAsia="Times New Roman" w:hAnsi="Times New Roman"/>
          <w:lang w:val="it-IT" w:eastAsia="it-IT"/>
        </w:rPr>
        <w:t>.Conservare nella confezione originale per proteggere il medicinale dall’umidità.</w:t>
      </w:r>
    </w:p>
    <w:p w14:paraId="550E9EB1" w14:textId="77777777" w:rsidR="00586369" w:rsidRPr="00496684" w:rsidRDefault="00586369" w:rsidP="0058636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utilizzare se la confezione dovesse essere danneggiata o presentare segni di manomissione.</w:t>
      </w:r>
    </w:p>
    <w:p w14:paraId="2CEACA56"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46611D82" w14:textId="77777777" w:rsidR="00586369" w:rsidRPr="00496684" w:rsidRDefault="00586369" w:rsidP="00586369">
      <w:pPr>
        <w:autoSpaceDE w:val="0"/>
        <w:autoSpaceDN w:val="0"/>
        <w:adjustRightInd w:val="0"/>
        <w:spacing w:after="0" w:line="240" w:lineRule="auto"/>
        <w:rPr>
          <w:rFonts w:ascii="Times New Roman" w:eastAsia="Times New Roman" w:hAnsi="Times New Roman"/>
          <w:lang w:val="it-IT" w:eastAsia="it-IT"/>
        </w:rPr>
      </w:pPr>
      <w:r w:rsidRPr="00496684">
        <w:rPr>
          <w:rFonts w:ascii="Times New Roman" w:eastAsia="Times New Roman" w:hAnsi="Times New Roman"/>
          <w:lang w:val="it-IT" w:eastAsia="it-IT"/>
        </w:rPr>
        <w:t>Non getti alcun medicinale nell’acqua di scarico e nei rifiuti domestici. Chieda al farmacista come eliminare i medicinali che non utilizza più. Questo aiuterà a proteggere l’ambiente.</w:t>
      </w:r>
    </w:p>
    <w:p w14:paraId="16B5DD05"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59ECC5A8" w14:textId="77777777" w:rsidR="0020671B" w:rsidRPr="00496684" w:rsidRDefault="0020671B" w:rsidP="00586369">
      <w:pPr>
        <w:autoSpaceDE w:val="0"/>
        <w:autoSpaceDN w:val="0"/>
        <w:adjustRightInd w:val="0"/>
        <w:spacing w:after="0" w:line="240" w:lineRule="auto"/>
        <w:rPr>
          <w:rFonts w:ascii="Times New Roman" w:hAnsi="Times New Roman"/>
          <w:lang w:val="it-IT"/>
        </w:rPr>
      </w:pPr>
    </w:p>
    <w:p w14:paraId="6B67AAC0" w14:textId="77777777" w:rsidR="00586369" w:rsidRPr="00496684" w:rsidRDefault="00586369" w:rsidP="00586369">
      <w:pPr>
        <w:autoSpaceDE w:val="0"/>
        <w:autoSpaceDN w:val="0"/>
        <w:adjustRightInd w:val="0"/>
        <w:spacing w:after="0" w:line="240" w:lineRule="auto"/>
        <w:rPr>
          <w:rFonts w:ascii="Times New Roman" w:hAnsi="Times New Roman"/>
          <w:b/>
          <w:bCs/>
          <w:lang w:val="it-IT"/>
        </w:rPr>
      </w:pPr>
      <w:r w:rsidRPr="00496684">
        <w:rPr>
          <w:rFonts w:ascii="Times New Roman" w:hAnsi="Times New Roman"/>
          <w:b/>
          <w:bCs/>
          <w:lang w:val="it-IT"/>
        </w:rPr>
        <w:t>6.</w:t>
      </w:r>
      <w:r w:rsidRPr="00496684">
        <w:rPr>
          <w:rFonts w:ascii="Times New Roman" w:hAnsi="Times New Roman"/>
          <w:b/>
          <w:bCs/>
          <w:lang w:val="it-IT"/>
        </w:rPr>
        <w:tab/>
      </w:r>
      <w:r w:rsidRPr="00496684">
        <w:rPr>
          <w:rFonts w:ascii="Times New Roman" w:hAnsi="Times New Roman"/>
          <w:b/>
          <w:lang w:val="it-IT"/>
        </w:rPr>
        <w:t>Contenuto della confezione e altre informazioni</w:t>
      </w:r>
    </w:p>
    <w:p w14:paraId="030E7719" w14:textId="77777777" w:rsidR="00586369" w:rsidRPr="00496684" w:rsidRDefault="00586369" w:rsidP="00586369">
      <w:pPr>
        <w:autoSpaceDE w:val="0"/>
        <w:autoSpaceDN w:val="0"/>
        <w:adjustRightInd w:val="0"/>
        <w:spacing w:after="0" w:line="240" w:lineRule="auto"/>
        <w:rPr>
          <w:rFonts w:ascii="Times New Roman" w:hAnsi="Times New Roman"/>
          <w:bCs/>
          <w:lang w:val="it-IT"/>
        </w:rPr>
      </w:pPr>
    </w:p>
    <w:p w14:paraId="5CFBAA8F" w14:textId="77777777" w:rsidR="00586369" w:rsidRPr="00496684" w:rsidRDefault="00586369" w:rsidP="00586369">
      <w:pPr>
        <w:autoSpaceDE w:val="0"/>
        <w:autoSpaceDN w:val="0"/>
        <w:adjustRightInd w:val="0"/>
        <w:spacing w:after="0" w:line="240" w:lineRule="auto"/>
        <w:rPr>
          <w:rFonts w:ascii="Times New Roman" w:hAnsi="Times New Roman"/>
          <w:b/>
          <w:bCs/>
          <w:lang w:val="it-IT"/>
        </w:rPr>
      </w:pPr>
      <w:r w:rsidRPr="00496684">
        <w:rPr>
          <w:rFonts w:ascii="Times New Roman" w:hAnsi="Times New Roman"/>
          <w:b/>
          <w:lang w:val="it-IT"/>
        </w:rPr>
        <w:t>Cosa contiene</w:t>
      </w:r>
      <w:r w:rsidRPr="00496684">
        <w:rPr>
          <w:rFonts w:ascii="Times New Roman" w:hAnsi="Times New Roman"/>
          <w:b/>
          <w:bCs/>
          <w:lang w:val="it-IT"/>
        </w:rPr>
        <w:t xml:space="preserve"> Imatinib Actavis</w:t>
      </w:r>
    </w:p>
    <w:p w14:paraId="3DCB1DCC" w14:textId="77777777" w:rsidR="00586369" w:rsidRPr="00496684" w:rsidRDefault="00586369" w:rsidP="00586369">
      <w:pPr>
        <w:autoSpaceDE w:val="0"/>
        <w:autoSpaceDN w:val="0"/>
        <w:adjustRightInd w:val="0"/>
        <w:spacing w:after="0" w:line="240" w:lineRule="auto"/>
        <w:ind w:left="567" w:hanging="567"/>
        <w:rPr>
          <w:rFonts w:ascii="Times New Roman" w:hAnsi="Times New Roman"/>
          <w:highlight w:val="lightGray"/>
          <w:lang w:val="it-IT"/>
        </w:rPr>
      </w:pPr>
    </w:p>
    <w:p w14:paraId="3442F087" w14:textId="77777777" w:rsidR="00586369" w:rsidRPr="00496684" w:rsidRDefault="00586369" w:rsidP="00586369">
      <w:pPr>
        <w:widowControl w:val="0"/>
        <w:numPr>
          <w:ilvl w:val="0"/>
          <w:numId w:val="13"/>
        </w:numPr>
        <w:spacing w:after="0" w:line="240" w:lineRule="auto"/>
        <w:ind w:left="567" w:right="-2" w:hanging="567"/>
        <w:jc w:val="both"/>
        <w:rPr>
          <w:rFonts w:ascii="Times New Roman" w:hAnsi="Times New Roman"/>
          <w:lang w:val="it-IT"/>
        </w:rPr>
      </w:pPr>
      <w:r w:rsidRPr="00496684">
        <w:rPr>
          <w:rFonts w:ascii="Times New Roman" w:hAnsi="Times New Roman"/>
          <w:lang w:val="it-IT"/>
        </w:rPr>
        <w:t>Il principio attivo è imatinib (come mesilato). Ogni compressa contiene 400 mg di imatinib (come mesilato).</w:t>
      </w:r>
    </w:p>
    <w:p w14:paraId="07124795" w14:textId="09FC4044" w:rsidR="00586369" w:rsidRPr="00496684" w:rsidRDefault="00586369" w:rsidP="00586369">
      <w:pPr>
        <w:numPr>
          <w:ilvl w:val="0"/>
          <w:numId w:val="13"/>
        </w:numPr>
        <w:autoSpaceDE w:val="0"/>
        <w:autoSpaceDN w:val="0"/>
        <w:adjustRightInd w:val="0"/>
        <w:spacing w:after="0" w:line="240" w:lineRule="auto"/>
        <w:jc w:val="both"/>
        <w:rPr>
          <w:rFonts w:ascii="Times New Roman" w:hAnsi="Times New Roman"/>
          <w:lang w:val="it-IT"/>
        </w:rPr>
      </w:pPr>
      <w:r w:rsidRPr="00496684">
        <w:rPr>
          <w:rFonts w:ascii="Times New Roman" w:hAnsi="Times New Roman"/>
          <w:lang w:val="it-IT"/>
        </w:rPr>
        <w:tab/>
        <w:t xml:space="preserve">Gli altri componenti sono cellulosa microcristallina, copovidone, crospovidone, sodio stearil </w:t>
      </w:r>
      <w:r w:rsidRPr="00496684">
        <w:rPr>
          <w:rFonts w:ascii="Times New Roman" w:hAnsi="Times New Roman"/>
          <w:lang w:val="it-IT"/>
        </w:rPr>
        <w:tab/>
        <w:t xml:space="preserve">fumarato, silice (colloidale idrofobica e colloidale anidra) polivinilalcol parzialmente idrolizzato, </w:t>
      </w:r>
      <w:r w:rsidRPr="00496684">
        <w:rPr>
          <w:rFonts w:ascii="Times New Roman" w:hAnsi="Times New Roman"/>
          <w:lang w:val="it-IT"/>
        </w:rPr>
        <w:tab/>
        <w:t xml:space="preserve">talco, ferro ossido giallo (E172), titanio diossido (E171), ferro ossido rosso (E172), lecitina (soia) </w:t>
      </w:r>
      <w:r w:rsidRPr="00496684">
        <w:rPr>
          <w:rFonts w:ascii="Times New Roman" w:hAnsi="Times New Roman"/>
          <w:lang w:val="it-IT"/>
        </w:rPr>
        <w:tab/>
        <w:t>(E322), gomma xantano (E415)</w:t>
      </w:r>
    </w:p>
    <w:p w14:paraId="6350DF1E"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308C6062" w14:textId="77777777" w:rsidR="00586369" w:rsidRPr="00496684" w:rsidRDefault="00586369" w:rsidP="00586369">
      <w:pPr>
        <w:ind w:right="-2"/>
        <w:rPr>
          <w:rFonts w:ascii="Times New Roman" w:hAnsi="Times New Roman"/>
          <w:b/>
          <w:lang w:val="it-IT"/>
        </w:rPr>
      </w:pPr>
      <w:r w:rsidRPr="00496684">
        <w:rPr>
          <w:rFonts w:ascii="Times New Roman" w:hAnsi="Times New Roman"/>
          <w:b/>
          <w:lang w:val="it-IT"/>
        </w:rPr>
        <w:t>Descrizione dell’aspetto di Imatinib Actavis e contenuto della confezione</w:t>
      </w:r>
    </w:p>
    <w:p w14:paraId="145A6B51"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Compressa rivestita con film, di forma ovale, biconvessa di colore da giallo molto scuro al brunastro con l'impressione del logo dell'azienda su un lato e "37" con linea di frattura sull'altro</w:t>
      </w:r>
    </w:p>
    <w:p w14:paraId="6BD3C27D" w14:textId="77777777" w:rsidR="00586369" w:rsidRPr="00496684" w:rsidRDefault="00586369" w:rsidP="00586369">
      <w:pPr>
        <w:pStyle w:val="KeinLeerraum"/>
        <w:rPr>
          <w:rFonts w:ascii="Times New Roman" w:hAnsi="Times New Roman"/>
          <w:highlight w:val="lightGray"/>
          <w:lang w:val="it-IT"/>
        </w:rPr>
      </w:pPr>
    </w:p>
    <w:p w14:paraId="35D91ADD" w14:textId="77777777" w:rsidR="00E265EC" w:rsidRPr="00496684" w:rsidRDefault="00E265EC" w:rsidP="00586369">
      <w:pPr>
        <w:pStyle w:val="KeinLeerraum"/>
        <w:rPr>
          <w:rFonts w:ascii="Times New Roman" w:hAnsi="Times New Roman"/>
          <w:i/>
          <w:lang w:val="it-IT"/>
        </w:rPr>
      </w:pPr>
      <w:r w:rsidRPr="00496684">
        <w:rPr>
          <w:rFonts w:ascii="Times New Roman" w:hAnsi="Times New Roman"/>
          <w:i/>
          <w:lang w:val="it-IT"/>
        </w:rPr>
        <w:t xml:space="preserve">Confezioni </w:t>
      </w:r>
    </w:p>
    <w:p w14:paraId="64E86806" w14:textId="77777777" w:rsidR="00586369" w:rsidRPr="00496684" w:rsidRDefault="00E265EC" w:rsidP="00586369">
      <w:pPr>
        <w:pStyle w:val="KeinLeerraum"/>
        <w:rPr>
          <w:rFonts w:ascii="Times New Roman" w:hAnsi="Times New Roman"/>
          <w:lang w:val="it-IT"/>
        </w:rPr>
      </w:pPr>
      <w:r w:rsidRPr="00496684">
        <w:rPr>
          <w:rFonts w:ascii="Times New Roman" w:hAnsi="Times New Roman"/>
          <w:lang w:val="it-IT"/>
        </w:rPr>
        <w:t>Le compresse s</w:t>
      </w:r>
      <w:r w:rsidR="00586369" w:rsidRPr="00496684">
        <w:rPr>
          <w:rFonts w:ascii="Times New Roman" w:hAnsi="Times New Roman"/>
          <w:lang w:val="it-IT"/>
        </w:rPr>
        <w:t xml:space="preserve">ono fornite in confezioni </w:t>
      </w:r>
      <w:r w:rsidRPr="00496684">
        <w:rPr>
          <w:rFonts w:ascii="Times New Roman" w:hAnsi="Times New Roman"/>
          <w:lang w:val="it-IT"/>
        </w:rPr>
        <w:t xml:space="preserve">con blister in allumionio </w:t>
      </w:r>
      <w:r w:rsidR="00586369" w:rsidRPr="00496684">
        <w:rPr>
          <w:rFonts w:ascii="Times New Roman" w:hAnsi="Times New Roman"/>
          <w:lang w:val="it-IT"/>
        </w:rPr>
        <w:t>da 10, 30, 60 o 90 compresse rivestite con film</w:t>
      </w:r>
    </w:p>
    <w:p w14:paraId="42EBA2EB" w14:textId="77777777" w:rsidR="00586369" w:rsidRPr="00496684" w:rsidRDefault="00586369" w:rsidP="00586369">
      <w:pPr>
        <w:autoSpaceDE w:val="0"/>
        <w:autoSpaceDN w:val="0"/>
        <w:adjustRightInd w:val="0"/>
        <w:spacing w:after="0" w:line="240" w:lineRule="auto"/>
        <w:rPr>
          <w:rFonts w:ascii="Times New Roman" w:hAnsi="Times New Roman"/>
          <w:highlight w:val="yellow"/>
          <w:lang w:val="it-IT"/>
        </w:rPr>
      </w:pPr>
    </w:p>
    <w:p w14:paraId="64D5EB0F"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E' possibile che non tutte le confezioni siano commercializzate</w:t>
      </w:r>
    </w:p>
    <w:p w14:paraId="7DA7888B"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1F2E447E" w14:textId="77777777" w:rsidR="00586369" w:rsidRPr="00496684" w:rsidRDefault="00586369" w:rsidP="00586369">
      <w:pPr>
        <w:spacing w:after="0" w:line="240" w:lineRule="auto"/>
        <w:ind w:right="-2"/>
        <w:rPr>
          <w:rFonts w:ascii="Times New Roman" w:hAnsi="Times New Roman"/>
          <w:b/>
          <w:lang w:val="it-IT"/>
        </w:rPr>
      </w:pPr>
      <w:r w:rsidRPr="00496684">
        <w:rPr>
          <w:rFonts w:ascii="Times New Roman" w:hAnsi="Times New Roman"/>
          <w:b/>
          <w:lang w:val="it-IT"/>
        </w:rPr>
        <w:t>Titolare dell’autorizzazione all’immissione in commercio</w:t>
      </w:r>
    </w:p>
    <w:p w14:paraId="4D066353"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Actavis Group PTC ehf.</w:t>
      </w:r>
    </w:p>
    <w:p w14:paraId="091D40EC"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Reykjavíkurvegur 76-78,</w:t>
      </w:r>
    </w:p>
    <w:p w14:paraId="42504213"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Hafnarfjörður</w:t>
      </w:r>
    </w:p>
    <w:p w14:paraId="1C03B06A" w14:textId="77777777" w:rsidR="00586369"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Islanda</w:t>
      </w:r>
    </w:p>
    <w:p w14:paraId="5493A05B"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3E7BB8B2" w14:textId="77777777" w:rsidR="00586369" w:rsidRPr="00496684" w:rsidRDefault="00586369" w:rsidP="00586369">
      <w:pPr>
        <w:spacing w:after="0" w:line="240" w:lineRule="auto"/>
        <w:ind w:right="-2"/>
        <w:rPr>
          <w:rFonts w:ascii="Times New Roman" w:hAnsi="Times New Roman"/>
          <w:b/>
          <w:lang w:val="it-IT"/>
        </w:rPr>
      </w:pPr>
      <w:r w:rsidRPr="00496684">
        <w:rPr>
          <w:rFonts w:ascii="Times New Roman" w:hAnsi="Times New Roman"/>
          <w:b/>
          <w:lang w:val="it-IT"/>
        </w:rPr>
        <w:t>Produttore</w:t>
      </w:r>
    </w:p>
    <w:p w14:paraId="2B696540" w14:textId="77777777" w:rsidR="00586369" w:rsidRPr="00496684" w:rsidRDefault="00586369" w:rsidP="00586369">
      <w:pPr>
        <w:pStyle w:val="KeinLeerraum"/>
        <w:rPr>
          <w:rFonts w:ascii="Times New Roman" w:hAnsi="Times New Roman"/>
          <w:lang w:val="it-IT"/>
        </w:rPr>
      </w:pPr>
      <w:r w:rsidRPr="00496684">
        <w:rPr>
          <w:rFonts w:ascii="Times New Roman" w:hAnsi="Times New Roman"/>
          <w:lang w:val="it-IT"/>
        </w:rPr>
        <w:t>S.C. Sindan</w:t>
      </w:r>
      <w:r w:rsidRPr="00496684">
        <w:rPr>
          <w:rFonts w:ascii="Times New Roman" w:hAnsi="Times New Roman"/>
          <w:lang w:val="it-IT"/>
        </w:rPr>
        <w:noBreakHyphen/>
        <w:t>Pharma S.R.L.</w:t>
      </w:r>
    </w:p>
    <w:p w14:paraId="055E00E6" w14:textId="77777777" w:rsidR="00586369" w:rsidRPr="00496684" w:rsidRDefault="00586369" w:rsidP="00586369">
      <w:pPr>
        <w:pStyle w:val="KeinLeerraum"/>
        <w:rPr>
          <w:rFonts w:ascii="Times New Roman" w:hAnsi="Times New Roman"/>
          <w:lang w:val="it-IT"/>
        </w:rPr>
      </w:pPr>
      <w:r w:rsidRPr="00496684">
        <w:rPr>
          <w:rFonts w:ascii="Times New Roman" w:hAnsi="Times New Roman"/>
          <w:lang w:val="it-IT"/>
        </w:rPr>
        <w:t>11 Ion Mihalache Blvd</w:t>
      </w:r>
    </w:p>
    <w:p w14:paraId="02553753" w14:textId="77777777" w:rsidR="00586369" w:rsidRPr="00496684" w:rsidRDefault="00586369" w:rsidP="00586369">
      <w:pPr>
        <w:pStyle w:val="KeinLeerraum"/>
        <w:rPr>
          <w:rFonts w:ascii="Times New Roman" w:hAnsi="Times New Roman"/>
          <w:lang w:val="it-IT"/>
        </w:rPr>
      </w:pPr>
      <w:r w:rsidRPr="00496684">
        <w:rPr>
          <w:rFonts w:ascii="Times New Roman" w:hAnsi="Times New Roman"/>
          <w:lang w:val="it-IT"/>
        </w:rPr>
        <w:t>Bucarest</w:t>
      </w:r>
    </w:p>
    <w:p w14:paraId="1A380E5F" w14:textId="77777777" w:rsidR="00586369" w:rsidRPr="00496684" w:rsidRDefault="00586369" w:rsidP="00586369">
      <w:pPr>
        <w:pStyle w:val="KeinLeerraum"/>
        <w:rPr>
          <w:rFonts w:ascii="Times New Roman" w:hAnsi="Times New Roman"/>
          <w:lang w:val="it-IT"/>
        </w:rPr>
      </w:pPr>
      <w:r w:rsidRPr="00496684">
        <w:rPr>
          <w:rFonts w:ascii="Times New Roman" w:hAnsi="Times New Roman"/>
          <w:lang w:val="it-IT"/>
        </w:rPr>
        <w:t>Romania</w:t>
      </w:r>
    </w:p>
    <w:p w14:paraId="738C1439" w14:textId="77777777" w:rsidR="00586369" w:rsidRPr="00496684" w:rsidRDefault="00586369" w:rsidP="00586369">
      <w:pPr>
        <w:autoSpaceDE w:val="0"/>
        <w:autoSpaceDN w:val="0"/>
        <w:adjustRightInd w:val="0"/>
        <w:spacing w:after="0" w:line="240" w:lineRule="auto"/>
        <w:rPr>
          <w:rFonts w:ascii="Times New Roman" w:hAnsi="Times New Roman"/>
          <w:lang w:val="it-IT"/>
        </w:rPr>
      </w:pPr>
    </w:p>
    <w:p w14:paraId="5FF0CB03" w14:textId="77777777" w:rsidR="00A94570" w:rsidRPr="00496684" w:rsidRDefault="00586369" w:rsidP="00586369">
      <w:pPr>
        <w:autoSpaceDE w:val="0"/>
        <w:autoSpaceDN w:val="0"/>
        <w:adjustRightInd w:val="0"/>
        <w:spacing w:after="0" w:line="240" w:lineRule="auto"/>
        <w:rPr>
          <w:rFonts w:ascii="Times New Roman" w:hAnsi="Times New Roman"/>
          <w:lang w:val="it-IT"/>
        </w:rPr>
      </w:pPr>
      <w:r w:rsidRPr="00496684">
        <w:rPr>
          <w:rFonts w:ascii="Times New Roman" w:hAnsi="Times New Roman"/>
          <w:lang w:val="it-IT"/>
        </w:rPr>
        <w:t>Per ulteriori informazioni su questo medicinale, contatti il rappresentate locale del titolare dell’autorizzazione all’immissione in commercio.</w:t>
      </w:r>
    </w:p>
    <w:p w14:paraId="33A9191E" w14:textId="77777777" w:rsidR="00A94570" w:rsidRPr="00496684" w:rsidRDefault="00A94570" w:rsidP="00586369">
      <w:pPr>
        <w:autoSpaceDE w:val="0"/>
        <w:autoSpaceDN w:val="0"/>
        <w:adjustRightInd w:val="0"/>
        <w:spacing w:after="0" w:line="240" w:lineRule="auto"/>
        <w:rPr>
          <w:rFonts w:ascii="Times New Roman" w:hAnsi="Times New Roman"/>
          <w:lang w:val="it-IT"/>
        </w:rPr>
      </w:pPr>
    </w:p>
    <w:tbl>
      <w:tblPr>
        <w:tblW w:w="9356" w:type="dxa"/>
        <w:tblInd w:w="-34" w:type="dxa"/>
        <w:tblLayout w:type="fixed"/>
        <w:tblLook w:val="0000" w:firstRow="0" w:lastRow="0" w:firstColumn="0" w:lastColumn="0" w:noHBand="0" w:noVBand="0"/>
      </w:tblPr>
      <w:tblGrid>
        <w:gridCol w:w="34"/>
        <w:gridCol w:w="4644"/>
        <w:gridCol w:w="4678"/>
      </w:tblGrid>
      <w:tr w:rsidR="0080347A" w:rsidRPr="00DC08DD" w14:paraId="702B72B2" w14:textId="77777777" w:rsidTr="009C70C0">
        <w:trPr>
          <w:gridBefore w:val="1"/>
          <w:wBefore w:w="34" w:type="dxa"/>
          <w:cantSplit/>
        </w:trPr>
        <w:tc>
          <w:tcPr>
            <w:tcW w:w="4644" w:type="dxa"/>
          </w:tcPr>
          <w:p w14:paraId="7490D4DC" w14:textId="77777777" w:rsidR="0080347A" w:rsidRPr="00666899" w:rsidRDefault="0080347A" w:rsidP="009C70C0">
            <w:pPr>
              <w:pStyle w:val="KeinLeerraum"/>
              <w:rPr>
                <w:rFonts w:ascii="Times New Roman" w:hAnsi="Times New Roman"/>
                <w:lang w:val="fr-FR"/>
              </w:rPr>
            </w:pPr>
            <w:r w:rsidRPr="00666899">
              <w:rPr>
                <w:rFonts w:ascii="Times New Roman" w:hAnsi="Times New Roman"/>
                <w:b/>
                <w:lang w:val="fr-FR"/>
              </w:rPr>
              <w:t>België/Belgique/Belgien</w:t>
            </w:r>
          </w:p>
          <w:p w14:paraId="7342F2D5" w14:textId="77777777" w:rsidR="0080347A" w:rsidRPr="00666899" w:rsidRDefault="0080347A" w:rsidP="009C70C0">
            <w:pPr>
              <w:pStyle w:val="KeinLeerraum"/>
              <w:rPr>
                <w:rFonts w:ascii="Times New Roman" w:hAnsi="Times New Roman"/>
                <w:lang w:val="fr-FR"/>
              </w:rPr>
            </w:pPr>
            <w:r w:rsidRPr="00666899">
              <w:rPr>
                <w:rFonts w:ascii="Times New Roman" w:hAnsi="Times New Roman"/>
                <w:lang w:val="fr-FR"/>
              </w:rPr>
              <w:t>Actavis Group PTC ehf.</w:t>
            </w:r>
          </w:p>
          <w:p w14:paraId="6A6AB968"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IJsland/Islande/Island</w:t>
            </w:r>
          </w:p>
          <w:p w14:paraId="1B57B781"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Tél/Tel: +354 5503300</w:t>
            </w:r>
          </w:p>
          <w:p w14:paraId="0F2798D9" w14:textId="77777777" w:rsidR="0080347A" w:rsidRPr="00DC08DD" w:rsidRDefault="0080347A" w:rsidP="009C70C0">
            <w:pPr>
              <w:pStyle w:val="KeinLeerraum"/>
              <w:rPr>
                <w:rFonts w:ascii="Times New Roman" w:hAnsi="Times New Roman"/>
                <w:lang w:val="en-GB"/>
              </w:rPr>
            </w:pPr>
          </w:p>
        </w:tc>
        <w:tc>
          <w:tcPr>
            <w:tcW w:w="4678" w:type="dxa"/>
          </w:tcPr>
          <w:p w14:paraId="7D1F6D28"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Lietuva</w:t>
            </w:r>
          </w:p>
          <w:p w14:paraId="39AB9DCE" w14:textId="5FF2E6C9" w:rsidR="0080347A" w:rsidRPr="00DC08DD" w:rsidRDefault="0080347A" w:rsidP="009C70C0">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07D1AE7F"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121FFCA1" w14:textId="77777777" w:rsidR="0080347A" w:rsidRPr="00DC08DD" w:rsidRDefault="0080347A" w:rsidP="009C70C0">
            <w:pPr>
              <w:pStyle w:val="KeinLeerraum"/>
              <w:rPr>
                <w:rFonts w:ascii="Times New Roman" w:hAnsi="Times New Roman"/>
                <w:lang w:val="en-GB"/>
              </w:rPr>
            </w:pPr>
          </w:p>
        </w:tc>
      </w:tr>
      <w:tr w:rsidR="0080347A" w:rsidRPr="00DC08DD" w14:paraId="5E5207AE" w14:textId="77777777" w:rsidTr="009C70C0">
        <w:trPr>
          <w:gridBefore w:val="1"/>
          <w:wBefore w:w="34" w:type="dxa"/>
          <w:cantSplit/>
        </w:trPr>
        <w:tc>
          <w:tcPr>
            <w:tcW w:w="4644" w:type="dxa"/>
          </w:tcPr>
          <w:p w14:paraId="4DDBF812" w14:textId="77777777" w:rsidR="0080347A" w:rsidRPr="00DC08DD" w:rsidRDefault="0080347A" w:rsidP="009C70C0">
            <w:pPr>
              <w:pStyle w:val="KeinLeerraum"/>
              <w:rPr>
                <w:rFonts w:ascii="Times New Roman" w:hAnsi="Times New Roman"/>
                <w:b/>
                <w:bCs/>
                <w:lang w:val="en-GB"/>
              </w:rPr>
            </w:pPr>
            <w:r w:rsidRPr="00DC08DD">
              <w:rPr>
                <w:rFonts w:ascii="Times New Roman" w:hAnsi="Times New Roman"/>
                <w:b/>
                <w:bCs/>
                <w:lang w:val="en-GB"/>
              </w:rPr>
              <w:t>България</w:t>
            </w:r>
          </w:p>
          <w:p w14:paraId="0AC8A97A"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Актавис ЕАД</w:t>
            </w:r>
          </w:p>
          <w:p w14:paraId="4F1A661E"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42CC5A99" w14:textId="77777777" w:rsidR="0080347A" w:rsidRPr="00DC08DD" w:rsidRDefault="0080347A" w:rsidP="009C70C0">
            <w:pPr>
              <w:pStyle w:val="KeinLeerraum"/>
              <w:rPr>
                <w:rFonts w:ascii="Times New Roman" w:hAnsi="Times New Roman"/>
                <w:lang w:val="en-GB"/>
              </w:rPr>
            </w:pPr>
          </w:p>
        </w:tc>
        <w:tc>
          <w:tcPr>
            <w:tcW w:w="4678" w:type="dxa"/>
          </w:tcPr>
          <w:p w14:paraId="34BC8749" w14:textId="77777777" w:rsidR="0080347A" w:rsidRPr="00666899" w:rsidRDefault="0080347A" w:rsidP="009C70C0">
            <w:pPr>
              <w:pStyle w:val="KeinLeerraum"/>
              <w:rPr>
                <w:rFonts w:ascii="Times New Roman" w:hAnsi="Times New Roman"/>
                <w:lang w:val="en-GB"/>
              </w:rPr>
            </w:pPr>
            <w:r w:rsidRPr="00666899">
              <w:rPr>
                <w:rFonts w:ascii="Times New Roman" w:hAnsi="Times New Roman"/>
                <w:b/>
                <w:lang w:val="en-GB"/>
              </w:rPr>
              <w:t>Luxembourg/Luxemburg</w:t>
            </w:r>
          </w:p>
          <w:p w14:paraId="3F9EBDFB" w14:textId="77777777" w:rsidR="0080347A" w:rsidRPr="00666899" w:rsidRDefault="0080347A" w:rsidP="009C70C0">
            <w:pPr>
              <w:pStyle w:val="KeinLeerraum"/>
              <w:rPr>
                <w:rFonts w:ascii="Times New Roman" w:hAnsi="Times New Roman"/>
                <w:lang w:val="en-GB"/>
              </w:rPr>
            </w:pPr>
            <w:r w:rsidRPr="00666899">
              <w:rPr>
                <w:rFonts w:ascii="Times New Roman" w:hAnsi="Times New Roman"/>
                <w:lang w:val="en-GB"/>
              </w:rPr>
              <w:t>Actavis Group PTC ehf.</w:t>
            </w:r>
          </w:p>
          <w:p w14:paraId="47EB2471"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Islande/Island</w:t>
            </w:r>
          </w:p>
          <w:p w14:paraId="22E1F039" w14:textId="77777777" w:rsidR="0080347A" w:rsidRPr="001B0C82" w:rsidRDefault="0080347A" w:rsidP="009C70C0">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0C98722" w14:textId="77777777" w:rsidR="0080347A" w:rsidRPr="00DC08DD" w:rsidRDefault="0080347A" w:rsidP="009C70C0">
            <w:pPr>
              <w:pStyle w:val="KeinLeerraum"/>
              <w:rPr>
                <w:rFonts w:ascii="Times New Roman" w:hAnsi="Times New Roman"/>
                <w:lang w:val="en-GB"/>
              </w:rPr>
            </w:pPr>
          </w:p>
        </w:tc>
      </w:tr>
      <w:tr w:rsidR="0080347A" w:rsidRPr="00DC08DD" w14:paraId="358AE029" w14:textId="77777777" w:rsidTr="009C70C0">
        <w:trPr>
          <w:gridBefore w:val="1"/>
          <w:wBefore w:w="34" w:type="dxa"/>
          <w:cantSplit/>
          <w:trHeight w:val="751"/>
        </w:trPr>
        <w:tc>
          <w:tcPr>
            <w:tcW w:w="4644" w:type="dxa"/>
          </w:tcPr>
          <w:p w14:paraId="0BFD805F" w14:textId="77777777" w:rsidR="0080347A" w:rsidRPr="00666899" w:rsidRDefault="0080347A" w:rsidP="009C70C0">
            <w:pPr>
              <w:pStyle w:val="KeinLeerraum"/>
              <w:rPr>
                <w:rFonts w:ascii="Times New Roman" w:hAnsi="Times New Roman"/>
              </w:rPr>
            </w:pPr>
            <w:r w:rsidRPr="00666899">
              <w:rPr>
                <w:rFonts w:ascii="Times New Roman" w:hAnsi="Times New Roman"/>
                <w:b/>
              </w:rPr>
              <w:t>Česká republika</w:t>
            </w:r>
          </w:p>
          <w:p w14:paraId="17326E0B" w14:textId="77777777" w:rsidR="0080347A" w:rsidRPr="00DC08DD" w:rsidRDefault="0080347A" w:rsidP="009C70C0">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04B451F3"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4B8825D" w14:textId="77777777" w:rsidR="0080347A" w:rsidRPr="00DC08DD" w:rsidRDefault="0080347A" w:rsidP="009C70C0">
            <w:pPr>
              <w:pStyle w:val="KeinLeerraum"/>
              <w:rPr>
                <w:rFonts w:ascii="Times New Roman" w:hAnsi="Times New Roman"/>
                <w:lang w:val="en-GB"/>
              </w:rPr>
            </w:pPr>
          </w:p>
        </w:tc>
        <w:tc>
          <w:tcPr>
            <w:tcW w:w="4678" w:type="dxa"/>
          </w:tcPr>
          <w:p w14:paraId="056DEE46"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Magyarország</w:t>
            </w:r>
          </w:p>
          <w:p w14:paraId="655AA7A7" w14:textId="77777777" w:rsidR="0080347A" w:rsidRPr="00DC08DD" w:rsidRDefault="0080347A" w:rsidP="009C70C0">
            <w:pPr>
              <w:pStyle w:val="KeinLeerraum"/>
              <w:rPr>
                <w:rFonts w:ascii="Times New Roman" w:hAnsi="Times New Roman"/>
                <w:lang w:val="en-GB"/>
              </w:rPr>
            </w:pPr>
            <w:r w:rsidRPr="00DC08DD">
              <w:rPr>
                <w:rFonts w:ascii="Times New Roman" w:hAnsi="Times New Roman"/>
                <w:noProof/>
              </w:rPr>
              <w:t>Teva Gyógyszergyár Zrt.</w:t>
            </w:r>
          </w:p>
          <w:p w14:paraId="61DEA2A8"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351303F0" w14:textId="77777777" w:rsidR="0080347A" w:rsidRPr="00DC08DD" w:rsidRDefault="0080347A" w:rsidP="009C70C0">
            <w:pPr>
              <w:pStyle w:val="KeinLeerraum"/>
              <w:rPr>
                <w:rFonts w:ascii="Times New Roman" w:hAnsi="Times New Roman"/>
                <w:lang w:val="en-GB"/>
              </w:rPr>
            </w:pPr>
          </w:p>
        </w:tc>
      </w:tr>
      <w:tr w:rsidR="0080347A" w:rsidRPr="00DC08DD" w14:paraId="6C822D28" w14:textId="77777777" w:rsidTr="009C70C0">
        <w:trPr>
          <w:gridBefore w:val="1"/>
          <w:wBefore w:w="34" w:type="dxa"/>
          <w:cantSplit/>
        </w:trPr>
        <w:tc>
          <w:tcPr>
            <w:tcW w:w="4644" w:type="dxa"/>
          </w:tcPr>
          <w:p w14:paraId="2BC653CC"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Danmark</w:t>
            </w:r>
          </w:p>
          <w:p w14:paraId="728976D9"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Teva Denmark A/S</w:t>
            </w:r>
          </w:p>
          <w:p w14:paraId="1EA15673"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Tlf: +45 44985511</w:t>
            </w:r>
          </w:p>
          <w:p w14:paraId="2E7E37BF" w14:textId="77777777" w:rsidR="0080347A" w:rsidRPr="00DC08DD" w:rsidRDefault="0080347A" w:rsidP="009C70C0">
            <w:pPr>
              <w:pStyle w:val="KeinLeerraum"/>
              <w:rPr>
                <w:rFonts w:ascii="Times New Roman" w:hAnsi="Times New Roman"/>
                <w:lang w:val="en-GB"/>
              </w:rPr>
            </w:pPr>
          </w:p>
        </w:tc>
        <w:tc>
          <w:tcPr>
            <w:tcW w:w="4678" w:type="dxa"/>
          </w:tcPr>
          <w:p w14:paraId="3B2D562E"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Malta</w:t>
            </w:r>
          </w:p>
          <w:p w14:paraId="554FFA9A"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Ltd.</w:t>
            </w:r>
          </w:p>
          <w:p w14:paraId="784DC241"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A222F6C" w14:textId="77777777" w:rsidR="0080347A" w:rsidRPr="00DC08DD" w:rsidRDefault="0080347A" w:rsidP="009C70C0">
            <w:pPr>
              <w:pStyle w:val="KeinLeerraum"/>
              <w:rPr>
                <w:rFonts w:ascii="Times New Roman" w:hAnsi="Times New Roman"/>
                <w:lang w:val="en-GB"/>
              </w:rPr>
            </w:pPr>
          </w:p>
        </w:tc>
      </w:tr>
      <w:tr w:rsidR="0080347A" w:rsidRPr="00DC08DD" w14:paraId="01288770" w14:textId="77777777" w:rsidTr="009C70C0">
        <w:trPr>
          <w:gridBefore w:val="1"/>
          <w:wBefore w:w="34" w:type="dxa"/>
          <w:cantSplit/>
        </w:trPr>
        <w:tc>
          <w:tcPr>
            <w:tcW w:w="4644" w:type="dxa"/>
          </w:tcPr>
          <w:p w14:paraId="590B3916" w14:textId="77777777" w:rsidR="0080347A" w:rsidRPr="00666899" w:rsidRDefault="0080347A" w:rsidP="009C70C0">
            <w:pPr>
              <w:pStyle w:val="KeinLeerraum"/>
              <w:rPr>
                <w:rFonts w:ascii="Times New Roman" w:hAnsi="Times New Roman"/>
                <w:lang w:val="de-DE"/>
              </w:rPr>
            </w:pPr>
            <w:r w:rsidRPr="00666899">
              <w:rPr>
                <w:rFonts w:ascii="Times New Roman" w:hAnsi="Times New Roman"/>
                <w:b/>
                <w:lang w:val="de-DE"/>
              </w:rPr>
              <w:t>Deutschland</w:t>
            </w:r>
          </w:p>
          <w:p w14:paraId="1E99EDDE" w14:textId="77777777" w:rsidR="0080347A" w:rsidRPr="00666899" w:rsidRDefault="0080347A" w:rsidP="009C70C0">
            <w:pPr>
              <w:spacing w:after="0" w:line="240" w:lineRule="auto"/>
              <w:rPr>
                <w:rFonts w:ascii="Times New Roman" w:hAnsi="Times New Roman"/>
                <w:lang w:val="de-DE"/>
              </w:rPr>
            </w:pPr>
            <w:r w:rsidRPr="00666899">
              <w:rPr>
                <w:rFonts w:ascii="Times New Roman" w:hAnsi="Times New Roman"/>
                <w:lang w:val="de-DE"/>
              </w:rPr>
              <w:t>Actavis Group PTC ehf.</w:t>
            </w:r>
          </w:p>
          <w:p w14:paraId="12470E35" w14:textId="77777777" w:rsidR="0080347A" w:rsidRDefault="0080347A" w:rsidP="009C70C0">
            <w:pPr>
              <w:pStyle w:val="KeinLeerraum"/>
              <w:rPr>
                <w:rFonts w:ascii="Times New Roman" w:hAnsi="Times New Roman"/>
                <w:lang w:val="en-US"/>
              </w:rPr>
            </w:pPr>
            <w:r w:rsidRPr="00DC08DD">
              <w:rPr>
                <w:rFonts w:ascii="Times New Roman" w:hAnsi="Times New Roman"/>
                <w:lang w:val="en-US"/>
              </w:rPr>
              <w:t>Island</w:t>
            </w:r>
          </w:p>
          <w:p w14:paraId="4AF8AF57"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416B7D43" w14:textId="77777777" w:rsidR="0080347A" w:rsidRPr="00DC08DD" w:rsidRDefault="0080347A" w:rsidP="009C70C0">
            <w:pPr>
              <w:pStyle w:val="KeinLeerraum"/>
              <w:rPr>
                <w:rFonts w:ascii="Times New Roman" w:hAnsi="Times New Roman"/>
                <w:lang w:val="en-GB"/>
              </w:rPr>
            </w:pPr>
          </w:p>
        </w:tc>
        <w:tc>
          <w:tcPr>
            <w:tcW w:w="4678" w:type="dxa"/>
          </w:tcPr>
          <w:p w14:paraId="53B15951"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Nederland</w:t>
            </w:r>
          </w:p>
          <w:p w14:paraId="55BC5A6E" w14:textId="77777777" w:rsidR="0080347A" w:rsidRPr="00DC08DD" w:rsidRDefault="0080347A" w:rsidP="009C70C0">
            <w:pPr>
              <w:pStyle w:val="KeinLeerraum"/>
              <w:rPr>
                <w:rFonts w:ascii="Times New Roman" w:hAnsi="Times New Roman"/>
                <w:iCs/>
                <w:lang w:val="en-GB"/>
              </w:rPr>
            </w:pPr>
            <w:r w:rsidRPr="00DC08DD">
              <w:rPr>
                <w:rFonts w:ascii="Times New Roman" w:hAnsi="Times New Roman"/>
                <w:iCs/>
                <w:lang w:val="en-GB"/>
              </w:rPr>
              <w:t>Actavis Group PTC ehf.</w:t>
            </w:r>
          </w:p>
          <w:p w14:paraId="35E61E48" w14:textId="77777777" w:rsidR="0080347A" w:rsidRDefault="0080347A" w:rsidP="009C70C0">
            <w:pPr>
              <w:pStyle w:val="KeinLeerraum"/>
              <w:rPr>
                <w:rFonts w:ascii="Times New Roman" w:hAnsi="Times New Roman"/>
                <w:iCs/>
                <w:lang w:val="en-GB"/>
              </w:rPr>
            </w:pPr>
            <w:r w:rsidRPr="00DC08DD">
              <w:rPr>
                <w:rFonts w:ascii="Times New Roman" w:hAnsi="Times New Roman"/>
                <w:iCs/>
                <w:lang w:val="en-GB"/>
              </w:rPr>
              <w:t>IJsland</w:t>
            </w:r>
          </w:p>
          <w:p w14:paraId="58246E58" w14:textId="77777777" w:rsidR="0080347A" w:rsidRPr="00C5795F"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08AA1D09" w14:textId="77777777" w:rsidR="0080347A" w:rsidRPr="00DC08DD" w:rsidRDefault="0080347A" w:rsidP="009C70C0">
            <w:pPr>
              <w:pStyle w:val="KeinLeerraum"/>
              <w:rPr>
                <w:rFonts w:ascii="Times New Roman" w:hAnsi="Times New Roman"/>
                <w:lang w:val="en-GB"/>
              </w:rPr>
            </w:pPr>
          </w:p>
        </w:tc>
      </w:tr>
      <w:tr w:rsidR="0080347A" w:rsidRPr="00DC08DD" w14:paraId="50C0F580" w14:textId="77777777" w:rsidTr="009C70C0">
        <w:trPr>
          <w:gridBefore w:val="1"/>
          <w:wBefore w:w="34" w:type="dxa"/>
          <w:cantSplit/>
        </w:trPr>
        <w:tc>
          <w:tcPr>
            <w:tcW w:w="4644" w:type="dxa"/>
          </w:tcPr>
          <w:p w14:paraId="0AE08AC3" w14:textId="77777777" w:rsidR="0080347A" w:rsidRPr="00666899" w:rsidRDefault="0080347A" w:rsidP="009C70C0">
            <w:pPr>
              <w:pStyle w:val="KeinLeerraum"/>
              <w:rPr>
                <w:rFonts w:ascii="Times New Roman" w:hAnsi="Times New Roman"/>
                <w:b/>
                <w:bCs/>
                <w:lang w:val="it-IT"/>
              </w:rPr>
            </w:pPr>
            <w:r w:rsidRPr="00666899">
              <w:rPr>
                <w:rFonts w:ascii="Times New Roman" w:hAnsi="Times New Roman"/>
                <w:b/>
                <w:bCs/>
                <w:lang w:val="it-IT"/>
              </w:rPr>
              <w:t>Eesti</w:t>
            </w:r>
          </w:p>
          <w:p w14:paraId="633821B9" w14:textId="21BEEDD3" w:rsidR="0080347A" w:rsidRPr="00666899" w:rsidRDefault="0080347A" w:rsidP="009C70C0">
            <w:pPr>
              <w:pStyle w:val="KeinLeerraum"/>
              <w:rPr>
                <w:rFonts w:ascii="Times New Roman" w:hAnsi="Times New Roman"/>
                <w:lang w:val="it-IT"/>
              </w:rPr>
            </w:pPr>
            <w:r w:rsidRPr="00666899">
              <w:rPr>
                <w:rFonts w:ascii="Times New Roman" w:hAnsi="Times New Roman"/>
                <w:lang w:val="it-IT"/>
              </w:rPr>
              <w:t>UAB Teva Baltics</w:t>
            </w:r>
            <w:r w:rsidRPr="00DC08DD">
              <w:rPr>
                <w:rFonts w:ascii="Times New Roman" w:hAnsi="Times New Roman"/>
                <w:noProof/>
              </w:rPr>
              <w:t xml:space="preserve"> Eesti filiaal</w:t>
            </w:r>
          </w:p>
          <w:p w14:paraId="7B72951A"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5CEF556" w14:textId="77777777" w:rsidR="0080347A" w:rsidRPr="00DC08DD" w:rsidRDefault="0080347A" w:rsidP="009C70C0">
            <w:pPr>
              <w:pStyle w:val="KeinLeerraum"/>
              <w:rPr>
                <w:rFonts w:ascii="Times New Roman" w:hAnsi="Times New Roman"/>
                <w:lang w:val="en-GB"/>
              </w:rPr>
            </w:pPr>
          </w:p>
        </w:tc>
        <w:tc>
          <w:tcPr>
            <w:tcW w:w="4678" w:type="dxa"/>
          </w:tcPr>
          <w:p w14:paraId="1FA6DDDA"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Norge</w:t>
            </w:r>
          </w:p>
          <w:p w14:paraId="5F99C68A" w14:textId="77777777" w:rsidR="0080347A" w:rsidRPr="0056362A" w:rsidRDefault="0080347A" w:rsidP="009C70C0">
            <w:pPr>
              <w:pStyle w:val="KeinLeerraum"/>
              <w:rPr>
                <w:rFonts w:ascii="Times New Roman" w:hAnsi="Times New Roman"/>
                <w:iCs/>
                <w:lang w:val="en-US"/>
              </w:rPr>
            </w:pPr>
            <w:r w:rsidRPr="0056362A">
              <w:rPr>
                <w:rFonts w:ascii="Times New Roman" w:hAnsi="Times New Roman"/>
                <w:iCs/>
                <w:lang w:val="en-US"/>
              </w:rPr>
              <w:t>Teva Norway AS</w:t>
            </w:r>
          </w:p>
          <w:p w14:paraId="29628DE0" w14:textId="77777777" w:rsidR="0080347A" w:rsidRPr="0056362A" w:rsidRDefault="0080347A" w:rsidP="009C70C0">
            <w:pPr>
              <w:pStyle w:val="KeinLeerraum"/>
              <w:rPr>
                <w:rFonts w:ascii="Times New Roman" w:hAnsi="Times New Roman"/>
                <w:iCs/>
                <w:lang w:val="en-US"/>
              </w:rPr>
            </w:pPr>
            <w:r w:rsidRPr="0056362A">
              <w:rPr>
                <w:rFonts w:ascii="Times New Roman" w:hAnsi="Times New Roman"/>
                <w:iCs/>
                <w:lang w:val="en-US"/>
              </w:rPr>
              <w:t>Tlf: +47 66775590</w:t>
            </w:r>
          </w:p>
          <w:p w14:paraId="44E999E0" w14:textId="77777777" w:rsidR="0080347A" w:rsidRPr="00DC08DD" w:rsidRDefault="0080347A" w:rsidP="009C70C0">
            <w:pPr>
              <w:pStyle w:val="KeinLeerraum"/>
              <w:rPr>
                <w:rFonts w:ascii="Times New Roman" w:hAnsi="Times New Roman"/>
                <w:lang w:val="en-GB"/>
              </w:rPr>
            </w:pPr>
          </w:p>
        </w:tc>
      </w:tr>
      <w:tr w:rsidR="0080347A" w:rsidRPr="00DC08DD" w14:paraId="1751DF8D" w14:textId="77777777" w:rsidTr="009C70C0">
        <w:trPr>
          <w:gridBefore w:val="1"/>
          <w:wBefore w:w="34" w:type="dxa"/>
          <w:cantSplit/>
        </w:trPr>
        <w:tc>
          <w:tcPr>
            <w:tcW w:w="4644" w:type="dxa"/>
          </w:tcPr>
          <w:p w14:paraId="15970226" w14:textId="77777777" w:rsidR="0080347A" w:rsidRPr="00666899" w:rsidRDefault="0080347A" w:rsidP="009C70C0">
            <w:pPr>
              <w:pStyle w:val="KeinLeerraum"/>
              <w:rPr>
                <w:rFonts w:ascii="Times New Roman" w:hAnsi="Times New Roman"/>
              </w:rPr>
            </w:pPr>
            <w:r w:rsidRPr="00DC08DD">
              <w:rPr>
                <w:rFonts w:ascii="Times New Roman" w:hAnsi="Times New Roman"/>
                <w:b/>
                <w:lang w:val="en-GB"/>
              </w:rPr>
              <w:t>Ελλάδα</w:t>
            </w:r>
          </w:p>
          <w:p w14:paraId="5D3A2CB1" w14:textId="77777777" w:rsidR="0080347A" w:rsidRPr="00666899" w:rsidRDefault="0080347A" w:rsidP="009C70C0">
            <w:pPr>
              <w:pStyle w:val="NormalParagraphStyle"/>
              <w:spacing w:line="240" w:lineRule="auto"/>
              <w:rPr>
                <w:rFonts w:ascii="Times New Roman" w:hAnsi="Times New Roman"/>
                <w:color w:val="auto"/>
                <w:sz w:val="22"/>
                <w:szCs w:val="22"/>
                <w:lang w:val="is-IS"/>
              </w:rPr>
            </w:pPr>
            <w:r w:rsidRPr="00666899">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BD167AE" w14:textId="34B6764B" w:rsidR="0080347A" w:rsidRPr="00DC08DD" w:rsidRDefault="0080347A" w:rsidP="009C70C0">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B834ED5" w14:textId="77777777" w:rsidR="0080347A" w:rsidRPr="00666899" w:rsidRDefault="0080347A" w:rsidP="009C70C0">
            <w:pPr>
              <w:pStyle w:val="KeinLeerraum"/>
              <w:rPr>
                <w:rFonts w:ascii="Times New Roman" w:hAnsi="Times New Roman"/>
              </w:rPr>
            </w:pPr>
          </w:p>
        </w:tc>
        <w:tc>
          <w:tcPr>
            <w:tcW w:w="4678" w:type="dxa"/>
          </w:tcPr>
          <w:p w14:paraId="07742C4E" w14:textId="77777777" w:rsidR="0080347A" w:rsidRPr="0056362A" w:rsidRDefault="0080347A" w:rsidP="009C70C0">
            <w:pPr>
              <w:pStyle w:val="KeinLeerraum"/>
              <w:rPr>
                <w:rFonts w:ascii="Times New Roman" w:hAnsi="Times New Roman"/>
                <w:lang w:val="de-DE"/>
              </w:rPr>
            </w:pPr>
            <w:r w:rsidRPr="0056362A">
              <w:rPr>
                <w:rFonts w:ascii="Times New Roman" w:hAnsi="Times New Roman"/>
                <w:b/>
                <w:lang w:val="de-DE"/>
              </w:rPr>
              <w:t>Österreich</w:t>
            </w:r>
          </w:p>
          <w:p w14:paraId="0ED46788" w14:textId="77777777" w:rsidR="0080347A" w:rsidRPr="0056362A" w:rsidRDefault="0080347A" w:rsidP="009C70C0">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059492EB" w14:textId="77777777" w:rsidR="0080347A" w:rsidRPr="00DC08DD" w:rsidRDefault="0080347A" w:rsidP="009C70C0">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2FD4F1ED" w14:textId="77777777" w:rsidR="0080347A" w:rsidRPr="0056362A" w:rsidRDefault="0080347A" w:rsidP="009C70C0">
            <w:pPr>
              <w:pStyle w:val="KeinLeerraum"/>
              <w:rPr>
                <w:rFonts w:ascii="Times New Roman" w:hAnsi="Times New Roman"/>
                <w:lang w:val="de-DE"/>
              </w:rPr>
            </w:pPr>
          </w:p>
        </w:tc>
      </w:tr>
      <w:tr w:rsidR="0080347A" w:rsidRPr="00DC08DD" w14:paraId="77419E56" w14:textId="77777777" w:rsidTr="009C70C0">
        <w:trPr>
          <w:cantSplit/>
        </w:trPr>
        <w:tc>
          <w:tcPr>
            <w:tcW w:w="4678" w:type="dxa"/>
            <w:gridSpan w:val="2"/>
          </w:tcPr>
          <w:p w14:paraId="3AF9DE84" w14:textId="77777777" w:rsidR="0080347A" w:rsidRPr="00666899" w:rsidRDefault="0080347A" w:rsidP="009C70C0">
            <w:pPr>
              <w:pStyle w:val="KeinLeerraum"/>
              <w:rPr>
                <w:rFonts w:ascii="Times New Roman" w:hAnsi="Times New Roman"/>
                <w:b/>
                <w:lang w:val="es-ES"/>
              </w:rPr>
            </w:pPr>
            <w:r w:rsidRPr="00666899">
              <w:rPr>
                <w:rFonts w:ascii="Times New Roman" w:hAnsi="Times New Roman"/>
                <w:b/>
                <w:lang w:val="es-ES"/>
              </w:rPr>
              <w:t>España</w:t>
            </w:r>
          </w:p>
          <w:p w14:paraId="1EDA53EF" w14:textId="77777777" w:rsidR="0080347A" w:rsidRPr="00666899" w:rsidRDefault="0080347A" w:rsidP="009C70C0">
            <w:pPr>
              <w:pStyle w:val="KeinLeerraum"/>
              <w:rPr>
                <w:rFonts w:ascii="Times New Roman" w:hAnsi="Times New Roman"/>
                <w:iCs/>
                <w:lang w:val="es-ES"/>
              </w:rPr>
            </w:pPr>
            <w:r w:rsidRPr="00666899">
              <w:rPr>
                <w:rFonts w:ascii="Times New Roman" w:hAnsi="Times New Roman"/>
                <w:iCs/>
                <w:lang w:val="es-ES"/>
              </w:rPr>
              <w:t>Actavis Group PTC ehf.</w:t>
            </w:r>
          </w:p>
          <w:p w14:paraId="38D2B378" w14:textId="77777777" w:rsidR="0080347A" w:rsidRDefault="0080347A" w:rsidP="009C70C0">
            <w:pPr>
              <w:pStyle w:val="KeinLeerraum"/>
              <w:rPr>
                <w:rFonts w:ascii="Times New Roman" w:hAnsi="Times New Roman"/>
                <w:lang w:val="en-GB"/>
              </w:rPr>
            </w:pPr>
            <w:r w:rsidRPr="00DC08DD">
              <w:rPr>
                <w:rFonts w:ascii="Times New Roman" w:hAnsi="Times New Roman"/>
                <w:lang w:val="en-GB"/>
              </w:rPr>
              <w:t>Islandia</w:t>
            </w:r>
          </w:p>
          <w:p w14:paraId="063BCC8D" w14:textId="77777777" w:rsidR="0080347A" w:rsidRPr="00DC08DD" w:rsidRDefault="0080347A" w:rsidP="009C70C0">
            <w:pPr>
              <w:pStyle w:val="KeinLeerraum"/>
              <w:rPr>
                <w:rFonts w:ascii="Times New Roman" w:hAnsi="Times New Roman"/>
                <w:lang w:val="en-GB"/>
              </w:rPr>
            </w:pPr>
            <w:r w:rsidRPr="00B85F24">
              <w:rPr>
                <w:rFonts w:ascii="Times New Roman" w:hAnsi="Times New Roman"/>
                <w:lang w:val="en-GB"/>
              </w:rPr>
              <w:t>Tel: +354 5503300</w:t>
            </w:r>
          </w:p>
          <w:p w14:paraId="3F22FB6A" w14:textId="77777777" w:rsidR="0080347A" w:rsidRPr="00DC08DD" w:rsidRDefault="0080347A" w:rsidP="009C70C0">
            <w:pPr>
              <w:pStyle w:val="KeinLeerraum"/>
              <w:rPr>
                <w:rFonts w:ascii="Times New Roman" w:hAnsi="Times New Roman"/>
                <w:lang w:val="en-GB"/>
              </w:rPr>
            </w:pPr>
          </w:p>
        </w:tc>
        <w:tc>
          <w:tcPr>
            <w:tcW w:w="4678" w:type="dxa"/>
          </w:tcPr>
          <w:p w14:paraId="3C13E235" w14:textId="77777777" w:rsidR="0080347A" w:rsidRPr="00DC08DD" w:rsidRDefault="0080347A" w:rsidP="009C70C0">
            <w:pPr>
              <w:pStyle w:val="KeinLeerraum"/>
              <w:rPr>
                <w:rFonts w:ascii="Times New Roman" w:hAnsi="Times New Roman"/>
                <w:b/>
                <w:bCs/>
                <w:i/>
                <w:iCs/>
                <w:lang w:val="en-GB"/>
              </w:rPr>
            </w:pPr>
            <w:r w:rsidRPr="00DC08DD">
              <w:rPr>
                <w:rFonts w:ascii="Times New Roman" w:hAnsi="Times New Roman"/>
                <w:b/>
                <w:lang w:val="en-GB"/>
              </w:rPr>
              <w:t>Polska</w:t>
            </w:r>
          </w:p>
          <w:p w14:paraId="61D9D6C8" w14:textId="77777777" w:rsidR="0080347A" w:rsidRPr="00DC08DD" w:rsidRDefault="0080347A" w:rsidP="009C70C0">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7D119417" w14:textId="77777777" w:rsidR="0080347A" w:rsidRPr="00DC08DD" w:rsidRDefault="0080347A" w:rsidP="009C70C0">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266B239A" w14:textId="77777777" w:rsidR="0080347A" w:rsidRPr="00DC08DD" w:rsidRDefault="0080347A" w:rsidP="009C70C0">
            <w:pPr>
              <w:pStyle w:val="KeinLeerraum"/>
              <w:rPr>
                <w:rFonts w:ascii="Times New Roman" w:hAnsi="Times New Roman"/>
                <w:lang w:val="en-GB"/>
              </w:rPr>
            </w:pPr>
          </w:p>
        </w:tc>
      </w:tr>
      <w:tr w:rsidR="0080347A" w:rsidRPr="00DC08DD" w14:paraId="6B1B7466" w14:textId="77777777" w:rsidTr="009C70C0">
        <w:trPr>
          <w:cantSplit/>
        </w:trPr>
        <w:tc>
          <w:tcPr>
            <w:tcW w:w="4678" w:type="dxa"/>
            <w:gridSpan w:val="2"/>
          </w:tcPr>
          <w:p w14:paraId="2B644FD1" w14:textId="77777777" w:rsidR="0080347A" w:rsidRPr="00666899" w:rsidRDefault="0080347A" w:rsidP="009C70C0">
            <w:pPr>
              <w:pStyle w:val="KeinLeerraum"/>
              <w:rPr>
                <w:rFonts w:ascii="Times New Roman" w:hAnsi="Times New Roman"/>
                <w:b/>
                <w:lang w:val="fr-FR"/>
              </w:rPr>
            </w:pPr>
            <w:r w:rsidRPr="00666899">
              <w:rPr>
                <w:rFonts w:ascii="Times New Roman" w:hAnsi="Times New Roman"/>
                <w:b/>
                <w:lang w:val="fr-FR"/>
              </w:rPr>
              <w:t>France</w:t>
            </w:r>
          </w:p>
          <w:p w14:paraId="4256C118" w14:textId="77777777" w:rsidR="0080347A" w:rsidRPr="00666899" w:rsidRDefault="0080347A" w:rsidP="009C70C0">
            <w:pPr>
              <w:pStyle w:val="KeinLeerraum"/>
              <w:rPr>
                <w:rFonts w:ascii="Times New Roman" w:hAnsi="Times New Roman"/>
                <w:lang w:val="fr-FR"/>
              </w:rPr>
            </w:pPr>
            <w:r w:rsidRPr="00666899">
              <w:rPr>
                <w:rFonts w:ascii="Times New Roman" w:hAnsi="Times New Roman"/>
                <w:lang w:val="fr-FR"/>
              </w:rPr>
              <w:t>Actavis Group PTC ehf.</w:t>
            </w:r>
          </w:p>
          <w:p w14:paraId="153A8A17" w14:textId="77777777" w:rsidR="0080347A" w:rsidRDefault="0080347A" w:rsidP="009C70C0">
            <w:pPr>
              <w:pStyle w:val="KeinLeerraum"/>
              <w:rPr>
                <w:rFonts w:ascii="Times New Roman" w:hAnsi="Times New Roman"/>
                <w:lang w:val="fr-FR"/>
              </w:rPr>
            </w:pPr>
            <w:r w:rsidRPr="00DC08DD">
              <w:rPr>
                <w:rFonts w:ascii="Times New Roman" w:hAnsi="Times New Roman"/>
                <w:lang w:val="fr-FR"/>
              </w:rPr>
              <w:t>Islande</w:t>
            </w:r>
          </w:p>
          <w:p w14:paraId="01D05C11" w14:textId="77777777" w:rsidR="0080347A" w:rsidRPr="00666899" w:rsidRDefault="0080347A" w:rsidP="009C70C0">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666899">
              <w:rPr>
                <w:rFonts w:ascii="Times New Roman" w:hAnsi="Times New Roman"/>
                <w:lang w:val="fr-FR"/>
              </w:rPr>
              <w:t xml:space="preserve"> +354 5503300</w:t>
            </w:r>
          </w:p>
          <w:p w14:paraId="3168A522" w14:textId="77777777" w:rsidR="0080347A" w:rsidRPr="00666899" w:rsidRDefault="0080347A" w:rsidP="009C70C0">
            <w:pPr>
              <w:pStyle w:val="KeinLeerraum"/>
              <w:rPr>
                <w:rFonts w:ascii="Times New Roman" w:hAnsi="Times New Roman"/>
                <w:b/>
                <w:lang w:val="fr-FR"/>
              </w:rPr>
            </w:pPr>
          </w:p>
        </w:tc>
        <w:tc>
          <w:tcPr>
            <w:tcW w:w="4678" w:type="dxa"/>
          </w:tcPr>
          <w:p w14:paraId="1693E299" w14:textId="77777777" w:rsidR="0080347A" w:rsidRPr="00666899" w:rsidRDefault="0080347A" w:rsidP="009C70C0">
            <w:pPr>
              <w:pStyle w:val="KeinLeerraum"/>
              <w:rPr>
                <w:rFonts w:ascii="Times New Roman" w:hAnsi="Times New Roman"/>
                <w:b/>
                <w:lang w:val="pt-BR"/>
              </w:rPr>
            </w:pPr>
            <w:r w:rsidRPr="00666899">
              <w:rPr>
                <w:rFonts w:ascii="Times New Roman" w:hAnsi="Times New Roman"/>
                <w:b/>
                <w:lang w:val="pt-BR"/>
              </w:rPr>
              <w:t>Portugal</w:t>
            </w:r>
          </w:p>
          <w:p w14:paraId="4268B883" w14:textId="77777777" w:rsidR="0080347A" w:rsidRPr="00666899" w:rsidRDefault="0080347A" w:rsidP="009C70C0">
            <w:pPr>
              <w:pStyle w:val="KeinLeerraum"/>
              <w:rPr>
                <w:rFonts w:ascii="Times New Roman" w:hAnsi="Times New Roman"/>
                <w:iCs/>
                <w:lang w:val="pt-BR"/>
              </w:rPr>
            </w:pPr>
            <w:r w:rsidRPr="00666899">
              <w:rPr>
                <w:rFonts w:ascii="Times New Roman" w:hAnsi="Times New Roman"/>
                <w:iCs/>
                <w:lang w:val="pt-BR"/>
              </w:rPr>
              <w:t>Actavis Group PTC ehf.</w:t>
            </w:r>
          </w:p>
          <w:p w14:paraId="467B4485" w14:textId="77777777" w:rsidR="0080347A" w:rsidRDefault="0080347A" w:rsidP="009C70C0">
            <w:pPr>
              <w:pStyle w:val="KeinLeerraum"/>
              <w:rPr>
                <w:rFonts w:ascii="Times New Roman" w:hAnsi="Times New Roman"/>
                <w:lang w:val="es-ES"/>
              </w:rPr>
            </w:pPr>
            <w:r w:rsidRPr="00DC08DD">
              <w:rPr>
                <w:rFonts w:ascii="Times New Roman" w:hAnsi="Times New Roman"/>
                <w:lang w:val="es-ES"/>
              </w:rPr>
              <w:t>Islândia</w:t>
            </w:r>
          </w:p>
          <w:p w14:paraId="02006E5F" w14:textId="77777777" w:rsidR="0080347A" w:rsidRPr="001B0C82" w:rsidRDefault="0080347A" w:rsidP="009C70C0">
            <w:pPr>
              <w:pStyle w:val="KeinLeerraum"/>
              <w:rPr>
                <w:rFonts w:ascii="Times New Roman" w:hAnsi="Times New Roman"/>
                <w:lang w:val="en-GB"/>
              </w:rPr>
            </w:pPr>
            <w:r w:rsidRPr="00B85F24">
              <w:rPr>
                <w:rFonts w:ascii="Times New Roman" w:hAnsi="Times New Roman"/>
                <w:noProof/>
              </w:rPr>
              <w:t>Tel: +354 5503300</w:t>
            </w:r>
          </w:p>
          <w:p w14:paraId="6596F3FF" w14:textId="77777777" w:rsidR="0080347A" w:rsidRPr="00DC08DD" w:rsidRDefault="0080347A" w:rsidP="009C70C0">
            <w:pPr>
              <w:pStyle w:val="KeinLeerraum"/>
              <w:rPr>
                <w:rFonts w:ascii="Times New Roman" w:hAnsi="Times New Roman"/>
                <w:lang w:val="en-GB"/>
              </w:rPr>
            </w:pPr>
          </w:p>
        </w:tc>
      </w:tr>
      <w:tr w:rsidR="0080347A" w:rsidRPr="00DC08DD" w14:paraId="52080B9C" w14:textId="77777777" w:rsidTr="009C70C0">
        <w:trPr>
          <w:cantSplit/>
        </w:trPr>
        <w:tc>
          <w:tcPr>
            <w:tcW w:w="4678" w:type="dxa"/>
            <w:gridSpan w:val="2"/>
          </w:tcPr>
          <w:p w14:paraId="174D5A14" w14:textId="77777777" w:rsidR="0080347A" w:rsidRPr="00666899" w:rsidRDefault="0080347A" w:rsidP="009C70C0">
            <w:pPr>
              <w:tabs>
                <w:tab w:val="left" w:pos="-720"/>
                <w:tab w:val="left" w:pos="4536"/>
              </w:tabs>
              <w:suppressAutoHyphens/>
              <w:spacing w:after="0" w:line="240" w:lineRule="auto"/>
              <w:ind w:right="567"/>
              <w:rPr>
                <w:rFonts w:ascii="Times New Roman" w:hAnsi="Times New Roman"/>
                <w:b/>
                <w:noProof/>
                <w:lang w:val="sv-SE"/>
              </w:rPr>
            </w:pPr>
            <w:r w:rsidRPr="0056362A">
              <w:rPr>
                <w:rFonts w:ascii="Times New Roman" w:hAnsi="Times New Roman"/>
              </w:rPr>
              <w:br w:type="page"/>
            </w:r>
            <w:r w:rsidRPr="00666899">
              <w:rPr>
                <w:rFonts w:ascii="Times New Roman" w:hAnsi="Times New Roman"/>
                <w:b/>
                <w:noProof/>
                <w:lang w:val="sv-SE"/>
              </w:rPr>
              <w:t>Hrvatska</w:t>
            </w:r>
          </w:p>
          <w:p w14:paraId="0D856FD6" w14:textId="77777777" w:rsidR="0080347A" w:rsidRPr="00DC08DD" w:rsidRDefault="0080347A" w:rsidP="009C70C0">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53200B8E" w14:textId="77777777" w:rsidR="0080347A" w:rsidRPr="00DC08DD" w:rsidRDefault="0080347A" w:rsidP="009C70C0">
            <w:pPr>
              <w:pStyle w:val="KeinLeerraum"/>
              <w:rPr>
                <w:rFonts w:ascii="Times New Roman" w:hAnsi="Times New Roman"/>
              </w:rPr>
            </w:pPr>
            <w:r w:rsidRPr="00DC08DD">
              <w:rPr>
                <w:rFonts w:ascii="Times New Roman" w:hAnsi="Times New Roman"/>
              </w:rPr>
              <w:t>Tel: +385 13720000</w:t>
            </w:r>
          </w:p>
          <w:p w14:paraId="0F6823E0" w14:textId="77777777" w:rsidR="0080347A" w:rsidRPr="00DC08DD" w:rsidRDefault="0080347A" w:rsidP="009C70C0">
            <w:pPr>
              <w:pStyle w:val="KeinLeerraum"/>
              <w:rPr>
                <w:rFonts w:ascii="Times New Roman" w:hAnsi="Times New Roman"/>
                <w:lang w:val="en-GB"/>
              </w:rPr>
            </w:pPr>
          </w:p>
        </w:tc>
        <w:tc>
          <w:tcPr>
            <w:tcW w:w="4678" w:type="dxa"/>
          </w:tcPr>
          <w:p w14:paraId="29350152"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România</w:t>
            </w:r>
          </w:p>
          <w:p w14:paraId="7180826C" w14:textId="77777777" w:rsidR="0080347A" w:rsidRPr="00DC08DD" w:rsidRDefault="0080347A" w:rsidP="009C70C0">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6A186F0E"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66955A9" w14:textId="77777777" w:rsidR="0080347A" w:rsidRPr="00DC08DD" w:rsidRDefault="0080347A" w:rsidP="009C70C0">
            <w:pPr>
              <w:pStyle w:val="KeinLeerraum"/>
              <w:rPr>
                <w:rFonts w:ascii="Times New Roman" w:hAnsi="Times New Roman"/>
                <w:lang w:val="en-GB"/>
              </w:rPr>
            </w:pPr>
          </w:p>
        </w:tc>
      </w:tr>
      <w:tr w:rsidR="0080347A" w:rsidRPr="00DC08DD" w14:paraId="46544389" w14:textId="77777777" w:rsidTr="009C70C0">
        <w:trPr>
          <w:cantSplit/>
        </w:trPr>
        <w:tc>
          <w:tcPr>
            <w:tcW w:w="4678" w:type="dxa"/>
            <w:gridSpan w:val="2"/>
          </w:tcPr>
          <w:p w14:paraId="19B249FF" w14:textId="77777777" w:rsidR="0080347A" w:rsidRPr="00DC08DD" w:rsidRDefault="0080347A" w:rsidP="009C70C0">
            <w:pPr>
              <w:pStyle w:val="KeinLeerraum"/>
              <w:rPr>
                <w:rFonts w:ascii="Times New Roman" w:hAnsi="Times New Roman"/>
                <w:lang w:val="en-GB"/>
              </w:rPr>
            </w:pPr>
            <w:r w:rsidRPr="00DC08DD">
              <w:rPr>
                <w:rFonts w:ascii="Times New Roman" w:hAnsi="Times New Roman"/>
                <w:b/>
                <w:lang w:val="en-GB"/>
              </w:rPr>
              <w:t>Ireland</w:t>
            </w:r>
          </w:p>
          <w:p w14:paraId="67CD8BCF" w14:textId="77777777" w:rsidR="0080347A" w:rsidRPr="009A42FE" w:rsidRDefault="0080347A" w:rsidP="009C70C0">
            <w:pPr>
              <w:pStyle w:val="KeinLeerraum"/>
              <w:rPr>
                <w:rFonts w:ascii="Times New Roman" w:hAnsi="Times New Roman"/>
                <w:lang w:val="en-GB"/>
              </w:rPr>
            </w:pPr>
            <w:r w:rsidRPr="009A42FE">
              <w:rPr>
                <w:rFonts w:ascii="Times New Roman" w:hAnsi="Times New Roman"/>
                <w:lang w:val="en-GB"/>
              </w:rPr>
              <w:t>Teva Pharmaceuticals Ireland</w:t>
            </w:r>
          </w:p>
          <w:p w14:paraId="53796BAD" w14:textId="27C0A87F" w:rsidR="0080347A" w:rsidRDefault="0080347A" w:rsidP="009C70C0">
            <w:pPr>
              <w:pStyle w:val="KeinLeerraum"/>
              <w:rPr>
                <w:rFonts w:ascii="Times New Roman" w:hAnsi="Times New Roman"/>
                <w:lang w:val="en-GB"/>
              </w:rPr>
            </w:pPr>
            <w:r>
              <w:rPr>
                <w:rFonts w:ascii="Times New Roman" w:hAnsi="Times New Roman"/>
                <w:lang w:val="en-GB"/>
              </w:rPr>
              <w:t>Tel: +353 19127700</w:t>
            </w:r>
          </w:p>
          <w:p w14:paraId="74249FC4" w14:textId="77777777" w:rsidR="0080347A" w:rsidRPr="00DC08DD" w:rsidRDefault="0080347A" w:rsidP="009C70C0">
            <w:pPr>
              <w:pStyle w:val="KeinLeerraum"/>
              <w:rPr>
                <w:rFonts w:ascii="Times New Roman" w:hAnsi="Times New Roman"/>
                <w:lang w:val="en-GB"/>
              </w:rPr>
            </w:pPr>
          </w:p>
        </w:tc>
        <w:tc>
          <w:tcPr>
            <w:tcW w:w="4678" w:type="dxa"/>
          </w:tcPr>
          <w:p w14:paraId="3C120CD4"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Slovenija</w:t>
            </w:r>
          </w:p>
          <w:p w14:paraId="1B82E6C7"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Pliva Ljubljana d.o.o.</w:t>
            </w:r>
          </w:p>
          <w:p w14:paraId="07DC17E5"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+386 15890390</w:t>
            </w:r>
          </w:p>
          <w:p w14:paraId="218D5721" w14:textId="77777777" w:rsidR="0080347A" w:rsidRPr="00DC08DD" w:rsidRDefault="0080347A" w:rsidP="009C70C0">
            <w:pPr>
              <w:pStyle w:val="KeinLeerraum"/>
              <w:rPr>
                <w:rFonts w:ascii="Times New Roman" w:hAnsi="Times New Roman"/>
                <w:b/>
                <w:lang w:val="en-GB"/>
              </w:rPr>
            </w:pPr>
          </w:p>
        </w:tc>
      </w:tr>
      <w:tr w:rsidR="0080347A" w:rsidRPr="00DC08DD" w14:paraId="58ABF05E" w14:textId="77777777" w:rsidTr="009C70C0">
        <w:trPr>
          <w:cantSplit/>
        </w:trPr>
        <w:tc>
          <w:tcPr>
            <w:tcW w:w="4678" w:type="dxa"/>
            <w:gridSpan w:val="2"/>
          </w:tcPr>
          <w:p w14:paraId="29AFC19A"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Ísland</w:t>
            </w:r>
          </w:p>
          <w:p w14:paraId="56A2FAD3"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Group PTC ehf.</w:t>
            </w:r>
          </w:p>
          <w:p w14:paraId="457D4E3D"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Sími: +354 5503300</w:t>
            </w:r>
          </w:p>
          <w:p w14:paraId="732F4EFA" w14:textId="77777777" w:rsidR="0080347A" w:rsidRPr="00DC08DD" w:rsidRDefault="0080347A" w:rsidP="009C70C0">
            <w:pPr>
              <w:pStyle w:val="KeinLeerraum"/>
              <w:rPr>
                <w:rFonts w:ascii="Times New Roman" w:hAnsi="Times New Roman"/>
                <w:b/>
                <w:lang w:val="en-GB"/>
              </w:rPr>
            </w:pPr>
          </w:p>
        </w:tc>
        <w:tc>
          <w:tcPr>
            <w:tcW w:w="4678" w:type="dxa"/>
          </w:tcPr>
          <w:p w14:paraId="78F5BE55"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Slovenská republika</w:t>
            </w:r>
          </w:p>
          <w:p w14:paraId="0693CA47" w14:textId="77777777" w:rsidR="0080347A" w:rsidRPr="00DC08DD" w:rsidRDefault="0080347A" w:rsidP="009C70C0">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6EC3C1F5"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6F4CEBC" w14:textId="77777777" w:rsidR="0080347A" w:rsidRPr="00DC08DD" w:rsidRDefault="0080347A" w:rsidP="009C70C0">
            <w:pPr>
              <w:pStyle w:val="KeinLeerraum"/>
              <w:rPr>
                <w:rFonts w:ascii="Times New Roman" w:hAnsi="Times New Roman"/>
                <w:lang w:val="en-GB"/>
              </w:rPr>
            </w:pPr>
          </w:p>
        </w:tc>
      </w:tr>
      <w:tr w:rsidR="0080347A" w:rsidRPr="00DC08DD" w14:paraId="6F05BBA2" w14:textId="77777777" w:rsidTr="009C70C0">
        <w:trPr>
          <w:cantSplit/>
        </w:trPr>
        <w:tc>
          <w:tcPr>
            <w:tcW w:w="4678" w:type="dxa"/>
            <w:gridSpan w:val="2"/>
          </w:tcPr>
          <w:p w14:paraId="57311978" w14:textId="77777777" w:rsidR="0080347A" w:rsidRPr="00666899" w:rsidRDefault="0080347A" w:rsidP="009C70C0">
            <w:pPr>
              <w:pStyle w:val="KeinLeerraum"/>
              <w:rPr>
                <w:rFonts w:ascii="Times New Roman" w:hAnsi="Times New Roman"/>
                <w:lang w:val="pt-BR"/>
              </w:rPr>
            </w:pPr>
            <w:r w:rsidRPr="00666899">
              <w:rPr>
                <w:rFonts w:ascii="Times New Roman" w:hAnsi="Times New Roman"/>
                <w:b/>
                <w:lang w:val="pt-BR"/>
              </w:rPr>
              <w:t>Italia</w:t>
            </w:r>
          </w:p>
          <w:p w14:paraId="11AAE9D6" w14:textId="77777777" w:rsidR="0080347A" w:rsidRPr="00666899" w:rsidRDefault="0080347A" w:rsidP="009C70C0">
            <w:pPr>
              <w:pStyle w:val="KeinLeerraum"/>
              <w:rPr>
                <w:rFonts w:ascii="Times New Roman" w:hAnsi="Times New Roman"/>
                <w:lang w:val="pt-BR"/>
              </w:rPr>
            </w:pPr>
            <w:r w:rsidRPr="00666899">
              <w:rPr>
                <w:rFonts w:ascii="Times New Roman" w:hAnsi="Times New Roman"/>
                <w:lang w:val="pt-BR"/>
              </w:rPr>
              <w:t>Actavis Group PTC ehf.</w:t>
            </w:r>
          </w:p>
          <w:p w14:paraId="64D97707" w14:textId="77777777" w:rsidR="0080347A" w:rsidRPr="00666899" w:rsidRDefault="0080347A" w:rsidP="009C70C0">
            <w:pPr>
              <w:pStyle w:val="KeinLeerraum"/>
              <w:rPr>
                <w:rFonts w:ascii="Times New Roman" w:hAnsi="Times New Roman"/>
                <w:lang w:val="pt-BR"/>
              </w:rPr>
            </w:pPr>
            <w:r w:rsidRPr="00666899">
              <w:rPr>
                <w:rFonts w:ascii="Times New Roman" w:hAnsi="Times New Roman"/>
                <w:lang w:val="pt-BR"/>
              </w:rPr>
              <w:t>Islanda</w:t>
            </w:r>
          </w:p>
          <w:p w14:paraId="05B841E8" w14:textId="77777777" w:rsidR="0080347A" w:rsidRPr="00666899" w:rsidRDefault="0080347A" w:rsidP="009C70C0">
            <w:pPr>
              <w:pStyle w:val="KeinLeerraum"/>
              <w:rPr>
                <w:rFonts w:ascii="Times New Roman" w:hAnsi="Times New Roman"/>
                <w:lang w:val="pt-BR"/>
              </w:rPr>
            </w:pPr>
            <w:r w:rsidRPr="00B85F24">
              <w:rPr>
                <w:rFonts w:ascii="Times New Roman" w:hAnsi="Times New Roman"/>
                <w:noProof/>
              </w:rPr>
              <w:t>Tel: +354 5503300</w:t>
            </w:r>
          </w:p>
          <w:p w14:paraId="08C50626" w14:textId="77777777" w:rsidR="0080347A" w:rsidRPr="00666899" w:rsidRDefault="0080347A" w:rsidP="009C70C0">
            <w:pPr>
              <w:pStyle w:val="KeinLeerraum"/>
              <w:rPr>
                <w:rFonts w:ascii="Times New Roman" w:hAnsi="Times New Roman"/>
                <w:b/>
                <w:lang w:val="pt-BR"/>
              </w:rPr>
            </w:pPr>
          </w:p>
        </w:tc>
        <w:tc>
          <w:tcPr>
            <w:tcW w:w="4678" w:type="dxa"/>
          </w:tcPr>
          <w:p w14:paraId="0989A15F" w14:textId="77777777" w:rsidR="0080347A" w:rsidRPr="00666899" w:rsidRDefault="0080347A" w:rsidP="009C70C0">
            <w:pPr>
              <w:pStyle w:val="KeinLeerraum"/>
              <w:rPr>
                <w:rFonts w:ascii="Times New Roman" w:hAnsi="Times New Roman"/>
                <w:lang w:val="sv-SE"/>
              </w:rPr>
            </w:pPr>
            <w:r w:rsidRPr="00666899">
              <w:rPr>
                <w:rFonts w:ascii="Times New Roman" w:hAnsi="Times New Roman"/>
                <w:b/>
                <w:lang w:val="sv-SE"/>
              </w:rPr>
              <w:t>Suomi/Finland</w:t>
            </w:r>
          </w:p>
          <w:p w14:paraId="00006A85" w14:textId="250CC975" w:rsidR="0080347A" w:rsidRPr="00666899" w:rsidRDefault="0080347A" w:rsidP="009C70C0">
            <w:pPr>
              <w:pStyle w:val="KeinLeerraum"/>
              <w:rPr>
                <w:rFonts w:ascii="Times New Roman" w:hAnsi="Times New Roman"/>
                <w:lang w:val="sv-SE"/>
              </w:rPr>
            </w:pPr>
            <w:r w:rsidRPr="00666899">
              <w:rPr>
                <w:rFonts w:ascii="Times New Roman" w:hAnsi="Times New Roman"/>
                <w:lang w:val="sv-SE"/>
              </w:rPr>
              <w:t>Teva Finland Oy</w:t>
            </w:r>
          </w:p>
          <w:p w14:paraId="2B031BDA" w14:textId="77777777" w:rsidR="0080347A" w:rsidRPr="00666899" w:rsidRDefault="0080347A" w:rsidP="009C70C0">
            <w:pPr>
              <w:pStyle w:val="KeinLeerraum"/>
              <w:rPr>
                <w:rFonts w:ascii="Times New Roman" w:hAnsi="Times New Roman"/>
                <w:lang w:val="sv-SE"/>
              </w:rPr>
            </w:pPr>
            <w:r w:rsidRPr="00666899">
              <w:rPr>
                <w:rFonts w:ascii="Times New Roman" w:hAnsi="Times New Roman"/>
                <w:lang w:val="sv-SE"/>
              </w:rPr>
              <w:t>Puh/Tel: +358 201805900</w:t>
            </w:r>
          </w:p>
          <w:p w14:paraId="31504221" w14:textId="77777777" w:rsidR="0080347A" w:rsidRPr="00666899" w:rsidRDefault="0080347A" w:rsidP="009C70C0">
            <w:pPr>
              <w:pStyle w:val="KeinLeerraum"/>
              <w:rPr>
                <w:rFonts w:ascii="Times New Roman" w:hAnsi="Times New Roman"/>
                <w:b/>
                <w:lang w:val="sv-SE"/>
              </w:rPr>
            </w:pPr>
          </w:p>
        </w:tc>
      </w:tr>
      <w:tr w:rsidR="0080347A" w:rsidRPr="00DC08DD" w14:paraId="0F6261F5" w14:textId="77777777" w:rsidTr="009C70C0">
        <w:trPr>
          <w:cantSplit/>
        </w:trPr>
        <w:tc>
          <w:tcPr>
            <w:tcW w:w="4678" w:type="dxa"/>
            <w:gridSpan w:val="2"/>
          </w:tcPr>
          <w:p w14:paraId="49FC3947" w14:textId="77777777" w:rsidR="0080347A" w:rsidRPr="00F81B0C" w:rsidRDefault="0080347A" w:rsidP="009C70C0">
            <w:pPr>
              <w:pStyle w:val="KeinLeerraum"/>
              <w:rPr>
                <w:rFonts w:ascii="Times New Roman" w:hAnsi="Times New Roman"/>
                <w:b/>
              </w:rPr>
            </w:pPr>
            <w:r w:rsidRPr="00DC08DD">
              <w:rPr>
                <w:rFonts w:ascii="Times New Roman" w:hAnsi="Times New Roman"/>
                <w:b/>
                <w:lang w:val="en-GB"/>
              </w:rPr>
              <w:t>Κύπρος</w:t>
            </w:r>
          </w:p>
          <w:p w14:paraId="6C2E2332" w14:textId="77777777" w:rsidR="0080347A" w:rsidRPr="00F81B0C" w:rsidRDefault="0080347A" w:rsidP="009C70C0">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41091D2A" w14:textId="77777777" w:rsidR="0080347A" w:rsidRPr="00F81B0C" w:rsidRDefault="0080347A" w:rsidP="009C70C0">
            <w:pPr>
              <w:pStyle w:val="KeinLeerraum"/>
              <w:rPr>
                <w:rFonts w:ascii="Times New Roman" w:hAnsi="Times New Roman"/>
              </w:rPr>
            </w:pPr>
            <w:r w:rsidRPr="00DC08DD">
              <w:rPr>
                <w:rFonts w:ascii="Times New Roman" w:hAnsi="Times New Roman"/>
                <w:lang w:val="el-GR"/>
              </w:rPr>
              <w:t>Ελλάδα</w:t>
            </w:r>
          </w:p>
          <w:p w14:paraId="15B0B298" w14:textId="7699659E" w:rsidR="0080347A" w:rsidRPr="00F81B0C" w:rsidRDefault="0080347A" w:rsidP="009C70C0">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36C03EFF" w14:textId="77777777" w:rsidR="0080347A" w:rsidRPr="00F81B0C" w:rsidRDefault="0080347A" w:rsidP="009C70C0">
            <w:pPr>
              <w:pStyle w:val="KeinLeerraum"/>
              <w:rPr>
                <w:rFonts w:ascii="Times New Roman" w:hAnsi="Times New Roman"/>
              </w:rPr>
            </w:pPr>
          </w:p>
        </w:tc>
        <w:tc>
          <w:tcPr>
            <w:tcW w:w="4678" w:type="dxa"/>
          </w:tcPr>
          <w:p w14:paraId="083D84F2" w14:textId="77777777" w:rsidR="0080347A" w:rsidRPr="0056362A" w:rsidRDefault="0080347A" w:rsidP="009C70C0">
            <w:pPr>
              <w:pStyle w:val="KeinLeerraum"/>
              <w:rPr>
                <w:rFonts w:ascii="Times New Roman" w:hAnsi="Times New Roman"/>
                <w:b/>
                <w:lang w:val="de-DE"/>
              </w:rPr>
            </w:pPr>
            <w:r w:rsidRPr="0056362A">
              <w:rPr>
                <w:rFonts w:ascii="Times New Roman" w:hAnsi="Times New Roman"/>
                <w:b/>
                <w:lang w:val="de-DE"/>
              </w:rPr>
              <w:t>Sverige</w:t>
            </w:r>
          </w:p>
          <w:p w14:paraId="3B21F641" w14:textId="77777777" w:rsidR="0080347A" w:rsidRPr="0056362A" w:rsidRDefault="0080347A" w:rsidP="009C70C0">
            <w:pPr>
              <w:pStyle w:val="KeinLeerraum"/>
              <w:rPr>
                <w:rFonts w:ascii="Times New Roman" w:hAnsi="Times New Roman"/>
                <w:lang w:val="de-DE"/>
              </w:rPr>
            </w:pPr>
            <w:r w:rsidRPr="0056362A">
              <w:rPr>
                <w:rFonts w:ascii="Times New Roman" w:hAnsi="Times New Roman"/>
                <w:lang w:val="de-DE"/>
              </w:rPr>
              <w:t>Teva Sweden AB</w:t>
            </w:r>
          </w:p>
          <w:p w14:paraId="20F0FA40" w14:textId="77777777" w:rsidR="0080347A" w:rsidRPr="0056362A" w:rsidRDefault="0080347A" w:rsidP="009C70C0">
            <w:pPr>
              <w:pStyle w:val="KeinLeerraum"/>
              <w:rPr>
                <w:rFonts w:ascii="Times New Roman" w:hAnsi="Times New Roman"/>
                <w:lang w:val="de-DE"/>
              </w:rPr>
            </w:pPr>
            <w:r w:rsidRPr="0056362A">
              <w:rPr>
                <w:rFonts w:ascii="Times New Roman" w:hAnsi="Times New Roman"/>
                <w:lang w:val="de-DE"/>
              </w:rPr>
              <w:t>Tel: +46 42121100</w:t>
            </w:r>
          </w:p>
          <w:p w14:paraId="57BD2C89" w14:textId="77777777" w:rsidR="0080347A" w:rsidRPr="0056362A" w:rsidRDefault="0080347A" w:rsidP="009C70C0">
            <w:pPr>
              <w:pStyle w:val="KeinLeerraum"/>
              <w:rPr>
                <w:rFonts w:ascii="Times New Roman" w:hAnsi="Times New Roman"/>
                <w:lang w:val="de-DE"/>
              </w:rPr>
            </w:pPr>
          </w:p>
        </w:tc>
      </w:tr>
      <w:tr w:rsidR="0080347A" w:rsidRPr="00DC08DD" w14:paraId="1D84472F" w14:textId="77777777" w:rsidTr="009C70C0">
        <w:trPr>
          <w:cantSplit/>
        </w:trPr>
        <w:tc>
          <w:tcPr>
            <w:tcW w:w="4678" w:type="dxa"/>
            <w:gridSpan w:val="2"/>
          </w:tcPr>
          <w:p w14:paraId="4C54B3D8" w14:textId="77777777" w:rsidR="0080347A" w:rsidRPr="00666899" w:rsidRDefault="0080347A" w:rsidP="009C70C0">
            <w:pPr>
              <w:pStyle w:val="KeinLeerraum"/>
              <w:rPr>
                <w:rFonts w:ascii="Times New Roman" w:hAnsi="Times New Roman"/>
                <w:b/>
                <w:bCs/>
                <w:lang w:eastAsia="en-GB"/>
              </w:rPr>
            </w:pPr>
            <w:r w:rsidRPr="00666899">
              <w:rPr>
                <w:rFonts w:ascii="Times New Roman" w:hAnsi="Times New Roman"/>
                <w:b/>
                <w:bCs/>
                <w:lang w:eastAsia="en-GB"/>
              </w:rPr>
              <w:t>Latvija</w:t>
            </w:r>
          </w:p>
          <w:p w14:paraId="68843604" w14:textId="75DC4F9D" w:rsidR="0080347A" w:rsidRPr="00666899" w:rsidRDefault="0080347A" w:rsidP="009C70C0">
            <w:pPr>
              <w:spacing w:after="0" w:line="240" w:lineRule="auto"/>
              <w:rPr>
                <w:rFonts w:ascii="Times New Roman" w:hAnsi="Times New Roman"/>
                <w:lang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33191B69" w14:textId="77777777" w:rsidR="0080347A" w:rsidRPr="00DC08DD" w:rsidRDefault="0080347A" w:rsidP="009C70C0">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653D4A75" w14:textId="77777777" w:rsidR="0080347A" w:rsidRPr="00DC08DD" w:rsidRDefault="0080347A" w:rsidP="009C70C0">
            <w:pPr>
              <w:pStyle w:val="KeinLeerraum"/>
              <w:rPr>
                <w:rFonts w:ascii="Times New Roman" w:hAnsi="Times New Roman"/>
                <w:lang w:val="en-GB"/>
              </w:rPr>
            </w:pPr>
          </w:p>
        </w:tc>
        <w:tc>
          <w:tcPr>
            <w:tcW w:w="4678" w:type="dxa"/>
          </w:tcPr>
          <w:p w14:paraId="7B5E56FF" w14:textId="77777777" w:rsidR="0080347A" w:rsidRPr="00DC08DD" w:rsidRDefault="0080347A" w:rsidP="009C70C0">
            <w:pPr>
              <w:pStyle w:val="KeinLeerraum"/>
              <w:rPr>
                <w:rFonts w:ascii="Times New Roman" w:hAnsi="Times New Roman"/>
                <w:b/>
                <w:lang w:val="en-GB"/>
              </w:rPr>
            </w:pPr>
            <w:r w:rsidRPr="00DC08DD">
              <w:rPr>
                <w:rFonts w:ascii="Times New Roman" w:hAnsi="Times New Roman"/>
                <w:b/>
                <w:lang w:val="en-GB"/>
              </w:rPr>
              <w:t>United Kingdom</w:t>
            </w:r>
          </w:p>
          <w:p w14:paraId="6D3C7570" w14:textId="77777777" w:rsidR="0080347A" w:rsidRPr="00DC08DD" w:rsidRDefault="0080347A" w:rsidP="009C70C0">
            <w:pPr>
              <w:pStyle w:val="KeinLeerraum"/>
              <w:rPr>
                <w:rFonts w:ascii="Times New Roman" w:hAnsi="Times New Roman"/>
                <w:lang w:val="en-GB"/>
              </w:rPr>
            </w:pPr>
            <w:r w:rsidRPr="00DC08DD">
              <w:rPr>
                <w:rFonts w:ascii="Times New Roman" w:hAnsi="Times New Roman"/>
                <w:lang w:val="en-GB"/>
              </w:rPr>
              <w:t>Actavis UK Limited</w:t>
            </w:r>
          </w:p>
          <w:p w14:paraId="43722CD1" w14:textId="77777777" w:rsidR="0080347A" w:rsidRPr="00DC08DD" w:rsidRDefault="0080347A" w:rsidP="009C70C0">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0E2E33C2" w14:textId="77777777" w:rsidR="0080347A" w:rsidRPr="00DC08DD" w:rsidRDefault="0080347A" w:rsidP="009C70C0">
            <w:pPr>
              <w:pStyle w:val="KeinLeerraum"/>
              <w:rPr>
                <w:rFonts w:ascii="Times New Roman" w:hAnsi="Times New Roman"/>
                <w:lang w:val="en-GB"/>
              </w:rPr>
            </w:pPr>
          </w:p>
        </w:tc>
      </w:tr>
    </w:tbl>
    <w:p w14:paraId="08A8F51E" w14:textId="77777777" w:rsidR="00586369" w:rsidRDefault="00586369" w:rsidP="00586369">
      <w:pPr>
        <w:autoSpaceDE w:val="0"/>
        <w:autoSpaceDN w:val="0"/>
        <w:adjustRightInd w:val="0"/>
        <w:spacing w:after="0" w:line="240" w:lineRule="auto"/>
        <w:rPr>
          <w:rFonts w:ascii="Times New Roman" w:hAnsi="Times New Roman"/>
          <w:lang w:val="en-US"/>
        </w:rPr>
      </w:pPr>
    </w:p>
    <w:p w14:paraId="1DD44CBE" w14:textId="77777777" w:rsidR="0080347A" w:rsidRPr="00666899" w:rsidRDefault="0080347A" w:rsidP="00586369">
      <w:pPr>
        <w:autoSpaceDE w:val="0"/>
        <w:autoSpaceDN w:val="0"/>
        <w:adjustRightInd w:val="0"/>
        <w:spacing w:after="0" w:line="240" w:lineRule="auto"/>
        <w:rPr>
          <w:rFonts w:ascii="Times New Roman" w:hAnsi="Times New Roman"/>
          <w:lang w:val="en-US"/>
        </w:rPr>
      </w:pPr>
    </w:p>
    <w:p w14:paraId="54D02570" w14:textId="77777777" w:rsidR="00586369" w:rsidRPr="00496684" w:rsidRDefault="00586369" w:rsidP="00586369">
      <w:pPr>
        <w:pStyle w:val="Endnotentext"/>
        <w:widowControl w:val="0"/>
        <w:tabs>
          <w:tab w:val="clear" w:pos="567"/>
        </w:tabs>
        <w:rPr>
          <w:b/>
          <w:szCs w:val="22"/>
          <w:lang w:val="it-IT"/>
        </w:rPr>
      </w:pPr>
      <w:r w:rsidRPr="00496684">
        <w:rPr>
          <w:b/>
          <w:szCs w:val="22"/>
          <w:lang w:val="it-IT"/>
        </w:rPr>
        <w:t>Questo foglio illustrativo è stato aggiornato il</w:t>
      </w:r>
    </w:p>
    <w:p w14:paraId="5039139A" w14:textId="77777777" w:rsidR="00586369" w:rsidRPr="00496684" w:rsidRDefault="00586369" w:rsidP="00586369">
      <w:pPr>
        <w:widowControl w:val="0"/>
        <w:spacing w:after="0" w:line="240" w:lineRule="auto"/>
        <w:ind w:right="-449"/>
        <w:rPr>
          <w:rFonts w:ascii="Times New Roman" w:hAnsi="Times New Roman"/>
          <w:b/>
          <w:lang w:val="it-IT"/>
        </w:rPr>
      </w:pPr>
    </w:p>
    <w:p w14:paraId="38B1D396" w14:textId="77777777" w:rsidR="00586369" w:rsidRPr="00496684" w:rsidRDefault="00586369" w:rsidP="00586369">
      <w:pPr>
        <w:widowControl w:val="0"/>
        <w:spacing w:after="0" w:line="240" w:lineRule="auto"/>
        <w:ind w:right="-449"/>
        <w:rPr>
          <w:rFonts w:ascii="Times New Roman" w:hAnsi="Times New Roman"/>
          <w:b/>
          <w:lang w:val="it-IT"/>
        </w:rPr>
      </w:pPr>
      <w:r w:rsidRPr="00496684">
        <w:rPr>
          <w:rFonts w:ascii="Times New Roman" w:hAnsi="Times New Roman"/>
          <w:b/>
          <w:lang w:val="it-IT"/>
        </w:rPr>
        <w:t>Altre fonti di informazioni</w:t>
      </w:r>
    </w:p>
    <w:p w14:paraId="190EF6C3" w14:textId="77777777" w:rsidR="0095158B" w:rsidRPr="00496684" w:rsidRDefault="00586369" w:rsidP="00106B6D">
      <w:pPr>
        <w:pStyle w:val="Endnotentext"/>
        <w:widowControl w:val="0"/>
        <w:tabs>
          <w:tab w:val="clear" w:pos="567"/>
        </w:tabs>
        <w:rPr>
          <w:lang w:val="it-IT"/>
        </w:rPr>
      </w:pPr>
      <w:r w:rsidRPr="00496684">
        <w:rPr>
          <w:szCs w:val="22"/>
          <w:lang w:val="it-IT"/>
        </w:rPr>
        <w:t xml:space="preserve">Informazioni più dettagliate su questo medicinale sono disponibili sul sito web della Agenzia europea dei medicinali: </w:t>
      </w:r>
      <w:hyperlink r:id="rId26" w:history="1">
        <w:r w:rsidR="006E4320" w:rsidRPr="00496684">
          <w:rPr>
            <w:rStyle w:val="Hyperlink"/>
            <w:szCs w:val="22"/>
            <w:lang w:val="it-IT"/>
          </w:rPr>
          <w:t>http://www.ema.europa.eu</w:t>
        </w:r>
      </w:hyperlink>
      <w:r w:rsidR="006E4320" w:rsidRPr="00496684">
        <w:rPr>
          <w:szCs w:val="22"/>
          <w:lang w:val="it-IT"/>
        </w:rPr>
        <w:t xml:space="preserve"> </w:t>
      </w:r>
    </w:p>
    <w:sectPr w:rsidR="0095158B" w:rsidRPr="00496684" w:rsidSect="00D23526">
      <w:headerReference w:type="default" r:id="rId27"/>
      <w:footerReference w:type="default" r:id="rId28"/>
      <w:pgSz w:w="12240" w:h="15840"/>
      <w:pgMar w:top="1134" w:right="1418" w:bottom="1134" w:left="1418"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D33D9" w14:textId="77777777" w:rsidR="00A81163" w:rsidRDefault="00A81163" w:rsidP="00934F7C">
      <w:pPr>
        <w:spacing w:after="0" w:line="240" w:lineRule="auto"/>
      </w:pPr>
      <w:r>
        <w:separator/>
      </w:r>
    </w:p>
  </w:endnote>
  <w:endnote w:type="continuationSeparator" w:id="0">
    <w:p w14:paraId="09696BFD" w14:textId="77777777" w:rsidR="00A81163" w:rsidRDefault="00A81163" w:rsidP="0093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C4187" w14:textId="77777777" w:rsidR="00A81163" w:rsidRPr="00CA2D31" w:rsidRDefault="00A81163" w:rsidP="00934F7C">
    <w:pPr>
      <w:pStyle w:val="Fuzeile"/>
      <w:tabs>
        <w:tab w:val="right" w:pos="8931"/>
      </w:tabs>
      <w:ind w:right="96"/>
      <w:jc w:val="center"/>
      <w:rPr>
        <w:rFonts w:ascii="Arial" w:hAnsi="Arial" w:cs="Arial"/>
        <w:sz w:val="16"/>
        <w:szCs w:val="16"/>
      </w:rPr>
    </w:pPr>
    <w:r w:rsidRPr="00CA2D31">
      <w:rPr>
        <w:rStyle w:val="Seitenzahl"/>
        <w:rFonts w:ascii="Arial" w:hAnsi="Arial" w:cs="Arial"/>
        <w:sz w:val="16"/>
        <w:szCs w:val="16"/>
      </w:rPr>
      <w:fldChar w:fldCharType="begin"/>
    </w:r>
    <w:r w:rsidRPr="00CA2D31">
      <w:rPr>
        <w:rStyle w:val="Seitenzahl"/>
        <w:rFonts w:ascii="Arial" w:hAnsi="Arial" w:cs="Arial"/>
        <w:sz w:val="16"/>
        <w:szCs w:val="16"/>
      </w:rPr>
      <w:instrText xml:space="preserve">PAGE  </w:instrText>
    </w:r>
    <w:r w:rsidRPr="00CA2D31">
      <w:rPr>
        <w:rStyle w:val="Seitenzahl"/>
        <w:rFonts w:ascii="Arial" w:hAnsi="Arial" w:cs="Arial"/>
        <w:sz w:val="16"/>
        <w:szCs w:val="16"/>
      </w:rPr>
      <w:fldChar w:fldCharType="separate"/>
    </w:r>
    <w:r w:rsidR="00666899">
      <w:rPr>
        <w:rStyle w:val="Seitenzahl"/>
        <w:rFonts w:ascii="Arial" w:hAnsi="Arial" w:cs="Arial"/>
        <w:noProof/>
        <w:sz w:val="16"/>
        <w:szCs w:val="16"/>
      </w:rPr>
      <w:t>1</w:t>
    </w:r>
    <w:r w:rsidRPr="00CA2D31">
      <w:rPr>
        <w:rStyle w:val="Seitenzahl"/>
        <w:rFonts w:ascii="Arial" w:hAnsi="Arial" w:cs="Arial"/>
        <w:sz w:val="16"/>
        <w:szCs w:val="16"/>
      </w:rPr>
      <w:fldChar w:fldCharType="end"/>
    </w:r>
  </w:p>
  <w:p w14:paraId="7CFADD43" w14:textId="77777777" w:rsidR="00A81163" w:rsidRDefault="00A8116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4259E" w14:textId="77777777" w:rsidR="00A81163" w:rsidRDefault="00A81163" w:rsidP="00934F7C">
      <w:pPr>
        <w:spacing w:after="0" w:line="240" w:lineRule="auto"/>
      </w:pPr>
      <w:r>
        <w:separator/>
      </w:r>
    </w:p>
  </w:footnote>
  <w:footnote w:type="continuationSeparator" w:id="0">
    <w:p w14:paraId="66B57DBD" w14:textId="77777777" w:rsidR="00A81163" w:rsidRDefault="00A81163" w:rsidP="00934F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3EFF0" w14:textId="77777777" w:rsidR="00A81163" w:rsidRDefault="00A811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DA4548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7C01ED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4D8029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1547CC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F6AFA4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37A278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A1EDD9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95E61D1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A140F6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B5014E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77658AC"/>
    <w:multiLevelType w:val="hybridMultilevel"/>
    <w:tmpl w:val="1D8C0972"/>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8D5376"/>
    <w:multiLevelType w:val="hybridMultilevel"/>
    <w:tmpl w:val="C3FC4E8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0D4D7A21"/>
    <w:multiLevelType w:val="hybridMultilevel"/>
    <w:tmpl w:val="50845D40"/>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E5E5723"/>
    <w:multiLevelType w:val="hybridMultilevel"/>
    <w:tmpl w:val="543E668A"/>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5121C9"/>
    <w:multiLevelType w:val="hybridMultilevel"/>
    <w:tmpl w:val="9278A1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544BCF"/>
    <w:multiLevelType w:val="hybridMultilevel"/>
    <w:tmpl w:val="0202824E"/>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48B5012"/>
    <w:multiLevelType w:val="hybridMultilevel"/>
    <w:tmpl w:val="1BACEFF8"/>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90455B6"/>
    <w:multiLevelType w:val="hybridMultilevel"/>
    <w:tmpl w:val="C4406FCA"/>
    <w:lvl w:ilvl="0" w:tplc="D17073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D1D2163"/>
    <w:multiLevelType w:val="hybridMultilevel"/>
    <w:tmpl w:val="3B70C3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nsid w:val="1D296141"/>
    <w:multiLevelType w:val="hybridMultilevel"/>
    <w:tmpl w:val="A52AC8E8"/>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E334B3B"/>
    <w:multiLevelType w:val="hybridMultilevel"/>
    <w:tmpl w:val="72A0D7D2"/>
    <w:lvl w:ilvl="0" w:tplc="7902B3BE">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546E79"/>
    <w:multiLevelType w:val="hybridMultilevel"/>
    <w:tmpl w:val="BCAC99F4"/>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68717C"/>
    <w:multiLevelType w:val="hybridMultilevel"/>
    <w:tmpl w:val="E24E6534"/>
    <w:lvl w:ilvl="0" w:tplc="D17073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FA20BF6"/>
    <w:multiLevelType w:val="hybridMultilevel"/>
    <w:tmpl w:val="0FC66D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2E37097"/>
    <w:multiLevelType w:val="hybridMultilevel"/>
    <w:tmpl w:val="35EE77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AEF3410"/>
    <w:multiLevelType w:val="hybridMultilevel"/>
    <w:tmpl w:val="1202482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nsid w:val="418C5CB9"/>
    <w:multiLevelType w:val="hybridMultilevel"/>
    <w:tmpl w:val="208ABD60"/>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6026D1"/>
    <w:multiLevelType w:val="hybridMultilevel"/>
    <w:tmpl w:val="9EF24674"/>
    <w:lvl w:ilvl="0" w:tplc="A24CD832">
      <w:start w:val="4"/>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6A27A4F"/>
    <w:multiLevelType w:val="hybridMultilevel"/>
    <w:tmpl w:val="0292D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47F13C0B"/>
    <w:multiLevelType w:val="singleLevel"/>
    <w:tmpl w:val="1C58E154"/>
    <w:lvl w:ilvl="0">
      <w:start w:val="1"/>
      <w:numFmt w:val="bullet"/>
      <w:lvlText w:val="-"/>
      <w:lvlJc w:val="left"/>
      <w:pPr>
        <w:tabs>
          <w:tab w:val="num" w:pos="644"/>
        </w:tabs>
        <w:ind w:left="567" w:hanging="283"/>
      </w:pPr>
    </w:lvl>
  </w:abstractNum>
  <w:abstractNum w:abstractNumId="32">
    <w:nsid w:val="4D7E329C"/>
    <w:multiLevelType w:val="hybridMultilevel"/>
    <w:tmpl w:val="9334ADD6"/>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FE5C56"/>
    <w:multiLevelType w:val="hybridMultilevel"/>
    <w:tmpl w:val="276EF8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1A57199"/>
    <w:multiLevelType w:val="hybridMultilevel"/>
    <w:tmpl w:val="71A43C4E"/>
    <w:lvl w:ilvl="0" w:tplc="B1A4669A">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812731C"/>
    <w:multiLevelType w:val="hybridMultilevel"/>
    <w:tmpl w:val="8CFC32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nsid w:val="5C8405A0"/>
    <w:multiLevelType w:val="hybridMultilevel"/>
    <w:tmpl w:val="FDB4717C"/>
    <w:lvl w:ilvl="0" w:tplc="B374F3A4">
      <w:start w:val="2"/>
      <w:numFmt w:val="bullet"/>
      <w:lvlText w:val="-"/>
      <w:lvlJc w:val="left"/>
      <w:pPr>
        <w:ind w:left="720" w:hanging="360"/>
      </w:pPr>
      <w:rPr>
        <w:rFonts w:ascii="Times New Roman" w:eastAsia="Calibr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5D000926"/>
    <w:multiLevelType w:val="hybridMultilevel"/>
    <w:tmpl w:val="293C45D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8">
    <w:nsid w:val="5E6E6E99"/>
    <w:multiLevelType w:val="hybridMultilevel"/>
    <w:tmpl w:val="7E7488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0">
    <w:nsid w:val="61D02D16"/>
    <w:multiLevelType w:val="hybridMultilevel"/>
    <w:tmpl w:val="D45077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9E71376"/>
    <w:multiLevelType w:val="hybridMultilevel"/>
    <w:tmpl w:val="BA2A54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6F752CEB"/>
    <w:multiLevelType w:val="hybridMultilevel"/>
    <w:tmpl w:val="02409340"/>
    <w:lvl w:ilvl="0" w:tplc="1C58E154">
      <w:start w:val="1"/>
      <w:numFmt w:val="bullet"/>
      <w:lvlText w:val="-"/>
      <w:lvlJc w:val="left"/>
      <w:pPr>
        <w:tabs>
          <w:tab w:val="num" w:pos="576"/>
        </w:tabs>
        <w:ind w:left="576" w:hanging="576"/>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F9337D0"/>
    <w:multiLevelType w:val="multilevel"/>
    <w:tmpl w:val="553C7616"/>
    <w:lvl w:ilvl="0">
      <w:numFmt w:val="bullet"/>
      <w:lvlText w:val="-"/>
      <w:lvlJc w:val="left"/>
      <w:pPr>
        <w:tabs>
          <w:tab w:val="num" w:pos="468"/>
        </w:tabs>
        <w:ind w:left="828" w:hanging="360"/>
      </w:pPr>
      <w:rPr>
        <w:rFonts w:ascii="Times New Roman" w:eastAsia="Calibri" w:hAnsi="Times New Roman" w:cs="Times New Roman" w:hint="default"/>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44">
    <w:nsid w:val="74121D5C"/>
    <w:multiLevelType w:val="hybridMultilevel"/>
    <w:tmpl w:val="8CFC32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5">
    <w:nsid w:val="76A60256"/>
    <w:multiLevelType w:val="hybridMultilevel"/>
    <w:tmpl w:val="7E04ED52"/>
    <w:lvl w:ilvl="0" w:tplc="1C58E154">
      <w:start w:val="1"/>
      <w:numFmt w:val="bullet"/>
      <w:lvlText w:val="-"/>
      <w:lvlJc w:val="left"/>
      <w:pPr>
        <w:tabs>
          <w:tab w:val="num" w:pos="504"/>
        </w:tabs>
        <w:ind w:left="504" w:hanging="504"/>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3D3A17"/>
    <w:multiLevelType w:val="hybridMultilevel"/>
    <w:tmpl w:val="F6C20A72"/>
    <w:lvl w:ilvl="0" w:tplc="B1A4669A">
      <w:start w:val="1"/>
      <w:numFmt w:val="bullet"/>
      <w:lvlText w:val="-"/>
      <w:lvlJc w:val="left"/>
      <w:pPr>
        <w:tabs>
          <w:tab w:val="num" w:pos="576"/>
        </w:tabs>
        <w:ind w:left="576" w:hanging="576"/>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A45048B"/>
    <w:multiLevelType w:val="hybridMultilevel"/>
    <w:tmpl w:val="F3361D44"/>
    <w:lvl w:ilvl="0" w:tplc="1C58E154">
      <w:start w:val="1"/>
      <w:numFmt w:val="bullet"/>
      <w:lvlText w:val="-"/>
      <w:lvlJc w:val="left"/>
      <w:pPr>
        <w:tabs>
          <w:tab w:val="num" w:pos="504"/>
        </w:tabs>
        <w:ind w:left="504" w:hanging="504"/>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AFC7967"/>
    <w:multiLevelType w:val="singleLevel"/>
    <w:tmpl w:val="B0846666"/>
    <w:lvl w:ilvl="0">
      <w:start w:val="1"/>
      <w:numFmt w:val="bullet"/>
      <w:lvlText w:val=""/>
      <w:lvlJc w:val="left"/>
      <w:pPr>
        <w:tabs>
          <w:tab w:val="num" w:pos="360"/>
        </w:tabs>
        <w:ind w:left="3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7D527E02"/>
    <w:multiLevelType w:val="hybridMultilevel"/>
    <w:tmpl w:val="C3FC4E8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9"/>
  </w:num>
  <w:num w:numId="2">
    <w:abstractNumId w:val="43"/>
  </w:num>
  <w:num w:numId="3">
    <w:abstractNumId w:val="40"/>
  </w:num>
  <w:num w:numId="4">
    <w:abstractNumId w:val="16"/>
  </w:num>
  <w:num w:numId="5">
    <w:abstractNumId w:val="31"/>
  </w:num>
  <w:num w:numId="6">
    <w:abstractNumId w:val="28"/>
  </w:num>
  <w:num w:numId="7">
    <w:abstractNumId w:val="46"/>
  </w:num>
  <w:num w:numId="8">
    <w:abstractNumId w:val="34"/>
  </w:num>
  <w:num w:numId="9">
    <w:abstractNumId w:val="19"/>
  </w:num>
  <w:num w:numId="10">
    <w:abstractNumId w:val="24"/>
  </w:num>
  <w:num w:numId="11">
    <w:abstractNumId w:val="22"/>
  </w:num>
  <w:num w:numId="12">
    <w:abstractNumId w:val="48"/>
  </w:num>
  <w:num w:numId="13">
    <w:abstractNumId w:val="10"/>
    <w:lvlOverride w:ilvl="0">
      <w:lvl w:ilvl="0">
        <w:start w:val="1"/>
        <w:numFmt w:val="bullet"/>
        <w:lvlText w:val="-"/>
        <w:legacy w:legacy="1" w:legacySpace="0" w:legacyIndent="360"/>
        <w:lvlJc w:val="left"/>
        <w:pPr>
          <w:ind w:left="360" w:hanging="360"/>
        </w:pPr>
      </w:lvl>
    </w:lvlOverride>
  </w:num>
  <w:num w:numId="14">
    <w:abstractNumId w:val="26"/>
  </w:num>
  <w:num w:numId="15">
    <w:abstractNumId w:val="32"/>
  </w:num>
  <w:num w:numId="16">
    <w:abstractNumId w:val="18"/>
  </w:num>
  <w:num w:numId="17">
    <w:abstractNumId w:val="11"/>
  </w:num>
  <w:num w:numId="18">
    <w:abstractNumId w:val="42"/>
  </w:num>
  <w:num w:numId="19">
    <w:abstractNumId w:val="13"/>
  </w:num>
  <w:num w:numId="20">
    <w:abstractNumId w:val="47"/>
  </w:num>
  <w:num w:numId="21">
    <w:abstractNumId w:val="23"/>
  </w:num>
  <w:num w:numId="22">
    <w:abstractNumId w:val="17"/>
  </w:num>
  <w:num w:numId="23">
    <w:abstractNumId w:val="14"/>
  </w:num>
  <w:num w:numId="24">
    <w:abstractNumId w:val="21"/>
  </w:num>
  <w:num w:numId="25">
    <w:abstractNumId w:val="45"/>
  </w:num>
  <w:num w:numId="26">
    <w:abstractNumId w:val="37"/>
  </w:num>
  <w:num w:numId="27">
    <w:abstractNumId w:val="27"/>
  </w:num>
  <w:num w:numId="28">
    <w:abstractNumId w:val="44"/>
  </w:num>
  <w:num w:numId="29">
    <w:abstractNumId w:val="49"/>
  </w:num>
  <w:num w:numId="30">
    <w:abstractNumId w:val="20"/>
  </w:num>
  <w:num w:numId="31">
    <w:abstractNumId w:val="35"/>
  </w:num>
  <w:num w:numId="32">
    <w:abstractNumId w:val="12"/>
  </w:num>
  <w:num w:numId="33">
    <w:abstractNumId w:val="30"/>
  </w:num>
  <w:num w:numId="34">
    <w:abstractNumId w:val="33"/>
  </w:num>
  <w:num w:numId="35">
    <w:abstractNumId w:val="41"/>
  </w:num>
  <w:num w:numId="36">
    <w:abstractNumId w:val="25"/>
  </w:num>
  <w:num w:numId="37">
    <w:abstractNumId w:val="38"/>
  </w:num>
  <w:num w:numId="38">
    <w:abstractNumId w:val="15"/>
  </w:num>
  <w:num w:numId="39">
    <w:abstractNumId w:val="29"/>
  </w:num>
  <w:num w:numId="40">
    <w:abstractNumId w:val="36"/>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es-ES" w:vendorID="64" w:dllVersion="131078" w:nlCheck="1" w:checkStyle="1"/>
  <w:defaultTabStop w:val="567"/>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DF"/>
    <w:rsid w:val="00000597"/>
    <w:rsid w:val="00003F07"/>
    <w:rsid w:val="000111EA"/>
    <w:rsid w:val="0001430D"/>
    <w:rsid w:val="00020800"/>
    <w:rsid w:val="000248EF"/>
    <w:rsid w:val="00025757"/>
    <w:rsid w:val="00027729"/>
    <w:rsid w:val="00027A26"/>
    <w:rsid w:val="00030BFD"/>
    <w:rsid w:val="00030ED2"/>
    <w:rsid w:val="00033F1D"/>
    <w:rsid w:val="00036B10"/>
    <w:rsid w:val="00037865"/>
    <w:rsid w:val="00043C47"/>
    <w:rsid w:val="00044661"/>
    <w:rsid w:val="0004554E"/>
    <w:rsid w:val="000455F9"/>
    <w:rsid w:val="00046DB0"/>
    <w:rsid w:val="000475D1"/>
    <w:rsid w:val="00052010"/>
    <w:rsid w:val="0005754B"/>
    <w:rsid w:val="00060857"/>
    <w:rsid w:val="000629AD"/>
    <w:rsid w:val="00063087"/>
    <w:rsid w:val="00066500"/>
    <w:rsid w:val="000668CC"/>
    <w:rsid w:val="0006697F"/>
    <w:rsid w:val="00066E7F"/>
    <w:rsid w:val="000700DF"/>
    <w:rsid w:val="00070AF0"/>
    <w:rsid w:val="00074245"/>
    <w:rsid w:val="0008251B"/>
    <w:rsid w:val="0008284D"/>
    <w:rsid w:val="000844DB"/>
    <w:rsid w:val="000853C6"/>
    <w:rsid w:val="000866E4"/>
    <w:rsid w:val="00086FE5"/>
    <w:rsid w:val="00087236"/>
    <w:rsid w:val="00091A5E"/>
    <w:rsid w:val="000A2952"/>
    <w:rsid w:val="000A5FF6"/>
    <w:rsid w:val="000A77CB"/>
    <w:rsid w:val="000B0A36"/>
    <w:rsid w:val="000B2C9C"/>
    <w:rsid w:val="000C35BF"/>
    <w:rsid w:val="000C3976"/>
    <w:rsid w:val="000C3F7D"/>
    <w:rsid w:val="000C6C22"/>
    <w:rsid w:val="000D1626"/>
    <w:rsid w:val="000D6085"/>
    <w:rsid w:val="000D608B"/>
    <w:rsid w:val="000D6458"/>
    <w:rsid w:val="000E0EB2"/>
    <w:rsid w:val="000E3C47"/>
    <w:rsid w:val="000E49FD"/>
    <w:rsid w:val="000F357C"/>
    <w:rsid w:val="000F5BEE"/>
    <w:rsid w:val="000F6E19"/>
    <w:rsid w:val="001044E2"/>
    <w:rsid w:val="00106B6D"/>
    <w:rsid w:val="001111A4"/>
    <w:rsid w:val="00114A65"/>
    <w:rsid w:val="0011697F"/>
    <w:rsid w:val="001251D7"/>
    <w:rsid w:val="0012687A"/>
    <w:rsid w:val="001278B7"/>
    <w:rsid w:val="0013265B"/>
    <w:rsid w:val="0013346D"/>
    <w:rsid w:val="00134092"/>
    <w:rsid w:val="001430FA"/>
    <w:rsid w:val="00143957"/>
    <w:rsid w:val="00144D42"/>
    <w:rsid w:val="001451E4"/>
    <w:rsid w:val="0014627F"/>
    <w:rsid w:val="00146304"/>
    <w:rsid w:val="00146BA0"/>
    <w:rsid w:val="001505E2"/>
    <w:rsid w:val="00150FA7"/>
    <w:rsid w:val="00151F2F"/>
    <w:rsid w:val="00152442"/>
    <w:rsid w:val="00154217"/>
    <w:rsid w:val="00154BC1"/>
    <w:rsid w:val="00156760"/>
    <w:rsid w:val="0015782B"/>
    <w:rsid w:val="00160629"/>
    <w:rsid w:val="0016108A"/>
    <w:rsid w:val="00164DF5"/>
    <w:rsid w:val="00170609"/>
    <w:rsid w:val="00173BFD"/>
    <w:rsid w:val="00174F57"/>
    <w:rsid w:val="00176EE6"/>
    <w:rsid w:val="00176FF5"/>
    <w:rsid w:val="00183F4E"/>
    <w:rsid w:val="001840CB"/>
    <w:rsid w:val="001847F0"/>
    <w:rsid w:val="001854BB"/>
    <w:rsid w:val="00191FF7"/>
    <w:rsid w:val="00194B5C"/>
    <w:rsid w:val="00196052"/>
    <w:rsid w:val="00196362"/>
    <w:rsid w:val="0019675B"/>
    <w:rsid w:val="0019676D"/>
    <w:rsid w:val="001971CA"/>
    <w:rsid w:val="00197BED"/>
    <w:rsid w:val="001A12C7"/>
    <w:rsid w:val="001A3B36"/>
    <w:rsid w:val="001A59F1"/>
    <w:rsid w:val="001A7D67"/>
    <w:rsid w:val="001B0668"/>
    <w:rsid w:val="001B11C3"/>
    <w:rsid w:val="001B1590"/>
    <w:rsid w:val="001B1789"/>
    <w:rsid w:val="001B22CC"/>
    <w:rsid w:val="001B2386"/>
    <w:rsid w:val="001B4D7F"/>
    <w:rsid w:val="001B50A9"/>
    <w:rsid w:val="001B71A0"/>
    <w:rsid w:val="001C38E0"/>
    <w:rsid w:val="001C5AF2"/>
    <w:rsid w:val="001C7029"/>
    <w:rsid w:val="001D497C"/>
    <w:rsid w:val="001D5237"/>
    <w:rsid w:val="001D5AFB"/>
    <w:rsid w:val="001E057E"/>
    <w:rsid w:val="001E0775"/>
    <w:rsid w:val="001E205A"/>
    <w:rsid w:val="001E26A0"/>
    <w:rsid w:val="001E469E"/>
    <w:rsid w:val="001E5A0F"/>
    <w:rsid w:val="001E634A"/>
    <w:rsid w:val="001E7ECA"/>
    <w:rsid w:val="001F03DF"/>
    <w:rsid w:val="001F4490"/>
    <w:rsid w:val="001F5245"/>
    <w:rsid w:val="001F6230"/>
    <w:rsid w:val="00202716"/>
    <w:rsid w:val="00202D6C"/>
    <w:rsid w:val="002055EF"/>
    <w:rsid w:val="002056E3"/>
    <w:rsid w:val="0020671B"/>
    <w:rsid w:val="00207783"/>
    <w:rsid w:val="00211389"/>
    <w:rsid w:val="002135DB"/>
    <w:rsid w:val="00216EF1"/>
    <w:rsid w:val="00217825"/>
    <w:rsid w:val="00220EE2"/>
    <w:rsid w:val="00221AC2"/>
    <w:rsid w:val="002223AB"/>
    <w:rsid w:val="00230A40"/>
    <w:rsid w:val="002317E4"/>
    <w:rsid w:val="0024063B"/>
    <w:rsid w:val="0024087B"/>
    <w:rsid w:val="00241EB4"/>
    <w:rsid w:val="00242754"/>
    <w:rsid w:val="00244283"/>
    <w:rsid w:val="0025253A"/>
    <w:rsid w:val="002556CF"/>
    <w:rsid w:val="0025589F"/>
    <w:rsid w:val="00257321"/>
    <w:rsid w:val="00260949"/>
    <w:rsid w:val="00262A05"/>
    <w:rsid w:val="00265763"/>
    <w:rsid w:val="0026720E"/>
    <w:rsid w:val="002675CD"/>
    <w:rsid w:val="00267AE4"/>
    <w:rsid w:val="0027274D"/>
    <w:rsid w:val="0028015B"/>
    <w:rsid w:val="0028023A"/>
    <w:rsid w:val="00280CB0"/>
    <w:rsid w:val="00281B64"/>
    <w:rsid w:val="00283FE2"/>
    <w:rsid w:val="00284D24"/>
    <w:rsid w:val="0028629B"/>
    <w:rsid w:val="00291001"/>
    <w:rsid w:val="00292ADE"/>
    <w:rsid w:val="00293104"/>
    <w:rsid w:val="00295360"/>
    <w:rsid w:val="0029616A"/>
    <w:rsid w:val="002971F6"/>
    <w:rsid w:val="00297A0B"/>
    <w:rsid w:val="002A0967"/>
    <w:rsid w:val="002A3C16"/>
    <w:rsid w:val="002A43DF"/>
    <w:rsid w:val="002A5165"/>
    <w:rsid w:val="002A7BDA"/>
    <w:rsid w:val="002B0B7B"/>
    <w:rsid w:val="002B1451"/>
    <w:rsid w:val="002B2890"/>
    <w:rsid w:val="002B348D"/>
    <w:rsid w:val="002B50EE"/>
    <w:rsid w:val="002B5FFF"/>
    <w:rsid w:val="002C21B3"/>
    <w:rsid w:val="002C3058"/>
    <w:rsid w:val="002C33C2"/>
    <w:rsid w:val="002D1165"/>
    <w:rsid w:val="002D51FD"/>
    <w:rsid w:val="002D5B99"/>
    <w:rsid w:val="002D5BFF"/>
    <w:rsid w:val="002E0756"/>
    <w:rsid w:val="002E0CE6"/>
    <w:rsid w:val="002E1B7A"/>
    <w:rsid w:val="002E2BBF"/>
    <w:rsid w:val="002E7D4F"/>
    <w:rsid w:val="002F2F05"/>
    <w:rsid w:val="002F5868"/>
    <w:rsid w:val="002F7364"/>
    <w:rsid w:val="002F795F"/>
    <w:rsid w:val="00301F95"/>
    <w:rsid w:val="003045B2"/>
    <w:rsid w:val="003063DC"/>
    <w:rsid w:val="00307175"/>
    <w:rsid w:val="0031051B"/>
    <w:rsid w:val="003201EC"/>
    <w:rsid w:val="0032056C"/>
    <w:rsid w:val="00320D73"/>
    <w:rsid w:val="003233C2"/>
    <w:rsid w:val="003249C3"/>
    <w:rsid w:val="00325123"/>
    <w:rsid w:val="00327148"/>
    <w:rsid w:val="00332238"/>
    <w:rsid w:val="00332B0F"/>
    <w:rsid w:val="00334BB4"/>
    <w:rsid w:val="003351C4"/>
    <w:rsid w:val="00336963"/>
    <w:rsid w:val="0033747C"/>
    <w:rsid w:val="003421B6"/>
    <w:rsid w:val="003464FE"/>
    <w:rsid w:val="0035293C"/>
    <w:rsid w:val="00352A37"/>
    <w:rsid w:val="00352DEA"/>
    <w:rsid w:val="003541E5"/>
    <w:rsid w:val="00355C68"/>
    <w:rsid w:val="0035701B"/>
    <w:rsid w:val="003614BD"/>
    <w:rsid w:val="00363345"/>
    <w:rsid w:val="003634F3"/>
    <w:rsid w:val="003650E3"/>
    <w:rsid w:val="003652F3"/>
    <w:rsid w:val="00370143"/>
    <w:rsid w:val="003707F7"/>
    <w:rsid w:val="003724E8"/>
    <w:rsid w:val="00374F96"/>
    <w:rsid w:val="003751C5"/>
    <w:rsid w:val="00375955"/>
    <w:rsid w:val="00376475"/>
    <w:rsid w:val="0038481A"/>
    <w:rsid w:val="00384D77"/>
    <w:rsid w:val="0038673E"/>
    <w:rsid w:val="00386968"/>
    <w:rsid w:val="00390969"/>
    <w:rsid w:val="00391DAF"/>
    <w:rsid w:val="00393138"/>
    <w:rsid w:val="0039543B"/>
    <w:rsid w:val="00395498"/>
    <w:rsid w:val="0039653A"/>
    <w:rsid w:val="003A09F3"/>
    <w:rsid w:val="003A3302"/>
    <w:rsid w:val="003B4EB4"/>
    <w:rsid w:val="003B6AD1"/>
    <w:rsid w:val="003C3A16"/>
    <w:rsid w:val="003C432A"/>
    <w:rsid w:val="003C44EB"/>
    <w:rsid w:val="003C6C97"/>
    <w:rsid w:val="003C7622"/>
    <w:rsid w:val="003D243A"/>
    <w:rsid w:val="003D4A5B"/>
    <w:rsid w:val="003D6D76"/>
    <w:rsid w:val="003E0443"/>
    <w:rsid w:val="003E1280"/>
    <w:rsid w:val="003E1A6C"/>
    <w:rsid w:val="003E1F77"/>
    <w:rsid w:val="003E2E71"/>
    <w:rsid w:val="003E577B"/>
    <w:rsid w:val="003E7BAD"/>
    <w:rsid w:val="003F05A7"/>
    <w:rsid w:val="003F1283"/>
    <w:rsid w:val="003F37AE"/>
    <w:rsid w:val="003F6172"/>
    <w:rsid w:val="004005F0"/>
    <w:rsid w:val="0040468F"/>
    <w:rsid w:val="00405A1F"/>
    <w:rsid w:val="00406388"/>
    <w:rsid w:val="00407C2B"/>
    <w:rsid w:val="00410089"/>
    <w:rsid w:val="00414A00"/>
    <w:rsid w:val="00414CD0"/>
    <w:rsid w:val="00417284"/>
    <w:rsid w:val="00424065"/>
    <w:rsid w:val="00424C42"/>
    <w:rsid w:val="0042624C"/>
    <w:rsid w:val="004313F3"/>
    <w:rsid w:val="00435FF8"/>
    <w:rsid w:val="00436BC4"/>
    <w:rsid w:val="00436D8F"/>
    <w:rsid w:val="00437BDC"/>
    <w:rsid w:val="00437C70"/>
    <w:rsid w:val="00440749"/>
    <w:rsid w:val="004438FF"/>
    <w:rsid w:val="00445A14"/>
    <w:rsid w:val="00447647"/>
    <w:rsid w:val="00453E65"/>
    <w:rsid w:val="004541A1"/>
    <w:rsid w:val="004559E4"/>
    <w:rsid w:val="004573C6"/>
    <w:rsid w:val="00460F48"/>
    <w:rsid w:val="004632E7"/>
    <w:rsid w:val="004643E0"/>
    <w:rsid w:val="004652EA"/>
    <w:rsid w:val="0046594F"/>
    <w:rsid w:val="00466784"/>
    <w:rsid w:val="00470A93"/>
    <w:rsid w:val="004712A1"/>
    <w:rsid w:val="00472FB7"/>
    <w:rsid w:val="00477083"/>
    <w:rsid w:val="004776A3"/>
    <w:rsid w:val="00477DAB"/>
    <w:rsid w:val="004814E3"/>
    <w:rsid w:val="0048303A"/>
    <w:rsid w:val="0048537E"/>
    <w:rsid w:val="004935BD"/>
    <w:rsid w:val="00494292"/>
    <w:rsid w:val="00496432"/>
    <w:rsid w:val="00496684"/>
    <w:rsid w:val="004A36B4"/>
    <w:rsid w:val="004A42B5"/>
    <w:rsid w:val="004A5A14"/>
    <w:rsid w:val="004A644C"/>
    <w:rsid w:val="004A78B6"/>
    <w:rsid w:val="004A79AD"/>
    <w:rsid w:val="004B0559"/>
    <w:rsid w:val="004B087F"/>
    <w:rsid w:val="004B121D"/>
    <w:rsid w:val="004B225F"/>
    <w:rsid w:val="004B2281"/>
    <w:rsid w:val="004B2EC1"/>
    <w:rsid w:val="004B2EDB"/>
    <w:rsid w:val="004B5174"/>
    <w:rsid w:val="004B6C70"/>
    <w:rsid w:val="004C1B54"/>
    <w:rsid w:val="004C1D13"/>
    <w:rsid w:val="004C2283"/>
    <w:rsid w:val="004C2C5E"/>
    <w:rsid w:val="004C2DCE"/>
    <w:rsid w:val="004C306F"/>
    <w:rsid w:val="004C7EE6"/>
    <w:rsid w:val="004D049F"/>
    <w:rsid w:val="004D0EDA"/>
    <w:rsid w:val="004D35BB"/>
    <w:rsid w:val="004D360F"/>
    <w:rsid w:val="004D3C89"/>
    <w:rsid w:val="004D3CF6"/>
    <w:rsid w:val="004D49AC"/>
    <w:rsid w:val="004D6868"/>
    <w:rsid w:val="004D7835"/>
    <w:rsid w:val="004E5277"/>
    <w:rsid w:val="004E6CE5"/>
    <w:rsid w:val="004F1B1C"/>
    <w:rsid w:val="004F5177"/>
    <w:rsid w:val="004F6C93"/>
    <w:rsid w:val="004F7089"/>
    <w:rsid w:val="004F716F"/>
    <w:rsid w:val="00505BED"/>
    <w:rsid w:val="00505F92"/>
    <w:rsid w:val="00512048"/>
    <w:rsid w:val="00513468"/>
    <w:rsid w:val="00520217"/>
    <w:rsid w:val="00520611"/>
    <w:rsid w:val="00521437"/>
    <w:rsid w:val="00521ABE"/>
    <w:rsid w:val="005221E7"/>
    <w:rsid w:val="005302DA"/>
    <w:rsid w:val="00530712"/>
    <w:rsid w:val="005327C8"/>
    <w:rsid w:val="0053751C"/>
    <w:rsid w:val="005377C0"/>
    <w:rsid w:val="005417E6"/>
    <w:rsid w:val="00543369"/>
    <w:rsid w:val="0054419C"/>
    <w:rsid w:val="00544649"/>
    <w:rsid w:val="00544D58"/>
    <w:rsid w:val="005456CD"/>
    <w:rsid w:val="00545E28"/>
    <w:rsid w:val="00547417"/>
    <w:rsid w:val="005514E9"/>
    <w:rsid w:val="00553636"/>
    <w:rsid w:val="005553D4"/>
    <w:rsid w:val="00556612"/>
    <w:rsid w:val="0056541C"/>
    <w:rsid w:val="00567638"/>
    <w:rsid w:val="00570DC0"/>
    <w:rsid w:val="0057161C"/>
    <w:rsid w:val="00571D38"/>
    <w:rsid w:val="0057496B"/>
    <w:rsid w:val="00581A81"/>
    <w:rsid w:val="00582000"/>
    <w:rsid w:val="00583C68"/>
    <w:rsid w:val="005842DF"/>
    <w:rsid w:val="00584EFE"/>
    <w:rsid w:val="00586369"/>
    <w:rsid w:val="00591380"/>
    <w:rsid w:val="00592985"/>
    <w:rsid w:val="005A0ABB"/>
    <w:rsid w:val="005A0B22"/>
    <w:rsid w:val="005A1351"/>
    <w:rsid w:val="005A2821"/>
    <w:rsid w:val="005A4A2B"/>
    <w:rsid w:val="005A4DAC"/>
    <w:rsid w:val="005A61D5"/>
    <w:rsid w:val="005A65D5"/>
    <w:rsid w:val="005B05D9"/>
    <w:rsid w:val="005B2021"/>
    <w:rsid w:val="005B2486"/>
    <w:rsid w:val="005B2B30"/>
    <w:rsid w:val="005B37CF"/>
    <w:rsid w:val="005B3BE5"/>
    <w:rsid w:val="005C0725"/>
    <w:rsid w:val="005C2D05"/>
    <w:rsid w:val="005C4936"/>
    <w:rsid w:val="005C620F"/>
    <w:rsid w:val="005C6F54"/>
    <w:rsid w:val="005D18D7"/>
    <w:rsid w:val="005D6050"/>
    <w:rsid w:val="005E14D4"/>
    <w:rsid w:val="005E1745"/>
    <w:rsid w:val="005E3E47"/>
    <w:rsid w:val="005E66E0"/>
    <w:rsid w:val="005E6F97"/>
    <w:rsid w:val="005F020B"/>
    <w:rsid w:val="005F43B3"/>
    <w:rsid w:val="005F4734"/>
    <w:rsid w:val="00607302"/>
    <w:rsid w:val="0061139B"/>
    <w:rsid w:val="006122EA"/>
    <w:rsid w:val="00613227"/>
    <w:rsid w:val="006159AF"/>
    <w:rsid w:val="006162CE"/>
    <w:rsid w:val="00617A0B"/>
    <w:rsid w:val="00620FFD"/>
    <w:rsid w:val="0062171E"/>
    <w:rsid w:val="006236A8"/>
    <w:rsid w:val="00623744"/>
    <w:rsid w:val="0062401B"/>
    <w:rsid w:val="00624E1D"/>
    <w:rsid w:val="00625392"/>
    <w:rsid w:val="00625853"/>
    <w:rsid w:val="006279BD"/>
    <w:rsid w:val="00627C50"/>
    <w:rsid w:val="006301B7"/>
    <w:rsid w:val="00631C1F"/>
    <w:rsid w:val="00633EF5"/>
    <w:rsid w:val="0063658D"/>
    <w:rsid w:val="00637251"/>
    <w:rsid w:val="00641022"/>
    <w:rsid w:val="006428F5"/>
    <w:rsid w:val="006429EA"/>
    <w:rsid w:val="00642A89"/>
    <w:rsid w:val="00644C3A"/>
    <w:rsid w:val="006513E6"/>
    <w:rsid w:val="0065567D"/>
    <w:rsid w:val="006575A7"/>
    <w:rsid w:val="006609CE"/>
    <w:rsid w:val="0066168D"/>
    <w:rsid w:val="00662F1D"/>
    <w:rsid w:val="00663936"/>
    <w:rsid w:val="00664230"/>
    <w:rsid w:val="00665B1C"/>
    <w:rsid w:val="00666412"/>
    <w:rsid w:val="00666837"/>
    <w:rsid w:val="00666899"/>
    <w:rsid w:val="00667289"/>
    <w:rsid w:val="0066796E"/>
    <w:rsid w:val="00667EB1"/>
    <w:rsid w:val="00672FDB"/>
    <w:rsid w:val="006733B6"/>
    <w:rsid w:val="00673F25"/>
    <w:rsid w:val="00675471"/>
    <w:rsid w:val="00677A1D"/>
    <w:rsid w:val="00677E11"/>
    <w:rsid w:val="00681781"/>
    <w:rsid w:val="00681AFC"/>
    <w:rsid w:val="00681E7A"/>
    <w:rsid w:val="0068243A"/>
    <w:rsid w:val="006841F7"/>
    <w:rsid w:val="00693A7C"/>
    <w:rsid w:val="00694533"/>
    <w:rsid w:val="0069467B"/>
    <w:rsid w:val="00695A1E"/>
    <w:rsid w:val="00695E5A"/>
    <w:rsid w:val="00696151"/>
    <w:rsid w:val="00696EAC"/>
    <w:rsid w:val="006975A9"/>
    <w:rsid w:val="00697C6E"/>
    <w:rsid w:val="00697D94"/>
    <w:rsid w:val="006A30C0"/>
    <w:rsid w:val="006A5FD8"/>
    <w:rsid w:val="006B07E8"/>
    <w:rsid w:val="006B0879"/>
    <w:rsid w:val="006B1B97"/>
    <w:rsid w:val="006B1FA5"/>
    <w:rsid w:val="006B5718"/>
    <w:rsid w:val="006B7A41"/>
    <w:rsid w:val="006C12EA"/>
    <w:rsid w:val="006C24DD"/>
    <w:rsid w:val="006D5849"/>
    <w:rsid w:val="006D6E8E"/>
    <w:rsid w:val="006E0FAB"/>
    <w:rsid w:val="006E22FB"/>
    <w:rsid w:val="006E3015"/>
    <w:rsid w:val="006E37F3"/>
    <w:rsid w:val="006E4320"/>
    <w:rsid w:val="006F11C8"/>
    <w:rsid w:val="006F5A5F"/>
    <w:rsid w:val="006F7067"/>
    <w:rsid w:val="007018C1"/>
    <w:rsid w:val="00701961"/>
    <w:rsid w:val="00702356"/>
    <w:rsid w:val="00707222"/>
    <w:rsid w:val="00714258"/>
    <w:rsid w:val="00714C90"/>
    <w:rsid w:val="007154B5"/>
    <w:rsid w:val="00717DC4"/>
    <w:rsid w:val="00720594"/>
    <w:rsid w:val="00720A28"/>
    <w:rsid w:val="00720BEA"/>
    <w:rsid w:val="007259BC"/>
    <w:rsid w:val="00733BAB"/>
    <w:rsid w:val="007353FB"/>
    <w:rsid w:val="00735B53"/>
    <w:rsid w:val="00736434"/>
    <w:rsid w:val="00736B20"/>
    <w:rsid w:val="00736C59"/>
    <w:rsid w:val="0073708E"/>
    <w:rsid w:val="007374B1"/>
    <w:rsid w:val="00737E0F"/>
    <w:rsid w:val="0074360E"/>
    <w:rsid w:val="00743C60"/>
    <w:rsid w:val="00745823"/>
    <w:rsid w:val="00745E39"/>
    <w:rsid w:val="00746D97"/>
    <w:rsid w:val="00747356"/>
    <w:rsid w:val="00753C4E"/>
    <w:rsid w:val="00754A3D"/>
    <w:rsid w:val="0076051A"/>
    <w:rsid w:val="0076175D"/>
    <w:rsid w:val="00761BB3"/>
    <w:rsid w:val="00763969"/>
    <w:rsid w:val="00764125"/>
    <w:rsid w:val="00766B31"/>
    <w:rsid w:val="00767B82"/>
    <w:rsid w:val="00771039"/>
    <w:rsid w:val="007721F4"/>
    <w:rsid w:val="0077230C"/>
    <w:rsid w:val="00772A6C"/>
    <w:rsid w:val="00773D35"/>
    <w:rsid w:val="00774C81"/>
    <w:rsid w:val="007756CE"/>
    <w:rsid w:val="007760B3"/>
    <w:rsid w:val="0077662F"/>
    <w:rsid w:val="00777C73"/>
    <w:rsid w:val="00777D41"/>
    <w:rsid w:val="00780C7F"/>
    <w:rsid w:val="00781F67"/>
    <w:rsid w:val="00782123"/>
    <w:rsid w:val="00787BB3"/>
    <w:rsid w:val="00791C5D"/>
    <w:rsid w:val="00792F57"/>
    <w:rsid w:val="00796357"/>
    <w:rsid w:val="007A0AD3"/>
    <w:rsid w:val="007A0C61"/>
    <w:rsid w:val="007A4E0F"/>
    <w:rsid w:val="007A524C"/>
    <w:rsid w:val="007A6A84"/>
    <w:rsid w:val="007A7E93"/>
    <w:rsid w:val="007B01C4"/>
    <w:rsid w:val="007B11B8"/>
    <w:rsid w:val="007B532D"/>
    <w:rsid w:val="007B55DD"/>
    <w:rsid w:val="007C68B3"/>
    <w:rsid w:val="007D018B"/>
    <w:rsid w:val="007D1D36"/>
    <w:rsid w:val="007D26FD"/>
    <w:rsid w:val="007D3179"/>
    <w:rsid w:val="007D5556"/>
    <w:rsid w:val="007D70D4"/>
    <w:rsid w:val="007E06CA"/>
    <w:rsid w:val="007E1B44"/>
    <w:rsid w:val="007E35E1"/>
    <w:rsid w:val="007E67EC"/>
    <w:rsid w:val="007E6EE9"/>
    <w:rsid w:val="007F028C"/>
    <w:rsid w:val="007F073B"/>
    <w:rsid w:val="007F2073"/>
    <w:rsid w:val="007F25CC"/>
    <w:rsid w:val="007F2847"/>
    <w:rsid w:val="007F40C1"/>
    <w:rsid w:val="007F496A"/>
    <w:rsid w:val="008004C4"/>
    <w:rsid w:val="0080070B"/>
    <w:rsid w:val="008019C9"/>
    <w:rsid w:val="0080347A"/>
    <w:rsid w:val="00803EF5"/>
    <w:rsid w:val="00804764"/>
    <w:rsid w:val="0080484F"/>
    <w:rsid w:val="00806F02"/>
    <w:rsid w:val="00807208"/>
    <w:rsid w:val="00810F53"/>
    <w:rsid w:val="008118C4"/>
    <w:rsid w:val="008131D9"/>
    <w:rsid w:val="00813D0E"/>
    <w:rsid w:val="00813FE4"/>
    <w:rsid w:val="00815863"/>
    <w:rsid w:val="00816EFD"/>
    <w:rsid w:val="00823BCD"/>
    <w:rsid w:val="00824106"/>
    <w:rsid w:val="008245C5"/>
    <w:rsid w:val="008257AB"/>
    <w:rsid w:val="00826F36"/>
    <w:rsid w:val="00830BE4"/>
    <w:rsid w:val="00830C98"/>
    <w:rsid w:val="00836099"/>
    <w:rsid w:val="008369BE"/>
    <w:rsid w:val="00846B92"/>
    <w:rsid w:val="00846DC0"/>
    <w:rsid w:val="00850E19"/>
    <w:rsid w:val="008569B6"/>
    <w:rsid w:val="0086182F"/>
    <w:rsid w:val="0086488B"/>
    <w:rsid w:val="008668CB"/>
    <w:rsid w:val="00872361"/>
    <w:rsid w:val="00873CD2"/>
    <w:rsid w:val="00873FF3"/>
    <w:rsid w:val="0088490C"/>
    <w:rsid w:val="008863D9"/>
    <w:rsid w:val="008927D4"/>
    <w:rsid w:val="00893DE7"/>
    <w:rsid w:val="00894BC9"/>
    <w:rsid w:val="00895CF9"/>
    <w:rsid w:val="00896EA5"/>
    <w:rsid w:val="008A39EF"/>
    <w:rsid w:val="008A5A81"/>
    <w:rsid w:val="008A774D"/>
    <w:rsid w:val="008A7850"/>
    <w:rsid w:val="008A7E41"/>
    <w:rsid w:val="008B1DAA"/>
    <w:rsid w:val="008B31FB"/>
    <w:rsid w:val="008B4520"/>
    <w:rsid w:val="008B5971"/>
    <w:rsid w:val="008B677B"/>
    <w:rsid w:val="008C016D"/>
    <w:rsid w:val="008C406F"/>
    <w:rsid w:val="008C49BB"/>
    <w:rsid w:val="008D02CF"/>
    <w:rsid w:val="008D3737"/>
    <w:rsid w:val="008D73E6"/>
    <w:rsid w:val="008E0A3E"/>
    <w:rsid w:val="008E3A9B"/>
    <w:rsid w:val="008E466E"/>
    <w:rsid w:val="008F0C6C"/>
    <w:rsid w:val="008F40E9"/>
    <w:rsid w:val="008F5F44"/>
    <w:rsid w:val="008F6523"/>
    <w:rsid w:val="00900934"/>
    <w:rsid w:val="00900CEF"/>
    <w:rsid w:val="00901DA8"/>
    <w:rsid w:val="00902363"/>
    <w:rsid w:val="009057C8"/>
    <w:rsid w:val="00906E7B"/>
    <w:rsid w:val="0090785B"/>
    <w:rsid w:val="00911503"/>
    <w:rsid w:val="00915803"/>
    <w:rsid w:val="009165A1"/>
    <w:rsid w:val="0091712F"/>
    <w:rsid w:val="00917BBD"/>
    <w:rsid w:val="009210FC"/>
    <w:rsid w:val="009240DA"/>
    <w:rsid w:val="00926072"/>
    <w:rsid w:val="00927650"/>
    <w:rsid w:val="00927B0D"/>
    <w:rsid w:val="009304C0"/>
    <w:rsid w:val="00931EC3"/>
    <w:rsid w:val="00932488"/>
    <w:rsid w:val="00932DCE"/>
    <w:rsid w:val="009339F7"/>
    <w:rsid w:val="00934F7C"/>
    <w:rsid w:val="00942B75"/>
    <w:rsid w:val="00945073"/>
    <w:rsid w:val="00945646"/>
    <w:rsid w:val="00946B3D"/>
    <w:rsid w:val="009500B4"/>
    <w:rsid w:val="00950E14"/>
    <w:rsid w:val="009513C7"/>
    <w:rsid w:val="0095158B"/>
    <w:rsid w:val="00951E2A"/>
    <w:rsid w:val="009535E0"/>
    <w:rsid w:val="00957017"/>
    <w:rsid w:val="009577BA"/>
    <w:rsid w:val="00961B2E"/>
    <w:rsid w:val="00962F9B"/>
    <w:rsid w:val="00965B46"/>
    <w:rsid w:val="00965CE4"/>
    <w:rsid w:val="0096781A"/>
    <w:rsid w:val="009719D9"/>
    <w:rsid w:val="00975EFD"/>
    <w:rsid w:val="00977946"/>
    <w:rsid w:val="009838A3"/>
    <w:rsid w:val="00991CD0"/>
    <w:rsid w:val="009952DB"/>
    <w:rsid w:val="00995DF4"/>
    <w:rsid w:val="00996082"/>
    <w:rsid w:val="00996770"/>
    <w:rsid w:val="00997F7A"/>
    <w:rsid w:val="009A10E5"/>
    <w:rsid w:val="009A218B"/>
    <w:rsid w:val="009B198D"/>
    <w:rsid w:val="009B32E2"/>
    <w:rsid w:val="009B55A7"/>
    <w:rsid w:val="009C123C"/>
    <w:rsid w:val="009C146C"/>
    <w:rsid w:val="009C246B"/>
    <w:rsid w:val="009C2C65"/>
    <w:rsid w:val="009C5E0C"/>
    <w:rsid w:val="009C5FD1"/>
    <w:rsid w:val="009D34FE"/>
    <w:rsid w:val="009D42BB"/>
    <w:rsid w:val="009E28E4"/>
    <w:rsid w:val="009E6863"/>
    <w:rsid w:val="009E7A52"/>
    <w:rsid w:val="009F0C4A"/>
    <w:rsid w:val="009F3248"/>
    <w:rsid w:val="009F3419"/>
    <w:rsid w:val="009F3F10"/>
    <w:rsid w:val="009F729E"/>
    <w:rsid w:val="00A009D7"/>
    <w:rsid w:val="00A015EF"/>
    <w:rsid w:val="00A032E6"/>
    <w:rsid w:val="00A06E3D"/>
    <w:rsid w:val="00A07CCB"/>
    <w:rsid w:val="00A07DBC"/>
    <w:rsid w:val="00A13317"/>
    <w:rsid w:val="00A14640"/>
    <w:rsid w:val="00A23E54"/>
    <w:rsid w:val="00A24575"/>
    <w:rsid w:val="00A27D71"/>
    <w:rsid w:val="00A31DDB"/>
    <w:rsid w:val="00A330A1"/>
    <w:rsid w:val="00A37F68"/>
    <w:rsid w:val="00A403C9"/>
    <w:rsid w:val="00A409B9"/>
    <w:rsid w:val="00A41E19"/>
    <w:rsid w:val="00A440FE"/>
    <w:rsid w:val="00A44D2B"/>
    <w:rsid w:val="00A53A89"/>
    <w:rsid w:val="00A548A0"/>
    <w:rsid w:val="00A60A92"/>
    <w:rsid w:val="00A64052"/>
    <w:rsid w:val="00A643A0"/>
    <w:rsid w:val="00A65D96"/>
    <w:rsid w:val="00A65DEE"/>
    <w:rsid w:val="00A72EA6"/>
    <w:rsid w:val="00A75534"/>
    <w:rsid w:val="00A81163"/>
    <w:rsid w:val="00A82A5D"/>
    <w:rsid w:val="00A82CFC"/>
    <w:rsid w:val="00A84844"/>
    <w:rsid w:val="00A9135C"/>
    <w:rsid w:val="00A94570"/>
    <w:rsid w:val="00A94AC3"/>
    <w:rsid w:val="00A95AED"/>
    <w:rsid w:val="00A96E3B"/>
    <w:rsid w:val="00A970B7"/>
    <w:rsid w:val="00AA1004"/>
    <w:rsid w:val="00AA5C93"/>
    <w:rsid w:val="00AA6457"/>
    <w:rsid w:val="00AA7ABE"/>
    <w:rsid w:val="00AB0348"/>
    <w:rsid w:val="00AB2B5B"/>
    <w:rsid w:val="00AB2BAC"/>
    <w:rsid w:val="00AB2C4F"/>
    <w:rsid w:val="00AB3D82"/>
    <w:rsid w:val="00AB5530"/>
    <w:rsid w:val="00AB67FD"/>
    <w:rsid w:val="00AC05B8"/>
    <w:rsid w:val="00AC0C27"/>
    <w:rsid w:val="00AC1918"/>
    <w:rsid w:val="00AC1E71"/>
    <w:rsid w:val="00AC3042"/>
    <w:rsid w:val="00AC478A"/>
    <w:rsid w:val="00AC6D48"/>
    <w:rsid w:val="00AC7FA3"/>
    <w:rsid w:val="00AD49F4"/>
    <w:rsid w:val="00AD5B18"/>
    <w:rsid w:val="00AE0012"/>
    <w:rsid w:val="00AE2366"/>
    <w:rsid w:val="00AE2C3C"/>
    <w:rsid w:val="00AE4E16"/>
    <w:rsid w:val="00AE6248"/>
    <w:rsid w:val="00AF16FB"/>
    <w:rsid w:val="00AF2136"/>
    <w:rsid w:val="00AF3378"/>
    <w:rsid w:val="00AF494A"/>
    <w:rsid w:val="00AF659F"/>
    <w:rsid w:val="00B04733"/>
    <w:rsid w:val="00B05278"/>
    <w:rsid w:val="00B13680"/>
    <w:rsid w:val="00B1447E"/>
    <w:rsid w:val="00B1511D"/>
    <w:rsid w:val="00B15A66"/>
    <w:rsid w:val="00B2027E"/>
    <w:rsid w:val="00B20FFF"/>
    <w:rsid w:val="00B21EE5"/>
    <w:rsid w:val="00B21F29"/>
    <w:rsid w:val="00B24B34"/>
    <w:rsid w:val="00B25E8E"/>
    <w:rsid w:val="00B32680"/>
    <w:rsid w:val="00B33080"/>
    <w:rsid w:val="00B34660"/>
    <w:rsid w:val="00B34B7E"/>
    <w:rsid w:val="00B36D4C"/>
    <w:rsid w:val="00B406D8"/>
    <w:rsid w:val="00B420B7"/>
    <w:rsid w:val="00B46166"/>
    <w:rsid w:val="00B51AB3"/>
    <w:rsid w:val="00B51C4E"/>
    <w:rsid w:val="00B53429"/>
    <w:rsid w:val="00B534D0"/>
    <w:rsid w:val="00B56712"/>
    <w:rsid w:val="00B57E04"/>
    <w:rsid w:val="00B60994"/>
    <w:rsid w:val="00B6360C"/>
    <w:rsid w:val="00B63712"/>
    <w:rsid w:val="00B653CE"/>
    <w:rsid w:val="00B71889"/>
    <w:rsid w:val="00B71F28"/>
    <w:rsid w:val="00B72FE7"/>
    <w:rsid w:val="00B75554"/>
    <w:rsid w:val="00B767D2"/>
    <w:rsid w:val="00B77943"/>
    <w:rsid w:val="00B826C4"/>
    <w:rsid w:val="00B83643"/>
    <w:rsid w:val="00B90181"/>
    <w:rsid w:val="00B90208"/>
    <w:rsid w:val="00B9357E"/>
    <w:rsid w:val="00B93C62"/>
    <w:rsid w:val="00B94092"/>
    <w:rsid w:val="00B9473D"/>
    <w:rsid w:val="00B94CDD"/>
    <w:rsid w:val="00B94D0C"/>
    <w:rsid w:val="00B95625"/>
    <w:rsid w:val="00BA2C58"/>
    <w:rsid w:val="00BA41DC"/>
    <w:rsid w:val="00BA4800"/>
    <w:rsid w:val="00BA4D8B"/>
    <w:rsid w:val="00BA4FB7"/>
    <w:rsid w:val="00BA55C4"/>
    <w:rsid w:val="00BA66D8"/>
    <w:rsid w:val="00BA7A58"/>
    <w:rsid w:val="00BB22B5"/>
    <w:rsid w:val="00BB2E3C"/>
    <w:rsid w:val="00BB3B0B"/>
    <w:rsid w:val="00BB51AD"/>
    <w:rsid w:val="00BB66FD"/>
    <w:rsid w:val="00BC011E"/>
    <w:rsid w:val="00BC0299"/>
    <w:rsid w:val="00BC4F48"/>
    <w:rsid w:val="00BC5536"/>
    <w:rsid w:val="00BC698F"/>
    <w:rsid w:val="00BC7D48"/>
    <w:rsid w:val="00BD0F0B"/>
    <w:rsid w:val="00BD4438"/>
    <w:rsid w:val="00BE109A"/>
    <w:rsid w:val="00BE25A3"/>
    <w:rsid w:val="00BE26C1"/>
    <w:rsid w:val="00BE3648"/>
    <w:rsid w:val="00BE3D51"/>
    <w:rsid w:val="00BE4542"/>
    <w:rsid w:val="00BE5427"/>
    <w:rsid w:val="00BE5F51"/>
    <w:rsid w:val="00BF1C2C"/>
    <w:rsid w:val="00BF48F7"/>
    <w:rsid w:val="00BF7AD9"/>
    <w:rsid w:val="00C015B6"/>
    <w:rsid w:val="00C034DF"/>
    <w:rsid w:val="00C0659B"/>
    <w:rsid w:val="00C076C9"/>
    <w:rsid w:val="00C0775F"/>
    <w:rsid w:val="00C100B1"/>
    <w:rsid w:val="00C13A22"/>
    <w:rsid w:val="00C14524"/>
    <w:rsid w:val="00C161E2"/>
    <w:rsid w:val="00C20B71"/>
    <w:rsid w:val="00C23D88"/>
    <w:rsid w:val="00C23DA8"/>
    <w:rsid w:val="00C256B9"/>
    <w:rsid w:val="00C30FCE"/>
    <w:rsid w:val="00C33CFB"/>
    <w:rsid w:val="00C3497B"/>
    <w:rsid w:val="00C368C9"/>
    <w:rsid w:val="00C37E7A"/>
    <w:rsid w:val="00C40CA6"/>
    <w:rsid w:val="00C41C1C"/>
    <w:rsid w:val="00C429FD"/>
    <w:rsid w:val="00C42E9B"/>
    <w:rsid w:val="00C435EE"/>
    <w:rsid w:val="00C44A82"/>
    <w:rsid w:val="00C453EA"/>
    <w:rsid w:val="00C50A3E"/>
    <w:rsid w:val="00C51385"/>
    <w:rsid w:val="00C51644"/>
    <w:rsid w:val="00C51AE5"/>
    <w:rsid w:val="00C52159"/>
    <w:rsid w:val="00C52FA7"/>
    <w:rsid w:val="00C54527"/>
    <w:rsid w:val="00C555AA"/>
    <w:rsid w:val="00C56720"/>
    <w:rsid w:val="00C635DA"/>
    <w:rsid w:val="00C66631"/>
    <w:rsid w:val="00C7064F"/>
    <w:rsid w:val="00C73A8F"/>
    <w:rsid w:val="00C772B5"/>
    <w:rsid w:val="00C8025A"/>
    <w:rsid w:val="00C81957"/>
    <w:rsid w:val="00C8238E"/>
    <w:rsid w:val="00C83776"/>
    <w:rsid w:val="00C838C5"/>
    <w:rsid w:val="00C87102"/>
    <w:rsid w:val="00C90414"/>
    <w:rsid w:val="00C91A05"/>
    <w:rsid w:val="00C91BBD"/>
    <w:rsid w:val="00C93ABC"/>
    <w:rsid w:val="00C96D2C"/>
    <w:rsid w:val="00C9786A"/>
    <w:rsid w:val="00CA176A"/>
    <w:rsid w:val="00CA28CF"/>
    <w:rsid w:val="00CA2D31"/>
    <w:rsid w:val="00CA40C1"/>
    <w:rsid w:val="00CA4931"/>
    <w:rsid w:val="00CA7063"/>
    <w:rsid w:val="00CA7BC4"/>
    <w:rsid w:val="00CB34AD"/>
    <w:rsid w:val="00CB398D"/>
    <w:rsid w:val="00CB6833"/>
    <w:rsid w:val="00CC05B4"/>
    <w:rsid w:val="00CC0E89"/>
    <w:rsid w:val="00CC3E36"/>
    <w:rsid w:val="00CC7D82"/>
    <w:rsid w:val="00CD1416"/>
    <w:rsid w:val="00CD24BD"/>
    <w:rsid w:val="00CD356D"/>
    <w:rsid w:val="00CD4F24"/>
    <w:rsid w:val="00CD5609"/>
    <w:rsid w:val="00CD6120"/>
    <w:rsid w:val="00CD6ED6"/>
    <w:rsid w:val="00CE3FFF"/>
    <w:rsid w:val="00CE6449"/>
    <w:rsid w:val="00CE7998"/>
    <w:rsid w:val="00CF4E22"/>
    <w:rsid w:val="00CF711E"/>
    <w:rsid w:val="00D003E4"/>
    <w:rsid w:val="00D008F2"/>
    <w:rsid w:val="00D0283E"/>
    <w:rsid w:val="00D045E9"/>
    <w:rsid w:val="00D07589"/>
    <w:rsid w:val="00D10187"/>
    <w:rsid w:val="00D14596"/>
    <w:rsid w:val="00D157BA"/>
    <w:rsid w:val="00D165A5"/>
    <w:rsid w:val="00D20367"/>
    <w:rsid w:val="00D203E4"/>
    <w:rsid w:val="00D22CBE"/>
    <w:rsid w:val="00D23526"/>
    <w:rsid w:val="00D24D4E"/>
    <w:rsid w:val="00D267EC"/>
    <w:rsid w:val="00D270DF"/>
    <w:rsid w:val="00D27C3F"/>
    <w:rsid w:val="00D27D56"/>
    <w:rsid w:val="00D27F05"/>
    <w:rsid w:val="00D32294"/>
    <w:rsid w:val="00D34E46"/>
    <w:rsid w:val="00D35746"/>
    <w:rsid w:val="00D37100"/>
    <w:rsid w:val="00D42B98"/>
    <w:rsid w:val="00D43D72"/>
    <w:rsid w:val="00D465F7"/>
    <w:rsid w:val="00D47543"/>
    <w:rsid w:val="00D548F0"/>
    <w:rsid w:val="00D653BF"/>
    <w:rsid w:val="00D666CC"/>
    <w:rsid w:val="00D669EB"/>
    <w:rsid w:val="00D7429C"/>
    <w:rsid w:val="00D75AA0"/>
    <w:rsid w:val="00D76DDC"/>
    <w:rsid w:val="00D778B4"/>
    <w:rsid w:val="00D81140"/>
    <w:rsid w:val="00D84987"/>
    <w:rsid w:val="00D8591F"/>
    <w:rsid w:val="00D85F1D"/>
    <w:rsid w:val="00D860E1"/>
    <w:rsid w:val="00D86A4C"/>
    <w:rsid w:val="00D90292"/>
    <w:rsid w:val="00D91501"/>
    <w:rsid w:val="00D91630"/>
    <w:rsid w:val="00D96DEE"/>
    <w:rsid w:val="00DA0A1B"/>
    <w:rsid w:val="00DA1C8F"/>
    <w:rsid w:val="00DA47ED"/>
    <w:rsid w:val="00DB017C"/>
    <w:rsid w:val="00DB03B2"/>
    <w:rsid w:val="00DB09FB"/>
    <w:rsid w:val="00DB1D48"/>
    <w:rsid w:val="00DB266A"/>
    <w:rsid w:val="00DB3D9C"/>
    <w:rsid w:val="00DB73FA"/>
    <w:rsid w:val="00DC09C1"/>
    <w:rsid w:val="00DC32BE"/>
    <w:rsid w:val="00DC3655"/>
    <w:rsid w:val="00DC43CC"/>
    <w:rsid w:val="00DC5B37"/>
    <w:rsid w:val="00DC64ED"/>
    <w:rsid w:val="00DC69DF"/>
    <w:rsid w:val="00DC7044"/>
    <w:rsid w:val="00DD0F81"/>
    <w:rsid w:val="00DD19DD"/>
    <w:rsid w:val="00DD1EC5"/>
    <w:rsid w:val="00DD1ED6"/>
    <w:rsid w:val="00DE5FF8"/>
    <w:rsid w:val="00DF1DF3"/>
    <w:rsid w:val="00DF2B2B"/>
    <w:rsid w:val="00DF351D"/>
    <w:rsid w:val="00DF593A"/>
    <w:rsid w:val="00DF7766"/>
    <w:rsid w:val="00E0076D"/>
    <w:rsid w:val="00E008A6"/>
    <w:rsid w:val="00E030B0"/>
    <w:rsid w:val="00E04D58"/>
    <w:rsid w:val="00E054B5"/>
    <w:rsid w:val="00E05D5A"/>
    <w:rsid w:val="00E13BA7"/>
    <w:rsid w:val="00E143DD"/>
    <w:rsid w:val="00E14EFA"/>
    <w:rsid w:val="00E16E4B"/>
    <w:rsid w:val="00E1758E"/>
    <w:rsid w:val="00E212A3"/>
    <w:rsid w:val="00E231E8"/>
    <w:rsid w:val="00E26413"/>
    <w:rsid w:val="00E265EC"/>
    <w:rsid w:val="00E2663C"/>
    <w:rsid w:val="00E30752"/>
    <w:rsid w:val="00E3208D"/>
    <w:rsid w:val="00E3305D"/>
    <w:rsid w:val="00E33239"/>
    <w:rsid w:val="00E33F44"/>
    <w:rsid w:val="00E34A6E"/>
    <w:rsid w:val="00E357BD"/>
    <w:rsid w:val="00E42458"/>
    <w:rsid w:val="00E45B32"/>
    <w:rsid w:val="00E472F2"/>
    <w:rsid w:val="00E50772"/>
    <w:rsid w:val="00E50AFE"/>
    <w:rsid w:val="00E51409"/>
    <w:rsid w:val="00E54B25"/>
    <w:rsid w:val="00E56109"/>
    <w:rsid w:val="00E5793F"/>
    <w:rsid w:val="00E57F8A"/>
    <w:rsid w:val="00E62917"/>
    <w:rsid w:val="00E62D60"/>
    <w:rsid w:val="00E659C2"/>
    <w:rsid w:val="00E6675E"/>
    <w:rsid w:val="00E6783C"/>
    <w:rsid w:val="00E70AA5"/>
    <w:rsid w:val="00E71A12"/>
    <w:rsid w:val="00E7418A"/>
    <w:rsid w:val="00E822F7"/>
    <w:rsid w:val="00E833C3"/>
    <w:rsid w:val="00E83BDA"/>
    <w:rsid w:val="00E85E13"/>
    <w:rsid w:val="00E9078D"/>
    <w:rsid w:val="00E91C00"/>
    <w:rsid w:val="00E93569"/>
    <w:rsid w:val="00E95882"/>
    <w:rsid w:val="00EA13B8"/>
    <w:rsid w:val="00EA3134"/>
    <w:rsid w:val="00EA4BCE"/>
    <w:rsid w:val="00EA4EDB"/>
    <w:rsid w:val="00EA609F"/>
    <w:rsid w:val="00EA62BA"/>
    <w:rsid w:val="00EB01DE"/>
    <w:rsid w:val="00EB0C1D"/>
    <w:rsid w:val="00EB0CB0"/>
    <w:rsid w:val="00EB3684"/>
    <w:rsid w:val="00EB42B0"/>
    <w:rsid w:val="00EB45D1"/>
    <w:rsid w:val="00EB6417"/>
    <w:rsid w:val="00EB7C1A"/>
    <w:rsid w:val="00EC423F"/>
    <w:rsid w:val="00EC61E0"/>
    <w:rsid w:val="00EC74C4"/>
    <w:rsid w:val="00EC7CCE"/>
    <w:rsid w:val="00ED0F6E"/>
    <w:rsid w:val="00ED1A34"/>
    <w:rsid w:val="00ED3BC6"/>
    <w:rsid w:val="00ED4820"/>
    <w:rsid w:val="00ED67BC"/>
    <w:rsid w:val="00EE074A"/>
    <w:rsid w:val="00EE12A9"/>
    <w:rsid w:val="00EE1F8A"/>
    <w:rsid w:val="00EE39E6"/>
    <w:rsid w:val="00EE3D23"/>
    <w:rsid w:val="00EE4745"/>
    <w:rsid w:val="00EE7A07"/>
    <w:rsid w:val="00EF03E1"/>
    <w:rsid w:val="00EF14B2"/>
    <w:rsid w:val="00EF6DC2"/>
    <w:rsid w:val="00F0091A"/>
    <w:rsid w:val="00F0151D"/>
    <w:rsid w:val="00F01993"/>
    <w:rsid w:val="00F01AC6"/>
    <w:rsid w:val="00F02BB9"/>
    <w:rsid w:val="00F04E34"/>
    <w:rsid w:val="00F060C0"/>
    <w:rsid w:val="00F075E5"/>
    <w:rsid w:val="00F12D2F"/>
    <w:rsid w:val="00F160A6"/>
    <w:rsid w:val="00F1720A"/>
    <w:rsid w:val="00F17AB1"/>
    <w:rsid w:val="00F21813"/>
    <w:rsid w:val="00F21FA3"/>
    <w:rsid w:val="00F21FA7"/>
    <w:rsid w:val="00F2270A"/>
    <w:rsid w:val="00F2549C"/>
    <w:rsid w:val="00F2738D"/>
    <w:rsid w:val="00F31D46"/>
    <w:rsid w:val="00F34DDE"/>
    <w:rsid w:val="00F36163"/>
    <w:rsid w:val="00F375F8"/>
    <w:rsid w:val="00F4153B"/>
    <w:rsid w:val="00F41581"/>
    <w:rsid w:val="00F42B57"/>
    <w:rsid w:val="00F42BD5"/>
    <w:rsid w:val="00F468EF"/>
    <w:rsid w:val="00F51DA1"/>
    <w:rsid w:val="00F5277C"/>
    <w:rsid w:val="00F540F5"/>
    <w:rsid w:val="00F55BF8"/>
    <w:rsid w:val="00F57FEA"/>
    <w:rsid w:val="00F60E35"/>
    <w:rsid w:val="00F6478A"/>
    <w:rsid w:val="00F67E25"/>
    <w:rsid w:val="00F73C57"/>
    <w:rsid w:val="00F80C50"/>
    <w:rsid w:val="00F82670"/>
    <w:rsid w:val="00F82CE8"/>
    <w:rsid w:val="00F83744"/>
    <w:rsid w:val="00F84455"/>
    <w:rsid w:val="00F8546A"/>
    <w:rsid w:val="00F90D94"/>
    <w:rsid w:val="00F916F2"/>
    <w:rsid w:val="00F93107"/>
    <w:rsid w:val="00F933DB"/>
    <w:rsid w:val="00F947FD"/>
    <w:rsid w:val="00F95E68"/>
    <w:rsid w:val="00FA058F"/>
    <w:rsid w:val="00FA059C"/>
    <w:rsid w:val="00FA1ADB"/>
    <w:rsid w:val="00FA42F1"/>
    <w:rsid w:val="00FB08BF"/>
    <w:rsid w:val="00FB195C"/>
    <w:rsid w:val="00FB3C29"/>
    <w:rsid w:val="00FB4DA5"/>
    <w:rsid w:val="00FB5C15"/>
    <w:rsid w:val="00FB659E"/>
    <w:rsid w:val="00FC05C9"/>
    <w:rsid w:val="00FC121B"/>
    <w:rsid w:val="00FC1EE3"/>
    <w:rsid w:val="00FC5404"/>
    <w:rsid w:val="00FC5B1A"/>
    <w:rsid w:val="00FC71F5"/>
    <w:rsid w:val="00FD1266"/>
    <w:rsid w:val="00FD13F2"/>
    <w:rsid w:val="00FD2184"/>
    <w:rsid w:val="00FD34B6"/>
    <w:rsid w:val="00FD4F29"/>
    <w:rsid w:val="00FE0E06"/>
    <w:rsid w:val="00FE110C"/>
    <w:rsid w:val="00FE3AF4"/>
    <w:rsid w:val="00FE57EA"/>
    <w:rsid w:val="00FE7E2F"/>
    <w:rsid w:val="00FF0749"/>
    <w:rsid w:val="00FF08F8"/>
    <w:rsid w:val="00FF1BBF"/>
    <w:rsid w:val="00FF24B4"/>
    <w:rsid w:val="00FF5F64"/>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026"/>
    <o:shapelayout v:ext="edit">
      <o:idmap v:ext="edit" data="1"/>
    </o:shapelayout>
  </w:shapeDefaults>
  <w:decimalSymbol w:val=","/>
  <w:listSeparator w:val=";"/>
  <w14:docId w14:val="5677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646"/>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556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qFormat/>
    <w:rsid w:val="00D76DDC"/>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5566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197BED"/>
    <w:pPr>
      <w:keepNext/>
      <w:tabs>
        <w:tab w:val="left" w:pos="567"/>
      </w:tabs>
      <w:spacing w:after="0" w:line="260" w:lineRule="exact"/>
      <w:jc w:val="both"/>
      <w:outlineLvl w:val="3"/>
    </w:pPr>
    <w:rPr>
      <w:rFonts w:ascii="Times New Roman" w:eastAsia="Times New Roman" w:hAnsi="Times New Roman"/>
      <w:b/>
      <w:noProof/>
      <w:szCs w:val="20"/>
    </w:rPr>
  </w:style>
  <w:style w:type="paragraph" w:styleId="berschrift5">
    <w:name w:val="heading 5"/>
    <w:basedOn w:val="Standard"/>
    <w:next w:val="Standard"/>
    <w:link w:val="berschrift5Zchn"/>
    <w:uiPriority w:val="9"/>
    <w:semiHidden/>
    <w:unhideWhenUsed/>
    <w:qFormat/>
    <w:rsid w:val="0055661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5661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566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5661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566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semiHidden/>
    <w:unhideWhenUsed/>
    <w:rsid w:val="0001430D"/>
    <w:rPr>
      <w:sz w:val="16"/>
      <w:szCs w:val="16"/>
    </w:rPr>
  </w:style>
  <w:style w:type="paragraph" w:styleId="Kommentartext">
    <w:name w:val="annotation text"/>
    <w:basedOn w:val="Standard"/>
    <w:link w:val="KommentartextZchn"/>
    <w:semiHidden/>
    <w:unhideWhenUsed/>
    <w:rsid w:val="0001430D"/>
    <w:rPr>
      <w:sz w:val="20"/>
      <w:szCs w:val="20"/>
    </w:rPr>
  </w:style>
  <w:style w:type="character" w:customStyle="1" w:styleId="KommentartextZchn">
    <w:name w:val="Kommentartext Zchn"/>
    <w:link w:val="Kommentartext"/>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character" w:styleId="Zeilennummer">
    <w:name w:val="line number"/>
    <w:basedOn w:val="Absatz-Standardschriftart"/>
    <w:uiPriority w:val="99"/>
    <w:semiHidden/>
    <w:unhideWhenUsed/>
    <w:rsid w:val="00C555AA"/>
  </w:style>
  <w:style w:type="paragraph" w:styleId="Endnotentext">
    <w:name w:val="endnote text"/>
    <w:basedOn w:val="Standard"/>
    <w:link w:val="EndnotentextZchn"/>
    <w:semiHidden/>
    <w:rsid w:val="00521437"/>
    <w:pPr>
      <w:tabs>
        <w:tab w:val="left" w:pos="567"/>
      </w:tabs>
      <w:spacing w:after="0" w:line="240" w:lineRule="auto"/>
    </w:pPr>
    <w:rPr>
      <w:rFonts w:ascii="Times New Roman" w:eastAsia="Times New Roman" w:hAnsi="Times New Roman"/>
      <w:szCs w:val="20"/>
      <w:lang w:val="en-GB"/>
    </w:rPr>
  </w:style>
  <w:style w:type="character" w:customStyle="1" w:styleId="EndnotentextZchn">
    <w:name w:val="Endnotentext Zchn"/>
    <w:link w:val="Endnotentext"/>
    <w:rsid w:val="00521437"/>
    <w:rPr>
      <w:rFonts w:ascii="Times New Roman" w:eastAsia="Times New Roman" w:hAnsi="Times New Roman"/>
      <w:sz w:val="22"/>
      <w:lang w:val="en-GB"/>
    </w:rPr>
  </w:style>
  <w:style w:type="paragraph" w:customStyle="1" w:styleId="Table">
    <w:name w:val="Table"/>
    <w:basedOn w:val="Standard"/>
    <w:link w:val="TableChar"/>
    <w:rsid w:val="00470A93"/>
    <w:pPr>
      <w:keepNext/>
      <w:keepLines/>
      <w:tabs>
        <w:tab w:val="left" w:pos="284"/>
      </w:tabs>
      <w:spacing w:before="40" w:after="20" w:line="240" w:lineRule="auto"/>
    </w:pPr>
    <w:rPr>
      <w:rFonts w:ascii="Arial" w:eastAsia="Times New Roman" w:hAnsi="Arial"/>
      <w:sz w:val="20"/>
      <w:szCs w:val="20"/>
      <w:lang w:val="en-US"/>
    </w:rPr>
  </w:style>
  <w:style w:type="character" w:customStyle="1" w:styleId="TableChar">
    <w:name w:val="Table Char"/>
    <w:link w:val="Table"/>
    <w:rsid w:val="00470A93"/>
    <w:rPr>
      <w:rFonts w:ascii="Arial" w:eastAsia="Times New Roman" w:hAnsi="Arial"/>
      <w:lang w:val="en-US"/>
    </w:rPr>
  </w:style>
  <w:style w:type="paragraph" w:customStyle="1" w:styleId="Text">
    <w:name w:val="Text"/>
    <w:basedOn w:val="Standard"/>
    <w:rsid w:val="0068243A"/>
    <w:pPr>
      <w:spacing w:before="120" w:after="0" w:line="240" w:lineRule="auto"/>
      <w:jc w:val="both"/>
    </w:pPr>
    <w:rPr>
      <w:rFonts w:ascii="Times New Roman" w:eastAsia="Times New Roman" w:hAnsi="Times New Roman"/>
      <w:sz w:val="24"/>
      <w:szCs w:val="20"/>
      <w:lang w:val="en-US" w:eastAsia="it-IT"/>
    </w:rPr>
  </w:style>
  <w:style w:type="character" w:customStyle="1" w:styleId="berschrift4Zchn">
    <w:name w:val="Überschrift 4 Zchn"/>
    <w:link w:val="berschrift4"/>
    <w:rsid w:val="00197BED"/>
    <w:rPr>
      <w:rFonts w:ascii="Times New Roman" w:eastAsia="Times New Roman" w:hAnsi="Times New Roman"/>
      <w:b/>
      <w:noProof/>
      <w:sz w:val="22"/>
    </w:rPr>
  </w:style>
  <w:style w:type="paragraph" w:styleId="Textkrper">
    <w:name w:val="Body Text"/>
    <w:basedOn w:val="Standard"/>
    <w:link w:val="TextkrperZchn"/>
    <w:rsid w:val="00D203E4"/>
    <w:pPr>
      <w:spacing w:after="0" w:line="240" w:lineRule="auto"/>
      <w:jc w:val="both"/>
    </w:pPr>
    <w:rPr>
      <w:rFonts w:ascii="Times New Roman" w:eastAsia="Times New Roman" w:hAnsi="Times New Roman"/>
      <w:sz w:val="72"/>
      <w:szCs w:val="20"/>
    </w:rPr>
  </w:style>
  <w:style w:type="character" w:customStyle="1" w:styleId="TextkrperZchn">
    <w:name w:val="Textkörper Zchn"/>
    <w:link w:val="Textkrper"/>
    <w:rsid w:val="00D203E4"/>
    <w:rPr>
      <w:rFonts w:ascii="Times New Roman" w:eastAsia="Times New Roman" w:hAnsi="Times New Roman"/>
      <w:sz w:val="72"/>
    </w:rPr>
  </w:style>
  <w:style w:type="character" w:customStyle="1" w:styleId="st">
    <w:name w:val="st"/>
    <w:basedOn w:val="Absatz-Standardschriftart"/>
    <w:rsid w:val="009F3419"/>
  </w:style>
  <w:style w:type="character" w:styleId="Hervorhebung">
    <w:name w:val="Emphasis"/>
    <w:uiPriority w:val="20"/>
    <w:qFormat/>
    <w:rsid w:val="009F3419"/>
    <w:rPr>
      <w:i/>
      <w:iCs/>
    </w:rPr>
  </w:style>
  <w:style w:type="paragraph" w:customStyle="1" w:styleId="EMEABodyText">
    <w:name w:val="EMEA Body Text"/>
    <w:basedOn w:val="Standard"/>
    <w:rsid w:val="007018C1"/>
    <w:pPr>
      <w:spacing w:after="0" w:line="240" w:lineRule="auto"/>
    </w:pPr>
    <w:rPr>
      <w:rFonts w:ascii="Times New Roman" w:eastAsia="SimSun" w:hAnsi="Times New Roman"/>
      <w:snapToGrid w:val="0"/>
      <w:szCs w:val="20"/>
      <w:lang w:val="en-GB" w:eastAsia="zh-CN"/>
    </w:rPr>
  </w:style>
  <w:style w:type="paragraph" w:styleId="Textkrper3">
    <w:name w:val="Body Text 3"/>
    <w:basedOn w:val="Standard"/>
    <w:link w:val="Textkrper3Zchn"/>
    <w:uiPriority w:val="99"/>
    <w:semiHidden/>
    <w:unhideWhenUsed/>
    <w:rsid w:val="00BE3648"/>
    <w:pPr>
      <w:spacing w:after="120"/>
    </w:pPr>
    <w:rPr>
      <w:sz w:val="16"/>
      <w:szCs w:val="16"/>
    </w:rPr>
  </w:style>
  <w:style w:type="character" w:customStyle="1" w:styleId="Textkrper3Zchn">
    <w:name w:val="Textkörper 3 Zchn"/>
    <w:link w:val="Textkrper3"/>
    <w:uiPriority w:val="99"/>
    <w:semiHidden/>
    <w:rsid w:val="00BE3648"/>
    <w:rPr>
      <w:sz w:val="16"/>
      <w:szCs w:val="16"/>
      <w:lang w:val="is-IS" w:eastAsia="en-US"/>
    </w:rPr>
  </w:style>
  <w:style w:type="character" w:customStyle="1" w:styleId="berschrift2Zchn">
    <w:name w:val="Überschrift 2 Zchn"/>
    <w:link w:val="berschrift2"/>
    <w:uiPriority w:val="9"/>
    <w:semiHidden/>
    <w:rsid w:val="00D76DDC"/>
    <w:rPr>
      <w:rFonts w:ascii="Cambria" w:eastAsia="Times New Roman" w:hAnsi="Cambria" w:cs="Times New Roman"/>
      <w:b/>
      <w:bCs/>
      <w:i/>
      <w:iCs/>
      <w:sz w:val="28"/>
      <w:szCs w:val="28"/>
      <w:lang w:val="is-IS" w:eastAsia="en-US"/>
    </w:rPr>
  </w:style>
  <w:style w:type="character" w:customStyle="1" w:styleId="st1">
    <w:name w:val="st1"/>
    <w:basedOn w:val="Absatz-Standardschriftart"/>
    <w:rsid w:val="00DB266A"/>
  </w:style>
  <w:style w:type="paragraph" w:customStyle="1" w:styleId="NormalParagraphStyle">
    <w:name w:val="NormalParagraphStyle"/>
    <w:basedOn w:val="Standard"/>
    <w:rsid w:val="00C772B5"/>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5F4734"/>
    <w:rPr>
      <w:sz w:val="22"/>
      <w:szCs w:val="22"/>
      <w:lang w:val="is-IS" w:eastAsia="en-US"/>
    </w:rPr>
  </w:style>
  <w:style w:type="character" w:styleId="BesuchterHyperlink">
    <w:name w:val="FollowedHyperlink"/>
    <w:unhideWhenUsed/>
    <w:rsid w:val="00E054B5"/>
    <w:rPr>
      <w:color w:val="800080"/>
      <w:u w:val="single"/>
    </w:rPr>
  </w:style>
  <w:style w:type="paragraph" w:customStyle="1" w:styleId="Nottoc-headings">
    <w:name w:val="Not toc-headings"/>
    <w:basedOn w:val="Standard"/>
    <w:next w:val="Text"/>
    <w:link w:val="Nottoc-headingsChar"/>
    <w:rsid w:val="00B36D4C"/>
    <w:pPr>
      <w:keepNext/>
      <w:keepLines/>
      <w:spacing w:before="240" w:after="60" w:line="240" w:lineRule="auto"/>
      <w:ind w:left="1701" w:hanging="1701"/>
    </w:pPr>
    <w:rPr>
      <w:rFonts w:ascii="Arial" w:eastAsia="Times New Roman" w:hAnsi="Arial"/>
      <w:b/>
      <w:sz w:val="24"/>
      <w:szCs w:val="20"/>
      <w:lang w:val="en-US"/>
    </w:rPr>
  </w:style>
  <w:style w:type="character" w:customStyle="1" w:styleId="Nottoc-headingsChar">
    <w:name w:val="Not toc-headings Char"/>
    <w:link w:val="Nottoc-headings"/>
    <w:rsid w:val="00B36D4C"/>
    <w:rPr>
      <w:rFonts w:ascii="Arial" w:eastAsia="Times New Roman" w:hAnsi="Arial"/>
      <w:b/>
      <w:sz w:val="24"/>
      <w:lang w:val="en-US" w:eastAsia="en-US"/>
    </w:rPr>
  </w:style>
  <w:style w:type="paragraph" w:styleId="StandardWeb">
    <w:name w:val="Normal (Web)"/>
    <w:basedOn w:val="Standard"/>
    <w:uiPriority w:val="99"/>
    <w:semiHidden/>
    <w:unhideWhenUsed/>
    <w:rsid w:val="00E231E8"/>
    <w:pPr>
      <w:spacing w:before="100" w:beforeAutospacing="1" w:after="100" w:afterAutospacing="1" w:line="240" w:lineRule="auto"/>
    </w:pPr>
    <w:rPr>
      <w:rFonts w:ascii="Times New Roman" w:eastAsia="Times New Roman" w:hAnsi="Times New Roman"/>
      <w:sz w:val="24"/>
      <w:szCs w:val="24"/>
      <w:lang w:val="it-IT" w:eastAsia="it-IT"/>
    </w:rPr>
  </w:style>
  <w:style w:type="character" w:customStyle="1" w:styleId="TextChar">
    <w:name w:val="Text Char"/>
    <w:rsid w:val="00A65DEE"/>
    <w:rPr>
      <w:sz w:val="24"/>
      <w:lang w:val="en-US" w:eastAsia="it-IT" w:bidi="ar-SA"/>
    </w:rPr>
  </w:style>
  <w:style w:type="paragraph" w:styleId="Abbildungsverzeichnis">
    <w:name w:val="table of figures"/>
    <w:basedOn w:val="Standard"/>
    <w:next w:val="Standard"/>
    <w:uiPriority w:val="99"/>
    <w:semiHidden/>
    <w:unhideWhenUsed/>
    <w:rsid w:val="00556612"/>
    <w:pPr>
      <w:spacing w:after="0"/>
    </w:pPr>
  </w:style>
  <w:style w:type="paragraph" w:customStyle="1" w:styleId="TitleA">
    <w:name w:val="Title A"/>
    <w:basedOn w:val="Standard"/>
    <w:qFormat/>
    <w:rsid w:val="00945646"/>
    <w:pPr>
      <w:widowControl w:val="0"/>
      <w:spacing w:after="0" w:line="240" w:lineRule="auto"/>
      <w:jc w:val="center"/>
    </w:pPr>
    <w:rPr>
      <w:rFonts w:ascii="Times New Roman" w:hAnsi="Times New Roman"/>
      <w:b/>
      <w:lang w:val="it-IT"/>
    </w:rPr>
  </w:style>
  <w:style w:type="paragraph" w:customStyle="1" w:styleId="TitleB">
    <w:name w:val="Title B"/>
    <w:basedOn w:val="TitleA"/>
    <w:qFormat/>
    <w:rsid w:val="00945646"/>
    <w:pPr>
      <w:ind w:left="567" w:hanging="567"/>
      <w:jc w:val="left"/>
    </w:pPr>
  </w:style>
  <w:style w:type="paragraph" w:styleId="Anrede">
    <w:name w:val="Salutation"/>
    <w:basedOn w:val="Standard"/>
    <w:next w:val="Standard"/>
    <w:link w:val="AnredeZchn"/>
    <w:uiPriority w:val="99"/>
    <w:semiHidden/>
    <w:unhideWhenUsed/>
    <w:rsid w:val="00556612"/>
  </w:style>
  <w:style w:type="character" w:customStyle="1" w:styleId="AnredeZchn">
    <w:name w:val="Anrede Zchn"/>
    <w:basedOn w:val="Absatz-Standardschriftart"/>
    <w:link w:val="Anrede"/>
    <w:uiPriority w:val="99"/>
    <w:semiHidden/>
    <w:rsid w:val="00556612"/>
    <w:rPr>
      <w:sz w:val="22"/>
      <w:szCs w:val="22"/>
      <w:lang w:val="is-IS" w:eastAsia="en-US"/>
    </w:rPr>
  </w:style>
  <w:style w:type="paragraph" w:styleId="Aufzhlungszeichen">
    <w:name w:val="List Bullet"/>
    <w:basedOn w:val="Standard"/>
    <w:uiPriority w:val="99"/>
    <w:semiHidden/>
    <w:unhideWhenUsed/>
    <w:rsid w:val="00556612"/>
    <w:pPr>
      <w:numPr>
        <w:numId w:val="41"/>
      </w:numPr>
      <w:contextualSpacing/>
    </w:pPr>
  </w:style>
  <w:style w:type="paragraph" w:styleId="Aufzhlungszeichen2">
    <w:name w:val="List Bullet 2"/>
    <w:basedOn w:val="Standard"/>
    <w:uiPriority w:val="99"/>
    <w:semiHidden/>
    <w:unhideWhenUsed/>
    <w:rsid w:val="00556612"/>
    <w:pPr>
      <w:numPr>
        <w:numId w:val="42"/>
      </w:numPr>
      <w:contextualSpacing/>
    </w:pPr>
  </w:style>
  <w:style w:type="paragraph" w:styleId="Aufzhlungszeichen3">
    <w:name w:val="List Bullet 3"/>
    <w:basedOn w:val="Standard"/>
    <w:uiPriority w:val="99"/>
    <w:semiHidden/>
    <w:unhideWhenUsed/>
    <w:rsid w:val="00556612"/>
    <w:pPr>
      <w:numPr>
        <w:numId w:val="43"/>
      </w:numPr>
      <w:contextualSpacing/>
    </w:pPr>
  </w:style>
  <w:style w:type="paragraph" w:styleId="Aufzhlungszeichen4">
    <w:name w:val="List Bullet 4"/>
    <w:basedOn w:val="Standard"/>
    <w:uiPriority w:val="99"/>
    <w:semiHidden/>
    <w:unhideWhenUsed/>
    <w:rsid w:val="00556612"/>
    <w:pPr>
      <w:numPr>
        <w:numId w:val="44"/>
      </w:numPr>
      <w:contextualSpacing/>
    </w:pPr>
  </w:style>
  <w:style w:type="paragraph" w:styleId="Aufzhlungszeichen5">
    <w:name w:val="List Bullet 5"/>
    <w:basedOn w:val="Standard"/>
    <w:uiPriority w:val="99"/>
    <w:semiHidden/>
    <w:unhideWhenUsed/>
    <w:rsid w:val="00556612"/>
    <w:pPr>
      <w:numPr>
        <w:numId w:val="45"/>
      </w:numPr>
      <w:contextualSpacing/>
    </w:pPr>
  </w:style>
  <w:style w:type="paragraph" w:styleId="Beschriftung">
    <w:name w:val="caption"/>
    <w:basedOn w:val="Standard"/>
    <w:next w:val="Standard"/>
    <w:uiPriority w:val="35"/>
    <w:semiHidden/>
    <w:unhideWhenUsed/>
    <w:qFormat/>
    <w:rsid w:val="00556612"/>
    <w:pPr>
      <w:spacing w:line="240" w:lineRule="auto"/>
    </w:pPr>
    <w:rPr>
      <w:b/>
      <w:bCs/>
      <w:color w:val="4F81BD" w:themeColor="accent1"/>
      <w:sz w:val="18"/>
      <w:szCs w:val="18"/>
    </w:rPr>
  </w:style>
  <w:style w:type="paragraph" w:styleId="Blocktext">
    <w:name w:val="Block Text"/>
    <w:basedOn w:val="Standard"/>
    <w:uiPriority w:val="99"/>
    <w:semiHidden/>
    <w:unhideWhenUsed/>
    <w:rsid w:val="0055661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556612"/>
  </w:style>
  <w:style w:type="character" w:customStyle="1" w:styleId="DatumZchn">
    <w:name w:val="Datum Zchn"/>
    <w:basedOn w:val="Absatz-Standardschriftart"/>
    <w:link w:val="Datum"/>
    <w:uiPriority w:val="99"/>
    <w:semiHidden/>
    <w:rsid w:val="00556612"/>
    <w:rPr>
      <w:sz w:val="22"/>
      <w:szCs w:val="22"/>
      <w:lang w:val="is-IS" w:eastAsia="en-US"/>
    </w:rPr>
  </w:style>
  <w:style w:type="paragraph" w:styleId="Dokumentstruktur">
    <w:name w:val="Document Map"/>
    <w:basedOn w:val="Standard"/>
    <w:link w:val="DokumentstrukturZchn"/>
    <w:uiPriority w:val="99"/>
    <w:semiHidden/>
    <w:unhideWhenUsed/>
    <w:rsid w:val="0055661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56612"/>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556612"/>
    <w:pPr>
      <w:spacing w:after="0" w:line="240" w:lineRule="auto"/>
    </w:pPr>
  </w:style>
  <w:style w:type="character" w:customStyle="1" w:styleId="E-Mail-SignaturZchn">
    <w:name w:val="E-Mail-Signatur Zchn"/>
    <w:basedOn w:val="Absatz-Standardschriftart"/>
    <w:link w:val="E-Mail-Signatur"/>
    <w:uiPriority w:val="99"/>
    <w:semiHidden/>
    <w:rsid w:val="00556612"/>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55661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56612"/>
    <w:rPr>
      <w:sz w:val="22"/>
      <w:szCs w:val="22"/>
      <w:lang w:val="is-IS" w:eastAsia="en-US"/>
    </w:rPr>
  </w:style>
  <w:style w:type="paragraph" w:styleId="Funotentext">
    <w:name w:val="footnote text"/>
    <w:basedOn w:val="Standard"/>
    <w:link w:val="FunotentextZchn"/>
    <w:uiPriority w:val="99"/>
    <w:semiHidden/>
    <w:unhideWhenUsed/>
    <w:rsid w:val="0055661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56612"/>
    <w:rPr>
      <w:lang w:val="is-IS" w:eastAsia="en-US"/>
    </w:rPr>
  </w:style>
  <w:style w:type="paragraph" w:styleId="Gruformel">
    <w:name w:val="Closing"/>
    <w:basedOn w:val="Standard"/>
    <w:link w:val="GruformelZchn"/>
    <w:uiPriority w:val="99"/>
    <w:semiHidden/>
    <w:unhideWhenUsed/>
    <w:rsid w:val="00556612"/>
    <w:pPr>
      <w:spacing w:after="0" w:line="240" w:lineRule="auto"/>
      <w:ind w:left="4252"/>
    </w:pPr>
  </w:style>
  <w:style w:type="character" w:customStyle="1" w:styleId="GruformelZchn">
    <w:name w:val="Grußformel Zchn"/>
    <w:basedOn w:val="Absatz-Standardschriftart"/>
    <w:link w:val="Gruformel"/>
    <w:uiPriority w:val="99"/>
    <w:semiHidden/>
    <w:rsid w:val="00556612"/>
    <w:rPr>
      <w:sz w:val="22"/>
      <w:szCs w:val="22"/>
      <w:lang w:val="is-IS" w:eastAsia="en-US"/>
    </w:rPr>
  </w:style>
  <w:style w:type="paragraph" w:styleId="HTMLAdresse">
    <w:name w:val="HTML Address"/>
    <w:basedOn w:val="Standard"/>
    <w:link w:val="HTMLAdresseZchn"/>
    <w:uiPriority w:val="99"/>
    <w:semiHidden/>
    <w:unhideWhenUsed/>
    <w:rsid w:val="00556612"/>
    <w:pPr>
      <w:spacing w:after="0" w:line="240" w:lineRule="auto"/>
    </w:pPr>
    <w:rPr>
      <w:i/>
      <w:iCs/>
    </w:rPr>
  </w:style>
  <w:style w:type="character" w:customStyle="1" w:styleId="HTMLAdresseZchn">
    <w:name w:val="HTML Adresse Zchn"/>
    <w:basedOn w:val="Absatz-Standardschriftart"/>
    <w:link w:val="HTMLAdresse"/>
    <w:uiPriority w:val="99"/>
    <w:semiHidden/>
    <w:rsid w:val="00556612"/>
    <w:rPr>
      <w:i/>
      <w:iCs/>
      <w:sz w:val="22"/>
      <w:szCs w:val="22"/>
      <w:lang w:val="is-IS" w:eastAsia="en-US"/>
    </w:rPr>
  </w:style>
  <w:style w:type="paragraph" w:styleId="HTMLVorformatiert">
    <w:name w:val="HTML Preformatted"/>
    <w:basedOn w:val="Standard"/>
    <w:link w:val="HTMLVorformatiertZchn"/>
    <w:uiPriority w:val="99"/>
    <w:semiHidden/>
    <w:unhideWhenUsed/>
    <w:rsid w:val="00556612"/>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56612"/>
    <w:rPr>
      <w:rFonts w:ascii="Consolas" w:hAnsi="Consolas"/>
      <w:lang w:val="is-IS" w:eastAsia="en-US"/>
    </w:rPr>
  </w:style>
  <w:style w:type="paragraph" w:styleId="Index1">
    <w:name w:val="index 1"/>
    <w:basedOn w:val="Standard"/>
    <w:next w:val="Standard"/>
    <w:autoRedefine/>
    <w:uiPriority w:val="99"/>
    <w:semiHidden/>
    <w:unhideWhenUsed/>
    <w:rsid w:val="00556612"/>
    <w:pPr>
      <w:spacing w:after="0" w:line="240" w:lineRule="auto"/>
      <w:ind w:left="220" w:hanging="220"/>
    </w:pPr>
  </w:style>
  <w:style w:type="paragraph" w:styleId="Index2">
    <w:name w:val="index 2"/>
    <w:basedOn w:val="Standard"/>
    <w:next w:val="Standard"/>
    <w:autoRedefine/>
    <w:uiPriority w:val="99"/>
    <w:semiHidden/>
    <w:unhideWhenUsed/>
    <w:rsid w:val="00556612"/>
    <w:pPr>
      <w:spacing w:after="0" w:line="240" w:lineRule="auto"/>
      <w:ind w:left="440" w:hanging="220"/>
    </w:pPr>
  </w:style>
  <w:style w:type="paragraph" w:styleId="Index3">
    <w:name w:val="index 3"/>
    <w:basedOn w:val="Standard"/>
    <w:next w:val="Standard"/>
    <w:autoRedefine/>
    <w:uiPriority w:val="99"/>
    <w:semiHidden/>
    <w:unhideWhenUsed/>
    <w:rsid w:val="00556612"/>
    <w:pPr>
      <w:spacing w:after="0" w:line="240" w:lineRule="auto"/>
      <w:ind w:left="660" w:hanging="220"/>
    </w:pPr>
  </w:style>
  <w:style w:type="paragraph" w:styleId="Index4">
    <w:name w:val="index 4"/>
    <w:basedOn w:val="Standard"/>
    <w:next w:val="Standard"/>
    <w:autoRedefine/>
    <w:uiPriority w:val="99"/>
    <w:semiHidden/>
    <w:unhideWhenUsed/>
    <w:rsid w:val="00556612"/>
    <w:pPr>
      <w:spacing w:after="0" w:line="240" w:lineRule="auto"/>
      <w:ind w:left="880" w:hanging="220"/>
    </w:pPr>
  </w:style>
  <w:style w:type="paragraph" w:styleId="Index5">
    <w:name w:val="index 5"/>
    <w:basedOn w:val="Standard"/>
    <w:next w:val="Standard"/>
    <w:autoRedefine/>
    <w:uiPriority w:val="99"/>
    <w:semiHidden/>
    <w:unhideWhenUsed/>
    <w:rsid w:val="00556612"/>
    <w:pPr>
      <w:spacing w:after="0" w:line="240" w:lineRule="auto"/>
      <w:ind w:left="1100" w:hanging="220"/>
    </w:pPr>
  </w:style>
  <w:style w:type="paragraph" w:styleId="Index6">
    <w:name w:val="index 6"/>
    <w:basedOn w:val="Standard"/>
    <w:next w:val="Standard"/>
    <w:autoRedefine/>
    <w:uiPriority w:val="99"/>
    <w:semiHidden/>
    <w:unhideWhenUsed/>
    <w:rsid w:val="00556612"/>
    <w:pPr>
      <w:spacing w:after="0" w:line="240" w:lineRule="auto"/>
      <w:ind w:left="1320" w:hanging="220"/>
    </w:pPr>
  </w:style>
  <w:style w:type="paragraph" w:styleId="Index7">
    <w:name w:val="index 7"/>
    <w:basedOn w:val="Standard"/>
    <w:next w:val="Standard"/>
    <w:autoRedefine/>
    <w:uiPriority w:val="99"/>
    <w:semiHidden/>
    <w:unhideWhenUsed/>
    <w:rsid w:val="00556612"/>
    <w:pPr>
      <w:spacing w:after="0" w:line="240" w:lineRule="auto"/>
      <w:ind w:left="1540" w:hanging="220"/>
    </w:pPr>
  </w:style>
  <w:style w:type="paragraph" w:styleId="Index8">
    <w:name w:val="index 8"/>
    <w:basedOn w:val="Standard"/>
    <w:next w:val="Standard"/>
    <w:autoRedefine/>
    <w:uiPriority w:val="99"/>
    <w:semiHidden/>
    <w:unhideWhenUsed/>
    <w:rsid w:val="00556612"/>
    <w:pPr>
      <w:spacing w:after="0" w:line="240" w:lineRule="auto"/>
      <w:ind w:left="1760" w:hanging="220"/>
    </w:pPr>
  </w:style>
  <w:style w:type="paragraph" w:styleId="Index9">
    <w:name w:val="index 9"/>
    <w:basedOn w:val="Standard"/>
    <w:next w:val="Standard"/>
    <w:autoRedefine/>
    <w:uiPriority w:val="99"/>
    <w:semiHidden/>
    <w:unhideWhenUsed/>
    <w:rsid w:val="00556612"/>
    <w:pPr>
      <w:spacing w:after="0" w:line="240" w:lineRule="auto"/>
      <w:ind w:left="1980" w:hanging="220"/>
    </w:pPr>
  </w:style>
  <w:style w:type="paragraph" w:styleId="Indexberschrift">
    <w:name w:val="index heading"/>
    <w:basedOn w:val="Standard"/>
    <w:next w:val="Index1"/>
    <w:uiPriority w:val="99"/>
    <w:semiHidden/>
    <w:unhideWhenUsed/>
    <w:rsid w:val="00556612"/>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556612"/>
    <w:rPr>
      <w:rFonts w:asciiTheme="majorHAnsi" w:eastAsiaTheme="majorEastAsia" w:hAnsiTheme="majorHAnsi" w:cstheme="majorBidi"/>
      <w:b/>
      <w:bCs/>
      <w:color w:val="365F91" w:themeColor="accent1" w:themeShade="BF"/>
      <w:sz w:val="28"/>
      <w:szCs w:val="28"/>
      <w:lang w:val="is-IS" w:eastAsia="en-US"/>
    </w:rPr>
  </w:style>
  <w:style w:type="paragraph" w:styleId="Inhaltsverzeichnisberschrift">
    <w:name w:val="TOC Heading"/>
    <w:basedOn w:val="berschrift1"/>
    <w:next w:val="Standard"/>
    <w:uiPriority w:val="39"/>
    <w:semiHidden/>
    <w:unhideWhenUsed/>
    <w:qFormat/>
    <w:rsid w:val="00556612"/>
    <w:pPr>
      <w:outlineLvl w:val="9"/>
    </w:pPr>
  </w:style>
  <w:style w:type="paragraph" w:styleId="IntensivesZitat">
    <w:name w:val="Intense Quote"/>
    <w:basedOn w:val="Standard"/>
    <w:next w:val="Standard"/>
    <w:link w:val="IntensivesZitatZchn"/>
    <w:uiPriority w:val="30"/>
    <w:qFormat/>
    <w:rsid w:val="0055661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56612"/>
    <w:rPr>
      <w:b/>
      <w:bCs/>
      <w:i/>
      <w:iCs/>
      <w:color w:val="4F81BD" w:themeColor="accent1"/>
      <w:sz w:val="22"/>
      <w:szCs w:val="22"/>
      <w:lang w:val="is-IS" w:eastAsia="en-US"/>
    </w:rPr>
  </w:style>
  <w:style w:type="paragraph" w:styleId="Liste">
    <w:name w:val="List"/>
    <w:basedOn w:val="Standard"/>
    <w:uiPriority w:val="99"/>
    <w:semiHidden/>
    <w:unhideWhenUsed/>
    <w:rsid w:val="00556612"/>
    <w:pPr>
      <w:ind w:left="283" w:hanging="283"/>
      <w:contextualSpacing/>
    </w:pPr>
  </w:style>
  <w:style w:type="paragraph" w:styleId="Liste2">
    <w:name w:val="List 2"/>
    <w:basedOn w:val="Standard"/>
    <w:uiPriority w:val="99"/>
    <w:semiHidden/>
    <w:unhideWhenUsed/>
    <w:rsid w:val="00556612"/>
    <w:pPr>
      <w:ind w:left="566" w:hanging="283"/>
      <w:contextualSpacing/>
    </w:pPr>
  </w:style>
  <w:style w:type="paragraph" w:styleId="Liste3">
    <w:name w:val="List 3"/>
    <w:basedOn w:val="Standard"/>
    <w:uiPriority w:val="99"/>
    <w:semiHidden/>
    <w:unhideWhenUsed/>
    <w:rsid w:val="00556612"/>
    <w:pPr>
      <w:ind w:left="849" w:hanging="283"/>
      <w:contextualSpacing/>
    </w:pPr>
  </w:style>
  <w:style w:type="paragraph" w:styleId="Liste4">
    <w:name w:val="List 4"/>
    <w:basedOn w:val="Standard"/>
    <w:uiPriority w:val="99"/>
    <w:semiHidden/>
    <w:unhideWhenUsed/>
    <w:rsid w:val="00556612"/>
    <w:pPr>
      <w:ind w:left="1132" w:hanging="283"/>
      <w:contextualSpacing/>
    </w:pPr>
  </w:style>
  <w:style w:type="paragraph" w:styleId="Liste5">
    <w:name w:val="List 5"/>
    <w:basedOn w:val="Standard"/>
    <w:uiPriority w:val="99"/>
    <w:semiHidden/>
    <w:unhideWhenUsed/>
    <w:rsid w:val="00556612"/>
    <w:pPr>
      <w:ind w:left="1415" w:hanging="283"/>
      <w:contextualSpacing/>
    </w:pPr>
  </w:style>
  <w:style w:type="paragraph" w:styleId="Listenabsatz">
    <w:name w:val="List Paragraph"/>
    <w:basedOn w:val="Standard"/>
    <w:uiPriority w:val="34"/>
    <w:qFormat/>
    <w:rsid w:val="00556612"/>
    <w:pPr>
      <w:ind w:left="720"/>
      <w:contextualSpacing/>
    </w:pPr>
  </w:style>
  <w:style w:type="paragraph" w:styleId="Listenfortsetzung">
    <w:name w:val="List Continue"/>
    <w:basedOn w:val="Standard"/>
    <w:uiPriority w:val="99"/>
    <w:semiHidden/>
    <w:unhideWhenUsed/>
    <w:rsid w:val="00556612"/>
    <w:pPr>
      <w:spacing w:after="120"/>
      <w:ind w:left="283"/>
      <w:contextualSpacing/>
    </w:pPr>
  </w:style>
  <w:style w:type="paragraph" w:styleId="Listenfortsetzung2">
    <w:name w:val="List Continue 2"/>
    <w:basedOn w:val="Standard"/>
    <w:uiPriority w:val="99"/>
    <w:semiHidden/>
    <w:unhideWhenUsed/>
    <w:rsid w:val="00556612"/>
    <w:pPr>
      <w:spacing w:after="120"/>
      <w:ind w:left="566"/>
      <w:contextualSpacing/>
    </w:pPr>
  </w:style>
  <w:style w:type="paragraph" w:styleId="Listenfortsetzung3">
    <w:name w:val="List Continue 3"/>
    <w:basedOn w:val="Standard"/>
    <w:uiPriority w:val="99"/>
    <w:semiHidden/>
    <w:unhideWhenUsed/>
    <w:rsid w:val="00556612"/>
    <w:pPr>
      <w:spacing w:after="120"/>
      <w:ind w:left="849"/>
      <w:contextualSpacing/>
    </w:pPr>
  </w:style>
  <w:style w:type="paragraph" w:styleId="Listenfortsetzung4">
    <w:name w:val="List Continue 4"/>
    <w:basedOn w:val="Standard"/>
    <w:uiPriority w:val="99"/>
    <w:semiHidden/>
    <w:unhideWhenUsed/>
    <w:rsid w:val="00556612"/>
    <w:pPr>
      <w:spacing w:after="120"/>
      <w:ind w:left="1132"/>
      <w:contextualSpacing/>
    </w:pPr>
  </w:style>
  <w:style w:type="paragraph" w:styleId="Listenfortsetzung5">
    <w:name w:val="List Continue 5"/>
    <w:basedOn w:val="Standard"/>
    <w:uiPriority w:val="99"/>
    <w:semiHidden/>
    <w:unhideWhenUsed/>
    <w:rsid w:val="00556612"/>
    <w:pPr>
      <w:spacing w:after="120"/>
      <w:ind w:left="1415"/>
      <w:contextualSpacing/>
    </w:pPr>
  </w:style>
  <w:style w:type="paragraph" w:styleId="Listennummer">
    <w:name w:val="List Number"/>
    <w:basedOn w:val="Standard"/>
    <w:uiPriority w:val="99"/>
    <w:semiHidden/>
    <w:unhideWhenUsed/>
    <w:rsid w:val="00556612"/>
    <w:pPr>
      <w:numPr>
        <w:numId w:val="46"/>
      </w:numPr>
      <w:contextualSpacing/>
    </w:pPr>
  </w:style>
  <w:style w:type="paragraph" w:styleId="Listennummer2">
    <w:name w:val="List Number 2"/>
    <w:basedOn w:val="Standard"/>
    <w:uiPriority w:val="99"/>
    <w:semiHidden/>
    <w:unhideWhenUsed/>
    <w:rsid w:val="00556612"/>
    <w:pPr>
      <w:numPr>
        <w:numId w:val="47"/>
      </w:numPr>
      <w:contextualSpacing/>
    </w:pPr>
  </w:style>
  <w:style w:type="paragraph" w:styleId="Listennummer3">
    <w:name w:val="List Number 3"/>
    <w:basedOn w:val="Standard"/>
    <w:uiPriority w:val="99"/>
    <w:semiHidden/>
    <w:unhideWhenUsed/>
    <w:rsid w:val="00556612"/>
    <w:pPr>
      <w:numPr>
        <w:numId w:val="48"/>
      </w:numPr>
      <w:contextualSpacing/>
    </w:pPr>
  </w:style>
  <w:style w:type="paragraph" w:styleId="Listennummer4">
    <w:name w:val="List Number 4"/>
    <w:basedOn w:val="Standard"/>
    <w:uiPriority w:val="99"/>
    <w:semiHidden/>
    <w:unhideWhenUsed/>
    <w:rsid w:val="00556612"/>
    <w:pPr>
      <w:numPr>
        <w:numId w:val="49"/>
      </w:numPr>
      <w:contextualSpacing/>
    </w:pPr>
  </w:style>
  <w:style w:type="paragraph" w:styleId="Listennummer5">
    <w:name w:val="List Number 5"/>
    <w:basedOn w:val="Standard"/>
    <w:uiPriority w:val="99"/>
    <w:semiHidden/>
    <w:unhideWhenUsed/>
    <w:rsid w:val="00556612"/>
    <w:pPr>
      <w:numPr>
        <w:numId w:val="50"/>
      </w:numPr>
      <w:contextualSpacing/>
    </w:pPr>
  </w:style>
  <w:style w:type="paragraph" w:styleId="Literaturverzeichnis">
    <w:name w:val="Bibliography"/>
    <w:basedOn w:val="Standard"/>
    <w:next w:val="Standard"/>
    <w:uiPriority w:val="37"/>
    <w:semiHidden/>
    <w:unhideWhenUsed/>
    <w:rsid w:val="00556612"/>
  </w:style>
  <w:style w:type="paragraph" w:styleId="Makrotext">
    <w:name w:val="macro"/>
    <w:link w:val="MakrotextZchn"/>
    <w:uiPriority w:val="99"/>
    <w:semiHidden/>
    <w:unhideWhenUsed/>
    <w:rsid w:val="00556612"/>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is-IS" w:eastAsia="en-US"/>
    </w:rPr>
  </w:style>
  <w:style w:type="character" w:customStyle="1" w:styleId="MakrotextZchn">
    <w:name w:val="Makrotext Zchn"/>
    <w:basedOn w:val="Absatz-Standardschriftart"/>
    <w:link w:val="Makrotext"/>
    <w:uiPriority w:val="99"/>
    <w:semiHidden/>
    <w:rsid w:val="00556612"/>
    <w:rPr>
      <w:rFonts w:ascii="Consolas" w:hAnsi="Consolas"/>
      <w:lang w:val="is-IS" w:eastAsia="en-US"/>
    </w:rPr>
  </w:style>
  <w:style w:type="paragraph" w:styleId="Nachrichtenkopf">
    <w:name w:val="Message Header"/>
    <w:basedOn w:val="Standard"/>
    <w:link w:val="NachrichtenkopfZchn"/>
    <w:uiPriority w:val="99"/>
    <w:semiHidden/>
    <w:unhideWhenUsed/>
    <w:rsid w:val="0055661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56612"/>
    <w:rPr>
      <w:rFonts w:asciiTheme="majorHAnsi" w:eastAsiaTheme="majorEastAsia" w:hAnsiTheme="majorHAnsi" w:cstheme="majorBidi"/>
      <w:sz w:val="24"/>
      <w:szCs w:val="24"/>
      <w:shd w:val="pct20" w:color="auto" w:fill="auto"/>
      <w:lang w:val="is-IS" w:eastAsia="en-US"/>
    </w:rPr>
  </w:style>
  <w:style w:type="paragraph" w:styleId="NurText">
    <w:name w:val="Plain Text"/>
    <w:basedOn w:val="Standard"/>
    <w:link w:val="NurTextZchn"/>
    <w:uiPriority w:val="99"/>
    <w:semiHidden/>
    <w:unhideWhenUsed/>
    <w:rsid w:val="00556612"/>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556612"/>
    <w:rPr>
      <w:rFonts w:ascii="Consolas" w:hAnsi="Consolas"/>
      <w:sz w:val="21"/>
      <w:szCs w:val="21"/>
      <w:lang w:val="is-IS" w:eastAsia="en-US"/>
    </w:rPr>
  </w:style>
  <w:style w:type="paragraph" w:styleId="Rechtsgrundlagenverzeichnis">
    <w:name w:val="table of authorities"/>
    <w:basedOn w:val="Standard"/>
    <w:next w:val="Standard"/>
    <w:uiPriority w:val="99"/>
    <w:semiHidden/>
    <w:unhideWhenUsed/>
    <w:rsid w:val="00556612"/>
    <w:pPr>
      <w:spacing w:after="0"/>
      <w:ind w:left="220" w:hanging="220"/>
    </w:pPr>
  </w:style>
  <w:style w:type="paragraph" w:styleId="RGV-berschrift">
    <w:name w:val="toa heading"/>
    <w:basedOn w:val="Standard"/>
    <w:next w:val="Standard"/>
    <w:uiPriority w:val="99"/>
    <w:semiHidden/>
    <w:unhideWhenUsed/>
    <w:rsid w:val="00556612"/>
    <w:pPr>
      <w:spacing w:before="120"/>
    </w:pPr>
    <w:rPr>
      <w:rFonts w:asciiTheme="majorHAnsi" w:eastAsiaTheme="majorEastAsia" w:hAnsiTheme="majorHAnsi" w:cstheme="majorBidi"/>
      <w:b/>
      <w:bCs/>
      <w:sz w:val="24"/>
      <w:szCs w:val="24"/>
    </w:rPr>
  </w:style>
  <w:style w:type="paragraph" w:styleId="Standardeinzug">
    <w:name w:val="Normal Indent"/>
    <w:basedOn w:val="Standard"/>
    <w:uiPriority w:val="99"/>
    <w:semiHidden/>
    <w:unhideWhenUsed/>
    <w:rsid w:val="00556612"/>
    <w:pPr>
      <w:ind w:left="708"/>
    </w:pPr>
  </w:style>
  <w:style w:type="paragraph" w:styleId="Textkrper2">
    <w:name w:val="Body Text 2"/>
    <w:basedOn w:val="Standard"/>
    <w:link w:val="Textkrper2Zchn"/>
    <w:uiPriority w:val="99"/>
    <w:semiHidden/>
    <w:unhideWhenUsed/>
    <w:rsid w:val="00556612"/>
    <w:pPr>
      <w:spacing w:after="120" w:line="480" w:lineRule="auto"/>
    </w:pPr>
  </w:style>
  <w:style w:type="character" w:customStyle="1" w:styleId="Textkrper2Zchn">
    <w:name w:val="Textkörper 2 Zchn"/>
    <w:basedOn w:val="Absatz-Standardschriftart"/>
    <w:link w:val="Textkrper2"/>
    <w:uiPriority w:val="99"/>
    <w:semiHidden/>
    <w:rsid w:val="00556612"/>
    <w:rPr>
      <w:sz w:val="22"/>
      <w:szCs w:val="22"/>
      <w:lang w:val="is-IS" w:eastAsia="en-US"/>
    </w:rPr>
  </w:style>
  <w:style w:type="paragraph" w:styleId="Textkrper-Einzug2">
    <w:name w:val="Body Text Indent 2"/>
    <w:basedOn w:val="Standard"/>
    <w:link w:val="Textkrper-Einzug2Zchn"/>
    <w:uiPriority w:val="99"/>
    <w:semiHidden/>
    <w:unhideWhenUsed/>
    <w:rsid w:val="0055661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56612"/>
    <w:rPr>
      <w:sz w:val="22"/>
      <w:szCs w:val="22"/>
      <w:lang w:val="is-IS" w:eastAsia="en-US"/>
    </w:rPr>
  </w:style>
  <w:style w:type="paragraph" w:styleId="Textkrper-Einzug3">
    <w:name w:val="Body Text Indent 3"/>
    <w:basedOn w:val="Standard"/>
    <w:link w:val="Textkrper-Einzug3Zchn"/>
    <w:uiPriority w:val="99"/>
    <w:semiHidden/>
    <w:unhideWhenUsed/>
    <w:rsid w:val="0055661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56612"/>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556612"/>
    <w:pPr>
      <w:spacing w:after="200" w:line="276" w:lineRule="auto"/>
      <w:ind w:firstLine="360"/>
      <w:jc w:val="left"/>
    </w:pPr>
    <w:rPr>
      <w:rFonts w:ascii="Calibri" w:eastAsia="Calibri" w:hAnsi="Calibri"/>
      <w:sz w:val="22"/>
      <w:szCs w:val="22"/>
    </w:rPr>
  </w:style>
  <w:style w:type="character" w:customStyle="1" w:styleId="Textkrper-ErstzeileneinzugZchn">
    <w:name w:val="Textkörper-Erstzeileneinzug Zchn"/>
    <w:basedOn w:val="TextkrperZchn"/>
    <w:link w:val="Textkrper-Erstzeileneinzug"/>
    <w:uiPriority w:val="99"/>
    <w:semiHidden/>
    <w:rsid w:val="00556612"/>
    <w:rPr>
      <w:rFonts w:ascii="Times New Roman" w:eastAsia="Times New Roman" w:hAnsi="Times New Roman"/>
      <w:sz w:val="22"/>
      <w:szCs w:val="22"/>
      <w:lang w:val="is-IS" w:eastAsia="en-US"/>
    </w:rPr>
  </w:style>
  <w:style w:type="paragraph" w:styleId="Textkrper-Zeileneinzug">
    <w:name w:val="Body Text Indent"/>
    <w:basedOn w:val="Standard"/>
    <w:link w:val="Textkrper-ZeileneinzugZchn"/>
    <w:uiPriority w:val="99"/>
    <w:semiHidden/>
    <w:unhideWhenUsed/>
    <w:rsid w:val="00556612"/>
    <w:pPr>
      <w:spacing w:after="120"/>
      <w:ind w:left="283"/>
    </w:pPr>
  </w:style>
  <w:style w:type="character" w:customStyle="1" w:styleId="Textkrper-ZeileneinzugZchn">
    <w:name w:val="Textkörper-Zeileneinzug Zchn"/>
    <w:basedOn w:val="Absatz-Standardschriftart"/>
    <w:link w:val="Textkrper-Zeileneinzug"/>
    <w:uiPriority w:val="99"/>
    <w:semiHidden/>
    <w:rsid w:val="00556612"/>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556612"/>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56612"/>
    <w:rPr>
      <w:sz w:val="22"/>
      <w:szCs w:val="22"/>
      <w:lang w:val="is-IS" w:eastAsia="en-US"/>
    </w:rPr>
  </w:style>
  <w:style w:type="paragraph" w:styleId="Titel">
    <w:name w:val="Title"/>
    <w:basedOn w:val="Standard"/>
    <w:next w:val="Standard"/>
    <w:link w:val="TitelZchn"/>
    <w:uiPriority w:val="10"/>
    <w:qFormat/>
    <w:rsid w:val="005566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56612"/>
    <w:rPr>
      <w:rFonts w:asciiTheme="majorHAnsi" w:eastAsiaTheme="majorEastAsia" w:hAnsiTheme="majorHAnsi" w:cstheme="majorBidi"/>
      <w:color w:val="17365D" w:themeColor="text2" w:themeShade="BF"/>
      <w:spacing w:val="5"/>
      <w:kern w:val="28"/>
      <w:sz w:val="52"/>
      <w:szCs w:val="52"/>
      <w:lang w:val="is-IS" w:eastAsia="en-US"/>
    </w:rPr>
  </w:style>
  <w:style w:type="character" w:customStyle="1" w:styleId="berschrift3Zchn">
    <w:name w:val="Überschrift 3 Zchn"/>
    <w:basedOn w:val="Absatz-Standardschriftart"/>
    <w:link w:val="berschrift3"/>
    <w:uiPriority w:val="9"/>
    <w:semiHidden/>
    <w:rsid w:val="00556612"/>
    <w:rPr>
      <w:rFonts w:asciiTheme="majorHAnsi" w:eastAsiaTheme="majorEastAsia" w:hAnsiTheme="majorHAnsi" w:cstheme="majorBidi"/>
      <w:b/>
      <w:bCs/>
      <w:color w:val="4F81BD" w:themeColor="accent1"/>
      <w:sz w:val="22"/>
      <w:szCs w:val="22"/>
      <w:lang w:val="is-IS" w:eastAsia="en-US"/>
    </w:rPr>
  </w:style>
  <w:style w:type="character" w:customStyle="1" w:styleId="berschrift5Zchn">
    <w:name w:val="Überschrift 5 Zchn"/>
    <w:basedOn w:val="Absatz-Standardschriftart"/>
    <w:link w:val="berschrift5"/>
    <w:uiPriority w:val="9"/>
    <w:semiHidden/>
    <w:rsid w:val="00556612"/>
    <w:rPr>
      <w:rFonts w:asciiTheme="majorHAnsi" w:eastAsiaTheme="majorEastAsia" w:hAnsiTheme="majorHAnsi" w:cstheme="majorBidi"/>
      <w:color w:val="243F60" w:themeColor="accent1" w:themeShade="7F"/>
      <w:sz w:val="22"/>
      <w:szCs w:val="22"/>
      <w:lang w:val="is-IS" w:eastAsia="en-US"/>
    </w:rPr>
  </w:style>
  <w:style w:type="character" w:customStyle="1" w:styleId="berschrift6Zchn">
    <w:name w:val="Überschrift 6 Zchn"/>
    <w:basedOn w:val="Absatz-Standardschriftart"/>
    <w:link w:val="berschrift6"/>
    <w:uiPriority w:val="9"/>
    <w:semiHidden/>
    <w:rsid w:val="00556612"/>
    <w:rPr>
      <w:rFonts w:asciiTheme="majorHAnsi" w:eastAsiaTheme="majorEastAsia" w:hAnsiTheme="majorHAnsi" w:cstheme="majorBidi"/>
      <w:i/>
      <w:iCs/>
      <w:color w:val="243F60" w:themeColor="accent1" w:themeShade="7F"/>
      <w:sz w:val="22"/>
      <w:szCs w:val="22"/>
      <w:lang w:val="is-IS" w:eastAsia="en-US"/>
    </w:rPr>
  </w:style>
  <w:style w:type="character" w:customStyle="1" w:styleId="berschrift7Zchn">
    <w:name w:val="Überschrift 7 Zchn"/>
    <w:basedOn w:val="Absatz-Standardschriftart"/>
    <w:link w:val="berschrift7"/>
    <w:uiPriority w:val="9"/>
    <w:semiHidden/>
    <w:rsid w:val="00556612"/>
    <w:rPr>
      <w:rFonts w:asciiTheme="majorHAnsi" w:eastAsiaTheme="majorEastAsia" w:hAnsiTheme="majorHAnsi" w:cstheme="majorBidi"/>
      <w:i/>
      <w:iCs/>
      <w:color w:val="404040" w:themeColor="text1" w:themeTint="BF"/>
      <w:sz w:val="22"/>
      <w:szCs w:val="22"/>
      <w:lang w:val="is-IS" w:eastAsia="en-US"/>
    </w:rPr>
  </w:style>
  <w:style w:type="character" w:customStyle="1" w:styleId="berschrift8Zchn">
    <w:name w:val="Überschrift 8 Zchn"/>
    <w:basedOn w:val="Absatz-Standardschriftart"/>
    <w:link w:val="berschrift8"/>
    <w:uiPriority w:val="9"/>
    <w:semiHidden/>
    <w:rsid w:val="00556612"/>
    <w:rPr>
      <w:rFonts w:asciiTheme="majorHAnsi" w:eastAsiaTheme="majorEastAsia" w:hAnsiTheme="majorHAnsi" w:cstheme="majorBidi"/>
      <w:color w:val="404040" w:themeColor="text1" w:themeTint="BF"/>
      <w:lang w:val="is-IS" w:eastAsia="en-US"/>
    </w:rPr>
  </w:style>
  <w:style w:type="character" w:customStyle="1" w:styleId="berschrift9Zchn">
    <w:name w:val="Überschrift 9 Zchn"/>
    <w:basedOn w:val="Absatz-Standardschriftart"/>
    <w:link w:val="berschrift9"/>
    <w:uiPriority w:val="9"/>
    <w:semiHidden/>
    <w:rsid w:val="00556612"/>
    <w:rPr>
      <w:rFonts w:asciiTheme="majorHAnsi" w:eastAsiaTheme="majorEastAsia" w:hAnsiTheme="majorHAnsi" w:cstheme="majorBidi"/>
      <w:i/>
      <w:iCs/>
      <w:color w:val="404040" w:themeColor="text1" w:themeTint="BF"/>
      <w:lang w:val="is-IS" w:eastAsia="en-US"/>
    </w:rPr>
  </w:style>
  <w:style w:type="paragraph" w:styleId="Umschlagabsenderadresse">
    <w:name w:val="envelope return"/>
    <w:basedOn w:val="Standard"/>
    <w:uiPriority w:val="99"/>
    <w:semiHidden/>
    <w:unhideWhenUsed/>
    <w:rsid w:val="0055661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55661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556612"/>
    <w:pPr>
      <w:spacing w:after="0" w:line="240" w:lineRule="auto"/>
      <w:ind w:left="4252"/>
    </w:pPr>
  </w:style>
  <w:style w:type="character" w:customStyle="1" w:styleId="UnterschriftZchn">
    <w:name w:val="Unterschrift Zchn"/>
    <w:basedOn w:val="Absatz-Standardschriftart"/>
    <w:link w:val="Unterschrift"/>
    <w:uiPriority w:val="99"/>
    <w:semiHidden/>
    <w:rsid w:val="00556612"/>
    <w:rPr>
      <w:sz w:val="22"/>
      <w:szCs w:val="22"/>
      <w:lang w:val="is-IS" w:eastAsia="en-US"/>
    </w:rPr>
  </w:style>
  <w:style w:type="paragraph" w:styleId="Untertitel">
    <w:name w:val="Subtitle"/>
    <w:basedOn w:val="Standard"/>
    <w:next w:val="Standard"/>
    <w:link w:val="UntertitelZchn"/>
    <w:uiPriority w:val="11"/>
    <w:qFormat/>
    <w:rsid w:val="005566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56612"/>
    <w:rPr>
      <w:rFonts w:asciiTheme="majorHAnsi" w:eastAsiaTheme="majorEastAsia" w:hAnsiTheme="majorHAnsi" w:cstheme="majorBidi"/>
      <w:i/>
      <w:iCs/>
      <w:color w:val="4F81BD" w:themeColor="accent1"/>
      <w:spacing w:val="15"/>
      <w:sz w:val="24"/>
      <w:szCs w:val="24"/>
      <w:lang w:val="is-IS" w:eastAsia="en-US"/>
    </w:rPr>
  </w:style>
  <w:style w:type="paragraph" w:styleId="Verzeichnis1">
    <w:name w:val="toc 1"/>
    <w:basedOn w:val="Standard"/>
    <w:next w:val="Standard"/>
    <w:autoRedefine/>
    <w:uiPriority w:val="39"/>
    <w:semiHidden/>
    <w:unhideWhenUsed/>
    <w:rsid w:val="00556612"/>
    <w:pPr>
      <w:spacing w:after="100"/>
    </w:pPr>
  </w:style>
  <w:style w:type="paragraph" w:styleId="Verzeichnis2">
    <w:name w:val="toc 2"/>
    <w:basedOn w:val="Standard"/>
    <w:next w:val="Standard"/>
    <w:autoRedefine/>
    <w:uiPriority w:val="39"/>
    <w:semiHidden/>
    <w:unhideWhenUsed/>
    <w:rsid w:val="00556612"/>
    <w:pPr>
      <w:spacing w:after="100"/>
      <w:ind w:left="220"/>
    </w:pPr>
  </w:style>
  <w:style w:type="paragraph" w:styleId="Verzeichnis3">
    <w:name w:val="toc 3"/>
    <w:basedOn w:val="Standard"/>
    <w:next w:val="Standard"/>
    <w:autoRedefine/>
    <w:uiPriority w:val="39"/>
    <w:semiHidden/>
    <w:unhideWhenUsed/>
    <w:rsid w:val="00556612"/>
    <w:pPr>
      <w:spacing w:after="100"/>
      <w:ind w:left="440"/>
    </w:pPr>
  </w:style>
  <w:style w:type="paragraph" w:styleId="Verzeichnis4">
    <w:name w:val="toc 4"/>
    <w:basedOn w:val="Standard"/>
    <w:next w:val="Standard"/>
    <w:autoRedefine/>
    <w:uiPriority w:val="39"/>
    <w:semiHidden/>
    <w:unhideWhenUsed/>
    <w:rsid w:val="00556612"/>
    <w:pPr>
      <w:spacing w:after="100"/>
      <w:ind w:left="660"/>
    </w:pPr>
  </w:style>
  <w:style w:type="paragraph" w:styleId="Verzeichnis5">
    <w:name w:val="toc 5"/>
    <w:basedOn w:val="Standard"/>
    <w:next w:val="Standard"/>
    <w:autoRedefine/>
    <w:uiPriority w:val="39"/>
    <w:semiHidden/>
    <w:unhideWhenUsed/>
    <w:rsid w:val="00556612"/>
    <w:pPr>
      <w:spacing w:after="100"/>
      <w:ind w:left="880"/>
    </w:pPr>
  </w:style>
  <w:style w:type="paragraph" w:styleId="Verzeichnis6">
    <w:name w:val="toc 6"/>
    <w:basedOn w:val="Standard"/>
    <w:next w:val="Standard"/>
    <w:autoRedefine/>
    <w:uiPriority w:val="39"/>
    <w:semiHidden/>
    <w:unhideWhenUsed/>
    <w:rsid w:val="00556612"/>
    <w:pPr>
      <w:spacing w:after="100"/>
      <w:ind w:left="1100"/>
    </w:pPr>
  </w:style>
  <w:style w:type="paragraph" w:styleId="Verzeichnis7">
    <w:name w:val="toc 7"/>
    <w:basedOn w:val="Standard"/>
    <w:next w:val="Standard"/>
    <w:autoRedefine/>
    <w:uiPriority w:val="39"/>
    <w:semiHidden/>
    <w:unhideWhenUsed/>
    <w:rsid w:val="00556612"/>
    <w:pPr>
      <w:spacing w:after="100"/>
      <w:ind w:left="1320"/>
    </w:pPr>
  </w:style>
  <w:style w:type="paragraph" w:styleId="Verzeichnis8">
    <w:name w:val="toc 8"/>
    <w:basedOn w:val="Standard"/>
    <w:next w:val="Standard"/>
    <w:autoRedefine/>
    <w:uiPriority w:val="39"/>
    <w:semiHidden/>
    <w:unhideWhenUsed/>
    <w:rsid w:val="00556612"/>
    <w:pPr>
      <w:spacing w:after="100"/>
      <w:ind w:left="1540"/>
    </w:pPr>
  </w:style>
  <w:style w:type="paragraph" w:styleId="Verzeichnis9">
    <w:name w:val="toc 9"/>
    <w:basedOn w:val="Standard"/>
    <w:next w:val="Standard"/>
    <w:autoRedefine/>
    <w:uiPriority w:val="39"/>
    <w:semiHidden/>
    <w:unhideWhenUsed/>
    <w:rsid w:val="00556612"/>
    <w:pPr>
      <w:spacing w:after="100"/>
      <w:ind w:left="1760"/>
    </w:pPr>
  </w:style>
  <w:style w:type="paragraph" w:styleId="Zitat">
    <w:name w:val="Quote"/>
    <w:basedOn w:val="Standard"/>
    <w:next w:val="Standard"/>
    <w:link w:val="ZitatZchn"/>
    <w:uiPriority w:val="29"/>
    <w:qFormat/>
    <w:rsid w:val="00556612"/>
    <w:rPr>
      <w:i/>
      <w:iCs/>
      <w:color w:val="000000" w:themeColor="text1"/>
    </w:rPr>
  </w:style>
  <w:style w:type="character" w:customStyle="1" w:styleId="ZitatZchn">
    <w:name w:val="Zitat Zchn"/>
    <w:basedOn w:val="Absatz-Standardschriftart"/>
    <w:link w:val="Zitat"/>
    <w:uiPriority w:val="29"/>
    <w:rsid w:val="00556612"/>
    <w:rPr>
      <w:i/>
      <w:iCs/>
      <w:color w:val="000000" w:themeColor="text1"/>
      <w:sz w:val="22"/>
      <w:szCs w:val="22"/>
      <w:lang w:val="is-I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5646"/>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556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qFormat/>
    <w:rsid w:val="00D76DDC"/>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5566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197BED"/>
    <w:pPr>
      <w:keepNext/>
      <w:tabs>
        <w:tab w:val="left" w:pos="567"/>
      </w:tabs>
      <w:spacing w:after="0" w:line="260" w:lineRule="exact"/>
      <w:jc w:val="both"/>
      <w:outlineLvl w:val="3"/>
    </w:pPr>
    <w:rPr>
      <w:rFonts w:ascii="Times New Roman" w:eastAsia="Times New Roman" w:hAnsi="Times New Roman"/>
      <w:b/>
      <w:noProof/>
      <w:szCs w:val="20"/>
    </w:rPr>
  </w:style>
  <w:style w:type="paragraph" w:styleId="berschrift5">
    <w:name w:val="heading 5"/>
    <w:basedOn w:val="Standard"/>
    <w:next w:val="Standard"/>
    <w:link w:val="berschrift5Zchn"/>
    <w:uiPriority w:val="9"/>
    <w:semiHidden/>
    <w:unhideWhenUsed/>
    <w:qFormat/>
    <w:rsid w:val="00556612"/>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5661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5661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5661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566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semiHidden/>
    <w:unhideWhenUsed/>
    <w:rsid w:val="0001430D"/>
    <w:rPr>
      <w:sz w:val="16"/>
      <w:szCs w:val="16"/>
    </w:rPr>
  </w:style>
  <w:style w:type="paragraph" w:styleId="Kommentartext">
    <w:name w:val="annotation text"/>
    <w:basedOn w:val="Standard"/>
    <w:link w:val="KommentartextZchn"/>
    <w:semiHidden/>
    <w:unhideWhenUsed/>
    <w:rsid w:val="0001430D"/>
    <w:rPr>
      <w:sz w:val="20"/>
      <w:szCs w:val="20"/>
    </w:rPr>
  </w:style>
  <w:style w:type="character" w:customStyle="1" w:styleId="KommentartextZchn">
    <w:name w:val="Kommentartext Zchn"/>
    <w:link w:val="Kommentartext"/>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iPriority w:val="99"/>
    <w:unhideWhenUsed/>
    <w:rsid w:val="00934F7C"/>
    <w:pPr>
      <w:tabs>
        <w:tab w:val="center" w:pos="4680"/>
        <w:tab w:val="right" w:pos="9360"/>
      </w:tabs>
    </w:p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character" w:styleId="Zeilennummer">
    <w:name w:val="line number"/>
    <w:basedOn w:val="Absatz-Standardschriftart"/>
    <w:uiPriority w:val="99"/>
    <w:semiHidden/>
    <w:unhideWhenUsed/>
    <w:rsid w:val="00C555AA"/>
  </w:style>
  <w:style w:type="paragraph" w:styleId="Endnotentext">
    <w:name w:val="endnote text"/>
    <w:basedOn w:val="Standard"/>
    <w:link w:val="EndnotentextZchn"/>
    <w:semiHidden/>
    <w:rsid w:val="00521437"/>
    <w:pPr>
      <w:tabs>
        <w:tab w:val="left" w:pos="567"/>
      </w:tabs>
      <w:spacing w:after="0" w:line="240" w:lineRule="auto"/>
    </w:pPr>
    <w:rPr>
      <w:rFonts w:ascii="Times New Roman" w:eastAsia="Times New Roman" w:hAnsi="Times New Roman"/>
      <w:szCs w:val="20"/>
      <w:lang w:val="en-GB"/>
    </w:rPr>
  </w:style>
  <w:style w:type="character" w:customStyle="1" w:styleId="EndnotentextZchn">
    <w:name w:val="Endnotentext Zchn"/>
    <w:link w:val="Endnotentext"/>
    <w:rsid w:val="00521437"/>
    <w:rPr>
      <w:rFonts w:ascii="Times New Roman" w:eastAsia="Times New Roman" w:hAnsi="Times New Roman"/>
      <w:sz w:val="22"/>
      <w:lang w:val="en-GB"/>
    </w:rPr>
  </w:style>
  <w:style w:type="paragraph" w:customStyle="1" w:styleId="Table">
    <w:name w:val="Table"/>
    <w:basedOn w:val="Standard"/>
    <w:link w:val="TableChar"/>
    <w:rsid w:val="00470A93"/>
    <w:pPr>
      <w:keepNext/>
      <w:keepLines/>
      <w:tabs>
        <w:tab w:val="left" w:pos="284"/>
      </w:tabs>
      <w:spacing w:before="40" w:after="20" w:line="240" w:lineRule="auto"/>
    </w:pPr>
    <w:rPr>
      <w:rFonts w:ascii="Arial" w:eastAsia="Times New Roman" w:hAnsi="Arial"/>
      <w:sz w:val="20"/>
      <w:szCs w:val="20"/>
      <w:lang w:val="en-US"/>
    </w:rPr>
  </w:style>
  <w:style w:type="character" w:customStyle="1" w:styleId="TableChar">
    <w:name w:val="Table Char"/>
    <w:link w:val="Table"/>
    <w:rsid w:val="00470A93"/>
    <w:rPr>
      <w:rFonts w:ascii="Arial" w:eastAsia="Times New Roman" w:hAnsi="Arial"/>
      <w:lang w:val="en-US"/>
    </w:rPr>
  </w:style>
  <w:style w:type="paragraph" w:customStyle="1" w:styleId="Text">
    <w:name w:val="Text"/>
    <w:basedOn w:val="Standard"/>
    <w:rsid w:val="0068243A"/>
    <w:pPr>
      <w:spacing w:before="120" w:after="0" w:line="240" w:lineRule="auto"/>
      <w:jc w:val="both"/>
    </w:pPr>
    <w:rPr>
      <w:rFonts w:ascii="Times New Roman" w:eastAsia="Times New Roman" w:hAnsi="Times New Roman"/>
      <w:sz w:val="24"/>
      <w:szCs w:val="20"/>
      <w:lang w:val="en-US" w:eastAsia="it-IT"/>
    </w:rPr>
  </w:style>
  <w:style w:type="character" w:customStyle="1" w:styleId="berschrift4Zchn">
    <w:name w:val="Überschrift 4 Zchn"/>
    <w:link w:val="berschrift4"/>
    <w:rsid w:val="00197BED"/>
    <w:rPr>
      <w:rFonts w:ascii="Times New Roman" w:eastAsia="Times New Roman" w:hAnsi="Times New Roman"/>
      <w:b/>
      <w:noProof/>
      <w:sz w:val="22"/>
    </w:rPr>
  </w:style>
  <w:style w:type="paragraph" w:styleId="Textkrper">
    <w:name w:val="Body Text"/>
    <w:basedOn w:val="Standard"/>
    <w:link w:val="TextkrperZchn"/>
    <w:rsid w:val="00D203E4"/>
    <w:pPr>
      <w:spacing w:after="0" w:line="240" w:lineRule="auto"/>
      <w:jc w:val="both"/>
    </w:pPr>
    <w:rPr>
      <w:rFonts w:ascii="Times New Roman" w:eastAsia="Times New Roman" w:hAnsi="Times New Roman"/>
      <w:sz w:val="72"/>
      <w:szCs w:val="20"/>
    </w:rPr>
  </w:style>
  <w:style w:type="character" w:customStyle="1" w:styleId="TextkrperZchn">
    <w:name w:val="Textkörper Zchn"/>
    <w:link w:val="Textkrper"/>
    <w:rsid w:val="00D203E4"/>
    <w:rPr>
      <w:rFonts w:ascii="Times New Roman" w:eastAsia="Times New Roman" w:hAnsi="Times New Roman"/>
      <w:sz w:val="72"/>
    </w:rPr>
  </w:style>
  <w:style w:type="character" w:customStyle="1" w:styleId="st">
    <w:name w:val="st"/>
    <w:basedOn w:val="Absatz-Standardschriftart"/>
    <w:rsid w:val="009F3419"/>
  </w:style>
  <w:style w:type="character" w:styleId="Hervorhebung">
    <w:name w:val="Emphasis"/>
    <w:uiPriority w:val="20"/>
    <w:qFormat/>
    <w:rsid w:val="009F3419"/>
    <w:rPr>
      <w:i/>
      <w:iCs/>
    </w:rPr>
  </w:style>
  <w:style w:type="paragraph" w:customStyle="1" w:styleId="EMEABodyText">
    <w:name w:val="EMEA Body Text"/>
    <w:basedOn w:val="Standard"/>
    <w:rsid w:val="007018C1"/>
    <w:pPr>
      <w:spacing w:after="0" w:line="240" w:lineRule="auto"/>
    </w:pPr>
    <w:rPr>
      <w:rFonts w:ascii="Times New Roman" w:eastAsia="SimSun" w:hAnsi="Times New Roman"/>
      <w:snapToGrid w:val="0"/>
      <w:szCs w:val="20"/>
      <w:lang w:val="en-GB" w:eastAsia="zh-CN"/>
    </w:rPr>
  </w:style>
  <w:style w:type="paragraph" w:styleId="Textkrper3">
    <w:name w:val="Body Text 3"/>
    <w:basedOn w:val="Standard"/>
    <w:link w:val="Textkrper3Zchn"/>
    <w:uiPriority w:val="99"/>
    <w:semiHidden/>
    <w:unhideWhenUsed/>
    <w:rsid w:val="00BE3648"/>
    <w:pPr>
      <w:spacing w:after="120"/>
    </w:pPr>
    <w:rPr>
      <w:sz w:val="16"/>
      <w:szCs w:val="16"/>
    </w:rPr>
  </w:style>
  <w:style w:type="character" w:customStyle="1" w:styleId="Textkrper3Zchn">
    <w:name w:val="Textkörper 3 Zchn"/>
    <w:link w:val="Textkrper3"/>
    <w:uiPriority w:val="99"/>
    <w:semiHidden/>
    <w:rsid w:val="00BE3648"/>
    <w:rPr>
      <w:sz w:val="16"/>
      <w:szCs w:val="16"/>
      <w:lang w:val="is-IS" w:eastAsia="en-US"/>
    </w:rPr>
  </w:style>
  <w:style w:type="character" w:customStyle="1" w:styleId="berschrift2Zchn">
    <w:name w:val="Überschrift 2 Zchn"/>
    <w:link w:val="berschrift2"/>
    <w:uiPriority w:val="9"/>
    <w:semiHidden/>
    <w:rsid w:val="00D76DDC"/>
    <w:rPr>
      <w:rFonts w:ascii="Cambria" w:eastAsia="Times New Roman" w:hAnsi="Cambria" w:cs="Times New Roman"/>
      <w:b/>
      <w:bCs/>
      <w:i/>
      <w:iCs/>
      <w:sz w:val="28"/>
      <w:szCs w:val="28"/>
      <w:lang w:val="is-IS" w:eastAsia="en-US"/>
    </w:rPr>
  </w:style>
  <w:style w:type="character" w:customStyle="1" w:styleId="st1">
    <w:name w:val="st1"/>
    <w:basedOn w:val="Absatz-Standardschriftart"/>
    <w:rsid w:val="00DB266A"/>
  </w:style>
  <w:style w:type="paragraph" w:customStyle="1" w:styleId="NormalParagraphStyle">
    <w:name w:val="NormalParagraphStyle"/>
    <w:basedOn w:val="Standard"/>
    <w:rsid w:val="00C772B5"/>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5F4734"/>
    <w:rPr>
      <w:sz w:val="22"/>
      <w:szCs w:val="22"/>
      <w:lang w:val="is-IS" w:eastAsia="en-US"/>
    </w:rPr>
  </w:style>
  <w:style w:type="character" w:styleId="BesuchterHyperlink">
    <w:name w:val="FollowedHyperlink"/>
    <w:unhideWhenUsed/>
    <w:rsid w:val="00E054B5"/>
    <w:rPr>
      <w:color w:val="800080"/>
      <w:u w:val="single"/>
    </w:rPr>
  </w:style>
  <w:style w:type="paragraph" w:customStyle="1" w:styleId="Nottoc-headings">
    <w:name w:val="Not toc-headings"/>
    <w:basedOn w:val="Standard"/>
    <w:next w:val="Text"/>
    <w:link w:val="Nottoc-headingsChar"/>
    <w:rsid w:val="00B36D4C"/>
    <w:pPr>
      <w:keepNext/>
      <w:keepLines/>
      <w:spacing w:before="240" w:after="60" w:line="240" w:lineRule="auto"/>
      <w:ind w:left="1701" w:hanging="1701"/>
    </w:pPr>
    <w:rPr>
      <w:rFonts w:ascii="Arial" w:eastAsia="Times New Roman" w:hAnsi="Arial"/>
      <w:b/>
      <w:sz w:val="24"/>
      <w:szCs w:val="20"/>
      <w:lang w:val="en-US"/>
    </w:rPr>
  </w:style>
  <w:style w:type="character" w:customStyle="1" w:styleId="Nottoc-headingsChar">
    <w:name w:val="Not toc-headings Char"/>
    <w:link w:val="Nottoc-headings"/>
    <w:rsid w:val="00B36D4C"/>
    <w:rPr>
      <w:rFonts w:ascii="Arial" w:eastAsia="Times New Roman" w:hAnsi="Arial"/>
      <w:b/>
      <w:sz w:val="24"/>
      <w:lang w:val="en-US" w:eastAsia="en-US"/>
    </w:rPr>
  </w:style>
  <w:style w:type="paragraph" w:styleId="StandardWeb">
    <w:name w:val="Normal (Web)"/>
    <w:basedOn w:val="Standard"/>
    <w:uiPriority w:val="99"/>
    <w:semiHidden/>
    <w:unhideWhenUsed/>
    <w:rsid w:val="00E231E8"/>
    <w:pPr>
      <w:spacing w:before="100" w:beforeAutospacing="1" w:after="100" w:afterAutospacing="1" w:line="240" w:lineRule="auto"/>
    </w:pPr>
    <w:rPr>
      <w:rFonts w:ascii="Times New Roman" w:eastAsia="Times New Roman" w:hAnsi="Times New Roman"/>
      <w:sz w:val="24"/>
      <w:szCs w:val="24"/>
      <w:lang w:val="it-IT" w:eastAsia="it-IT"/>
    </w:rPr>
  </w:style>
  <w:style w:type="character" w:customStyle="1" w:styleId="TextChar">
    <w:name w:val="Text Char"/>
    <w:rsid w:val="00A65DEE"/>
    <w:rPr>
      <w:sz w:val="24"/>
      <w:lang w:val="en-US" w:eastAsia="it-IT" w:bidi="ar-SA"/>
    </w:rPr>
  </w:style>
  <w:style w:type="paragraph" w:styleId="Abbildungsverzeichnis">
    <w:name w:val="table of figures"/>
    <w:basedOn w:val="Standard"/>
    <w:next w:val="Standard"/>
    <w:uiPriority w:val="99"/>
    <w:semiHidden/>
    <w:unhideWhenUsed/>
    <w:rsid w:val="00556612"/>
    <w:pPr>
      <w:spacing w:after="0"/>
    </w:pPr>
  </w:style>
  <w:style w:type="paragraph" w:customStyle="1" w:styleId="TitleA">
    <w:name w:val="Title A"/>
    <w:basedOn w:val="Standard"/>
    <w:qFormat/>
    <w:rsid w:val="00945646"/>
    <w:pPr>
      <w:widowControl w:val="0"/>
      <w:spacing w:after="0" w:line="240" w:lineRule="auto"/>
      <w:jc w:val="center"/>
    </w:pPr>
    <w:rPr>
      <w:rFonts w:ascii="Times New Roman" w:hAnsi="Times New Roman"/>
      <w:b/>
      <w:lang w:val="it-IT"/>
    </w:rPr>
  </w:style>
  <w:style w:type="paragraph" w:customStyle="1" w:styleId="TitleB">
    <w:name w:val="Title B"/>
    <w:basedOn w:val="TitleA"/>
    <w:qFormat/>
    <w:rsid w:val="00945646"/>
    <w:pPr>
      <w:ind w:left="567" w:hanging="567"/>
      <w:jc w:val="left"/>
    </w:pPr>
  </w:style>
  <w:style w:type="paragraph" w:styleId="Anrede">
    <w:name w:val="Salutation"/>
    <w:basedOn w:val="Standard"/>
    <w:next w:val="Standard"/>
    <w:link w:val="AnredeZchn"/>
    <w:uiPriority w:val="99"/>
    <w:semiHidden/>
    <w:unhideWhenUsed/>
    <w:rsid w:val="00556612"/>
  </w:style>
  <w:style w:type="character" w:customStyle="1" w:styleId="AnredeZchn">
    <w:name w:val="Anrede Zchn"/>
    <w:basedOn w:val="Absatz-Standardschriftart"/>
    <w:link w:val="Anrede"/>
    <w:uiPriority w:val="99"/>
    <w:semiHidden/>
    <w:rsid w:val="00556612"/>
    <w:rPr>
      <w:sz w:val="22"/>
      <w:szCs w:val="22"/>
      <w:lang w:val="is-IS" w:eastAsia="en-US"/>
    </w:rPr>
  </w:style>
  <w:style w:type="paragraph" w:styleId="Aufzhlungszeichen">
    <w:name w:val="List Bullet"/>
    <w:basedOn w:val="Standard"/>
    <w:uiPriority w:val="99"/>
    <w:semiHidden/>
    <w:unhideWhenUsed/>
    <w:rsid w:val="00556612"/>
    <w:pPr>
      <w:numPr>
        <w:numId w:val="41"/>
      </w:numPr>
      <w:contextualSpacing/>
    </w:pPr>
  </w:style>
  <w:style w:type="paragraph" w:styleId="Aufzhlungszeichen2">
    <w:name w:val="List Bullet 2"/>
    <w:basedOn w:val="Standard"/>
    <w:uiPriority w:val="99"/>
    <w:semiHidden/>
    <w:unhideWhenUsed/>
    <w:rsid w:val="00556612"/>
    <w:pPr>
      <w:numPr>
        <w:numId w:val="42"/>
      </w:numPr>
      <w:contextualSpacing/>
    </w:pPr>
  </w:style>
  <w:style w:type="paragraph" w:styleId="Aufzhlungszeichen3">
    <w:name w:val="List Bullet 3"/>
    <w:basedOn w:val="Standard"/>
    <w:uiPriority w:val="99"/>
    <w:semiHidden/>
    <w:unhideWhenUsed/>
    <w:rsid w:val="00556612"/>
    <w:pPr>
      <w:numPr>
        <w:numId w:val="43"/>
      </w:numPr>
      <w:contextualSpacing/>
    </w:pPr>
  </w:style>
  <w:style w:type="paragraph" w:styleId="Aufzhlungszeichen4">
    <w:name w:val="List Bullet 4"/>
    <w:basedOn w:val="Standard"/>
    <w:uiPriority w:val="99"/>
    <w:semiHidden/>
    <w:unhideWhenUsed/>
    <w:rsid w:val="00556612"/>
    <w:pPr>
      <w:numPr>
        <w:numId w:val="44"/>
      </w:numPr>
      <w:contextualSpacing/>
    </w:pPr>
  </w:style>
  <w:style w:type="paragraph" w:styleId="Aufzhlungszeichen5">
    <w:name w:val="List Bullet 5"/>
    <w:basedOn w:val="Standard"/>
    <w:uiPriority w:val="99"/>
    <w:semiHidden/>
    <w:unhideWhenUsed/>
    <w:rsid w:val="00556612"/>
    <w:pPr>
      <w:numPr>
        <w:numId w:val="45"/>
      </w:numPr>
      <w:contextualSpacing/>
    </w:pPr>
  </w:style>
  <w:style w:type="paragraph" w:styleId="Beschriftung">
    <w:name w:val="caption"/>
    <w:basedOn w:val="Standard"/>
    <w:next w:val="Standard"/>
    <w:uiPriority w:val="35"/>
    <w:semiHidden/>
    <w:unhideWhenUsed/>
    <w:qFormat/>
    <w:rsid w:val="00556612"/>
    <w:pPr>
      <w:spacing w:line="240" w:lineRule="auto"/>
    </w:pPr>
    <w:rPr>
      <w:b/>
      <w:bCs/>
      <w:color w:val="4F81BD" w:themeColor="accent1"/>
      <w:sz w:val="18"/>
      <w:szCs w:val="18"/>
    </w:rPr>
  </w:style>
  <w:style w:type="paragraph" w:styleId="Blocktext">
    <w:name w:val="Block Text"/>
    <w:basedOn w:val="Standard"/>
    <w:uiPriority w:val="99"/>
    <w:semiHidden/>
    <w:unhideWhenUsed/>
    <w:rsid w:val="0055661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556612"/>
  </w:style>
  <w:style w:type="character" w:customStyle="1" w:styleId="DatumZchn">
    <w:name w:val="Datum Zchn"/>
    <w:basedOn w:val="Absatz-Standardschriftart"/>
    <w:link w:val="Datum"/>
    <w:uiPriority w:val="99"/>
    <w:semiHidden/>
    <w:rsid w:val="00556612"/>
    <w:rPr>
      <w:sz w:val="22"/>
      <w:szCs w:val="22"/>
      <w:lang w:val="is-IS" w:eastAsia="en-US"/>
    </w:rPr>
  </w:style>
  <w:style w:type="paragraph" w:styleId="Dokumentstruktur">
    <w:name w:val="Document Map"/>
    <w:basedOn w:val="Standard"/>
    <w:link w:val="DokumentstrukturZchn"/>
    <w:uiPriority w:val="99"/>
    <w:semiHidden/>
    <w:unhideWhenUsed/>
    <w:rsid w:val="0055661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56612"/>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556612"/>
    <w:pPr>
      <w:spacing w:after="0" w:line="240" w:lineRule="auto"/>
    </w:pPr>
  </w:style>
  <w:style w:type="character" w:customStyle="1" w:styleId="E-Mail-SignaturZchn">
    <w:name w:val="E-Mail-Signatur Zchn"/>
    <w:basedOn w:val="Absatz-Standardschriftart"/>
    <w:link w:val="E-Mail-Signatur"/>
    <w:uiPriority w:val="99"/>
    <w:semiHidden/>
    <w:rsid w:val="00556612"/>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55661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56612"/>
    <w:rPr>
      <w:sz w:val="22"/>
      <w:szCs w:val="22"/>
      <w:lang w:val="is-IS" w:eastAsia="en-US"/>
    </w:rPr>
  </w:style>
  <w:style w:type="paragraph" w:styleId="Funotentext">
    <w:name w:val="footnote text"/>
    <w:basedOn w:val="Standard"/>
    <w:link w:val="FunotentextZchn"/>
    <w:uiPriority w:val="99"/>
    <w:semiHidden/>
    <w:unhideWhenUsed/>
    <w:rsid w:val="0055661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56612"/>
    <w:rPr>
      <w:lang w:val="is-IS" w:eastAsia="en-US"/>
    </w:rPr>
  </w:style>
  <w:style w:type="paragraph" w:styleId="Gruformel">
    <w:name w:val="Closing"/>
    <w:basedOn w:val="Standard"/>
    <w:link w:val="GruformelZchn"/>
    <w:uiPriority w:val="99"/>
    <w:semiHidden/>
    <w:unhideWhenUsed/>
    <w:rsid w:val="00556612"/>
    <w:pPr>
      <w:spacing w:after="0" w:line="240" w:lineRule="auto"/>
      <w:ind w:left="4252"/>
    </w:pPr>
  </w:style>
  <w:style w:type="character" w:customStyle="1" w:styleId="GruformelZchn">
    <w:name w:val="Grußformel Zchn"/>
    <w:basedOn w:val="Absatz-Standardschriftart"/>
    <w:link w:val="Gruformel"/>
    <w:uiPriority w:val="99"/>
    <w:semiHidden/>
    <w:rsid w:val="00556612"/>
    <w:rPr>
      <w:sz w:val="22"/>
      <w:szCs w:val="22"/>
      <w:lang w:val="is-IS" w:eastAsia="en-US"/>
    </w:rPr>
  </w:style>
  <w:style w:type="paragraph" w:styleId="HTMLAdresse">
    <w:name w:val="HTML Address"/>
    <w:basedOn w:val="Standard"/>
    <w:link w:val="HTMLAdresseZchn"/>
    <w:uiPriority w:val="99"/>
    <w:semiHidden/>
    <w:unhideWhenUsed/>
    <w:rsid w:val="00556612"/>
    <w:pPr>
      <w:spacing w:after="0" w:line="240" w:lineRule="auto"/>
    </w:pPr>
    <w:rPr>
      <w:i/>
      <w:iCs/>
    </w:rPr>
  </w:style>
  <w:style w:type="character" w:customStyle="1" w:styleId="HTMLAdresseZchn">
    <w:name w:val="HTML Adresse Zchn"/>
    <w:basedOn w:val="Absatz-Standardschriftart"/>
    <w:link w:val="HTMLAdresse"/>
    <w:uiPriority w:val="99"/>
    <w:semiHidden/>
    <w:rsid w:val="00556612"/>
    <w:rPr>
      <w:i/>
      <w:iCs/>
      <w:sz w:val="22"/>
      <w:szCs w:val="22"/>
      <w:lang w:val="is-IS" w:eastAsia="en-US"/>
    </w:rPr>
  </w:style>
  <w:style w:type="paragraph" w:styleId="HTMLVorformatiert">
    <w:name w:val="HTML Preformatted"/>
    <w:basedOn w:val="Standard"/>
    <w:link w:val="HTMLVorformatiertZchn"/>
    <w:uiPriority w:val="99"/>
    <w:semiHidden/>
    <w:unhideWhenUsed/>
    <w:rsid w:val="00556612"/>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56612"/>
    <w:rPr>
      <w:rFonts w:ascii="Consolas" w:hAnsi="Consolas"/>
      <w:lang w:val="is-IS" w:eastAsia="en-US"/>
    </w:rPr>
  </w:style>
  <w:style w:type="paragraph" w:styleId="Index1">
    <w:name w:val="index 1"/>
    <w:basedOn w:val="Standard"/>
    <w:next w:val="Standard"/>
    <w:autoRedefine/>
    <w:uiPriority w:val="99"/>
    <w:semiHidden/>
    <w:unhideWhenUsed/>
    <w:rsid w:val="00556612"/>
    <w:pPr>
      <w:spacing w:after="0" w:line="240" w:lineRule="auto"/>
      <w:ind w:left="220" w:hanging="220"/>
    </w:pPr>
  </w:style>
  <w:style w:type="paragraph" w:styleId="Index2">
    <w:name w:val="index 2"/>
    <w:basedOn w:val="Standard"/>
    <w:next w:val="Standard"/>
    <w:autoRedefine/>
    <w:uiPriority w:val="99"/>
    <w:semiHidden/>
    <w:unhideWhenUsed/>
    <w:rsid w:val="00556612"/>
    <w:pPr>
      <w:spacing w:after="0" w:line="240" w:lineRule="auto"/>
      <w:ind w:left="440" w:hanging="220"/>
    </w:pPr>
  </w:style>
  <w:style w:type="paragraph" w:styleId="Index3">
    <w:name w:val="index 3"/>
    <w:basedOn w:val="Standard"/>
    <w:next w:val="Standard"/>
    <w:autoRedefine/>
    <w:uiPriority w:val="99"/>
    <w:semiHidden/>
    <w:unhideWhenUsed/>
    <w:rsid w:val="00556612"/>
    <w:pPr>
      <w:spacing w:after="0" w:line="240" w:lineRule="auto"/>
      <w:ind w:left="660" w:hanging="220"/>
    </w:pPr>
  </w:style>
  <w:style w:type="paragraph" w:styleId="Index4">
    <w:name w:val="index 4"/>
    <w:basedOn w:val="Standard"/>
    <w:next w:val="Standard"/>
    <w:autoRedefine/>
    <w:uiPriority w:val="99"/>
    <w:semiHidden/>
    <w:unhideWhenUsed/>
    <w:rsid w:val="00556612"/>
    <w:pPr>
      <w:spacing w:after="0" w:line="240" w:lineRule="auto"/>
      <w:ind w:left="880" w:hanging="220"/>
    </w:pPr>
  </w:style>
  <w:style w:type="paragraph" w:styleId="Index5">
    <w:name w:val="index 5"/>
    <w:basedOn w:val="Standard"/>
    <w:next w:val="Standard"/>
    <w:autoRedefine/>
    <w:uiPriority w:val="99"/>
    <w:semiHidden/>
    <w:unhideWhenUsed/>
    <w:rsid w:val="00556612"/>
    <w:pPr>
      <w:spacing w:after="0" w:line="240" w:lineRule="auto"/>
      <w:ind w:left="1100" w:hanging="220"/>
    </w:pPr>
  </w:style>
  <w:style w:type="paragraph" w:styleId="Index6">
    <w:name w:val="index 6"/>
    <w:basedOn w:val="Standard"/>
    <w:next w:val="Standard"/>
    <w:autoRedefine/>
    <w:uiPriority w:val="99"/>
    <w:semiHidden/>
    <w:unhideWhenUsed/>
    <w:rsid w:val="00556612"/>
    <w:pPr>
      <w:spacing w:after="0" w:line="240" w:lineRule="auto"/>
      <w:ind w:left="1320" w:hanging="220"/>
    </w:pPr>
  </w:style>
  <w:style w:type="paragraph" w:styleId="Index7">
    <w:name w:val="index 7"/>
    <w:basedOn w:val="Standard"/>
    <w:next w:val="Standard"/>
    <w:autoRedefine/>
    <w:uiPriority w:val="99"/>
    <w:semiHidden/>
    <w:unhideWhenUsed/>
    <w:rsid w:val="00556612"/>
    <w:pPr>
      <w:spacing w:after="0" w:line="240" w:lineRule="auto"/>
      <w:ind w:left="1540" w:hanging="220"/>
    </w:pPr>
  </w:style>
  <w:style w:type="paragraph" w:styleId="Index8">
    <w:name w:val="index 8"/>
    <w:basedOn w:val="Standard"/>
    <w:next w:val="Standard"/>
    <w:autoRedefine/>
    <w:uiPriority w:val="99"/>
    <w:semiHidden/>
    <w:unhideWhenUsed/>
    <w:rsid w:val="00556612"/>
    <w:pPr>
      <w:spacing w:after="0" w:line="240" w:lineRule="auto"/>
      <w:ind w:left="1760" w:hanging="220"/>
    </w:pPr>
  </w:style>
  <w:style w:type="paragraph" w:styleId="Index9">
    <w:name w:val="index 9"/>
    <w:basedOn w:val="Standard"/>
    <w:next w:val="Standard"/>
    <w:autoRedefine/>
    <w:uiPriority w:val="99"/>
    <w:semiHidden/>
    <w:unhideWhenUsed/>
    <w:rsid w:val="00556612"/>
    <w:pPr>
      <w:spacing w:after="0" w:line="240" w:lineRule="auto"/>
      <w:ind w:left="1980" w:hanging="220"/>
    </w:pPr>
  </w:style>
  <w:style w:type="paragraph" w:styleId="Indexberschrift">
    <w:name w:val="index heading"/>
    <w:basedOn w:val="Standard"/>
    <w:next w:val="Index1"/>
    <w:uiPriority w:val="99"/>
    <w:semiHidden/>
    <w:unhideWhenUsed/>
    <w:rsid w:val="00556612"/>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556612"/>
    <w:rPr>
      <w:rFonts w:asciiTheme="majorHAnsi" w:eastAsiaTheme="majorEastAsia" w:hAnsiTheme="majorHAnsi" w:cstheme="majorBidi"/>
      <w:b/>
      <w:bCs/>
      <w:color w:val="365F91" w:themeColor="accent1" w:themeShade="BF"/>
      <w:sz w:val="28"/>
      <w:szCs w:val="28"/>
      <w:lang w:val="is-IS" w:eastAsia="en-US"/>
    </w:rPr>
  </w:style>
  <w:style w:type="paragraph" w:styleId="Inhaltsverzeichnisberschrift">
    <w:name w:val="TOC Heading"/>
    <w:basedOn w:val="berschrift1"/>
    <w:next w:val="Standard"/>
    <w:uiPriority w:val="39"/>
    <w:semiHidden/>
    <w:unhideWhenUsed/>
    <w:qFormat/>
    <w:rsid w:val="00556612"/>
    <w:pPr>
      <w:outlineLvl w:val="9"/>
    </w:pPr>
  </w:style>
  <w:style w:type="paragraph" w:styleId="IntensivesZitat">
    <w:name w:val="Intense Quote"/>
    <w:basedOn w:val="Standard"/>
    <w:next w:val="Standard"/>
    <w:link w:val="IntensivesZitatZchn"/>
    <w:uiPriority w:val="30"/>
    <w:qFormat/>
    <w:rsid w:val="0055661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56612"/>
    <w:rPr>
      <w:b/>
      <w:bCs/>
      <w:i/>
      <w:iCs/>
      <w:color w:val="4F81BD" w:themeColor="accent1"/>
      <w:sz w:val="22"/>
      <w:szCs w:val="22"/>
      <w:lang w:val="is-IS" w:eastAsia="en-US"/>
    </w:rPr>
  </w:style>
  <w:style w:type="paragraph" w:styleId="Liste">
    <w:name w:val="List"/>
    <w:basedOn w:val="Standard"/>
    <w:uiPriority w:val="99"/>
    <w:semiHidden/>
    <w:unhideWhenUsed/>
    <w:rsid w:val="00556612"/>
    <w:pPr>
      <w:ind w:left="283" w:hanging="283"/>
      <w:contextualSpacing/>
    </w:pPr>
  </w:style>
  <w:style w:type="paragraph" w:styleId="Liste2">
    <w:name w:val="List 2"/>
    <w:basedOn w:val="Standard"/>
    <w:uiPriority w:val="99"/>
    <w:semiHidden/>
    <w:unhideWhenUsed/>
    <w:rsid w:val="00556612"/>
    <w:pPr>
      <w:ind w:left="566" w:hanging="283"/>
      <w:contextualSpacing/>
    </w:pPr>
  </w:style>
  <w:style w:type="paragraph" w:styleId="Liste3">
    <w:name w:val="List 3"/>
    <w:basedOn w:val="Standard"/>
    <w:uiPriority w:val="99"/>
    <w:semiHidden/>
    <w:unhideWhenUsed/>
    <w:rsid w:val="00556612"/>
    <w:pPr>
      <w:ind w:left="849" w:hanging="283"/>
      <w:contextualSpacing/>
    </w:pPr>
  </w:style>
  <w:style w:type="paragraph" w:styleId="Liste4">
    <w:name w:val="List 4"/>
    <w:basedOn w:val="Standard"/>
    <w:uiPriority w:val="99"/>
    <w:semiHidden/>
    <w:unhideWhenUsed/>
    <w:rsid w:val="00556612"/>
    <w:pPr>
      <w:ind w:left="1132" w:hanging="283"/>
      <w:contextualSpacing/>
    </w:pPr>
  </w:style>
  <w:style w:type="paragraph" w:styleId="Liste5">
    <w:name w:val="List 5"/>
    <w:basedOn w:val="Standard"/>
    <w:uiPriority w:val="99"/>
    <w:semiHidden/>
    <w:unhideWhenUsed/>
    <w:rsid w:val="00556612"/>
    <w:pPr>
      <w:ind w:left="1415" w:hanging="283"/>
      <w:contextualSpacing/>
    </w:pPr>
  </w:style>
  <w:style w:type="paragraph" w:styleId="Listenabsatz">
    <w:name w:val="List Paragraph"/>
    <w:basedOn w:val="Standard"/>
    <w:uiPriority w:val="34"/>
    <w:qFormat/>
    <w:rsid w:val="00556612"/>
    <w:pPr>
      <w:ind w:left="720"/>
      <w:contextualSpacing/>
    </w:pPr>
  </w:style>
  <w:style w:type="paragraph" w:styleId="Listenfortsetzung">
    <w:name w:val="List Continue"/>
    <w:basedOn w:val="Standard"/>
    <w:uiPriority w:val="99"/>
    <w:semiHidden/>
    <w:unhideWhenUsed/>
    <w:rsid w:val="00556612"/>
    <w:pPr>
      <w:spacing w:after="120"/>
      <w:ind w:left="283"/>
      <w:contextualSpacing/>
    </w:pPr>
  </w:style>
  <w:style w:type="paragraph" w:styleId="Listenfortsetzung2">
    <w:name w:val="List Continue 2"/>
    <w:basedOn w:val="Standard"/>
    <w:uiPriority w:val="99"/>
    <w:semiHidden/>
    <w:unhideWhenUsed/>
    <w:rsid w:val="00556612"/>
    <w:pPr>
      <w:spacing w:after="120"/>
      <w:ind w:left="566"/>
      <w:contextualSpacing/>
    </w:pPr>
  </w:style>
  <w:style w:type="paragraph" w:styleId="Listenfortsetzung3">
    <w:name w:val="List Continue 3"/>
    <w:basedOn w:val="Standard"/>
    <w:uiPriority w:val="99"/>
    <w:semiHidden/>
    <w:unhideWhenUsed/>
    <w:rsid w:val="00556612"/>
    <w:pPr>
      <w:spacing w:after="120"/>
      <w:ind w:left="849"/>
      <w:contextualSpacing/>
    </w:pPr>
  </w:style>
  <w:style w:type="paragraph" w:styleId="Listenfortsetzung4">
    <w:name w:val="List Continue 4"/>
    <w:basedOn w:val="Standard"/>
    <w:uiPriority w:val="99"/>
    <w:semiHidden/>
    <w:unhideWhenUsed/>
    <w:rsid w:val="00556612"/>
    <w:pPr>
      <w:spacing w:after="120"/>
      <w:ind w:left="1132"/>
      <w:contextualSpacing/>
    </w:pPr>
  </w:style>
  <w:style w:type="paragraph" w:styleId="Listenfortsetzung5">
    <w:name w:val="List Continue 5"/>
    <w:basedOn w:val="Standard"/>
    <w:uiPriority w:val="99"/>
    <w:semiHidden/>
    <w:unhideWhenUsed/>
    <w:rsid w:val="00556612"/>
    <w:pPr>
      <w:spacing w:after="120"/>
      <w:ind w:left="1415"/>
      <w:contextualSpacing/>
    </w:pPr>
  </w:style>
  <w:style w:type="paragraph" w:styleId="Listennummer">
    <w:name w:val="List Number"/>
    <w:basedOn w:val="Standard"/>
    <w:uiPriority w:val="99"/>
    <w:semiHidden/>
    <w:unhideWhenUsed/>
    <w:rsid w:val="00556612"/>
    <w:pPr>
      <w:numPr>
        <w:numId w:val="46"/>
      </w:numPr>
      <w:contextualSpacing/>
    </w:pPr>
  </w:style>
  <w:style w:type="paragraph" w:styleId="Listennummer2">
    <w:name w:val="List Number 2"/>
    <w:basedOn w:val="Standard"/>
    <w:uiPriority w:val="99"/>
    <w:semiHidden/>
    <w:unhideWhenUsed/>
    <w:rsid w:val="00556612"/>
    <w:pPr>
      <w:numPr>
        <w:numId w:val="47"/>
      </w:numPr>
      <w:contextualSpacing/>
    </w:pPr>
  </w:style>
  <w:style w:type="paragraph" w:styleId="Listennummer3">
    <w:name w:val="List Number 3"/>
    <w:basedOn w:val="Standard"/>
    <w:uiPriority w:val="99"/>
    <w:semiHidden/>
    <w:unhideWhenUsed/>
    <w:rsid w:val="00556612"/>
    <w:pPr>
      <w:numPr>
        <w:numId w:val="48"/>
      </w:numPr>
      <w:contextualSpacing/>
    </w:pPr>
  </w:style>
  <w:style w:type="paragraph" w:styleId="Listennummer4">
    <w:name w:val="List Number 4"/>
    <w:basedOn w:val="Standard"/>
    <w:uiPriority w:val="99"/>
    <w:semiHidden/>
    <w:unhideWhenUsed/>
    <w:rsid w:val="00556612"/>
    <w:pPr>
      <w:numPr>
        <w:numId w:val="49"/>
      </w:numPr>
      <w:contextualSpacing/>
    </w:pPr>
  </w:style>
  <w:style w:type="paragraph" w:styleId="Listennummer5">
    <w:name w:val="List Number 5"/>
    <w:basedOn w:val="Standard"/>
    <w:uiPriority w:val="99"/>
    <w:semiHidden/>
    <w:unhideWhenUsed/>
    <w:rsid w:val="00556612"/>
    <w:pPr>
      <w:numPr>
        <w:numId w:val="50"/>
      </w:numPr>
      <w:contextualSpacing/>
    </w:pPr>
  </w:style>
  <w:style w:type="paragraph" w:styleId="Literaturverzeichnis">
    <w:name w:val="Bibliography"/>
    <w:basedOn w:val="Standard"/>
    <w:next w:val="Standard"/>
    <w:uiPriority w:val="37"/>
    <w:semiHidden/>
    <w:unhideWhenUsed/>
    <w:rsid w:val="00556612"/>
  </w:style>
  <w:style w:type="paragraph" w:styleId="Makrotext">
    <w:name w:val="macro"/>
    <w:link w:val="MakrotextZchn"/>
    <w:uiPriority w:val="99"/>
    <w:semiHidden/>
    <w:unhideWhenUsed/>
    <w:rsid w:val="00556612"/>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is-IS" w:eastAsia="en-US"/>
    </w:rPr>
  </w:style>
  <w:style w:type="character" w:customStyle="1" w:styleId="MakrotextZchn">
    <w:name w:val="Makrotext Zchn"/>
    <w:basedOn w:val="Absatz-Standardschriftart"/>
    <w:link w:val="Makrotext"/>
    <w:uiPriority w:val="99"/>
    <w:semiHidden/>
    <w:rsid w:val="00556612"/>
    <w:rPr>
      <w:rFonts w:ascii="Consolas" w:hAnsi="Consolas"/>
      <w:lang w:val="is-IS" w:eastAsia="en-US"/>
    </w:rPr>
  </w:style>
  <w:style w:type="paragraph" w:styleId="Nachrichtenkopf">
    <w:name w:val="Message Header"/>
    <w:basedOn w:val="Standard"/>
    <w:link w:val="NachrichtenkopfZchn"/>
    <w:uiPriority w:val="99"/>
    <w:semiHidden/>
    <w:unhideWhenUsed/>
    <w:rsid w:val="0055661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56612"/>
    <w:rPr>
      <w:rFonts w:asciiTheme="majorHAnsi" w:eastAsiaTheme="majorEastAsia" w:hAnsiTheme="majorHAnsi" w:cstheme="majorBidi"/>
      <w:sz w:val="24"/>
      <w:szCs w:val="24"/>
      <w:shd w:val="pct20" w:color="auto" w:fill="auto"/>
      <w:lang w:val="is-IS" w:eastAsia="en-US"/>
    </w:rPr>
  </w:style>
  <w:style w:type="paragraph" w:styleId="NurText">
    <w:name w:val="Plain Text"/>
    <w:basedOn w:val="Standard"/>
    <w:link w:val="NurTextZchn"/>
    <w:uiPriority w:val="99"/>
    <w:semiHidden/>
    <w:unhideWhenUsed/>
    <w:rsid w:val="00556612"/>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556612"/>
    <w:rPr>
      <w:rFonts w:ascii="Consolas" w:hAnsi="Consolas"/>
      <w:sz w:val="21"/>
      <w:szCs w:val="21"/>
      <w:lang w:val="is-IS" w:eastAsia="en-US"/>
    </w:rPr>
  </w:style>
  <w:style w:type="paragraph" w:styleId="Rechtsgrundlagenverzeichnis">
    <w:name w:val="table of authorities"/>
    <w:basedOn w:val="Standard"/>
    <w:next w:val="Standard"/>
    <w:uiPriority w:val="99"/>
    <w:semiHidden/>
    <w:unhideWhenUsed/>
    <w:rsid w:val="00556612"/>
    <w:pPr>
      <w:spacing w:after="0"/>
      <w:ind w:left="220" w:hanging="220"/>
    </w:pPr>
  </w:style>
  <w:style w:type="paragraph" w:styleId="RGV-berschrift">
    <w:name w:val="toa heading"/>
    <w:basedOn w:val="Standard"/>
    <w:next w:val="Standard"/>
    <w:uiPriority w:val="99"/>
    <w:semiHidden/>
    <w:unhideWhenUsed/>
    <w:rsid w:val="00556612"/>
    <w:pPr>
      <w:spacing w:before="120"/>
    </w:pPr>
    <w:rPr>
      <w:rFonts w:asciiTheme="majorHAnsi" w:eastAsiaTheme="majorEastAsia" w:hAnsiTheme="majorHAnsi" w:cstheme="majorBidi"/>
      <w:b/>
      <w:bCs/>
      <w:sz w:val="24"/>
      <w:szCs w:val="24"/>
    </w:rPr>
  </w:style>
  <w:style w:type="paragraph" w:styleId="Standardeinzug">
    <w:name w:val="Normal Indent"/>
    <w:basedOn w:val="Standard"/>
    <w:uiPriority w:val="99"/>
    <w:semiHidden/>
    <w:unhideWhenUsed/>
    <w:rsid w:val="00556612"/>
    <w:pPr>
      <w:ind w:left="708"/>
    </w:pPr>
  </w:style>
  <w:style w:type="paragraph" w:styleId="Textkrper2">
    <w:name w:val="Body Text 2"/>
    <w:basedOn w:val="Standard"/>
    <w:link w:val="Textkrper2Zchn"/>
    <w:uiPriority w:val="99"/>
    <w:semiHidden/>
    <w:unhideWhenUsed/>
    <w:rsid w:val="00556612"/>
    <w:pPr>
      <w:spacing w:after="120" w:line="480" w:lineRule="auto"/>
    </w:pPr>
  </w:style>
  <w:style w:type="character" w:customStyle="1" w:styleId="Textkrper2Zchn">
    <w:name w:val="Textkörper 2 Zchn"/>
    <w:basedOn w:val="Absatz-Standardschriftart"/>
    <w:link w:val="Textkrper2"/>
    <w:uiPriority w:val="99"/>
    <w:semiHidden/>
    <w:rsid w:val="00556612"/>
    <w:rPr>
      <w:sz w:val="22"/>
      <w:szCs w:val="22"/>
      <w:lang w:val="is-IS" w:eastAsia="en-US"/>
    </w:rPr>
  </w:style>
  <w:style w:type="paragraph" w:styleId="Textkrper-Einzug2">
    <w:name w:val="Body Text Indent 2"/>
    <w:basedOn w:val="Standard"/>
    <w:link w:val="Textkrper-Einzug2Zchn"/>
    <w:uiPriority w:val="99"/>
    <w:semiHidden/>
    <w:unhideWhenUsed/>
    <w:rsid w:val="0055661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56612"/>
    <w:rPr>
      <w:sz w:val="22"/>
      <w:szCs w:val="22"/>
      <w:lang w:val="is-IS" w:eastAsia="en-US"/>
    </w:rPr>
  </w:style>
  <w:style w:type="paragraph" w:styleId="Textkrper-Einzug3">
    <w:name w:val="Body Text Indent 3"/>
    <w:basedOn w:val="Standard"/>
    <w:link w:val="Textkrper-Einzug3Zchn"/>
    <w:uiPriority w:val="99"/>
    <w:semiHidden/>
    <w:unhideWhenUsed/>
    <w:rsid w:val="0055661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56612"/>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556612"/>
    <w:pPr>
      <w:spacing w:after="200" w:line="276" w:lineRule="auto"/>
      <w:ind w:firstLine="360"/>
      <w:jc w:val="left"/>
    </w:pPr>
    <w:rPr>
      <w:rFonts w:ascii="Calibri" w:eastAsia="Calibri" w:hAnsi="Calibri"/>
      <w:sz w:val="22"/>
      <w:szCs w:val="22"/>
    </w:rPr>
  </w:style>
  <w:style w:type="character" w:customStyle="1" w:styleId="Textkrper-ErstzeileneinzugZchn">
    <w:name w:val="Textkörper-Erstzeileneinzug Zchn"/>
    <w:basedOn w:val="TextkrperZchn"/>
    <w:link w:val="Textkrper-Erstzeileneinzug"/>
    <w:uiPriority w:val="99"/>
    <w:semiHidden/>
    <w:rsid w:val="00556612"/>
    <w:rPr>
      <w:rFonts w:ascii="Times New Roman" w:eastAsia="Times New Roman" w:hAnsi="Times New Roman"/>
      <w:sz w:val="22"/>
      <w:szCs w:val="22"/>
      <w:lang w:val="is-IS" w:eastAsia="en-US"/>
    </w:rPr>
  </w:style>
  <w:style w:type="paragraph" w:styleId="Textkrper-Zeileneinzug">
    <w:name w:val="Body Text Indent"/>
    <w:basedOn w:val="Standard"/>
    <w:link w:val="Textkrper-ZeileneinzugZchn"/>
    <w:uiPriority w:val="99"/>
    <w:semiHidden/>
    <w:unhideWhenUsed/>
    <w:rsid w:val="00556612"/>
    <w:pPr>
      <w:spacing w:after="120"/>
      <w:ind w:left="283"/>
    </w:pPr>
  </w:style>
  <w:style w:type="character" w:customStyle="1" w:styleId="Textkrper-ZeileneinzugZchn">
    <w:name w:val="Textkörper-Zeileneinzug Zchn"/>
    <w:basedOn w:val="Absatz-Standardschriftart"/>
    <w:link w:val="Textkrper-Zeileneinzug"/>
    <w:uiPriority w:val="99"/>
    <w:semiHidden/>
    <w:rsid w:val="00556612"/>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556612"/>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56612"/>
    <w:rPr>
      <w:sz w:val="22"/>
      <w:szCs w:val="22"/>
      <w:lang w:val="is-IS" w:eastAsia="en-US"/>
    </w:rPr>
  </w:style>
  <w:style w:type="paragraph" w:styleId="Titel">
    <w:name w:val="Title"/>
    <w:basedOn w:val="Standard"/>
    <w:next w:val="Standard"/>
    <w:link w:val="TitelZchn"/>
    <w:uiPriority w:val="10"/>
    <w:qFormat/>
    <w:rsid w:val="005566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56612"/>
    <w:rPr>
      <w:rFonts w:asciiTheme="majorHAnsi" w:eastAsiaTheme="majorEastAsia" w:hAnsiTheme="majorHAnsi" w:cstheme="majorBidi"/>
      <w:color w:val="17365D" w:themeColor="text2" w:themeShade="BF"/>
      <w:spacing w:val="5"/>
      <w:kern w:val="28"/>
      <w:sz w:val="52"/>
      <w:szCs w:val="52"/>
      <w:lang w:val="is-IS" w:eastAsia="en-US"/>
    </w:rPr>
  </w:style>
  <w:style w:type="character" w:customStyle="1" w:styleId="berschrift3Zchn">
    <w:name w:val="Überschrift 3 Zchn"/>
    <w:basedOn w:val="Absatz-Standardschriftart"/>
    <w:link w:val="berschrift3"/>
    <w:uiPriority w:val="9"/>
    <w:semiHidden/>
    <w:rsid w:val="00556612"/>
    <w:rPr>
      <w:rFonts w:asciiTheme="majorHAnsi" w:eastAsiaTheme="majorEastAsia" w:hAnsiTheme="majorHAnsi" w:cstheme="majorBidi"/>
      <w:b/>
      <w:bCs/>
      <w:color w:val="4F81BD" w:themeColor="accent1"/>
      <w:sz w:val="22"/>
      <w:szCs w:val="22"/>
      <w:lang w:val="is-IS" w:eastAsia="en-US"/>
    </w:rPr>
  </w:style>
  <w:style w:type="character" w:customStyle="1" w:styleId="berschrift5Zchn">
    <w:name w:val="Überschrift 5 Zchn"/>
    <w:basedOn w:val="Absatz-Standardschriftart"/>
    <w:link w:val="berschrift5"/>
    <w:uiPriority w:val="9"/>
    <w:semiHidden/>
    <w:rsid w:val="00556612"/>
    <w:rPr>
      <w:rFonts w:asciiTheme="majorHAnsi" w:eastAsiaTheme="majorEastAsia" w:hAnsiTheme="majorHAnsi" w:cstheme="majorBidi"/>
      <w:color w:val="243F60" w:themeColor="accent1" w:themeShade="7F"/>
      <w:sz w:val="22"/>
      <w:szCs w:val="22"/>
      <w:lang w:val="is-IS" w:eastAsia="en-US"/>
    </w:rPr>
  </w:style>
  <w:style w:type="character" w:customStyle="1" w:styleId="berschrift6Zchn">
    <w:name w:val="Überschrift 6 Zchn"/>
    <w:basedOn w:val="Absatz-Standardschriftart"/>
    <w:link w:val="berschrift6"/>
    <w:uiPriority w:val="9"/>
    <w:semiHidden/>
    <w:rsid w:val="00556612"/>
    <w:rPr>
      <w:rFonts w:asciiTheme="majorHAnsi" w:eastAsiaTheme="majorEastAsia" w:hAnsiTheme="majorHAnsi" w:cstheme="majorBidi"/>
      <w:i/>
      <w:iCs/>
      <w:color w:val="243F60" w:themeColor="accent1" w:themeShade="7F"/>
      <w:sz w:val="22"/>
      <w:szCs w:val="22"/>
      <w:lang w:val="is-IS" w:eastAsia="en-US"/>
    </w:rPr>
  </w:style>
  <w:style w:type="character" w:customStyle="1" w:styleId="berschrift7Zchn">
    <w:name w:val="Überschrift 7 Zchn"/>
    <w:basedOn w:val="Absatz-Standardschriftart"/>
    <w:link w:val="berschrift7"/>
    <w:uiPriority w:val="9"/>
    <w:semiHidden/>
    <w:rsid w:val="00556612"/>
    <w:rPr>
      <w:rFonts w:asciiTheme="majorHAnsi" w:eastAsiaTheme="majorEastAsia" w:hAnsiTheme="majorHAnsi" w:cstheme="majorBidi"/>
      <w:i/>
      <w:iCs/>
      <w:color w:val="404040" w:themeColor="text1" w:themeTint="BF"/>
      <w:sz w:val="22"/>
      <w:szCs w:val="22"/>
      <w:lang w:val="is-IS" w:eastAsia="en-US"/>
    </w:rPr>
  </w:style>
  <w:style w:type="character" w:customStyle="1" w:styleId="berschrift8Zchn">
    <w:name w:val="Überschrift 8 Zchn"/>
    <w:basedOn w:val="Absatz-Standardschriftart"/>
    <w:link w:val="berschrift8"/>
    <w:uiPriority w:val="9"/>
    <w:semiHidden/>
    <w:rsid w:val="00556612"/>
    <w:rPr>
      <w:rFonts w:asciiTheme="majorHAnsi" w:eastAsiaTheme="majorEastAsia" w:hAnsiTheme="majorHAnsi" w:cstheme="majorBidi"/>
      <w:color w:val="404040" w:themeColor="text1" w:themeTint="BF"/>
      <w:lang w:val="is-IS" w:eastAsia="en-US"/>
    </w:rPr>
  </w:style>
  <w:style w:type="character" w:customStyle="1" w:styleId="berschrift9Zchn">
    <w:name w:val="Überschrift 9 Zchn"/>
    <w:basedOn w:val="Absatz-Standardschriftart"/>
    <w:link w:val="berschrift9"/>
    <w:uiPriority w:val="9"/>
    <w:semiHidden/>
    <w:rsid w:val="00556612"/>
    <w:rPr>
      <w:rFonts w:asciiTheme="majorHAnsi" w:eastAsiaTheme="majorEastAsia" w:hAnsiTheme="majorHAnsi" w:cstheme="majorBidi"/>
      <w:i/>
      <w:iCs/>
      <w:color w:val="404040" w:themeColor="text1" w:themeTint="BF"/>
      <w:lang w:val="is-IS" w:eastAsia="en-US"/>
    </w:rPr>
  </w:style>
  <w:style w:type="paragraph" w:styleId="Umschlagabsenderadresse">
    <w:name w:val="envelope return"/>
    <w:basedOn w:val="Standard"/>
    <w:uiPriority w:val="99"/>
    <w:semiHidden/>
    <w:unhideWhenUsed/>
    <w:rsid w:val="0055661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556612"/>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556612"/>
    <w:pPr>
      <w:spacing w:after="0" w:line="240" w:lineRule="auto"/>
      <w:ind w:left="4252"/>
    </w:pPr>
  </w:style>
  <w:style w:type="character" w:customStyle="1" w:styleId="UnterschriftZchn">
    <w:name w:val="Unterschrift Zchn"/>
    <w:basedOn w:val="Absatz-Standardschriftart"/>
    <w:link w:val="Unterschrift"/>
    <w:uiPriority w:val="99"/>
    <w:semiHidden/>
    <w:rsid w:val="00556612"/>
    <w:rPr>
      <w:sz w:val="22"/>
      <w:szCs w:val="22"/>
      <w:lang w:val="is-IS" w:eastAsia="en-US"/>
    </w:rPr>
  </w:style>
  <w:style w:type="paragraph" w:styleId="Untertitel">
    <w:name w:val="Subtitle"/>
    <w:basedOn w:val="Standard"/>
    <w:next w:val="Standard"/>
    <w:link w:val="UntertitelZchn"/>
    <w:uiPriority w:val="11"/>
    <w:qFormat/>
    <w:rsid w:val="005566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56612"/>
    <w:rPr>
      <w:rFonts w:asciiTheme="majorHAnsi" w:eastAsiaTheme="majorEastAsia" w:hAnsiTheme="majorHAnsi" w:cstheme="majorBidi"/>
      <w:i/>
      <w:iCs/>
      <w:color w:val="4F81BD" w:themeColor="accent1"/>
      <w:spacing w:val="15"/>
      <w:sz w:val="24"/>
      <w:szCs w:val="24"/>
      <w:lang w:val="is-IS" w:eastAsia="en-US"/>
    </w:rPr>
  </w:style>
  <w:style w:type="paragraph" w:styleId="Verzeichnis1">
    <w:name w:val="toc 1"/>
    <w:basedOn w:val="Standard"/>
    <w:next w:val="Standard"/>
    <w:autoRedefine/>
    <w:uiPriority w:val="39"/>
    <w:semiHidden/>
    <w:unhideWhenUsed/>
    <w:rsid w:val="00556612"/>
    <w:pPr>
      <w:spacing w:after="100"/>
    </w:pPr>
  </w:style>
  <w:style w:type="paragraph" w:styleId="Verzeichnis2">
    <w:name w:val="toc 2"/>
    <w:basedOn w:val="Standard"/>
    <w:next w:val="Standard"/>
    <w:autoRedefine/>
    <w:uiPriority w:val="39"/>
    <w:semiHidden/>
    <w:unhideWhenUsed/>
    <w:rsid w:val="00556612"/>
    <w:pPr>
      <w:spacing w:after="100"/>
      <w:ind w:left="220"/>
    </w:pPr>
  </w:style>
  <w:style w:type="paragraph" w:styleId="Verzeichnis3">
    <w:name w:val="toc 3"/>
    <w:basedOn w:val="Standard"/>
    <w:next w:val="Standard"/>
    <w:autoRedefine/>
    <w:uiPriority w:val="39"/>
    <w:semiHidden/>
    <w:unhideWhenUsed/>
    <w:rsid w:val="00556612"/>
    <w:pPr>
      <w:spacing w:after="100"/>
      <w:ind w:left="440"/>
    </w:pPr>
  </w:style>
  <w:style w:type="paragraph" w:styleId="Verzeichnis4">
    <w:name w:val="toc 4"/>
    <w:basedOn w:val="Standard"/>
    <w:next w:val="Standard"/>
    <w:autoRedefine/>
    <w:uiPriority w:val="39"/>
    <w:semiHidden/>
    <w:unhideWhenUsed/>
    <w:rsid w:val="00556612"/>
    <w:pPr>
      <w:spacing w:after="100"/>
      <w:ind w:left="660"/>
    </w:pPr>
  </w:style>
  <w:style w:type="paragraph" w:styleId="Verzeichnis5">
    <w:name w:val="toc 5"/>
    <w:basedOn w:val="Standard"/>
    <w:next w:val="Standard"/>
    <w:autoRedefine/>
    <w:uiPriority w:val="39"/>
    <w:semiHidden/>
    <w:unhideWhenUsed/>
    <w:rsid w:val="00556612"/>
    <w:pPr>
      <w:spacing w:after="100"/>
      <w:ind w:left="880"/>
    </w:pPr>
  </w:style>
  <w:style w:type="paragraph" w:styleId="Verzeichnis6">
    <w:name w:val="toc 6"/>
    <w:basedOn w:val="Standard"/>
    <w:next w:val="Standard"/>
    <w:autoRedefine/>
    <w:uiPriority w:val="39"/>
    <w:semiHidden/>
    <w:unhideWhenUsed/>
    <w:rsid w:val="00556612"/>
    <w:pPr>
      <w:spacing w:after="100"/>
      <w:ind w:left="1100"/>
    </w:pPr>
  </w:style>
  <w:style w:type="paragraph" w:styleId="Verzeichnis7">
    <w:name w:val="toc 7"/>
    <w:basedOn w:val="Standard"/>
    <w:next w:val="Standard"/>
    <w:autoRedefine/>
    <w:uiPriority w:val="39"/>
    <w:semiHidden/>
    <w:unhideWhenUsed/>
    <w:rsid w:val="00556612"/>
    <w:pPr>
      <w:spacing w:after="100"/>
      <w:ind w:left="1320"/>
    </w:pPr>
  </w:style>
  <w:style w:type="paragraph" w:styleId="Verzeichnis8">
    <w:name w:val="toc 8"/>
    <w:basedOn w:val="Standard"/>
    <w:next w:val="Standard"/>
    <w:autoRedefine/>
    <w:uiPriority w:val="39"/>
    <w:semiHidden/>
    <w:unhideWhenUsed/>
    <w:rsid w:val="00556612"/>
    <w:pPr>
      <w:spacing w:after="100"/>
      <w:ind w:left="1540"/>
    </w:pPr>
  </w:style>
  <w:style w:type="paragraph" w:styleId="Verzeichnis9">
    <w:name w:val="toc 9"/>
    <w:basedOn w:val="Standard"/>
    <w:next w:val="Standard"/>
    <w:autoRedefine/>
    <w:uiPriority w:val="39"/>
    <w:semiHidden/>
    <w:unhideWhenUsed/>
    <w:rsid w:val="00556612"/>
    <w:pPr>
      <w:spacing w:after="100"/>
      <w:ind w:left="1760"/>
    </w:pPr>
  </w:style>
  <w:style w:type="paragraph" w:styleId="Zitat">
    <w:name w:val="Quote"/>
    <w:basedOn w:val="Standard"/>
    <w:next w:val="Standard"/>
    <w:link w:val="ZitatZchn"/>
    <w:uiPriority w:val="29"/>
    <w:qFormat/>
    <w:rsid w:val="00556612"/>
    <w:rPr>
      <w:i/>
      <w:iCs/>
      <w:color w:val="000000" w:themeColor="text1"/>
    </w:rPr>
  </w:style>
  <w:style w:type="character" w:customStyle="1" w:styleId="ZitatZchn">
    <w:name w:val="Zitat Zchn"/>
    <w:basedOn w:val="Absatz-Standardschriftart"/>
    <w:link w:val="Zitat"/>
    <w:uiPriority w:val="29"/>
    <w:rsid w:val="00556612"/>
    <w:rPr>
      <w:i/>
      <w:iCs/>
      <w:color w:val="000000" w:themeColor="text1"/>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639">
      <w:bodyDiv w:val="1"/>
      <w:marLeft w:val="0"/>
      <w:marRight w:val="0"/>
      <w:marTop w:val="0"/>
      <w:marBottom w:val="0"/>
      <w:divBdr>
        <w:top w:val="none" w:sz="0" w:space="0" w:color="auto"/>
        <w:left w:val="none" w:sz="0" w:space="0" w:color="auto"/>
        <w:bottom w:val="none" w:sz="0" w:space="0" w:color="auto"/>
        <w:right w:val="none" w:sz="0" w:space="0" w:color="auto"/>
      </w:divBdr>
    </w:div>
    <w:div w:id="106891339">
      <w:bodyDiv w:val="1"/>
      <w:marLeft w:val="0"/>
      <w:marRight w:val="0"/>
      <w:marTop w:val="0"/>
      <w:marBottom w:val="0"/>
      <w:divBdr>
        <w:top w:val="none" w:sz="0" w:space="0" w:color="auto"/>
        <w:left w:val="none" w:sz="0" w:space="0" w:color="auto"/>
        <w:bottom w:val="none" w:sz="0" w:space="0" w:color="auto"/>
        <w:right w:val="none" w:sz="0" w:space="0" w:color="auto"/>
      </w:divBdr>
    </w:div>
    <w:div w:id="178472370">
      <w:bodyDiv w:val="1"/>
      <w:marLeft w:val="0"/>
      <w:marRight w:val="0"/>
      <w:marTop w:val="0"/>
      <w:marBottom w:val="0"/>
      <w:divBdr>
        <w:top w:val="none" w:sz="0" w:space="0" w:color="auto"/>
        <w:left w:val="none" w:sz="0" w:space="0" w:color="auto"/>
        <w:bottom w:val="none" w:sz="0" w:space="0" w:color="auto"/>
        <w:right w:val="none" w:sz="0" w:space="0" w:color="auto"/>
      </w:divBdr>
    </w:div>
    <w:div w:id="198053017">
      <w:bodyDiv w:val="1"/>
      <w:marLeft w:val="0"/>
      <w:marRight w:val="0"/>
      <w:marTop w:val="0"/>
      <w:marBottom w:val="0"/>
      <w:divBdr>
        <w:top w:val="none" w:sz="0" w:space="0" w:color="auto"/>
        <w:left w:val="none" w:sz="0" w:space="0" w:color="auto"/>
        <w:bottom w:val="none" w:sz="0" w:space="0" w:color="auto"/>
        <w:right w:val="none" w:sz="0" w:space="0" w:color="auto"/>
      </w:divBdr>
    </w:div>
    <w:div w:id="285694869">
      <w:bodyDiv w:val="1"/>
      <w:marLeft w:val="0"/>
      <w:marRight w:val="0"/>
      <w:marTop w:val="0"/>
      <w:marBottom w:val="0"/>
      <w:divBdr>
        <w:top w:val="none" w:sz="0" w:space="0" w:color="auto"/>
        <w:left w:val="none" w:sz="0" w:space="0" w:color="auto"/>
        <w:bottom w:val="none" w:sz="0" w:space="0" w:color="auto"/>
        <w:right w:val="none" w:sz="0" w:space="0" w:color="auto"/>
      </w:divBdr>
    </w:div>
    <w:div w:id="296491010">
      <w:bodyDiv w:val="1"/>
      <w:marLeft w:val="0"/>
      <w:marRight w:val="0"/>
      <w:marTop w:val="0"/>
      <w:marBottom w:val="0"/>
      <w:divBdr>
        <w:top w:val="none" w:sz="0" w:space="0" w:color="auto"/>
        <w:left w:val="none" w:sz="0" w:space="0" w:color="auto"/>
        <w:bottom w:val="none" w:sz="0" w:space="0" w:color="auto"/>
        <w:right w:val="none" w:sz="0" w:space="0" w:color="auto"/>
      </w:divBdr>
    </w:div>
    <w:div w:id="308367122">
      <w:bodyDiv w:val="1"/>
      <w:marLeft w:val="0"/>
      <w:marRight w:val="0"/>
      <w:marTop w:val="0"/>
      <w:marBottom w:val="0"/>
      <w:divBdr>
        <w:top w:val="none" w:sz="0" w:space="0" w:color="auto"/>
        <w:left w:val="none" w:sz="0" w:space="0" w:color="auto"/>
        <w:bottom w:val="none" w:sz="0" w:space="0" w:color="auto"/>
        <w:right w:val="none" w:sz="0" w:space="0" w:color="auto"/>
      </w:divBdr>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321783157">
      <w:bodyDiv w:val="1"/>
      <w:marLeft w:val="0"/>
      <w:marRight w:val="0"/>
      <w:marTop w:val="0"/>
      <w:marBottom w:val="0"/>
      <w:divBdr>
        <w:top w:val="none" w:sz="0" w:space="0" w:color="auto"/>
        <w:left w:val="none" w:sz="0" w:space="0" w:color="auto"/>
        <w:bottom w:val="none" w:sz="0" w:space="0" w:color="auto"/>
        <w:right w:val="none" w:sz="0" w:space="0" w:color="auto"/>
      </w:divBdr>
    </w:div>
    <w:div w:id="373238235">
      <w:bodyDiv w:val="1"/>
      <w:marLeft w:val="0"/>
      <w:marRight w:val="0"/>
      <w:marTop w:val="0"/>
      <w:marBottom w:val="0"/>
      <w:divBdr>
        <w:top w:val="none" w:sz="0" w:space="0" w:color="auto"/>
        <w:left w:val="none" w:sz="0" w:space="0" w:color="auto"/>
        <w:bottom w:val="none" w:sz="0" w:space="0" w:color="auto"/>
        <w:right w:val="none" w:sz="0" w:space="0" w:color="auto"/>
      </w:divBdr>
    </w:div>
    <w:div w:id="381247560">
      <w:bodyDiv w:val="1"/>
      <w:marLeft w:val="0"/>
      <w:marRight w:val="0"/>
      <w:marTop w:val="0"/>
      <w:marBottom w:val="0"/>
      <w:divBdr>
        <w:top w:val="none" w:sz="0" w:space="0" w:color="auto"/>
        <w:left w:val="none" w:sz="0" w:space="0" w:color="auto"/>
        <w:bottom w:val="none" w:sz="0" w:space="0" w:color="auto"/>
        <w:right w:val="none" w:sz="0" w:space="0" w:color="auto"/>
      </w:divBdr>
    </w:div>
    <w:div w:id="384332987">
      <w:bodyDiv w:val="1"/>
      <w:marLeft w:val="0"/>
      <w:marRight w:val="0"/>
      <w:marTop w:val="0"/>
      <w:marBottom w:val="0"/>
      <w:divBdr>
        <w:top w:val="none" w:sz="0" w:space="0" w:color="auto"/>
        <w:left w:val="none" w:sz="0" w:space="0" w:color="auto"/>
        <w:bottom w:val="none" w:sz="0" w:space="0" w:color="auto"/>
        <w:right w:val="none" w:sz="0" w:space="0" w:color="auto"/>
      </w:divBdr>
    </w:div>
    <w:div w:id="400521240">
      <w:bodyDiv w:val="1"/>
      <w:marLeft w:val="0"/>
      <w:marRight w:val="0"/>
      <w:marTop w:val="0"/>
      <w:marBottom w:val="0"/>
      <w:divBdr>
        <w:top w:val="none" w:sz="0" w:space="0" w:color="auto"/>
        <w:left w:val="none" w:sz="0" w:space="0" w:color="auto"/>
        <w:bottom w:val="none" w:sz="0" w:space="0" w:color="auto"/>
        <w:right w:val="none" w:sz="0" w:space="0" w:color="auto"/>
      </w:divBdr>
    </w:div>
    <w:div w:id="469372108">
      <w:bodyDiv w:val="1"/>
      <w:marLeft w:val="0"/>
      <w:marRight w:val="0"/>
      <w:marTop w:val="0"/>
      <w:marBottom w:val="0"/>
      <w:divBdr>
        <w:top w:val="none" w:sz="0" w:space="0" w:color="auto"/>
        <w:left w:val="none" w:sz="0" w:space="0" w:color="auto"/>
        <w:bottom w:val="none" w:sz="0" w:space="0" w:color="auto"/>
        <w:right w:val="none" w:sz="0" w:space="0" w:color="auto"/>
      </w:divBdr>
    </w:div>
    <w:div w:id="638658134">
      <w:bodyDiv w:val="1"/>
      <w:marLeft w:val="0"/>
      <w:marRight w:val="0"/>
      <w:marTop w:val="0"/>
      <w:marBottom w:val="0"/>
      <w:divBdr>
        <w:top w:val="none" w:sz="0" w:space="0" w:color="auto"/>
        <w:left w:val="none" w:sz="0" w:space="0" w:color="auto"/>
        <w:bottom w:val="none" w:sz="0" w:space="0" w:color="auto"/>
        <w:right w:val="none" w:sz="0" w:space="0" w:color="auto"/>
      </w:divBdr>
    </w:div>
    <w:div w:id="680206355">
      <w:bodyDiv w:val="1"/>
      <w:marLeft w:val="0"/>
      <w:marRight w:val="0"/>
      <w:marTop w:val="0"/>
      <w:marBottom w:val="0"/>
      <w:divBdr>
        <w:top w:val="none" w:sz="0" w:space="0" w:color="auto"/>
        <w:left w:val="none" w:sz="0" w:space="0" w:color="auto"/>
        <w:bottom w:val="none" w:sz="0" w:space="0" w:color="auto"/>
        <w:right w:val="none" w:sz="0" w:space="0" w:color="auto"/>
      </w:divBdr>
    </w:div>
    <w:div w:id="905915573">
      <w:bodyDiv w:val="1"/>
      <w:marLeft w:val="0"/>
      <w:marRight w:val="0"/>
      <w:marTop w:val="0"/>
      <w:marBottom w:val="0"/>
      <w:divBdr>
        <w:top w:val="none" w:sz="0" w:space="0" w:color="auto"/>
        <w:left w:val="none" w:sz="0" w:space="0" w:color="auto"/>
        <w:bottom w:val="none" w:sz="0" w:space="0" w:color="auto"/>
        <w:right w:val="none" w:sz="0" w:space="0" w:color="auto"/>
      </w:divBdr>
    </w:div>
    <w:div w:id="923416958">
      <w:bodyDiv w:val="1"/>
      <w:marLeft w:val="0"/>
      <w:marRight w:val="0"/>
      <w:marTop w:val="0"/>
      <w:marBottom w:val="0"/>
      <w:divBdr>
        <w:top w:val="none" w:sz="0" w:space="0" w:color="auto"/>
        <w:left w:val="none" w:sz="0" w:space="0" w:color="auto"/>
        <w:bottom w:val="none" w:sz="0" w:space="0" w:color="auto"/>
        <w:right w:val="none" w:sz="0" w:space="0" w:color="auto"/>
      </w:divBdr>
    </w:div>
    <w:div w:id="938567513">
      <w:bodyDiv w:val="1"/>
      <w:marLeft w:val="0"/>
      <w:marRight w:val="0"/>
      <w:marTop w:val="0"/>
      <w:marBottom w:val="0"/>
      <w:divBdr>
        <w:top w:val="none" w:sz="0" w:space="0" w:color="auto"/>
        <w:left w:val="none" w:sz="0" w:space="0" w:color="auto"/>
        <w:bottom w:val="none" w:sz="0" w:space="0" w:color="auto"/>
        <w:right w:val="none" w:sz="0" w:space="0" w:color="auto"/>
      </w:divBdr>
    </w:div>
    <w:div w:id="977757523">
      <w:bodyDiv w:val="1"/>
      <w:marLeft w:val="0"/>
      <w:marRight w:val="0"/>
      <w:marTop w:val="0"/>
      <w:marBottom w:val="0"/>
      <w:divBdr>
        <w:top w:val="none" w:sz="0" w:space="0" w:color="auto"/>
        <w:left w:val="none" w:sz="0" w:space="0" w:color="auto"/>
        <w:bottom w:val="none" w:sz="0" w:space="0" w:color="auto"/>
        <w:right w:val="none" w:sz="0" w:space="0" w:color="auto"/>
      </w:divBdr>
    </w:div>
    <w:div w:id="1112867527">
      <w:bodyDiv w:val="1"/>
      <w:marLeft w:val="0"/>
      <w:marRight w:val="0"/>
      <w:marTop w:val="0"/>
      <w:marBottom w:val="0"/>
      <w:divBdr>
        <w:top w:val="none" w:sz="0" w:space="0" w:color="auto"/>
        <w:left w:val="none" w:sz="0" w:space="0" w:color="auto"/>
        <w:bottom w:val="none" w:sz="0" w:space="0" w:color="auto"/>
        <w:right w:val="none" w:sz="0" w:space="0" w:color="auto"/>
      </w:divBdr>
    </w:div>
    <w:div w:id="1193886524">
      <w:bodyDiv w:val="1"/>
      <w:marLeft w:val="0"/>
      <w:marRight w:val="0"/>
      <w:marTop w:val="0"/>
      <w:marBottom w:val="0"/>
      <w:divBdr>
        <w:top w:val="none" w:sz="0" w:space="0" w:color="auto"/>
        <w:left w:val="none" w:sz="0" w:space="0" w:color="auto"/>
        <w:bottom w:val="none" w:sz="0" w:space="0" w:color="auto"/>
        <w:right w:val="none" w:sz="0" w:space="0" w:color="auto"/>
      </w:divBdr>
    </w:div>
    <w:div w:id="1238052616">
      <w:bodyDiv w:val="1"/>
      <w:marLeft w:val="0"/>
      <w:marRight w:val="0"/>
      <w:marTop w:val="0"/>
      <w:marBottom w:val="0"/>
      <w:divBdr>
        <w:top w:val="none" w:sz="0" w:space="0" w:color="auto"/>
        <w:left w:val="none" w:sz="0" w:space="0" w:color="auto"/>
        <w:bottom w:val="none" w:sz="0" w:space="0" w:color="auto"/>
        <w:right w:val="none" w:sz="0" w:space="0" w:color="auto"/>
      </w:divBdr>
    </w:div>
    <w:div w:id="1251887427">
      <w:bodyDiv w:val="1"/>
      <w:marLeft w:val="0"/>
      <w:marRight w:val="0"/>
      <w:marTop w:val="0"/>
      <w:marBottom w:val="0"/>
      <w:divBdr>
        <w:top w:val="none" w:sz="0" w:space="0" w:color="auto"/>
        <w:left w:val="none" w:sz="0" w:space="0" w:color="auto"/>
        <w:bottom w:val="none" w:sz="0" w:space="0" w:color="auto"/>
        <w:right w:val="none" w:sz="0" w:space="0" w:color="auto"/>
      </w:divBdr>
    </w:div>
    <w:div w:id="1472167189">
      <w:bodyDiv w:val="1"/>
      <w:marLeft w:val="0"/>
      <w:marRight w:val="0"/>
      <w:marTop w:val="0"/>
      <w:marBottom w:val="0"/>
      <w:divBdr>
        <w:top w:val="none" w:sz="0" w:space="0" w:color="auto"/>
        <w:left w:val="none" w:sz="0" w:space="0" w:color="auto"/>
        <w:bottom w:val="none" w:sz="0" w:space="0" w:color="auto"/>
        <w:right w:val="none" w:sz="0" w:space="0" w:color="auto"/>
      </w:divBdr>
    </w:div>
    <w:div w:id="1472483503">
      <w:bodyDiv w:val="1"/>
      <w:marLeft w:val="0"/>
      <w:marRight w:val="0"/>
      <w:marTop w:val="0"/>
      <w:marBottom w:val="0"/>
      <w:divBdr>
        <w:top w:val="none" w:sz="0" w:space="0" w:color="auto"/>
        <w:left w:val="none" w:sz="0" w:space="0" w:color="auto"/>
        <w:bottom w:val="none" w:sz="0" w:space="0" w:color="auto"/>
        <w:right w:val="none" w:sz="0" w:space="0" w:color="auto"/>
      </w:divBdr>
    </w:div>
    <w:div w:id="1479105238">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668747184">
      <w:bodyDiv w:val="1"/>
      <w:marLeft w:val="0"/>
      <w:marRight w:val="0"/>
      <w:marTop w:val="0"/>
      <w:marBottom w:val="0"/>
      <w:divBdr>
        <w:top w:val="none" w:sz="0" w:space="0" w:color="auto"/>
        <w:left w:val="none" w:sz="0" w:space="0" w:color="auto"/>
        <w:bottom w:val="none" w:sz="0" w:space="0" w:color="auto"/>
        <w:right w:val="none" w:sz="0" w:space="0" w:color="auto"/>
      </w:divBdr>
    </w:div>
    <w:div w:id="1745370850">
      <w:bodyDiv w:val="1"/>
      <w:marLeft w:val="0"/>
      <w:marRight w:val="0"/>
      <w:marTop w:val="0"/>
      <w:marBottom w:val="0"/>
      <w:divBdr>
        <w:top w:val="none" w:sz="0" w:space="0" w:color="auto"/>
        <w:left w:val="none" w:sz="0" w:space="0" w:color="auto"/>
        <w:bottom w:val="none" w:sz="0" w:space="0" w:color="auto"/>
        <w:right w:val="none" w:sz="0" w:space="0" w:color="auto"/>
      </w:divBdr>
    </w:div>
    <w:div w:id="1754231719">
      <w:bodyDiv w:val="1"/>
      <w:marLeft w:val="0"/>
      <w:marRight w:val="0"/>
      <w:marTop w:val="0"/>
      <w:marBottom w:val="0"/>
      <w:divBdr>
        <w:top w:val="none" w:sz="0" w:space="0" w:color="auto"/>
        <w:left w:val="none" w:sz="0" w:space="0" w:color="auto"/>
        <w:bottom w:val="none" w:sz="0" w:space="0" w:color="auto"/>
        <w:right w:val="none" w:sz="0" w:space="0" w:color="auto"/>
      </w:divBdr>
    </w:div>
    <w:div w:id="1894340915">
      <w:bodyDiv w:val="1"/>
      <w:marLeft w:val="0"/>
      <w:marRight w:val="0"/>
      <w:marTop w:val="0"/>
      <w:marBottom w:val="0"/>
      <w:divBdr>
        <w:top w:val="none" w:sz="0" w:space="0" w:color="auto"/>
        <w:left w:val="none" w:sz="0" w:space="0" w:color="auto"/>
        <w:bottom w:val="none" w:sz="0" w:space="0" w:color="auto"/>
        <w:right w:val="none" w:sz="0" w:space="0" w:color="auto"/>
      </w:divBdr>
    </w:div>
    <w:div w:id="1997219791">
      <w:bodyDiv w:val="1"/>
      <w:marLeft w:val="0"/>
      <w:marRight w:val="0"/>
      <w:marTop w:val="0"/>
      <w:marBottom w:val="0"/>
      <w:divBdr>
        <w:top w:val="none" w:sz="0" w:space="0" w:color="auto"/>
        <w:left w:val="none" w:sz="0" w:space="0" w:color="auto"/>
        <w:bottom w:val="none" w:sz="0" w:space="0" w:color="auto"/>
        <w:right w:val="none" w:sz="0" w:space="0" w:color="auto"/>
      </w:divBdr>
    </w:div>
    <w:div w:id="2046132204">
      <w:bodyDiv w:val="1"/>
      <w:marLeft w:val="0"/>
      <w:marRight w:val="0"/>
      <w:marTop w:val="0"/>
      <w:marBottom w:val="0"/>
      <w:divBdr>
        <w:top w:val="none" w:sz="0" w:space="0" w:color="auto"/>
        <w:left w:val="none" w:sz="0" w:space="0" w:color="auto"/>
        <w:bottom w:val="none" w:sz="0" w:space="0" w:color="auto"/>
        <w:right w:val="none" w:sz="0" w:space="0" w:color="auto"/>
      </w:divBdr>
    </w:div>
    <w:div w:id="209860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ema.europa.eu" TargetMode="Externa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www.ema.europa.eu/docs/en_GB/document_library/Template_or_form/2013/03/WC500139752.doc"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460B1-BD3F-4091-B13C-ECAEA606C10B}">
  <ds:schemaRefs>
    <ds:schemaRef ds:uri="http://schemas.microsoft.com/office/2006/metadata/properties"/>
  </ds:schemaRefs>
</ds:datastoreItem>
</file>

<file path=customXml/itemProps2.xml><?xml version="1.0" encoding="utf-8"?>
<ds:datastoreItem xmlns:ds="http://schemas.openxmlformats.org/officeDocument/2006/customXml" ds:itemID="{7EE47519-5228-48F8-809F-1B2E3FE64101}"/>
</file>

<file path=customXml/itemProps3.xml><?xml version="1.0" encoding="utf-8"?>
<ds:datastoreItem xmlns:ds="http://schemas.openxmlformats.org/officeDocument/2006/customXml" ds:itemID="{53EFDD33-5DE7-4D2E-A0A5-FEC1A4D9A25B}">
  <ds:schemaRefs>
    <ds:schemaRef ds:uri="http://schemas.microsoft.com/sharepoint/v3/contenttype/forms"/>
  </ds:schemaRefs>
</ds:datastoreItem>
</file>

<file path=customXml/itemProps4.xml><?xml version="1.0" encoding="utf-8"?>
<ds:datastoreItem xmlns:ds="http://schemas.openxmlformats.org/officeDocument/2006/customXml" ds:itemID="{9080C4A2-F04C-4568-8439-35C190CDDA78}">
  <ds:schemaRefs>
    <ds:schemaRef ds:uri="http://schemas.openxmlformats.org/officeDocument/2006/bibliography"/>
  </ds:schemaRefs>
</ds:datastoreItem>
</file>

<file path=customXml/itemProps5.xml><?xml version="1.0" encoding="utf-8"?>
<ds:datastoreItem xmlns:ds="http://schemas.openxmlformats.org/officeDocument/2006/customXml" ds:itemID="{06B04810-AB12-4450-AA9B-1A12111B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47602</Words>
  <Characters>270859</Characters>
  <Application>Microsoft Office Word</Application>
  <DocSecurity>0</DocSecurity>
  <Lines>7523</Lines>
  <Paragraphs>4246</Paragraphs>
  <ScaleCrop>false</ScaleCrop>
  <HeadingPairs>
    <vt:vector size="6" baseType="variant">
      <vt:variant>
        <vt:lpstr>Titel</vt:lpstr>
      </vt:variant>
      <vt:variant>
        <vt:i4>1</vt:i4>
      </vt:variant>
      <vt:variant>
        <vt:lpstr>Titolo</vt:lpstr>
      </vt:variant>
      <vt:variant>
        <vt:i4>1</vt:i4>
      </vt:variant>
      <vt:variant>
        <vt:lpstr>Title</vt:lpstr>
      </vt:variant>
      <vt:variant>
        <vt:i4>1</vt:i4>
      </vt:variant>
    </vt:vector>
  </HeadingPairs>
  <TitlesOfParts>
    <vt:vector size="3" baseType="lpstr">
      <vt:lpstr>Imatinib Actavis, INN-imatinib</vt:lpstr>
      <vt:lpstr>Imatinib Actavis, INN-imatinib</vt:lpstr>
      <vt:lpstr>EN Imati Actavis Day 121-165 QRD rview</vt:lpstr>
    </vt:vector>
  </TitlesOfParts>
  <Manager/>
  <Company>Teva Europe</Company>
  <LinksUpToDate>false</LinksUpToDate>
  <CharactersWithSpaces>314215</CharactersWithSpaces>
  <SharedDoc>false</SharedDoc>
  <HLinks>
    <vt:vector size="120" baseType="variant">
      <vt:variant>
        <vt:i4>1245197</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1245197</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2018-09-17T09:33:00Z</cp:lastPrinted>
  <dcterms:created xsi:type="dcterms:W3CDTF">2020-07-09T14:01:00Z</dcterms:created>
  <dcterms:modified xsi:type="dcterms:W3CDTF">2020-07-09T14:01:00Z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